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center"/>
        <w:rPr>
          <w:rFonts w:ascii="Times New Roman" w:hAnsi="Times New Roman" w:eastAsia="仿宋_GB2312"/>
          <w:b/>
          <w:kern w:val="2"/>
          <w:sz w:val="28"/>
          <w:szCs w:val="28"/>
        </w:rPr>
      </w:pPr>
      <w:bookmarkStart w:id="0" w:name="_Toc301974177"/>
      <w:bookmarkStart w:id="1" w:name="_Toc347586091"/>
      <w:bookmarkStart w:id="2" w:name="_Toc347408880"/>
      <w:bookmarkStart w:id="3" w:name="_Toc347217812"/>
      <w:bookmarkStart w:id="4" w:name="_Toc362256547"/>
      <w:bookmarkStart w:id="5" w:name="_Toc347144021"/>
      <w:bookmarkStart w:id="6" w:name="_Toc303058577"/>
      <w:bookmarkStart w:id="7" w:name="_Toc365293649"/>
      <w:bookmarkStart w:id="8" w:name="_Toc361469408"/>
      <w:bookmarkStart w:id="9" w:name="_Toc301884113"/>
      <w:bookmarkStart w:id="10" w:name="_Toc406771973"/>
      <w:bookmarkStart w:id="11" w:name="_Toc347495218"/>
      <w:bookmarkStart w:id="12" w:name="_Toc301598329"/>
      <w:bookmarkStart w:id="13" w:name="_Toc301000951"/>
      <w:bookmarkStart w:id="14" w:name="_Toc406572431"/>
      <w:bookmarkStart w:id="15" w:name="_Toc347216569"/>
      <w:bookmarkStart w:id="16" w:name="_Toc393893821"/>
      <w:r>
        <w:drawing>
          <wp:anchor distT="0" distB="0" distL="114300" distR="114300" simplePos="0" relativeHeight="251669504" behindDoc="1" locked="0" layoutInCell="1" allowOverlap="1">
            <wp:simplePos x="0" y="0"/>
            <wp:positionH relativeFrom="column">
              <wp:posOffset>-1153160</wp:posOffset>
            </wp:positionH>
            <wp:positionV relativeFrom="paragraph">
              <wp:posOffset>-909955</wp:posOffset>
            </wp:positionV>
            <wp:extent cx="7555865" cy="10674350"/>
            <wp:effectExtent l="0" t="0" r="0" b="0"/>
            <wp:wrapTight wrapText="bothSides">
              <wp:wrapPolygon>
                <wp:start x="0" y="0"/>
                <wp:lineTo x="0" y="21549"/>
                <wp:lineTo x="21566" y="21549"/>
                <wp:lineTo x="21566" y="0"/>
                <wp:lineTo x="0" y="0"/>
              </wp:wrapPolygon>
            </wp:wrapTight>
            <wp:docPr id="7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
                    <pic:cNvPicPr>
                      <a:picLocks noChangeAspect="1"/>
                    </pic:cNvPicPr>
                  </pic:nvPicPr>
                  <pic:blipFill>
                    <a:blip r:embed="rId18"/>
                    <a:stretch>
                      <a:fillRect/>
                    </a:stretch>
                  </pic:blipFill>
                  <pic:spPr>
                    <a:xfrm>
                      <a:off x="0" y="0"/>
                      <a:ext cx="7555865" cy="10674350"/>
                    </a:xfrm>
                    <a:prstGeom prst="rect">
                      <a:avLst/>
                    </a:prstGeom>
                    <a:noFill/>
                    <a:ln>
                      <a:noFill/>
                    </a:ln>
                  </pic:spPr>
                </pic:pic>
              </a:graphicData>
            </a:graphic>
          </wp:anchor>
        </w:drawing>
      </w:r>
    </w:p>
    <w:p>
      <w:pPr>
        <w:spacing w:line="360" w:lineRule="auto"/>
        <w:jc w:val="center"/>
        <w:rPr>
          <w:rFonts w:ascii="Times New Roman" w:hAnsi="Times New Roman" w:eastAsia="仿宋_GB2312"/>
          <w:b/>
          <w:kern w:val="2"/>
          <w:sz w:val="28"/>
          <w:szCs w:val="28"/>
        </w:rPr>
      </w:pPr>
      <w:bookmarkStart w:id="1806" w:name="_GoBack"/>
      <w:r>
        <w:drawing>
          <wp:anchor distT="0" distB="0" distL="114300" distR="114300" simplePos="0" relativeHeight="251669504" behindDoc="1" locked="0" layoutInCell="1" allowOverlap="1">
            <wp:simplePos x="0" y="0"/>
            <wp:positionH relativeFrom="column">
              <wp:posOffset>-1153795</wp:posOffset>
            </wp:positionH>
            <wp:positionV relativeFrom="paragraph">
              <wp:posOffset>-901065</wp:posOffset>
            </wp:positionV>
            <wp:extent cx="7563485" cy="10685145"/>
            <wp:effectExtent l="0" t="0" r="18415" b="1905"/>
            <wp:wrapNone/>
            <wp:docPr id="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
                    <pic:cNvPicPr>
                      <a:picLocks noChangeAspect="1"/>
                    </pic:cNvPicPr>
                  </pic:nvPicPr>
                  <pic:blipFill>
                    <a:blip r:embed="rId19"/>
                    <a:stretch>
                      <a:fillRect/>
                    </a:stretch>
                  </pic:blipFill>
                  <pic:spPr>
                    <a:xfrm>
                      <a:off x="0" y="0"/>
                      <a:ext cx="7563485" cy="10685145"/>
                    </a:xfrm>
                    <a:prstGeom prst="rect">
                      <a:avLst/>
                    </a:prstGeom>
                    <a:noFill/>
                    <a:ln>
                      <a:noFill/>
                    </a:ln>
                  </pic:spPr>
                </pic:pic>
              </a:graphicData>
            </a:graphic>
          </wp:anchor>
        </w:drawing>
      </w:r>
      <w:bookmarkEnd w:id="1806"/>
    </w:p>
    <w:p>
      <w:pPr>
        <w:spacing w:line="360" w:lineRule="auto"/>
        <w:rPr>
          <w:rFonts w:ascii="Times New Roman" w:hAnsi="Times New Roman" w:eastAsia="仿宋_GB2312"/>
          <w:b/>
          <w:kern w:val="2"/>
          <w:sz w:val="28"/>
          <w:szCs w:val="28"/>
        </w:rPr>
      </w:pPr>
    </w:p>
    <w:p>
      <w:pPr>
        <w:spacing w:line="360" w:lineRule="auto"/>
        <w:rPr>
          <w:rFonts w:ascii="Times New Roman" w:hAnsi="Times New Roman" w:eastAsia="黑体"/>
          <w:spacing w:val="20"/>
          <w:sz w:val="32"/>
          <w:szCs w:val="32"/>
        </w:rPr>
        <w:sectPr>
          <w:headerReference r:id="rId4" w:type="first"/>
          <w:headerReference r:id="rId3" w:type="default"/>
          <w:footerReference r:id="rId5" w:type="default"/>
          <w:footerReference r:id="rId6" w:type="even"/>
          <w:pgSz w:w="11906" w:h="16838"/>
          <w:pgMar w:top="1440" w:right="1797" w:bottom="1440" w:left="1797" w:header="851" w:footer="992" w:gutter="0"/>
          <w:pgNumType w:start="1"/>
          <w:cols w:space="720" w:num="1"/>
          <w:titlePg/>
          <w:docGrid w:linePitch="312" w:charSpace="0"/>
        </w:sectPr>
      </w:pPr>
    </w:p>
    <w:p>
      <w:pPr>
        <w:pStyle w:val="155"/>
        <w:spacing w:line="240" w:lineRule="auto"/>
        <w:ind w:firstLine="0" w:firstLineChars="0"/>
      </w:pPr>
      <w:bookmarkStart w:id="17" w:name="_Toc407350208"/>
      <w:bookmarkStart w:id="18" w:name="_Toc453708896"/>
      <w:bookmarkStart w:id="19" w:name="_Toc458063802"/>
    </w:p>
    <w:p>
      <w:pPr>
        <w:pStyle w:val="22"/>
        <w:spacing w:after="0" w:line="400" w:lineRule="exact"/>
        <w:jc w:val="center"/>
        <w:outlineLvl w:val="0"/>
        <w:rPr>
          <w:rFonts w:ascii="Times New Roman" w:hAnsi="Times New Roman" w:eastAsia="黑体"/>
          <w:b/>
          <w:sz w:val="36"/>
          <w:szCs w:val="36"/>
        </w:rPr>
      </w:pPr>
      <w:bookmarkStart w:id="20" w:name="_Toc116379687"/>
      <w:r>
        <w:rPr>
          <w:rFonts w:ascii="Times New Roman" w:hAnsi="Times New Roman" w:eastAsia="黑体"/>
          <w:b/>
          <w:sz w:val="36"/>
          <w:szCs w:val="36"/>
        </w:rPr>
        <w:t>目 录</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p>
    <w:p>
      <w:pPr>
        <w:pStyle w:val="53"/>
        <w:rPr>
          <w:rFonts w:ascii="宋体" w:hAnsi="宋体" w:cstheme="minorBidi"/>
          <w:b w:val="0"/>
          <w:bCs w:val="0"/>
          <w:caps w:val="0"/>
          <w:kern w:val="2"/>
          <w:sz w:val="21"/>
          <w:szCs w:val="22"/>
        </w:rPr>
      </w:pPr>
      <w:bookmarkStart w:id="21" w:name="_Toc479492620"/>
      <w:r>
        <w:rPr>
          <w:rFonts w:ascii="宋体" w:hAnsi="宋体"/>
          <w:bCs w:val="0"/>
          <w:sz w:val="24"/>
          <w:szCs w:val="24"/>
        </w:rPr>
        <w:fldChar w:fldCharType="begin"/>
      </w:r>
      <w:r>
        <w:rPr>
          <w:rFonts w:ascii="宋体" w:hAnsi="宋体"/>
          <w:bCs w:val="0"/>
          <w:sz w:val="24"/>
          <w:szCs w:val="24"/>
        </w:rPr>
        <w:instrText xml:space="preserve"> TOC \o "1-2" \h \z \u </w:instrText>
      </w:r>
      <w:r>
        <w:rPr>
          <w:rFonts w:ascii="宋体" w:hAnsi="宋体"/>
          <w:bCs w:val="0"/>
          <w:sz w:val="24"/>
          <w:szCs w:val="24"/>
        </w:rPr>
        <w:fldChar w:fldCharType="separate"/>
      </w:r>
      <w:r>
        <w:fldChar w:fldCharType="begin"/>
      </w:r>
      <w:r>
        <w:instrText xml:space="preserve"> HYPERLINK \l "_Toc116379687" </w:instrText>
      </w:r>
      <w:r>
        <w:fldChar w:fldCharType="separate"/>
      </w:r>
      <w:r>
        <w:rPr>
          <w:rStyle w:val="90"/>
          <w:rFonts w:hint="default" w:ascii="宋体" w:hAnsi="宋体" w:eastAsia="宋体"/>
          <w:color w:val="auto"/>
        </w:rPr>
        <w:t>目 录</w:t>
      </w:r>
      <w:r>
        <w:rPr>
          <w:rFonts w:ascii="宋体" w:hAnsi="宋体"/>
        </w:rPr>
        <w:tab/>
      </w:r>
      <w:r>
        <w:rPr>
          <w:rFonts w:ascii="宋体" w:hAnsi="宋体"/>
        </w:rPr>
        <w:fldChar w:fldCharType="begin"/>
      </w:r>
      <w:r>
        <w:rPr>
          <w:rFonts w:ascii="宋体" w:hAnsi="宋体"/>
        </w:rPr>
        <w:instrText xml:space="preserve"> PAGEREF _Toc116379687 \h </w:instrText>
      </w:r>
      <w:r>
        <w:rPr>
          <w:rFonts w:ascii="宋体" w:hAnsi="宋体"/>
        </w:rPr>
        <w:fldChar w:fldCharType="separate"/>
      </w:r>
      <w:r>
        <w:rPr>
          <w:rFonts w:ascii="宋体" w:hAnsi="宋体"/>
        </w:rPr>
        <w:t>I</w:t>
      </w:r>
      <w:r>
        <w:rPr>
          <w:rFonts w:ascii="宋体" w:hAnsi="宋体"/>
        </w:rPr>
        <w:fldChar w:fldCharType="end"/>
      </w:r>
      <w:r>
        <w:rPr>
          <w:rFonts w:ascii="宋体" w:hAnsi="宋体"/>
        </w:rPr>
        <w:fldChar w:fldCharType="end"/>
      </w:r>
    </w:p>
    <w:p>
      <w:pPr>
        <w:pStyle w:val="53"/>
        <w:rPr>
          <w:rFonts w:ascii="宋体" w:hAnsi="宋体" w:cstheme="minorBidi"/>
          <w:b w:val="0"/>
          <w:bCs w:val="0"/>
          <w:caps w:val="0"/>
          <w:kern w:val="2"/>
          <w:sz w:val="21"/>
          <w:szCs w:val="22"/>
        </w:rPr>
      </w:pPr>
      <w:r>
        <w:fldChar w:fldCharType="begin"/>
      </w:r>
      <w:r>
        <w:instrText xml:space="preserve"> HYPERLINK \l "_Toc116379688" </w:instrText>
      </w:r>
      <w:r>
        <w:fldChar w:fldCharType="separate"/>
      </w:r>
      <w:r>
        <w:rPr>
          <w:rStyle w:val="90"/>
          <w:rFonts w:hint="default" w:ascii="宋体" w:hAnsi="宋体" w:eastAsia="宋体"/>
          <w:color w:val="auto"/>
        </w:rPr>
        <w:t>1. 概述</w:t>
      </w:r>
      <w:r>
        <w:rPr>
          <w:rFonts w:ascii="宋体" w:hAnsi="宋体"/>
        </w:rPr>
        <w:tab/>
      </w:r>
      <w:r>
        <w:rPr>
          <w:rFonts w:ascii="宋体" w:hAnsi="宋体"/>
        </w:rPr>
        <w:fldChar w:fldCharType="begin"/>
      </w:r>
      <w:r>
        <w:rPr>
          <w:rFonts w:ascii="宋体" w:hAnsi="宋体"/>
        </w:rPr>
        <w:instrText xml:space="preserve"> PAGEREF _Toc116379688 \h </w:instrText>
      </w:r>
      <w:r>
        <w:rPr>
          <w:rFonts w:ascii="宋体" w:hAnsi="宋体"/>
        </w:rPr>
        <w:fldChar w:fldCharType="separate"/>
      </w:r>
      <w:r>
        <w:rPr>
          <w:rFonts w:ascii="宋体" w:hAnsi="宋体"/>
        </w:rPr>
        <w:t>1</w:t>
      </w:r>
      <w:r>
        <w:rPr>
          <w:rFonts w:ascii="宋体" w:hAnsi="宋体"/>
        </w:rPr>
        <w:fldChar w:fldCharType="end"/>
      </w:r>
      <w:r>
        <w:rPr>
          <w:rFonts w:ascii="宋体" w:hAnsi="宋体"/>
        </w:rPr>
        <w:fldChar w:fldCharType="end"/>
      </w:r>
    </w:p>
    <w:p>
      <w:pPr>
        <w:pStyle w:val="65"/>
        <w:tabs>
          <w:tab w:val="right" w:leader="dot" w:pos="8302"/>
        </w:tabs>
        <w:rPr>
          <w:rFonts w:ascii="宋体" w:hAnsi="宋体" w:cstheme="minorBidi"/>
          <w:smallCaps w:val="0"/>
          <w:kern w:val="2"/>
          <w:sz w:val="21"/>
          <w:szCs w:val="22"/>
        </w:rPr>
      </w:pPr>
      <w:r>
        <w:fldChar w:fldCharType="begin"/>
      </w:r>
      <w:r>
        <w:instrText xml:space="preserve"> HYPERLINK \l "_Toc116379689" </w:instrText>
      </w:r>
      <w:r>
        <w:fldChar w:fldCharType="separate"/>
      </w:r>
      <w:r>
        <w:rPr>
          <w:rStyle w:val="90"/>
          <w:rFonts w:hint="default" w:ascii="宋体" w:hAnsi="宋体" w:eastAsia="宋体"/>
          <w:bCs/>
          <w:color w:val="auto"/>
        </w:rPr>
        <w:t>1.1.</w:t>
      </w:r>
      <w:r>
        <w:rPr>
          <w:rStyle w:val="90"/>
          <w:rFonts w:hint="default" w:ascii="宋体" w:hAnsi="宋体" w:eastAsia="宋体"/>
          <w:color w:val="auto"/>
        </w:rPr>
        <w:t xml:space="preserve"> 项目由来</w:t>
      </w:r>
      <w:r>
        <w:rPr>
          <w:rFonts w:ascii="宋体" w:hAnsi="宋体"/>
        </w:rPr>
        <w:tab/>
      </w:r>
      <w:r>
        <w:rPr>
          <w:rFonts w:ascii="宋体" w:hAnsi="宋体"/>
        </w:rPr>
        <w:fldChar w:fldCharType="begin"/>
      </w:r>
      <w:r>
        <w:rPr>
          <w:rFonts w:ascii="宋体" w:hAnsi="宋体"/>
        </w:rPr>
        <w:instrText xml:space="preserve"> PAGEREF _Toc116379689 \h </w:instrText>
      </w:r>
      <w:r>
        <w:rPr>
          <w:rFonts w:ascii="宋体" w:hAnsi="宋体"/>
        </w:rPr>
        <w:fldChar w:fldCharType="separate"/>
      </w:r>
      <w:r>
        <w:rPr>
          <w:rFonts w:ascii="宋体" w:hAnsi="宋体"/>
        </w:rPr>
        <w:t>1</w:t>
      </w:r>
      <w:r>
        <w:rPr>
          <w:rFonts w:ascii="宋体" w:hAnsi="宋体"/>
        </w:rPr>
        <w:fldChar w:fldCharType="end"/>
      </w:r>
      <w:r>
        <w:rPr>
          <w:rFonts w:ascii="宋体" w:hAnsi="宋体"/>
        </w:rPr>
        <w:fldChar w:fldCharType="end"/>
      </w:r>
    </w:p>
    <w:p>
      <w:pPr>
        <w:pStyle w:val="65"/>
        <w:tabs>
          <w:tab w:val="right" w:leader="dot" w:pos="8302"/>
        </w:tabs>
        <w:rPr>
          <w:rFonts w:ascii="宋体" w:hAnsi="宋体" w:cstheme="minorBidi"/>
          <w:smallCaps w:val="0"/>
          <w:kern w:val="2"/>
          <w:sz w:val="21"/>
          <w:szCs w:val="22"/>
        </w:rPr>
      </w:pPr>
      <w:r>
        <w:fldChar w:fldCharType="begin"/>
      </w:r>
      <w:r>
        <w:instrText xml:space="preserve"> HYPERLINK \l "_Toc116379690" </w:instrText>
      </w:r>
      <w:r>
        <w:fldChar w:fldCharType="separate"/>
      </w:r>
      <w:r>
        <w:rPr>
          <w:rStyle w:val="90"/>
          <w:rFonts w:hint="default" w:ascii="宋体" w:hAnsi="宋体" w:eastAsia="宋体"/>
          <w:bCs/>
          <w:color w:val="auto"/>
        </w:rPr>
        <w:t>1.2.</w:t>
      </w:r>
      <w:r>
        <w:rPr>
          <w:rStyle w:val="90"/>
          <w:rFonts w:hint="default" w:ascii="宋体" w:hAnsi="宋体" w:eastAsia="宋体"/>
          <w:color w:val="auto"/>
        </w:rPr>
        <w:t xml:space="preserve"> 项目特点</w:t>
      </w:r>
      <w:r>
        <w:rPr>
          <w:rFonts w:ascii="宋体" w:hAnsi="宋体"/>
        </w:rPr>
        <w:tab/>
      </w:r>
      <w:r>
        <w:rPr>
          <w:rFonts w:ascii="宋体" w:hAnsi="宋体"/>
        </w:rPr>
        <w:fldChar w:fldCharType="begin"/>
      </w:r>
      <w:r>
        <w:rPr>
          <w:rFonts w:ascii="宋体" w:hAnsi="宋体"/>
        </w:rPr>
        <w:instrText xml:space="preserve"> PAGEREF _Toc116379690 \h </w:instrText>
      </w:r>
      <w:r>
        <w:rPr>
          <w:rFonts w:ascii="宋体" w:hAnsi="宋体"/>
        </w:rPr>
        <w:fldChar w:fldCharType="separate"/>
      </w:r>
      <w:r>
        <w:rPr>
          <w:rFonts w:ascii="宋体" w:hAnsi="宋体"/>
        </w:rPr>
        <w:t>2</w:t>
      </w:r>
      <w:r>
        <w:rPr>
          <w:rFonts w:ascii="宋体" w:hAnsi="宋体"/>
        </w:rPr>
        <w:fldChar w:fldCharType="end"/>
      </w:r>
      <w:r>
        <w:rPr>
          <w:rFonts w:ascii="宋体" w:hAnsi="宋体"/>
        </w:rPr>
        <w:fldChar w:fldCharType="end"/>
      </w:r>
    </w:p>
    <w:p>
      <w:pPr>
        <w:pStyle w:val="65"/>
        <w:tabs>
          <w:tab w:val="right" w:leader="dot" w:pos="8302"/>
        </w:tabs>
        <w:rPr>
          <w:rFonts w:ascii="宋体" w:hAnsi="宋体" w:cstheme="minorBidi"/>
          <w:smallCaps w:val="0"/>
          <w:kern w:val="2"/>
          <w:sz w:val="21"/>
          <w:szCs w:val="22"/>
        </w:rPr>
      </w:pPr>
      <w:r>
        <w:fldChar w:fldCharType="begin"/>
      </w:r>
      <w:r>
        <w:instrText xml:space="preserve"> HYPERLINK \l "_Toc116379691" </w:instrText>
      </w:r>
      <w:r>
        <w:fldChar w:fldCharType="separate"/>
      </w:r>
      <w:r>
        <w:rPr>
          <w:rStyle w:val="90"/>
          <w:rFonts w:hint="default" w:ascii="宋体" w:hAnsi="宋体" w:eastAsia="宋体"/>
          <w:bCs/>
          <w:color w:val="auto"/>
        </w:rPr>
        <w:t>1.3.</w:t>
      </w:r>
      <w:r>
        <w:rPr>
          <w:rStyle w:val="90"/>
          <w:rFonts w:hint="default" w:ascii="宋体" w:hAnsi="宋体" w:eastAsia="宋体"/>
          <w:color w:val="auto"/>
        </w:rPr>
        <w:t xml:space="preserve"> 工作流程</w:t>
      </w:r>
      <w:r>
        <w:rPr>
          <w:rFonts w:ascii="宋体" w:hAnsi="宋体"/>
        </w:rPr>
        <w:tab/>
      </w:r>
      <w:r>
        <w:rPr>
          <w:rFonts w:ascii="宋体" w:hAnsi="宋体"/>
        </w:rPr>
        <w:fldChar w:fldCharType="begin"/>
      </w:r>
      <w:r>
        <w:rPr>
          <w:rFonts w:ascii="宋体" w:hAnsi="宋体"/>
        </w:rPr>
        <w:instrText xml:space="preserve"> PAGEREF _Toc116379691 \h </w:instrText>
      </w:r>
      <w:r>
        <w:rPr>
          <w:rFonts w:ascii="宋体" w:hAnsi="宋体"/>
        </w:rPr>
        <w:fldChar w:fldCharType="separate"/>
      </w:r>
      <w:r>
        <w:rPr>
          <w:rFonts w:ascii="宋体" w:hAnsi="宋体"/>
        </w:rPr>
        <w:t>3</w:t>
      </w:r>
      <w:r>
        <w:rPr>
          <w:rFonts w:ascii="宋体" w:hAnsi="宋体"/>
        </w:rPr>
        <w:fldChar w:fldCharType="end"/>
      </w:r>
      <w:r>
        <w:rPr>
          <w:rFonts w:ascii="宋体" w:hAnsi="宋体"/>
        </w:rPr>
        <w:fldChar w:fldCharType="end"/>
      </w:r>
    </w:p>
    <w:p>
      <w:pPr>
        <w:pStyle w:val="65"/>
        <w:tabs>
          <w:tab w:val="right" w:leader="dot" w:pos="8302"/>
        </w:tabs>
        <w:rPr>
          <w:rFonts w:ascii="宋体" w:hAnsi="宋体" w:cstheme="minorBidi"/>
          <w:smallCaps w:val="0"/>
          <w:kern w:val="2"/>
          <w:sz w:val="21"/>
          <w:szCs w:val="22"/>
        </w:rPr>
      </w:pPr>
      <w:r>
        <w:fldChar w:fldCharType="begin"/>
      </w:r>
      <w:r>
        <w:instrText xml:space="preserve"> HYPERLINK \l "_Toc116379692" </w:instrText>
      </w:r>
      <w:r>
        <w:fldChar w:fldCharType="separate"/>
      </w:r>
      <w:r>
        <w:rPr>
          <w:rStyle w:val="90"/>
          <w:rFonts w:hint="default" w:ascii="宋体" w:hAnsi="宋体" w:eastAsia="宋体"/>
          <w:bCs/>
          <w:color w:val="auto"/>
        </w:rPr>
        <w:t>1.4.</w:t>
      </w:r>
      <w:r>
        <w:rPr>
          <w:rStyle w:val="90"/>
          <w:rFonts w:hint="default" w:ascii="宋体" w:hAnsi="宋体" w:eastAsia="宋体"/>
          <w:color w:val="auto"/>
        </w:rPr>
        <w:t xml:space="preserve"> 分析判定相关情况</w:t>
      </w:r>
      <w:r>
        <w:rPr>
          <w:rFonts w:ascii="宋体" w:hAnsi="宋体"/>
        </w:rPr>
        <w:tab/>
      </w:r>
      <w:r>
        <w:rPr>
          <w:rFonts w:ascii="宋体" w:hAnsi="宋体"/>
        </w:rPr>
        <w:fldChar w:fldCharType="begin"/>
      </w:r>
      <w:r>
        <w:rPr>
          <w:rFonts w:ascii="宋体" w:hAnsi="宋体"/>
        </w:rPr>
        <w:instrText xml:space="preserve"> PAGEREF _Toc116379692 \h </w:instrText>
      </w:r>
      <w:r>
        <w:rPr>
          <w:rFonts w:ascii="宋体" w:hAnsi="宋体"/>
        </w:rPr>
        <w:fldChar w:fldCharType="separate"/>
      </w:r>
      <w:r>
        <w:rPr>
          <w:rFonts w:ascii="宋体" w:hAnsi="宋体"/>
        </w:rPr>
        <w:t>4</w:t>
      </w:r>
      <w:r>
        <w:rPr>
          <w:rFonts w:ascii="宋体" w:hAnsi="宋体"/>
        </w:rPr>
        <w:fldChar w:fldCharType="end"/>
      </w:r>
      <w:r>
        <w:rPr>
          <w:rFonts w:ascii="宋体" w:hAnsi="宋体"/>
        </w:rPr>
        <w:fldChar w:fldCharType="end"/>
      </w:r>
    </w:p>
    <w:p>
      <w:pPr>
        <w:pStyle w:val="65"/>
        <w:tabs>
          <w:tab w:val="right" w:leader="dot" w:pos="8302"/>
        </w:tabs>
        <w:rPr>
          <w:rFonts w:ascii="宋体" w:hAnsi="宋体" w:cstheme="minorBidi"/>
          <w:smallCaps w:val="0"/>
          <w:kern w:val="2"/>
          <w:sz w:val="21"/>
          <w:szCs w:val="22"/>
        </w:rPr>
      </w:pPr>
      <w:r>
        <w:fldChar w:fldCharType="begin"/>
      </w:r>
      <w:r>
        <w:instrText xml:space="preserve"> HYPERLINK \l "_Toc116379693" </w:instrText>
      </w:r>
      <w:r>
        <w:fldChar w:fldCharType="separate"/>
      </w:r>
      <w:r>
        <w:rPr>
          <w:rStyle w:val="90"/>
          <w:rFonts w:hint="default" w:ascii="宋体" w:hAnsi="宋体" w:eastAsia="宋体"/>
          <w:bCs/>
          <w:color w:val="auto"/>
        </w:rPr>
        <w:t>1.5.</w:t>
      </w:r>
      <w:r>
        <w:rPr>
          <w:rStyle w:val="90"/>
          <w:rFonts w:hint="default" w:ascii="宋体" w:hAnsi="宋体" w:eastAsia="宋体"/>
          <w:color w:val="auto"/>
        </w:rPr>
        <w:t xml:space="preserve"> 主要环境问题及环境影响</w:t>
      </w:r>
      <w:r>
        <w:rPr>
          <w:rFonts w:ascii="宋体" w:hAnsi="宋体"/>
        </w:rPr>
        <w:tab/>
      </w:r>
      <w:r>
        <w:rPr>
          <w:rFonts w:ascii="宋体" w:hAnsi="宋体"/>
        </w:rPr>
        <w:fldChar w:fldCharType="begin"/>
      </w:r>
      <w:r>
        <w:rPr>
          <w:rFonts w:ascii="宋体" w:hAnsi="宋体"/>
        </w:rPr>
        <w:instrText xml:space="preserve"> PAGEREF _Toc116379693 \h </w:instrText>
      </w:r>
      <w:r>
        <w:rPr>
          <w:rFonts w:ascii="宋体" w:hAnsi="宋体"/>
        </w:rPr>
        <w:fldChar w:fldCharType="separate"/>
      </w:r>
      <w:r>
        <w:rPr>
          <w:rFonts w:ascii="宋体" w:hAnsi="宋体"/>
        </w:rPr>
        <w:t>22</w:t>
      </w:r>
      <w:r>
        <w:rPr>
          <w:rFonts w:ascii="宋体" w:hAnsi="宋体"/>
        </w:rPr>
        <w:fldChar w:fldCharType="end"/>
      </w:r>
      <w:r>
        <w:rPr>
          <w:rFonts w:ascii="宋体" w:hAnsi="宋体"/>
        </w:rPr>
        <w:fldChar w:fldCharType="end"/>
      </w:r>
    </w:p>
    <w:p>
      <w:pPr>
        <w:pStyle w:val="65"/>
        <w:tabs>
          <w:tab w:val="right" w:leader="dot" w:pos="8302"/>
        </w:tabs>
        <w:rPr>
          <w:rFonts w:ascii="宋体" w:hAnsi="宋体" w:cstheme="minorBidi"/>
          <w:smallCaps w:val="0"/>
          <w:kern w:val="2"/>
          <w:sz w:val="21"/>
          <w:szCs w:val="22"/>
        </w:rPr>
      </w:pPr>
      <w:r>
        <w:fldChar w:fldCharType="begin"/>
      </w:r>
      <w:r>
        <w:instrText xml:space="preserve"> HYPERLINK \l "_Toc116379694" </w:instrText>
      </w:r>
      <w:r>
        <w:fldChar w:fldCharType="separate"/>
      </w:r>
      <w:r>
        <w:rPr>
          <w:rStyle w:val="90"/>
          <w:rFonts w:hint="default" w:ascii="宋体" w:hAnsi="宋体" w:eastAsia="宋体"/>
          <w:bCs/>
          <w:color w:val="auto"/>
        </w:rPr>
        <w:t>1.6.</w:t>
      </w:r>
      <w:r>
        <w:rPr>
          <w:rStyle w:val="90"/>
          <w:rFonts w:hint="default" w:ascii="宋体" w:hAnsi="宋体" w:eastAsia="宋体"/>
          <w:color w:val="auto"/>
        </w:rPr>
        <w:t xml:space="preserve"> 环境影响评价的主要结论</w:t>
      </w:r>
      <w:r>
        <w:rPr>
          <w:rFonts w:ascii="宋体" w:hAnsi="宋体"/>
        </w:rPr>
        <w:tab/>
      </w:r>
      <w:r>
        <w:rPr>
          <w:rFonts w:ascii="宋体" w:hAnsi="宋体"/>
        </w:rPr>
        <w:fldChar w:fldCharType="begin"/>
      </w:r>
      <w:r>
        <w:rPr>
          <w:rFonts w:ascii="宋体" w:hAnsi="宋体"/>
        </w:rPr>
        <w:instrText xml:space="preserve"> PAGEREF _Toc116379694 \h </w:instrText>
      </w:r>
      <w:r>
        <w:rPr>
          <w:rFonts w:ascii="宋体" w:hAnsi="宋体"/>
        </w:rPr>
        <w:fldChar w:fldCharType="separate"/>
      </w:r>
      <w:r>
        <w:rPr>
          <w:rFonts w:ascii="宋体" w:hAnsi="宋体"/>
        </w:rPr>
        <w:t>24</w:t>
      </w:r>
      <w:r>
        <w:rPr>
          <w:rFonts w:ascii="宋体" w:hAnsi="宋体"/>
        </w:rPr>
        <w:fldChar w:fldCharType="end"/>
      </w:r>
      <w:r>
        <w:rPr>
          <w:rFonts w:ascii="宋体" w:hAnsi="宋体"/>
        </w:rPr>
        <w:fldChar w:fldCharType="end"/>
      </w:r>
    </w:p>
    <w:p>
      <w:pPr>
        <w:pStyle w:val="53"/>
        <w:rPr>
          <w:rFonts w:ascii="宋体" w:hAnsi="宋体" w:cstheme="minorBidi"/>
          <w:b w:val="0"/>
          <w:bCs w:val="0"/>
          <w:caps w:val="0"/>
          <w:kern w:val="2"/>
          <w:sz w:val="21"/>
          <w:szCs w:val="22"/>
        </w:rPr>
      </w:pPr>
      <w:r>
        <w:fldChar w:fldCharType="begin"/>
      </w:r>
      <w:r>
        <w:instrText xml:space="preserve"> HYPERLINK \l "_Toc116379695" </w:instrText>
      </w:r>
      <w:r>
        <w:fldChar w:fldCharType="separate"/>
      </w:r>
      <w:r>
        <w:rPr>
          <w:rStyle w:val="90"/>
          <w:rFonts w:hint="default" w:ascii="宋体" w:hAnsi="宋体" w:eastAsia="宋体"/>
          <w:color w:val="auto"/>
        </w:rPr>
        <w:t>2. 总则</w:t>
      </w:r>
      <w:r>
        <w:rPr>
          <w:rFonts w:ascii="宋体" w:hAnsi="宋体"/>
        </w:rPr>
        <w:tab/>
      </w:r>
      <w:r>
        <w:rPr>
          <w:rFonts w:ascii="宋体" w:hAnsi="宋体"/>
        </w:rPr>
        <w:fldChar w:fldCharType="begin"/>
      </w:r>
      <w:r>
        <w:rPr>
          <w:rFonts w:ascii="宋体" w:hAnsi="宋体"/>
        </w:rPr>
        <w:instrText xml:space="preserve"> PAGEREF _Toc116379695 \h </w:instrText>
      </w:r>
      <w:r>
        <w:rPr>
          <w:rFonts w:ascii="宋体" w:hAnsi="宋体"/>
        </w:rPr>
        <w:fldChar w:fldCharType="separate"/>
      </w:r>
      <w:r>
        <w:rPr>
          <w:rFonts w:ascii="宋体" w:hAnsi="宋体"/>
        </w:rPr>
        <w:t>25</w:t>
      </w:r>
      <w:r>
        <w:rPr>
          <w:rFonts w:ascii="宋体" w:hAnsi="宋体"/>
        </w:rPr>
        <w:fldChar w:fldCharType="end"/>
      </w:r>
      <w:r>
        <w:rPr>
          <w:rFonts w:ascii="宋体" w:hAnsi="宋体"/>
        </w:rPr>
        <w:fldChar w:fldCharType="end"/>
      </w:r>
    </w:p>
    <w:p>
      <w:pPr>
        <w:pStyle w:val="65"/>
        <w:tabs>
          <w:tab w:val="right" w:leader="dot" w:pos="8302"/>
        </w:tabs>
        <w:rPr>
          <w:rFonts w:ascii="宋体" w:hAnsi="宋体" w:cstheme="minorBidi"/>
          <w:smallCaps w:val="0"/>
          <w:kern w:val="2"/>
          <w:sz w:val="21"/>
          <w:szCs w:val="22"/>
        </w:rPr>
      </w:pPr>
      <w:r>
        <w:fldChar w:fldCharType="begin"/>
      </w:r>
      <w:r>
        <w:instrText xml:space="preserve"> HYPERLINK \l "_Toc116379696" </w:instrText>
      </w:r>
      <w:r>
        <w:fldChar w:fldCharType="separate"/>
      </w:r>
      <w:r>
        <w:rPr>
          <w:rStyle w:val="90"/>
          <w:rFonts w:hint="default" w:ascii="宋体" w:hAnsi="宋体" w:eastAsia="宋体"/>
          <w:bCs/>
          <w:color w:val="auto"/>
        </w:rPr>
        <w:t>2.1.</w:t>
      </w:r>
      <w:r>
        <w:rPr>
          <w:rStyle w:val="90"/>
          <w:rFonts w:hint="default" w:ascii="宋体" w:hAnsi="宋体" w:eastAsia="宋体"/>
          <w:color w:val="auto"/>
        </w:rPr>
        <w:t xml:space="preserve"> 评价目的与原则</w:t>
      </w:r>
      <w:r>
        <w:rPr>
          <w:rFonts w:ascii="宋体" w:hAnsi="宋体"/>
        </w:rPr>
        <w:tab/>
      </w:r>
      <w:r>
        <w:rPr>
          <w:rFonts w:ascii="宋体" w:hAnsi="宋体"/>
        </w:rPr>
        <w:fldChar w:fldCharType="begin"/>
      </w:r>
      <w:r>
        <w:rPr>
          <w:rFonts w:ascii="宋体" w:hAnsi="宋体"/>
        </w:rPr>
        <w:instrText xml:space="preserve"> PAGEREF _Toc116379696 \h </w:instrText>
      </w:r>
      <w:r>
        <w:rPr>
          <w:rFonts w:ascii="宋体" w:hAnsi="宋体"/>
        </w:rPr>
        <w:fldChar w:fldCharType="separate"/>
      </w:r>
      <w:r>
        <w:rPr>
          <w:rFonts w:ascii="宋体" w:hAnsi="宋体"/>
        </w:rPr>
        <w:t>25</w:t>
      </w:r>
      <w:r>
        <w:rPr>
          <w:rFonts w:ascii="宋体" w:hAnsi="宋体"/>
        </w:rPr>
        <w:fldChar w:fldCharType="end"/>
      </w:r>
      <w:r>
        <w:rPr>
          <w:rFonts w:ascii="宋体" w:hAnsi="宋体"/>
        </w:rPr>
        <w:fldChar w:fldCharType="end"/>
      </w:r>
    </w:p>
    <w:p>
      <w:pPr>
        <w:pStyle w:val="65"/>
        <w:tabs>
          <w:tab w:val="right" w:leader="dot" w:pos="8302"/>
        </w:tabs>
        <w:rPr>
          <w:rFonts w:ascii="宋体" w:hAnsi="宋体" w:cstheme="minorBidi"/>
          <w:smallCaps w:val="0"/>
          <w:kern w:val="2"/>
          <w:sz w:val="21"/>
          <w:szCs w:val="22"/>
        </w:rPr>
      </w:pPr>
      <w:r>
        <w:fldChar w:fldCharType="begin"/>
      </w:r>
      <w:r>
        <w:instrText xml:space="preserve"> HYPERLINK \l "_Toc116379697" </w:instrText>
      </w:r>
      <w:r>
        <w:fldChar w:fldCharType="separate"/>
      </w:r>
      <w:r>
        <w:rPr>
          <w:rStyle w:val="90"/>
          <w:rFonts w:hint="default" w:ascii="宋体" w:hAnsi="宋体" w:eastAsia="宋体"/>
          <w:bCs/>
          <w:color w:val="auto"/>
        </w:rPr>
        <w:t>2.2.</w:t>
      </w:r>
      <w:r>
        <w:rPr>
          <w:rStyle w:val="90"/>
          <w:rFonts w:hint="default" w:ascii="宋体" w:hAnsi="宋体" w:eastAsia="宋体"/>
          <w:color w:val="auto"/>
        </w:rPr>
        <w:t xml:space="preserve"> 编制依据</w:t>
      </w:r>
      <w:r>
        <w:rPr>
          <w:rFonts w:ascii="宋体" w:hAnsi="宋体"/>
        </w:rPr>
        <w:tab/>
      </w:r>
      <w:r>
        <w:rPr>
          <w:rFonts w:ascii="宋体" w:hAnsi="宋体"/>
        </w:rPr>
        <w:fldChar w:fldCharType="begin"/>
      </w:r>
      <w:r>
        <w:rPr>
          <w:rFonts w:ascii="宋体" w:hAnsi="宋体"/>
        </w:rPr>
        <w:instrText xml:space="preserve"> PAGEREF _Toc116379697 \h </w:instrText>
      </w:r>
      <w:r>
        <w:rPr>
          <w:rFonts w:ascii="宋体" w:hAnsi="宋体"/>
        </w:rPr>
        <w:fldChar w:fldCharType="separate"/>
      </w:r>
      <w:r>
        <w:rPr>
          <w:rFonts w:ascii="宋体" w:hAnsi="宋体"/>
        </w:rPr>
        <w:t>25</w:t>
      </w:r>
      <w:r>
        <w:rPr>
          <w:rFonts w:ascii="宋体" w:hAnsi="宋体"/>
        </w:rPr>
        <w:fldChar w:fldCharType="end"/>
      </w:r>
      <w:r>
        <w:rPr>
          <w:rFonts w:ascii="宋体" w:hAnsi="宋体"/>
        </w:rPr>
        <w:fldChar w:fldCharType="end"/>
      </w:r>
    </w:p>
    <w:p>
      <w:pPr>
        <w:pStyle w:val="65"/>
        <w:tabs>
          <w:tab w:val="right" w:leader="dot" w:pos="8302"/>
        </w:tabs>
        <w:rPr>
          <w:rFonts w:ascii="宋体" w:hAnsi="宋体" w:cstheme="minorBidi"/>
          <w:smallCaps w:val="0"/>
          <w:kern w:val="2"/>
          <w:sz w:val="21"/>
          <w:szCs w:val="22"/>
        </w:rPr>
      </w:pPr>
      <w:r>
        <w:fldChar w:fldCharType="begin"/>
      </w:r>
      <w:r>
        <w:instrText xml:space="preserve"> HYPERLINK \l "_Toc116379698" </w:instrText>
      </w:r>
      <w:r>
        <w:fldChar w:fldCharType="separate"/>
      </w:r>
      <w:r>
        <w:rPr>
          <w:rStyle w:val="90"/>
          <w:rFonts w:hint="default" w:ascii="宋体" w:hAnsi="宋体" w:eastAsia="宋体"/>
          <w:bCs/>
          <w:color w:val="auto"/>
        </w:rPr>
        <w:t>2.3.</w:t>
      </w:r>
      <w:r>
        <w:rPr>
          <w:rStyle w:val="90"/>
          <w:rFonts w:hint="default" w:ascii="宋体" w:hAnsi="宋体" w:eastAsia="宋体"/>
          <w:color w:val="auto"/>
        </w:rPr>
        <w:t xml:space="preserve"> 评价因子与评价标准</w:t>
      </w:r>
      <w:r>
        <w:rPr>
          <w:rFonts w:ascii="宋体" w:hAnsi="宋体"/>
        </w:rPr>
        <w:tab/>
      </w:r>
      <w:r>
        <w:rPr>
          <w:rFonts w:ascii="宋体" w:hAnsi="宋体"/>
        </w:rPr>
        <w:fldChar w:fldCharType="begin"/>
      </w:r>
      <w:r>
        <w:rPr>
          <w:rFonts w:ascii="宋体" w:hAnsi="宋体"/>
        </w:rPr>
        <w:instrText xml:space="preserve"> PAGEREF _Toc116379698 \h </w:instrText>
      </w:r>
      <w:r>
        <w:rPr>
          <w:rFonts w:ascii="宋体" w:hAnsi="宋体"/>
        </w:rPr>
        <w:fldChar w:fldCharType="separate"/>
      </w:r>
      <w:r>
        <w:rPr>
          <w:rFonts w:ascii="宋体" w:hAnsi="宋体"/>
        </w:rPr>
        <w:t>32</w:t>
      </w:r>
      <w:r>
        <w:rPr>
          <w:rFonts w:ascii="宋体" w:hAnsi="宋体"/>
        </w:rPr>
        <w:fldChar w:fldCharType="end"/>
      </w:r>
      <w:r>
        <w:rPr>
          <w:rFonts w:ascii="宋体" w:hAnsi="宋体"/>
        </w:rPr>
        <w:fldChar w:fldCharType="end"/>
      </w:r>
    </w:p>
    <w:p>
      <w:pPr>
        <w:pStyle w:val="65"/>
        <w:tabs>
          <w:tab w:val="right" w:leader="dot" w:pos="8302"/>
        </w:tabs>
        <w:rPr>
          <w:rFonts w:ascii="宋体" w:hAnsi="宋体" w:cstheme="minorBidi"/>
          <w:smallCaps w:val="0"/>
          <w:kern w:val="2"/>
          <w:sz w:val="21"/>
          <w:szCs w:val="22"/>
        </w:rPr>
      </w:pPr>
      <w:r>
        <w:fldChar w:fldCharType="begin"/>
      </w:r>
      <w:r>
        <w:instrText xml:space="preserve"> HYPERLINK \l "_Toc116379699" </w:instrText>
      </w:r>
      <w:r>
        <w:fldChar w:fldCharType="separate"/>
      </w:r>
      <w:r>
        <w:rPr>
          <w:rStyle w:val="90"/>
          <w:rFonts w:hint="default" w:ascii="宋体" w:hAnsi="宋体" w:eastAsia="宋体"/>
          <w:bCs/>
          <w:color w:val="auto"/>
        </w:rPr>
        <w:t>2.4.</w:t>
      </w:r>
      <w:r>
        <w:rPr>
          <w:rStyle w:val="90"/>
          <w:rFonts w:hint="default" w:ascii="宋体" w:hAnsi="宋体" w:eastAsia="宋体"/>
          <w:color w:val="auto"/>
        </w:rPr>
        <w:t xml:space="preserve"> 评价工作等级与评价范围</w:t>
      </w:r>
      <w:r>
        <w:rPr>
          <w:rFonts w:ascii="宋体" w:hAnsi="宋体"/>
        </w:rPr>
        <w:tab/>
      </w:r>
      <w:r>
        <w:rPr>
          <w:rFonts w:ascii="宋体" w:hAnsi="宋体"/>
        </w:rPr>
        <w:fldChar w:fldCharType="begin"/>
      </w:r>
      <w:r>
        <w:rPr>
          <w:rFonts w:ascii="宋体" w:hAnsi="宋体"/>
        </w:rPr>
        <w:instrText xml:space="preserve"> PAGEREF _Toc116379699 \h </w:instrText>
      </w:r>
      <w:r>
        <w:rPr>
          <w:rFonts w:ascii="宋体" w:hAnsi="宋体"/>
        </w:rPr>
        <w:fldChar w:fldCharType="separate"/>
      </w:r>
      <w:r>
        <w:rPr>
          <w:rFonts w:ascii="宋体" w:hAnsi="宋体"/>
        </w:rPr>
        <w:t>38</w:t>
      </w:r>
      <w:r>
        <w:rPr>
          <w:rFonts w:ascii="宋体" w:hAnsi="宋体"/>
        </w:rPr>
        <w:fldChar w:fldCharType="end"/>
      </w:r>
      <w:r>
        <w:rPr>
          <w:rFonts w:ascii="宋体" w:hAnsi="宋体"/>
        </w:rPr>
        <w:fldChar w:fldCharType="end"/>
      </w:r>
    </w:p>
    <w:p>
      <w:pPr>
        <w:pStyle w:val="65"/>
        <w:tabs>
          <w:tab w:val="right" w:leader="dot" w:pos="8302"/>
        </w:tabs>
        <w:rPr>
          <w:rFonts w:ascii="宋体" w:hAnsi="宋体" w:cstheme="minorBidi"/>
          <w:smallCaps w:val="0"/>
          <w:kern w:val="2"/>
          <w:sz w:val="21"/>
          <w:szCs w:val="22"/>
        </w:rPr>
      </w:pPr>
      <w:r>
        <w:fldChar w:fldCharType="begin"/>
      </w:r>
      <w:r>
        <w:instrText xml:space="preserve"> HYPERLINK \l "_Toc116379700" </w:instrText>
      </w:r>
      <w:r>
        <w:fldChar w:fldCharType="separate"/>
      </w:r>
      <w:r>
        <w:rPr>
          <w:rStyle w:val="90"/>
          <w:rFonts w:hint="default" w:ascii="宋体" w:hAnsi="宋体" w:eastAsia="宋体"/>
          <w:bCs/>
          <w:color w:val="auto"/>
        </w:rPr>
        <w:t>2.5.</w:t>
      </w:r>
      <w:r>
        <w:rPr>
          <w:rStyle w:val="90"/>
          <w:rFonts w:hint="default" w:ascii="宋体" w:hAnsi="宋体" w:eastAsia="宋体"/>
          <w:color w:val="auto"/>
        </w:rPr>
        <w:t xml:space="preserve"> 环境功能区划</w:t>
      </w:r>
      <w:r>
        <w:rPr>
          <w:rFonts w:ascii="宋体" w:hAnsi="宋体"/>
        </w:rPr>
        <w:tab/>
      </w:r>
      <w:r>
        <w:rPr>
          <w:rFonts w:ascii="宋体" w:hAnsi="宋体"/>
        </w:rPr>
        <w:fldChar w:fldCharType="begin"/>
      </w:r>
      <w:r>
        <w:rPr>
          <w:rFonts w:ascii="宋体" w:hAnsi="宋体"/>
        </w:rPr>
        <w:instrText xml:space="preserve"> PAGEREF _Toc116379700 \h </w:instrText>
      </w:r>
      <w:r>
        <w:rPr>
          <w:rFonts w:ascii="宋体" w:hAnsi="宋体"/>
        </w:rPr>
        <w:fldChar w:fldCharType="separate"/>
      </w:r>
      <w:r>
        <w:rPr>
          <w:rFonts w:ascii="宋体" w:hAnsi="宋体"/>
        </w:rPr>
        <w:t>49</w:t>
      </w:r>
      <w:r>
        <w:rPr>
          <w:rFonts w:ascii="宋体" w:hAnsi="宋体"/>
        </w:rPr>
        <w:fldChar w:fldCharType="end"/>
      </w:r>
      <w:r>
        <w:rPr>
          <w:rFonts w:ascii="宋体" w:hAnsi="宋体"/>
        </w:rPr>
        <w:fldChar w:fldCharType="end"/>
      </w:r>
    </w:p>
    <w:p>
      <w:pPr>
        <w:pStyle w:val="65"/>
        <w:tabs>
          <w:tab w:val="right" w:leader="dot" w:pos="8302"/>
        </w:tabs>
        <w:rPr>
          <w:rFonts w:ascii="宋体" w:hAnsi="宋体" w:cstheme="minorBidi"/>
          <w:smallCaps w:val="0"/>
          <w:kern w:val="2"/>
          <w:sz w:val="21"/>
          <w:szCs w:val="22"/>
        </w:rPr>
      </w:pPr>
      <w:r>
        <w:fldChar w:fldCharType="begin"/>
      </w:r>
      <w:r>
        <w:instrText xml:space="preserve"> HYPERLINK \l "_Toc116379701" </w:instrText>
      </w:r>
      <w:r>
        <w:fldChar w:fldCharType="separate"/>
      </w:r>
      <w:r>
        <w:rPr>
          <w:rStyle w:val="90"/>
          <w:rFonts w:hint="default" w:ascii="宋体" w:hAnsi="宋体" w:eastAsia="宋体"/>
          <w:bCs/>
          <w:color w:val="auto"/>
        </w:rPr>
        <w:t>2.6.</w:t>
      </w:r>
      <w:r>
        <w:rPr>
          <w:rStyle w:val="90"/>
          <w:rFonts w:hint="default" w:ascii="宋体" w:hAnsi="宋体" w:eastAsia="宋体"/>
          <w:color w:val="auto"/>
        </w:rPr>
        <w:t xml:space="preserve"> 控制污染与环境保护目标</w:t>
      </w:r>
      <w:r>
        <w:rPr>
          <w:rFonts w:ascii="宋体" w:hAnsi="宋体"/>
        </w:rPr>
        <w:tab/>
      </w:r>
      <w:r>
        <w:rPr>
          <w:rFonts w:ascii="宋体" w:hAnsi="宋体"/>
        </w:rPr>
        <w:fldChar w:fldCharType="begin"/>
      </w:r>
      <w:r>
        <w:rPr>
          <w:rFonts w:ascii="宋体" w:hAnsi="宋体"/>
        </w:rPr>
        <w:instrText xml:space="preserve"> PAGEREF _Toc116379701 \h </w:instrText>
      </w:r>
      <w:r>
        <w:rPr>
          <w:rFonts w:ascii="宋体" w:hAnsi="宋体"/>
        </w:rPr>
        <w:fldChar w:fldCharType="separate"/>
      </w:r>
      <w:r>
        <w:rPr>
          <w:rFonts w:ascii="宋体" w:hAnsi="宋体"/>
        </w:rPr>
        <w:t>49</w:t>
      </w:r>
      <w:r>
        <w:rPr>
          <w:rFonts w:ascii="宋体" w:hAnsi="宋体"/>
        </w:rPr>
        <w:fldChar w:fldCharType="end"/>
      </w:r>
      <w:r>
        <w:rPr>
          <w:rFonts w:ascii="宋体" w:hAnsi="宋体"/>
        </w:rPr>
        <w:fldChar w:fldCharType="end"/>
      </w:r>
    </w:p>
    <w:p>
      <w:pPr>
        <w:pStyle w:val="53"/>
        <w:rPr>
          <w:rFonts w:ascii="宋体" w:hAnsi="宋体" w:cstheme="minorBidi"/>
          <w:b w:val="0"/>
          <w:bCs w:val="0"/>
          <w:caps w:val="0"/>
          <w:kern w:val="2"/>
          <w:sz w:val="21"/>
          <w:szCs w:val="22"/>
        </w:rPr>
      </w:pPr>
      <w:r>
        <w:fldChar w:fldCharType="begin"/>
      </w:r>
      <w:r>
        <w:instrText xml:space="preserve"> HYPERLINK \l "_Toc116379702" </w:instrText>
      </w:r>
      <w:r>
        <w:fldChar w:fldCharType="separate"/>
      </w:r>
      <w:r>
        <w:rPr>
          <w:rStyle w:val="90"/>
          <w:rFonts w:hint="default" w:ascii="宋体" w:hAnsi="宋体" w:eastAsia="宋体"/>
          <w:color w:val="auto"/>
        </w:rPr>
        <w:t>3. 建设项目工程分析</w:t>
      </w:r>
      <w:r>
        <w:rPr>
          <w:rFonts w:ascii="宋体" w:hAnsi="宋体"/>
        </w:rPr>
        <w:tab/>
      </w:r>
      <w:r>
        <w:rPr>
          <w:rFonts w:ascii="宋体" w:hAnsi="宋体"/>
        </w:rPr>
        <w:fldChar w:fldCharType="begin"/>
      </w:r>
      <w:r>
        <w:rPr>
          <w:rFonts w:ascii="宋体" w:hAnsi="宋体"/>
        </w:rPr>
        <w:instrText xml:space="preserve"> PAGEREF _Toc116379702 \h </w:instrText>
      </w:r>
      <w:r>
        <w:rPr>
          <w:rFonts w:ascii="宋体" w:hAnsi="宋体"/>
        </w:rPr>
        <w:fldChar w:fldCharType="separate"/>
      </w:r>
      <w:r>
        <w:rPr>
          <w:rFonts w:ascii="宋体" w:hAnsi="宋体"/>
        </w:rPr>
        <w:t>52</w:t>
      </w:r>
      <w:r>
        <w:rPr>
          <w:rFonts w:ascii="宋体" w:hAnsi="宋体"/>
        </w:rPr>
        <w:fldChar w:fldCharType="end"/>
      </w:r>
      <w:r>
        <w:rPr>
          <w:rFonts w:ascii="宋体" w:hAnsi="宋体"/>
        </w:rPr>
        <w:fldChar w:fldCharType="end"/>
      </w:r>
    </w:p>
    <w:p>
      <w:pPr>
        <w:pStyle w:val="65"/>
        <w:tabs>
          <w:tab w:val="right" w:leader="dot" w:pos="8302"/>
        </w:tabs>
        <w:rPr>
          <w:rFonts w:ascii="宋体" w:hAnsi="宋体" w:cstheme="minorBidi"/>
          <w:smallCaps w:val="0"/>
          <w:kern w:val="2"/>
          <w:sz w:val="21"/>
          <w:szCs w:val="22"/>
        </w:rPr>
      </w:pPr>
      <w:r>
        <w:fldChar w:fldCharType="begin"/>
      </w:r>
      <w:r>
        <w:instrText xml:space="preserve"> HYPERLINK \l "_Toc116379703" </w:instrText>
      </w:r>
      <w:r>
        <w:fldChar w:fldCharType="separate"/>
      </w:r>
      <w:r>
        <w:rPr>
          <w:rStyle w:val="90"/>
          <w:rFonts w:hint="default" w:ascii="宋体" w:hAnsi="宋体" w:eastAsia="宋体"/>
          <w:bCs/>
          <w:color w:val="auto"/>
        </w:rPr>
        <w:t>3.1.</w:t>
      </w:r>
      <w:r>
        <w:rPr>
          <w:rStyle w:val="90"/>
          <w:rFonts w:hint="default" w:ascii="宋体" w:hAnsi="宋体" w:eastAsia="宋体"/>
          <w:color w:val="auto"/>
        </w:rPr>
        <w:t xml:space="preserve"> 现有工程</w:t>
      </w:r>
      <w:r>
        <w:rPr>
          <w:rFonts w:ascii="宋体" w:hAnsi="宋体"/>
        </w:rPr>
        <w:tab/>
      </w:r>
      <w:r>
        <w:rPr>
          <w:rFonts w:ascii="宋体" w:hAnsi="宋体"/>
        </w:rPr>
        <w:fldChar w:fldCharType="begin"/>
      </w:r>
      <w:r>
        <w:rPr>
          <w:rFonts w:ascii="宋体" w:hAnsi="宋体"/>
        </w:rPr>
        <w:instrText xml:space="preserve"> PAGEREF _Toc116379703 \h </w:instrText>
      </w:r>
      <w:r>
        <w:rPr>
          <w:rFonts w:ascii="宋体" w:hAnsi="宋体"/>
        </w:rPr>
        <w:fldChar w:fldCharType="separate"/>
      </w:r>
      <w:r>
        <w:rPr>
          <w:rFonts w:ascii="宋体" w:hAnsi="宋体"/>
        </w:rPr>
        <w:t>52</w:t>
      </w:r>
      <w:r>
        <w:rPr>
          <w:rFonts w:ascii="宋体" w:hAnsi="宋体"/>
        </w:rPr>
        <w:fldChar w:fldCharType="end"/>
      </w:r>
      <w:r>
        <w:rPr>
          <w:rFonts w:ascii="宋体" w:hAnsi="宋体"/>
        </w:rPr>
        <w:fldChar w:fldCharType="end"/>
      </w:r>
    </w:p>
    <w:p>
      <w:pPr>
        <w:pStyle w:val="65"/>
        <w:tabs>
          <w:tab w:val="right" w:leader="dot" w:pos="8302"/>
        </w:tabs>
        <w:rPr>
          <w:rFonts w:ascii="宋体" w:hAnsi="宋体" w:cstheme="minorBidi"/>
          <w:smallCaps w:val="0"/>
          <w:kern w:val="2"/>
          <w:sz w:val="21"/>
          <w:szCs w:val="22"/>
        </w:rPr>
      </w:pPr>
      <w:r>
        <w:fldChar w:fldCharType="begin"/>
      </w:r>
      <w:r>
        <w:instrText xml:space="preserve"> HYPERLINK \l "_Toc116379704" </w:instrText>
      </w:r>
      <w:r>
        <w:fldChar w:fldCharType="separate"/>
      </w:r>
      <w:r>
        <w:rPr>
          <w:rStyle w:val="90"/>
          <w:rFonts w:hint="default" w:ascii="宋体" w:hAnsi="宋体" w:eastAsia="宋体"/>
          <w:bCs/>
          <w:color w:val="auto"/>
        </w:rPr>
        <w:t>3.2.</w:t>
      </w:r>
      <w:r>
        <w:rPr>
          <w:rStyle w:val="90"/>
          <w:rFonts w:hint="default" w:ascii="宋体" w:hAnsi="宋体" w:eastAsia="宋体"/>
          <w:color w:val="auto"/>
        </w:rPr>
        <w:t xml:space="preserve"> 改扩建工程</w:t>
      </w:r>
      <w:r>
        <w:rPr>
          <w:rFonts w:ascii="宋体" w:hAnsi="宋体"/>
        </w:rPr>
        <w:tab/>
      </w:r>
      <w:r>
        <w:rPr>
          <w:rFonts w:ascii="宋体" w:hAnsi="宋体"/>
        </w:rPr>
        <w:fldChar w:fldCharType="begin"/>
      </w:r>
      <w:r>
        <w:rPr>
          <w:rFonts w:ascii="宋体" w:hAnsi="宋体"/>
        </w:rPr>
        <w:instrText xml:space="preserve"> PAGEREF _Toc116379704 \h </w:instrText>
      </w:r>
      <w:r>
        <w:rPr>
          <w:rFonts w:ascii="宋体" w:hAnsi="宋体"/>
        </w:rPr>
        <w:fldChar w:fldCharType="separate"/>
      </w:r>
      <w:r>
        <w:rPr>
          <w:rFonts w:ascii="宋体" w:hAnsi="宋体"/>
        </w:rPr>
        <w:t>64</w:t>
      </w:r>
      <w:r>
        <w:rPr>
          <w:rFonts w:ascii="宋体" w:hAnsi="宋体"/>
        </w:rPr>
        <w:fldChar w:fldCharType="end"/>
      </w:r>
      <w:r>
        <w:rPr>
          <w:rFonts w:ascii="宋体" w:hAnsi="宋体"/>
        </w:rPr>
        <w:fldChar w:fldCharType="end"/>
      </w:r>
    </w:p>
    <w:p>
      <w:pPr>
        <w:pStyle w:val="65"/>
        <w:tabs>
          <w:tab w:val="right" w:leader="dot" w:pos="8302"/>
        </w:tabs>
        <w:rPr>
          <w:rFonts w:ascii="宋体" w:hAnsi="宋体" w:cstheme="minorBidi"/>
          <w:smallCaps w:val="0"/>
          <w:kern w:val="2"/>
          <w:sz w:val="21"/>
          <w:szCs w:val="22"/>
        </w:rPr>
      </w:pPr>
      <w:r>
        <w:fldChar w:fldCharType="begin"/>
      </w:r>
      <w:r>
        <w:instrText xml:space="preserve"> HYPERLINK \l "_Toc116379705" </w:instrText>
      </w:r>
      <w:r>
        <w:fldChar w:fldCharType="separate"/>
      </w:r>
      <w:r>
        <w:rPr>
          <w:rStyle w:val="90"/>
          <w:rFonts w:hint="default" w:ascii="宋体" w:hAnsi="宋体" w:eastAsia="宋体"/>
          <w:bCs/>
          <w:color w:val="auto"/>
        </w:rPr>
        <w:t>3.3.</w:t>
      </w:r>
      <w:r>
        <w:rPr>
          <w:rStyle w:val="90"/>
          <w:rFonts w:hint="default" w:ascii="宋体" w:hAnsi="宋体" w:eastAsia="宋体"/>
          <w:color w:val="auto"/>
        </w:rPr>
        <w:t xml:space="preserve"> 工艺流程分析</w:t>
      </w:r>
      <w:r>
        <w:rPr>
          <w:rFonts w:ascii="宋体" w:hAnsi="宋体"/>
        </w:rPr>
        <w:tab/>
      </w:r>
      <w:r>
        <w:rPr>
          <w:rFonts w:ascii="宋体" w:hAnsi="宋体"/>
        </w:rPr>
        <w:fldChar w:fldCharType="begin"/>
      </w:r>
      <w:r>
        <w:rPr>
          <w:rFonts w:ascii="宋体" w:hAnsi="宋体"/>
        </w:rPr>
        <w:instrText xml:space="preserve"> PAGEREF _Toc116379705 \h </w:instrText>
      </w:r>
      <w:r>
        <w:rPr>
          <w:rFonts w:ascii="宋体" w:hAnsi="宋体"/>
        </w:rPr>
        <w:fldChar w:fldCharType="separate"/>
      </w:r>
      <w:r>
        <w:rPr>
          <w:rFonts w:ascii="宋体" w:hAnsi="宋体"/>
        </w:rPr>
        <w:t>81</w:t>
      </w:r>
      <w:r>
        <w:rPr>
          <w:rFonts w:ascii="宋体" w:hAnsi="宋体"/>
        </w:rPr>
        <w:fldChar w:fldCharType="end"/>
      </w:r>
      <w:r>
        <w:rPr>
          <w:rFonts w:ascii="宋体" w:hAnsi="宋体"/>
        </w:rPr>
        <w:fldChar w:fldCharType="end"/>
      </w:r>
    </w:p>
    <w:p>
      <w:pPr>
        <w:pStyle w:val="65"/>
        <w:tabs>
          <w:tab w:val="right" w:leader="dot" w:pos="8302"/>
        </w:tabs>
        <w:rPr>
          <w:rFonts w:ascii="宋体" w:hAnsi="宋体" w:cstheme="minorBidi"/>
          <w:smallCaps w:val="0"/>
          <w:kern w:val="2"/>
          <w:sz w:val="21"/>
          <w:szCs w:val="22"/>
        </w:rPr>
      </w:pPr>
      <w:r>
        <w:fldChar w:fldCharType="begin"/>
      </w:r>
      <w:r>
        <w:instrText xml:space="preserve"> HYPERLINK \l "_Toc116379706" </w:instrText>
      </w:r>
      <w:r>
        <w:fldChar w:fldCharType="separate"/>
      </w:r>
      <w:r>
        <w:rPr>
          <w:rStyle w:val="90"/>
          <w:rFonts w:hint="default" w:ascii="宋体" w:hAnsi="宋体" w:eastAsia="宋体"/>
          <w:bCs/>
          <w:color w:val="auto"/>
        </w:rPr>
        <w:t>3.4.</w:t>
      </w:r>
      <w:r>
        <w:rPr>
          <w:rStyle w:val="90"/>
          <w:rFonts w:hint="default" w:ascii="宋体" w:hAnsi="宋体" w:eastAsia="宋体"/>
          <w:color w:val="auto"/>
        </w:rPr>
        <w:t xml:space="preserve"> 污染影响因素分析</w:t>
      </w:r>
      <w:r>
        <w:rPr>
          <w:rFonts w:ascii="宋体" w:hAnsi="宋体"/>
        </w:rPr>
        <w:tab/>
      </w:r>
      <w:r>
        <w:rPr>
          <w:rFonts w:ascii="宋体" w:hAnsi="宋体"/>
        </w:rPr>
        <w:fldChar w:fldCharType="begin"/>
      </w:r>
      <w:r>
        <w:rPr>
          <w:rFonts w:ascii="宋体" w:hAnsi="宋体"/>
        </w:rPr>
        <w:instrText xml:space="preserve"> PAGEREF _Toc116379706 \h </w:instrText>
      </w:r>
      <w:r>
        <w:rPr>
          <w:rFonts w:ascii="宋体" w:hAnsi="宋体"/>
        </w:rPr>
        <w:fldChar w:fldCharType="separate"/>
      </w:r>
      <w:r>
        <w:rPr>
          <w:rFonts w:ascii="宋体" w:hAnsi="宋体"/>
        </w:rPr>
        <w:t>86</w:t>
      </w:r>
      <w:r>
        <w:rPr>
          <w:rFonts w:ascii="宋体" w:hAnsi="宋体"/>
        </w:rPr>
        <w:fldChar w:fldCharType="end"/>
      </w:r>
      <w:r>
        <w:rPr>
          <w:rFonts w:ascii="宋体" w:hAnsi="宋体"/>
        </w:rPr>
        <w:fldChar w:fldCharType="end"/>
      </w:r>
    </w:p>
    <w:p>
      <w:pPr>
        <w:pStyle w:val="65"/>
        <w:tabs>
          <w:tab w:val="right" w:leader="dot" w:pos="8302"/>
        </w:tabs>
        <w:rPr>
          <w:rFonts w:ascii="宋体" w:hAnsi="宋体" w:cstheme="minorBidi"/>
          <w:smallCaps w:val="0"/>
          <w:kern w:val="2"/>
          <w:sz w:val="21"/>
          <w:szCs w:val="22"/>
        </w:rPr>
      </w:pPr>
      <w:r>
        <w:fldChar w:fldCharType="begin"/>
      </w:r>
      <w:r>
        <w:instrText xml:space="preserve"> HYPERLINK \l "_Toc116379707" </w:instrText>
      </w:r>
      <w:r>
        <w:fldChar w:fldCharType="separate"/>
      </w:r>
      <w:r>
        <w:rPr>
          <w:rStyle w:val="90"/>
          <w:rFonts w:hint="default" w:ascii="宋体" w:hAnsi="宋体" w:eastAsia="宋体"/>
          <w:bCs/>
          <w:color w:val="auto"/>
        </w:rPr>
        <w:t>3.5.</w:t>
      </w:r>
      <w:r>
        <w:rPr>
          <w:rStyle w:val="90"/>
          <w:rFonts w:hint="default" w:ascii="宋体" w:hAnsi="宋体" w:eastAsia="宋体"/>
          <w:color w:val="auto"/>
        </w:rPr>
        <w:t xml:space="preserve"> 污染源源强核算</w:t>
      </w:r>
      <w:r>
        <w:rPr>
          <w:rFonts w:ascii="宋体" w:hAnsi="宋体"/>
        </w:rPr>
        <w:tab/>
      </w:r>
      <w:r>
        <w:rPr>
          <w:rFonts w:ascii="宋体" w:hAnsi="宋体"/>
        </w:rPr>
        <w:fldChar w:fldCharType="begin"/>
      </w:r>
      <w:r>
        <w:rPr>
          <w:rFonts w:ascii="宋体" w:hAnsi="宋体"/>
        </w:rPr>
        <w:instrText xml:space="preserve"> PAGEREF _Toc116379707 \h </w:instrText>
      </w:r>
      <w:r>
        <w:rPr>
          <w:rFonts w:ascii="宋体" w:hAnsi="宋体"/>
        </w:rPr>
        <w:fldChar w:fldCharType="separate"/>
      </w:r>
      <w:r>
        <w:rPr>
          <w:rFonts w:ascii="宋体" w:hAnsi="宋体"/>
        </w:rPr>
        <w:t>86</w:t>
      </w:r>
      <w:r>
        <w:rPr>
          <w:rFonts w:ascii="宋体" w:hAnsi="宋体"/>
        </w:rPr>
        <w:fldChar w:fldCharType="end"/>
      </w:r>
      <w:r>
        <w:rPr>
          <w:rFonts w:ascii="宋体" w:hAnsi="宋体"/>
        </w:rPr>
        <w:fldChar w:fldCharType="end"/>
      </w:r>
    </w:p>
    <w:p>
      <w:pPr>
        <w:pStyle w:val="65"/>
        <w:tabs>
          <w:tab w:val="right" w:leader="dot" w:pos="8302"/>
        </w:tabs>
        <w:rPr>
          <w:rFonts w:ascii="宋体" w:hAnsi="宋体" w:cstheme="minorBidi"/>
          <w:smallCaps w:val="0"/>
          <w:kern w:val="2"/>
          <w:sz w:val="21"/>
          <w:szCs w:val="22"/>
        </w:rPr>
      </w:pPr>
      <w:r>
        <w:fldChar w:fldCharType="begin"/>
      </w:r>
      <w:r>
        <w:instrText xml:space="preserve"> HYPERLINK \l "_Toc116379708" </w:instrText>
      </w:r>
      <w:r>
        <w:fldChar w:fldCharType="separate"/>
      </w:r>
      <w:r>
        <w:rPr>
          <w:rStyle w:val="90"/>
          <w:rFonts w:hint="default" w:ascii="宋体" w:hAnsi="宋体" w:eastAsia="宋体"/>
          <w:bCs/>
          <w:color w:val="auto"/>
        </w:rPr>
        <w:t>3.6.</w:t>
      </w:r>
      <w:r>
        <w:rPr>
          <w:rStyle w:val="90"/>
          <w:rFonts w:hint="default" w:ascii="宋体" w:hAnsi="宋体" w:eastAsia="宋体"/>
          <w:color w:val="auto"/>
        </w:rPr>
        <w:t xml:space="preserve"> 环境风险识别</w:t>
      </w:r>
      <w:r>
        <w:rPr>
          <w:rFonts w:ascii="宋体" w:hAnsi="宋体"/>
        </w:rPr>
        <w:tab/>
      </w:r>
      <w:r>
        <w:rPr>
          <w:rFonts w:ascii="宋体" w:hAnsi="宋体"/>
        </w:rPr>
        <w:fldChar w:fldCharType="begin"/>
      </w:r>
      <w:r>
        <w:rPr>
          <w:rFonts w:ascii="宋体" w:hAnsi="宋体"/>
        </w:rPr>
        <w:instrText xml:space="preserve"> PAGEREF _Toc116379708 \h </w:instrText>
      </w:r>
      <w:r>
        <w:rPr>
          <w:rFonts w:ascii="宋体" w:hAnsi="宋体"/>
        </w:rPr>
        <w:fldChar w:fldCharType="separate"/>
      </w:r>
      <w:r>
        <w:rPr>
          <w:rFonts w:ascii="宋体" w:hAnsi="宋体"/>
        </w:rPr>
        <w:t>99</w:t>
      </w:r>
      <w:r>
        <w:rPr>
          <w:rFonts w:ascii="宋体" w:hAnsi="宋体"/>
        </w:rPr>
        <w:fldChar w:fldCharType="end"/>
      </w:r>
      <w:r>
        <w:rPr>
          <w:rFonts w:ascii="宋体" w:hAnsi="宋体"/>
        </w:rPr>
        <w:fldChar w:fldCharType="end"/>
      </w:r>
    </w:p>
    <w:p>
      <w:pPr>
        <w:pStyle w:val="65"/>
        <w:tabs>
          <w:tab w:val="right" w:leader="dot" w:pos="8302"/>
        </w:tabs>
        <w:rPr>
          <w:rFonts w:ascii="宋体" w:hAnsi="宋体" w:cstheme="minorBidi"/>
          <w:smallCaps w:val="0"/>
          <w:kern w:val="2"/>
          <w:sz w:val="21"/>
          <w:szCs w:val="22"/>
        </w:rPr>
      </w:pPr>
      <w:r>
        <w:fldChar w:fldCharType="begin"/>
      </w:r>
      <w:r>
        <w:instrText xml:space="preserve"> HYPERLINK \l "_Toc116379709" </w:instrText>
      </w:r>
      <w:r>
        <w:fldChar w:fldCharType="separate"/>
      </w:r>
      <w:r>
        <w:rPr>
          <w:rStyle w:val="90"/>
          <w:rFonts w:hint="default" w:ascii="宋体" w:hAnsi="宋体" w:eastAsia="宋体"/>
          <w:bCs/>
          <w:color w:val="auto"/>
        </w:rPr>
        <w:t>3.7.</w:t>
      </w:r>
      <w:r>
        <w:rPr>
          <w:rStyle w:val="90"/>
          <w:rFonts w:hint="default" w:ascii="宋体" w:hAnsi="宋体" w:eastAsia="宋体"/>
          <w:color w:val="auto"/>
        </w:rPr>
        <w:t xml:space="preserve"> 清洁生产分析</w:t>
      </w:r>
      <w:r>
        <w:rPr>
          <w:rFonts w:ascii="宋体" w:hAnsi="宋体"/>
        </w:rPr>
        <w:tab/>
      </w:r>
      <w:r>
        <w:rPr>
          <w:rFonts w:ascii="宋体" w:hAnsi="宋体"/>
        </w:rPr>
        <w:fldChar w:fldCharType="begin"/>
      </w:r>
      <w:r>
        <w:rPr>
          <w:rFonts w:ascii="宋体" w:hAnsi="宋体"/>
        </w:rPr>
        <w:instrText xml:space="preserve"> PAGEREF _Toc116379709 \h </w:instrText>
      </w:r>
      <w:r>
        <w:rPr>
          <w:rFonts w:ascii="宋体" w:hAnsi="宋体"/>
        </w:rPr>
        <w:fldChar w:fldCharType="separate"/>
      </w:r>
      <w:r>
        <w:rPr>
          <w:rFonts w:ascii="宋体" w:hAnsi="宋体"/>
        </w:rPr>
        <w:t>104</w:t>
      </w:r>
      <w:r>
        <w:rPr>
          <w:rFonts w:ascii="宋体" w:hAnsi="宋体"/>
        </w:rPr>
        <w:fldChar w:fldCharType="end"/>
      </w:r>
      <w:r>
        <w:rPr>
          <w:rFonts w:ascii="宋体" w:hAnsi="宋体"/>
        </w:rPr>
        <w:fldChar w:fldCharType="end"/>
      </w:r>
    </w:p>
    <w:p>
      <w:pPr>
        <w:pStyle w:val="53"/>
        <w:rPr>
          <w:rFonts w:ascii="宋体" w:hAnsi="宋体" w:cstheme="minorBidi"/>
          <w:b w:val="0"/>
          <w:bCs w:val="0"/>
          <w:caps w:val="0"/>
          <w:kern w:val="2"/>
          <w:sz w:val="21"/>
          <w:szCs w:val="22"/>
        </w:rPr>
      </w:pPr>
      <w:r>
        <w:fldChar w:fldCharType="begin"/>
      </w:r>
      <w:r>
        <w:instrText xml:space="preserve"> HYPERLINK \l "_Toc116379710" </w:instrText>
      </w:r>
      <w:r>
        <w:fldChar w:fldCharType="separate"/>
      </w:r>
      <w:r>
        <w:rPr>
          <w:rStyle w:val="90"/>
          <w:rFonts w:hint="default" w:ascii="宋体" w:hAnsi="宋体" w:eastAsia="宋体"/>
          <w:color w:val="auto"/>
        </w:rPr>
        <w:t>4. 环境现状调查与评价</w:t>
      </w:r>
      <w:r>
        <w:rPr>
          <w:rFonts w:ascii="宋体" w:hAnsi="宋体"/>
        </w:rPr>
        <w:tab/>
      </w:r>
      <w:r>
        <w:rPr>
          <w:rFonts w:ascii="宋体" w:hAnsi="宋体"/>
        </w:rPr>
        <w:fldChar w:fldCharType="begin"/>
      </w:r>
      <w:r>
        <w:rPr>
          <w:rFonts w:ascii="宋体" w:hAnsi="宋体"/>
        </w:rPr>
        <w:instrText xml:space="preserve"> PAGEREF _Toc116379710 \h </w:instrText>
      </w:r>
      <w:r>
        <w:rPr>
          <w:rFonts w:ascii="宋体" w:hAnsi="宋体"/>
        </w:rPr>
        <w:fldChar w:fldCharType="separate"/>
      </w:r>
      <w:r>
        <w:rPr>
          <w:rFonts w:ascii="宋体" w:hAnsi="宋体"/>
        </w:rPr>
        <w:t>107</w:t>
      </w:r>
      <w:r>
        <w:rPr>
          <w:rFonts w:ascii="宋体" w:hAnsi="宋体"/>
        </w:rPr>
        <w:fldChar w:fldCharType="end"/>
      </w:r>
      <w:r>
        <w:rPr>
          <w:rFonts w:ascii="宋体" w:hAnsi="宋体"/>
        </w:rPr>
        <w:fldChar w:fldCharType="end"/>
      </w:r>
    </w:p>
    <w:p>
      <w:pPr>
        <w:pStyle w:val="65"/>
        <w:tabs>
          <w:tab w:val="right" w:leader="dot" w:pos="8302"/>
        </w:tabs>
        <w:rPr>
          <w:rFonts w:ascii="宋体" w:hAnsi="宋体" w:cstheme="minorBidi"/>
          <w:smallCaps w:val="0"/>
          <w:kern w:val="2"/>
          <w:sz w:val="21"/>
          <w:szCs w:val="22"/>
        </w:rPr>
      </w:pPr>
      <w:r>
        <w:fldChar w:fldCharType="begin"/>
      </w:r>
      <w:r>
        <w:instrText xml:space="preserve"> HYPERLINK \l "_Toc116379711" </w:instrText>
      </w:r>
      <w:r>
        <w:fldChar w:fldCharType="separate"/>
      </w:r>
      <w:r>
        <w:rPr>
          <w:rStyle w:val="90"/>
          <w:rFonts w:hint="default" w:ascii="宋体" w:hAnsi="宋体" w:eastAsia="宋体"/>
          <w:bCs/>
          <w:color w:val="auto"/>
        </w:rPr>
        <w:t>4.1.</w:t>
      </w:r>
      <w:r>
        <w:rPr>
          <w:rStyle w:val="90"/>
          <w:rFonts w:hint="default" w:ascii="宋体" w:hAnsi="宋体" w:eastAsia="宋体"/>
          <w:color w:val="auto"/>
        </w:rPr>
        <w:t xml:space="preserve"> 自然环境概况</w:t>
      </w:r>
      <w:r>
        <w:rPr>
          <w:rFonts w:ascii="宋体" w:hAnsi="宋体"/>
        </w:rPr>
        <w:tab/>
      </w:r>
      <w:r>
        <w:rPr>
          <w:rFonts w:ascii="宋体" w:hAnsi="宋体"/>
        </w:rPr>
        <w:fldChar w:fldCharType="begin"/>
      </w:r>
      <w:r>
        <w:rPr>
          <w:rFonts w:ascii="宋体" w:hAnsi="宋体"/>
        </w:rPr>
        <w:instrText xml:space="preserve"> PAGEREF _Toc116379711 \h </w:instrText>
      </w:r>
      <w:r>
        <w:rPr>
          <w:rFonts w:ascii="宋体" w:hAnsi="宋体"/>
        </w:rPr>
        <w:fldChar w:fldCharType="separate"/>
      </w:r>
      <w:r>
        <w:rPr>
          <w:rFonts w:ascii="宋体" w:hAnsi="宋体"/>
        </w:rPr>
        <w:t>107</w:t>
      </w:r>
      <w:r>
        <w:rPr>
          <w:rFonts w:ascii="宋体" w:hAnsi="宋体"/>
        </w:rPr>
        <w:fldChar w:fldCharType="end"/>
      </w:r>
      <w:r>
        <w:rPr>
          <w:rFonts w:ascii="宋体" w:hAnsi="宋体"/>
        </w:rPr>
        <w:fldChar w:fldCharType="end"/>
      </w:r>
    </w:p>
    <w:p>
      <w:pPr>
        <w:pStyle w:val="65"/>
        <w:tabs>
          <w:tab w:val="right" w:leader="dot" w:pos="8302"/>
        </w:tabs>
        <w:rPr>
          <w:rFonts w:ascii="宋体" w:hAnsi="宋体" w:cstheme="minorBidi"/>
          <w:smallCaps w:val="0"/>
          <w:kern w:val="2"/>
          <w:sz w:val="21"/>
          <w:szCs w:val="22"/>
        </w:rPr>
      </w:pPr>
      <w:r>
        <w:fldChar w:fldCharType="begin"/>
      </w:r>
      <w:r>
        <w:instrText xml:space="preserve"> HYPERLINK \l "_Toc116379712" </w:instrText>
      </w:r>
      <w:r>
        <w:fldChar w:fldCharType="separate"/>
      </w:r>
      <w:r>
        <w:rPr>
          <w:rStyle w:val="90"/>
          <w:rFonts w:hint="default" w:ascii="宋体" w:hAnsi="宋体" w:eastAsia="宋体"/>
          <w:bCs/>
          <w:color w:val="auto"/>
        </w:rPr>
        <w:t>4.2.</w:t>
      </w:r>
      <w:r>
        <w:rPr>
          <w:rStyle w:val="90"/>
          <w:rFonts w:hint="default" w:ascii="宋体" w:hAnsi="宋体" w:eastAsia="宋体"/>
          <w:color w:val="auto"/>
        </w:rPr>
        <w:t xml:space="preserve"> 环境质量现状调查与评价</w:t>
      </w:r>
      <w:r>
        <w:rPr>
          <w:rFonts w:ascii="宋体" w:hAnsi="宋体"/>
        </w:rPr>
        <w:tab/>
      </w:r>
      <w:r>
        <w:rPr>
          <w:rFonts w:ascii="宋体" w:hAnsi="宋体"/>
        </w:rPr>
        <w:fldChar w:fldCharType="begin"/>
      </w:r>
      <w:r>
        <w:rPr>
          <w:rFonts w:ascii="宋体" w:hAnsi="宋体"/>
        </w:rPr>
        <w:instrText xml:space="preserve"> PAGEREF _Toc116379712 \h </w:instrText>
      </w:r>
      <w:r>
        <w:rPr>
          <w:rFonts w:ascii="宋体" w:hAnsi="宋体"/>
        </w:rPr>
        <w:fldChar w:fldCharType="separate"/>
      </w:r>
      <w:r>
        <w:rPr>
          <w:rFonts w:ascii="宋体" w:hAnsi="宋体"/>
        </w:rPr>
        <w:t>118</w:t>
      </w:r>
      <w:r>
        <w:rPr>
          <w:rFonts w:ascii="宋体" w:hAnsi="宋体"/>
        </w:rPr>
        <w:fldChar w:fldCharType="end"/>
      </w:r>
      <w:r>
        <w:rPr>
          <w:rFonts w:ascii="宋体" w:hAnsi="宋体"/>
        </w:rPr>
        <w:fldChar w:fldCharType="end"/>
      </w:r>
    </w:p>
    <w:p>
      <w:pPr>
        <w:pStyle w:val="65"/>
        <w:tabs>
          <w:tab w:val="right" w:leader="dot" w:pos="8302"/>
        </w:tabs>
        <w:rPr>
          <w:rFonts w:ascii="宋体" w:hAnsi="宋体" w:cstheme="minorBidi"/>
          <w:smallCaps w:val="0"/>
          <w:kern w:val="2"/>
          <w:sz w:val="21"/>
          <w:szCs w:val="22"/>
        </w:rPr>
      </w:pPr>
      <w:r>
        <w:fldChar w:fldCharType="begin"/>
      </w:r>
      <w:r>
        <w:instrText xml:space="preserve"> HYPERLINK \l "_Toc116379713" </w:instrText>
      </w:r>
      <w:r>
        <w:fldChar w:fldCharType="separate"/>
      </w:r>
      <w:r>
        <w:rPr>
          <w:rStyle w:val="90"/>
          <w:rFonts w:hint="default" w:ascii="宋体" w:hAnsi="宋体" w:eastAsia="宋体"/>
          <w:bCs/>
          <w:color w:val="auto"/>
        </w:rPr>
        <w:t>4.3.</w:t>
      </w:r>
      <w:r>
        <w:rPr>
          <w:rStyle w:val="90"/>
          <w:rFonts w:hint="default" w:ascii="宋体" w:hAnsi="宋体" w:eastAsia="宋体"/>
          <w:color w:val="auto"/>
        </w:rPr>
        <w:t xml:space="preserve"> 区域污染源调查</w:t>
      </w:r>
      <w:r>
        <w:rPr>
          <w:rFonts w:ascii="宋体" w:hAnsi="宋体"/>
        </w:rPr>
        <w:tab/>
      </w:r>
      <w:r>
        <w:rPr>
          <w:rFonts w:ascii="宋体" w:hAnsi="宋体"/>
        </w:rPr>
        <w:fldChar w:fldCharType="begin"/>
      </w:r>
      <w:r>
        <w:rPr>
          <w:rFonts w:ascii="宋体" w:hAnsi="宋体"/>
        </w:rPr>
        <w:instrText xml:space="preserve"> PAGEREF _Toc116379713 \h </w:instrText>
      </w:r>
      <w:r>
        <w:rPr>
          <w:rFonts w:ascii="宋体" w:hAnsi="宋体"/>
        </w:rPr>
        <w:fldChar w:fldCharType="separate"/>
      </w:r>
      <w:r>
        <w:rPr>
          <w:rFonts w:ascii="宋体" w:hAnsi="宋体"/>
        </w:rPr>
        <w:t>153</w:t>
      </w:r>
      <w:r>
        <w:rPr>
          <w:rFonts w:ascii="宋体" w:hAnsi="宋体"/>
        </w:rPr>
        <w:fldChar w:fldCharType="end"/>
      </w:r>
      <w:r>
        <w:rPr>
          <w:rFonts w:ascii="宋体" w:hAnsi="宋体"/>
        </w:rPr>
        <w:fldChar w:fldCharType="end"/>
      </w:r>
    </w:p>
    <w:p>
      <w:pPr>
        <w:pStyle w:val="53"/>
        <w:rPr>
          <w:rFonts w:ascii="宋体" w:hAnsi="宋体" w:cstheme="minorBidi"/>
          <w:b w:val="0"/>
          <w:bCs w:val="0"/>
          <w:caps w:val="0"/>
          <w:kern w:val="2"/>
          <w:sz w:val="21"/>
          <w:szCs w:val="22"/>
        </w:rPr>
      </w:pPr>
      <w:r>
        <w:fldChar w:fldCharType="begin"/>
      </w:r>
      <w:r>
        <w:instrText xml:space="preserve"> HYPERLINK \l "_Toc116379714" </w:instrText>
      </w:r>
      <w:r>
        <w:fldChar w:fldCharType="separate"/>
      </w:r>
      <w:r>
        <w:rPr>
          <w:rStyle w:val="90"/>
          <w:rFonts w:hint="default" w:ascii="宋体" w:hAnsi="宋体" w:eastAsia="宋体"/>
          <w:color w:val="auto"/>
        </w:rPr>
        <w:t>5. 环境影响预测与评价</w:t>
      </w:r>
      <w:r>
        <w:rPr>
          <w:rFonts w:ascii="宋体" w:hAnsi="宋体"/>
        </w:rPr>
        <w:tab/>
      </w:r>
      <w:r>
        <w:rPr>
          <w:rFonts w:ascii="宋体" w:hAnsi="宋体"/>
        </w:rPr>
        <w:fldChar w:fldCharType="begin"/>
      </w:r>
      <w:r>
        <w:rPr>
          <w:rFonts w:ascii="宋体" w:hAnsi="宋体"/>
        </w:rPr>
        <w:instrText xml:space="preserve"> PAGEREF _Toc116379714 \h </w:instrText>
      </w:r>
      <w:r>
        <w:rPr>
          <w:rFonts w:ascii="宋体" w:hAnsi="宋体"/>
        </w:rPr>
        <w:fldChar w:fldCharType="separate"/>
      </w:r>
      <w:r>
        <w:rPr>
          <w:rFonts w:ascii="宋体" w:hAnsi="宋体"/>
        </w:rPr>
        <w:t>155</w:t>
      </w:r>
      <w:r>
        <w:rPr>
          <w:rFonts w:ascii="宋体" w:hAnsi="宋体"/>
        </w:rPr>
        <w:fldChar w:fldCharType="end"/>
      </w:r>
      <w:r>
        <w:rPr>
          <w:rFonts w:ascii="宋体" w:hAnsi="宋体"/>
        </w:rPr>
        <w:fldChar w:fldCharType="end"/>
      </w:r>
    </w:p>
    <w:p>
      <w:pPr>
        <w:pStyle w:val="65"/>
        <w:tabs>
          <w:tab w:val="right" w:leader="dot" w:pos="8302"/>
        </w:tabs>
        <w:rPr>
          <w:rFonts w:ascii="宋体" w:hAnsi="宋体" w:cstheme="minorBidi"/>
          <w:smallCaps w:val="0"/>
          <w:kern w:val="2"/>
          <w:sz w:val="21"/>
          <w:szCs w:val="22"/>
        </w:rPr>
      </w:pPr>
      <w:r>
        <w:fldChar w:fldCharType="begin"/>
      </w:r>
      <w:r>
        <w:instrText xml:space="preserve"> HYPERLINK \l "_Toc116379715" </w:instrText>
      </w:r>
      <w:r>
        <w:fldChar w:fldCharType="separate"/>
      </w:r>
      <w:r>
        <w:rPr>
          <w:rStyle w:val="90"/>
          <w:rFonts w:hint="default" w:ascii="宋体" w:hAnsi="宋体" w:eastAsia="宋体"/>
          <w:bCs/>
          <w:color w:val="auto"/>
        </w:rPr>
        <w:t>5.1.</w:t>
      </w:r>
      <w:r>
        <w:rPr>
          <w:rStyle w:val="90"/>
          <w:rFonts w:hint="default" w:ascii="宋体" w:hAnsi="宋体" w:eastAsia="宋体"/>
          <w:color w:val="auto"/>
        </w:rPr>
        <w:t xml:space="preserve"> 施工期环境影响预测与评价</w:t>
      </w:r>
      <w:r>
        <w:rPr>
          <w:rFonts w:ascii="宋体" w:hAnsi="宋体"/>
        </w:rPr>
        <w:tab/>
      </w:r>
      <w:r>
        <w:rPr>
          <w:rFonts w:ascii="宋体" w:hAnsi="宋体"/>
        </w:rPr>
        <w:fldChar w:fldCharType="begin"/>
      </w:r>
      <w:r>
        <w:rPr>
          <w:rFonts w:ascii="宋体" w:hAnsi="宋体"/>
        </w:rPr>
        <w:instrText xml:space="preserve"> PAGEREF _Toc116379715 \h </w:instrText>
      </w:r>
      <w:r>
        <w:rPr>
          <w:rFonts w:ascii="宋体" w:hAnsi="宋体"/>
        </w:rPr>
        <w:fldChar w:fldCharType="separate"/>
      </w:r>
      <w:r>
        <w:rPr>
          <w:rFonts w:ascii="宋体" w:hAnsi="宋体"/>
        </w:rPr>
        <w:t>155</w:t>
      </w:r>
      <w:r>
        <w:rPr>
          <w:rFonts w:ascii="宋体" w:hAnsi="宋体"/>
        </w:rPr>
        <w:fldChar w:fldCharType="end"/>
      </w:r>
      <w:r>
        <w:rPr>
          <w:rFonts w:ascii="宋体" w:hAnsi="宋体"/>
        </w:rPr>
        <w:fldChar w:fldCharType="end"/>
      </w:r>
    </w:p>
    <w:p>
      <w:pPr>
        <w:pStyle w:val="65"/>
        <w:tabs>
          <w:tab w:val="right" w:leader="dot" w:pos="8302"/>
        </w:tabs>
        <w:rPr>
          <w:rFonts w:ascii="宋体" w:hAnsi="宋体" w:cstheme="minorBidi"/>
          <w:smallCaps w:val="0"/>
          <w:kern w:val="2"/>
          <w:sz w:val="21"/>
          <w:szCs w:val="22"/>
        </w:rPr>
      </w:pPr>
      <w:r>
        <w:fldChar w:fldCharType="begin"/>
      </w:r>
      <w:r>
        <w:instrText xml:space="preserve"> HYPERLINK \l "_Toc116379716" </w:instrText>
      </w:r>
      <w:r>
        <w:fldChar w:fldCharType="separate"/>
      </w:r>
      <w:r>
        <w:rPr>
          <w:rStyle w:val="90"/>
          <w:rFonts w:hint="default" w:ascii="宋体" w:hAnsi="宋体" w:eastAsia="宋体"/>
          <w:bCs/>
          <w:color w:val="auto"/>
        </w:rPr>
        <w:t>5.2.</w:t>
      </w:r>
      <w:r>
        <w:rPr>
          <w:rStyle w:val="90"/>
          <w:rFonts w:hint="default" w:ascii="宋体" w:hAnsi="宋体" w:eastAsia="宋体"/>
          <w:color w:val="auto"/>
        </w:rPr>
        <w:t xml:space="preserve"> 运营期环境影响预测与评价</w:t>
      </w:r>
      <w:r>
        <w:rPr>
          <w:rFonts w:ascii="宋体" w:hAnsi="宋体"/>
        </w:rPr>
        <w:tab/>
      </w:r>
      <w:r>
        <w:rPr>
          <w:rFonts w:ascii="宋体" w:hAnsi="宋体"/>
        </w:rPr>
        <w:fldChar w:fldCharType="begin"/>
      </w:r>
      <w:r>
        <w:rPr>
          <w:rFonts w:ascii="宋体" w:hAnsi="宋体"/>
        </w:rPr>
        <w:instrText xml:space="preserve"> PAGEREF _Toc116379716 \h </w:instrText>
      </w:r>
      <w:r>
        <w:rPr>
          <w:rFonts w:ascii="宋体" w:hAnsi="宋体"/>
        </w:rPr>
        <w:fldChar w:fldCharType="separate"/>
      </w:r>
      <w:r>
        <w:rPr>
          <w:rFonts w:ascii="宋体" w:hAnsi="宋体"/>
        </w:rPr>
        <w:t>157</w:t>
      </w:r>
      <w:r>
        <w:rPr>
          <w:rFonts w:ascii="宋体" w:hAnsi="宋体"/>
        </w:rPr>
        <w:fldChar w:fldCharType="end"/>
      </w:r>
      <w:r>
        <w:rPr>
          <w:rFonts w:ascii="宋体" w:hAnsi="宋体"/>
        </w:rPr>
        <w:fldChar w:fldCharType="end"/>
      </w:r>
    </w:p>
    <w:p>
      <w:pPr>
        <w:pStyle w:val="65"/>
        <w:tabs>
          <w:tab w:val="right" w:leader="dot" w:pos="8302"/>
        </w:tabs>
        <w:rPr>
          <w:rFonts w:ascii="宋体" w:hAnsi="宋体" w:cstheme="minorBidi"/>
          <w:smallCaps w:val="0"/>
          <w:kern w:val="2"/>
          <w:sz w:val="21"/>
          <w:szCs w:val="22"/>
        </w:rPr>
      </w:pPr>
      <w:r>
        <w:fldChar w:fldCharType="begin"/>
      </w:r>
      <w:r>
        <w:instrText xml:space="preserve"> HYPERLINK \l "_Toc116379717" </w:instrText>
      </w:r>
      <w:r>
        <w:fldChar w:fldCharType="separate"/>
      </w:r>
      <w:r>
        <w:rPr>
          <w:rStyle w:val="90"/>
          <w:rFonts w:hint="default" w:ascii="宋体" w:hAnsi="宋体" w:eastAsia="宋体"/>
          <w:bCs/>
          <w:color w:val="auto"/>
        </w:rPr>
        <w:t>5.3.</w:t>
      </w:r>
      <w:r>
        <w:rPr>
          <w:rStyle w:val="90"/>
          <w:rFonts w:hint="default" w:ascii="宋体" w:hAnsi="宋体" w:eastAsia="宋体"/>
          <w:color w:val="auto"/>
        </w:rPr>
        <w:t xml:space="preserve"> 环境风险影响评价</w:t>
      </w:r>
      <w:r>
        <w:rPr>
          <w:rFonts w:ascii="宋体" w:hAnsi="宋体"/>
        </w:rPr>
        <w:tab/>
      </w:r>
      <w:r>
        <w:rPr>
          <w:rFonts w:ascii="宋体" w:hAnsi="宋体"/>
        </w:rPr>
        <w:fldChar w:fldCharType="begin"/>
      </w:r>
      <w:r>
        <w:rPr>
          <w:rFonts w:ascii="宋体" w:hAnsi="宋体"/>
        </w:rPr>
        <w:instrText xml:space="preserve"> PAGEREF _Toc116379717 \h </w:instrText>
      </w:r>
      <w:r>
        <w:rPr>
          <w:rFonts w:ascii="宋体" w:hAnsi="宋体"/>
        </w:rPr>
        <w:fldChar w:fldCharType="separate"/>
      </w:r>
      <w:r>
        <w:rPr>
          <w:rFonts w:ascii="宋体" w:hAnsi="宋体"/>
        </w:rPr>
        <w:t>181</w:t>
      </w:r>
      <w:r>
        <w:rPr>
          <w:rFonts w:ascii="宋体" w:hAnsi="宋体"/>
        </w:rPr>
        <w:fldChar w:fldCharType="end"/>
      </w:r>
      <w:r>
        <w:rPr>
          <w:rFonts w:ascii="宋体" w:hAnsi="宋体"/>
        </w:rPr>
        <w:fldChar w:fldCharType="end"/>
      </w:r>
    </w:p>
    <w:p>
      <w:pPr>
        <w:pStyle w:val="53"/>
        <w:rPr>
          <w:rFonts w:ascii="宋体" w:hAnsi="宋体" w:cstheme="minorBidi"/>
          <w:b w:val="0"/>
          <w:bCs w:val="0"/>
          <w:caps w:val="0"/>
          <w:kern w:val="2"/>
          <w:sz w:val="21"/>
          <w:szCs w:val="22"/>
        </w:rPr>
      </w:pPr>
      <w:r>
        <w:fldChar w:fldCharType="begin"/>
      </w:r>
      <w:r>
        <w:instrText xml:space="preserve"> HYPERLINK \l "_Toc116379718" </w:instrText>
      </w:r>
      <w:r>
        <w:fldChar w:fldCharType="separate"/>
      </w:r>
      <w:r>
        <w:rPr>
          <w:rStyle w:val="90"/>
          <w:rFonts w:hint="default" w:ascii="宋体" w:hAnsi="宋体" w:eastAsia="宋体"/>
          <w:color w:val="auto"/>
        </w:rPr>
        <w:t>6. 环境保护措施及可行性论证</w:t>
      </w:r>
      <w:r>
        <w:rPr>
          <w:rFonts w:ascii="宋体" w:hAnsi="宋体"/>
        </w:rPr>
        <w:tab/>
      </w:r>
      <w:r>
        <w:rPr>
          <w:rFonts w:ascii="宋体" w:hAnsi="宋体"/>
        </w:rPr>
        <w:fldChar w:fldCharType="begin"/>
      </w:r>
      <w:r>
        <w:rPr>
          <w:rFonts w:ascii="宋体" w:hAnsi="宋体"/>
        </w:rPr>
        <w:instrText xml:space="preserve"> PAGEREF _Toc116379718 \h </w:instrText>
      </w:r>
      <w:r>
        <w:rPr>
          <w:rFonts w:ascii="宋体" w:hAnsi="宋体"/>
        </w:rPr>
        <w:fldChar w:fldCharType="separate"/>
      </w:r>
      <w:r>
        <w:rPr>
          <w:rFonts w:ascii="宋体" w:hAnsi="宋体"/>
        </w:rPr>
        <w:t>187</w:t>
      </w:r>
      <w:r>
        <w:rPr>
          <w:rFonts w:ascii="宋体" w:hAnsi="宋体"/>
        </w:rPr>
        <w:fldChar w:fldCharType="end"/>
      </w:r>
      <w:r>
        <w:rPr>
          <w:rFonts w:ascii="宋体" w:hAnsi="宋体"/>
        </w:rPr>
        <w:fldChar w:fldCharType="end"/>
      </w:r>
    </w:p>
    <w:p>
      <w:pPr>
        <w:pStyle w:val="65"/>
        <w:tabs>
          <w:tab w:val="right" w:leader="dot" w:pos="8302"/>
        </w:tabs>
        <w:rPr>
          <w:rFonts w:ascii="宋体" w:hAnsi="宋体" w:cstheme="minorBidi"/>
          <w:smallCaps w:val="0"/>
          <w:kern w:val="2"/>
          <w:sz w:val="21"/>
          <w:szCs w:val="22"/>
        </w:rPr>
      </w:pPr>
      <w:r>
        <w:fldChar w:fldCharType="begin"/>
      </w:r>
      <w:r>
        <w:instrText xml:space="preserve"> HYPERLINK \l "_Toc116379719" </w:instrText>
      </w:r>
      <w:r>
        <w:fldChar w:fldCharType="separate"/>
      </w:r>
      <w:r>
        <w:rPr>
          <w:rStyle w:val="90"/>
          <w:rFonts w:hint="default" w:ascii="宋体" w:hAnsi="宋体" w:eastAsia="宋体"/>
          <w:bCs/>
          <w:color w:val="auto"/>
        </w:rPr>
        <w:t>6.1.</w:t>
      </w:r>
      <w:r>
        <w:rPr>
          <w:rStyle w:val="90"/>
          <w:rFonts w:hint="default" w:ascii="宋体" w:hAnsi="宋体" w:eastAsia="宋体"/>
          <w:color w:val="auto"/>
        </w:rPr>
        <w:t xml:space="preserve"> 施工期污染防治措施</w:t>
      </w:r>
      <w:r>
        <w:rPr>
          <w:rFonts w:ascii="宋体" w:hAnsi="宋体"/>
        </w:rPr>
        <w:tab/>
      </w:r>
      <w:r>
        <w:rPr>
          <w:rFonts w:ascii="宋体" w:hAnsi="宋体"/>
        </w:rPr>
        <w:fldChar w:fldCharType="begin"/>
      </w:r>
      <w:r>
        <w:rPr>
          <w:rFonts w:ascii="宋体" w:hAnsi="宋体"/>
        </w:rPr>
        <w:instrText xml:space="preserve"> PAGEREF _Toc116379719 \h </w:instrText>
      </w:r>
      <w:r>
        <w:rPr>
          <w:rFonts w:ascii="宋体" w:hAnsi="宋体"/>
        </w:rPr>
        <w:fldChar w:fldCharType="separate"/>
      </w:r>
      <w:r>
        <w:rPr>
          <w:rFonts w:ascii="宋体" w:hAnsi="宋体"/>
        </w:rPr>
        <w:t>187</w:t>
      </w:r>
      <w:r>
        <w:rPr>
          <w:rFonts w:ascii="宋体" w:hAnsi="宋体"/>
        </w:rPr>
        <w:fldChar w:fldCharType="end"/>
      </w:r>
      <w:r>
        <w:rPr>
          <w:rFonts w:ascii="宋体" w:hAnsi="宋体"/>
        </w:rPr>
        <w:fldChar w:fldCharType="end"/>
      </w:r>
    </w:p>
    <w:p>
      <w:pPr>
        <w:pStyle w:val="65"/>
        <w:tabs>
          <w:tab w:val="right" w:leader="dot" w:pos="8302"/>
        </w:tabs>
        <w:rPr>
          <w:rFonts w:ascii="宋体" w:hAnsi="宋体" w:cstheme="minorBidi"/>
          <w:smallCaps w:val="0"/>
          <w:kern w:val="2"/>
          <w:sz w:val="21"/>
          <w:szCs w:val="22"/>
        </w:rPr>
      </w:pPr>
      <w:r>
        <w:fldChar w:fldCharType="begin"/>
      </w:r>
      <w:r>
        <w:instrText xml:space="preserve"> HYPERLINK \l "_Toc116379720" </w:instrText>
      </w:r>
      <w:r>
        <w:fldChar w:fldCharType="separate"/>
      </w:r>
      <w:r>
        <w:rPr>
          <w:rStyle w:val="90"/>
          <w:rFonts w:hint="default" w:ascii="宋体" w:hAnsi="宋体" w:eastAsia="宋体"/>
          <w:bCs/>
          <w:color w:val="auto"/>
        </w:rPr>
        <w:t>6.2.</w:t>
      </w:r>
      <w:r>
        <w:rPr>
          <w:rStyle w:val="90"/>
          <w:rFonts w:hint="default" w:ascii="宋体" w:hAnsi="宋体" w:eastAsia="宋体"/>
          <w:color w:val="auto"/>
        </w:rPr>
        <w:t xml:space="preserve"> 运营期污染防治措施</w:t>
      </w:r>
      <w:r>
        <w:rPr>
          <w:rFonts w:ascii="宋体" w:hAnsi="宋体"/>
        </w:rPr>
        <w:tab/>
      </w:r>
      <w:r>
        <w:rPr>
          <w:rFonts w:ascii="宋体" w:hAnsi="宋体"/>
        </w:rPr>
        <w:fldChar w:fldCharType="begin"/>
      </w:r>
      <w:r>
        <w:rPr>
          <w:rFonts w:ascii="宋体" w:hAnsi="宋体"/>
        </w:rPr>
        <w:instrText xml:space="preserve"> PAGEREF _Toc116379720 \h </w:instrText>
      </w:r>
      <w:r>
        <w:rPr>
          <w:rFonts w:ascii="宋体" w:hAnsi="宋体"/>
        </w:rPr>
        <w:fldChar w:fldCharType="separate"/>
      </w:r>
      <w:r>
        <w:rPr>
          <w:rFonts w:ascii="宋体" w:hAnsi="宋体"/>
        </w:rPr>
        <w:t>189</w:t>
      </w:r>
      <w:r>
        <w:rPr>
          <w:rFonts w:ascii="宋体" w:hAnsi="宋体"/>
        </w:rPr>
        <w:fldChar w:fldCharType="end"/>
      </w:r>
      <w:r>
        <w:rPr>
          <w:rFonts w:ascii="宋体" w:hAnsi="宋体"/>
        </w:rPr>
        <w:fldChar w:fldCharType="end"/>
      </w:r>
    </w:p>
    <w:p>
      <w:pPr>
        <w:pStyle w:val="65"/>
        <w:tabs>
          <w:tab w:val="right" w:leader="dot" w:pos="8302"/>
        </w:tabs>
        <w:rPr>
          <w:rFonts w:ascii="宋体" w:hAnsi="宋体" w:cstheme="minorBidi"/>
          <w:smallCaps w:val="0"/>
          <w:kern w:val="2"/>
          <w:sz w:val="21"/>
          <w:szCs w:val="22"/>
        </w:rPr>
      </w:pPr>
      <w:r>
        <w:fldChar w:fldCharType="begin"/>
      </w:r>
      <w:r>
        <w:instrText xml:space="preserve"> HYPERLINK \l "_Toc116379721" </w:instrText>
      </w:r>
      <w:r>
        <w:fldChar w:fldCharType="separate"/>
      </w:r>
      <w:r>
        <w:rPr>
          <w:rStyle w:val="90"/>
          <w:rFonts w:hint="default" w:ascii="宋体" w:hAnsi="宋体" w:eastAsia="宋体"/>
          <w:bCs/>
          <w:color w:val="auto"/>
        </w:rPr>
        <w:t>6.3.</w:t>
      </w:r>
      <w:r>
        <w:rPr>
          <w:rStyle w:val="90"/>
          <w:rFonts w:hint="default" w:ascii="宋体" w:hAnsi="宋体" w:eastAsia="宋体"/>
          <w:color w:val="auto"/>
        </w:rPr>
        <w:t xml:space="preserve"> 环境风险防范措施</w:t>
      </w:r>
      <w:r>
        <w:rPr>
          <w:rFonts w:ascii="宋体" w:hAnsi="宋体"/>
        </w:rPr>
        <w:tab/>
      </w:r>
      <w:r>
        <w:rPr>
          <w:rFonts w:ascii="宋体" w:hAnsi="宋体"/>
        </w:rPr>
        <w:fldChar w:fldCharType="begin"/>
      </w:r>
      <w:r>
        <w:rPr>
          <w:rFonts w:ascii="宋体" w:hAnsi="宋体"/>
        </w:rPr>
        <w:instrText xml:space="preserve"> PAGEREF _Toc116379721 \h </w:instrText>
      </w:r>
      <w:r>
        <w:rPr>
          <w:rFonts w:ascii="宋体" w:hAnsi="宋体"/>
        </w:rPr>
        <w:fldChar w:fldCharType="separate"/>
      </w:r>
      <w:r>
        <w:rPr>
          <w:rFonts w:ascii="宋体" w:hAnsi="宋体"/>
        </w:rPr>
        <w:t>209</w:t>
      </w:r>
      <w:r>
        <w:rPr>
          <w:rFonts w:ascii="宋体" w:hAnsi="宋体"/>
        </w:rPr>
        <w:fldChar w:fldCharType="end"/>
      </w:r>
      <w:r>
        <w:rPr>
          <w:rFonts w:ascii="宋体" w:hAnsi="宋体"/>
        </w:rPr>
        <w:fldChar w:fldCharType="end"/>
      </w:r>
    </w:p>
    <w:p>
      <w:pPr>
        <w:pStyle w:val="65"/>
        <w:tabs>
          <w:tab w:val="right" w:leader="dot" w:pos="8302"/>
        </w:tabs>
        <w:rPr>
          <w:rFonts w:ascii="宋体" w:hAnsi="宋体" w:cstheme="minorBidi"/>
          <w:smallCaps w:val="0"/>
          <w:kern w:val="2"/>
          <w:sz w:val="21"/>
          <w:szCs w:val="22"/>
        </w:rPr>
      </w:pPr>
      <w:r>
        <w:fldChar w:fldCharType="begin"/>
      </w:r>
      <w:r>
        <w:instrText xml:space="preserve"> HYPERLINK \l "_Toc116379722" </w:instrText>
      </w:r>
      <w:r>
        <w:fldChar w:fldCharType="separate"/>
      </w:r>
      <w:r>
        <w:rPr>
          <w:rStyle w:val="90"/>
          <w:rFonts w:hint="default" w:ascii="宋体" w:hAnsi="宋体" w:eastAsia="宋体"/>
          <w:bCs/>
          <w:color w:val="auto"/>
        </w:rPr>
        <w:t>6.4.</w:t>
      </w:r>
      <w:r>
        <w:rPr>
          <w:rStyle w:val="90"/>
          <w:rFonts w:hint="default" w:ascii="宋体" w:hAnsi="宋体" w:eastAsia="宋体"/>
          <w:color w:val="auto"/>
        </w:rPr>
        <w:t xml:space="preserve"> 环保投资</w:t>
      </w:r>
      <w:r>
        <w:rPr>
          <w:rFonts w:ascii="宋体" w:hAnsi="宋体"/>
        </w:rPr>
        <w:tab/>
      </w:r>
      <w:r>
        <w:rPr>
          <w:rFonts w:ascii="宋体" w:hAnsi="宋体"/>
        </w:rPr>
        <w:fldChar w:fldCharType="begin"/>
      </w:r>
      <w:r>
        <w:rPr>
          <w:rFonts w:ascii="宋体" w:hAnsi="宋体"/>
        </w:rPr>
        <w:instrText xml:space="preserve"> PAGEREF _Toc116379722 \h </w:instrText>
      </w:r>
      <w:r>
        <w:rPr>
          <w:rFonts w:ascii="宋体" w:hAnsi="宋体"/>
        </w:rPr>
        <w:fldChar w:fldCharType="separate"/>
      </w:r>
      <w:r>
        <w:rPr>
          <w:rFonts w:ascii="宋体" w:hAnsi="宋体"/>
        </w:rPr>
        <w:t>213</w:t>
      </w:r>
      <w:r>
        <w:rPr>
          <w:rFonts w:ascii="宋体" w:hAnsi="宋体"/>
        </w:rPr>
        <w:fldChar w:fldCharType="end"/>
      </w:r>
      <w:r>
        <w:rPr>
          <w:rFonts w:ascii="宋体" w:hAnsi="宋体"/>
        </w:rPr>
        <w:fldChar w:fldCharType="end"/>
      </w:r>
    </w:p>
    <w:p>
      <w:pPr>
        <w:pStyle w:val="53"/>
        <w:rPr>
          <w:rFonts w:ascii="宋体" w:hAnsi="宋体" w:cstheme="minorBidi"/>
          <w:b w:val="0"/>
          <w:bCs w:val="0"/>
          <w:caps w:val="0"/>
          <w:kern w:val="2"/>
          <w:sz w:val="21"/>
          <w:szCs w:val="22"/>
        </w:rPr>
      </w:pPr>
      <w:r>
        <w:fldChar w:fldCharType="begin"/>
      </w:r>
      <w:r>
        <w:instrText xml:space="preserve"> HYPERLINK \l "_Toc116379723" </w:instrText>
      </w:r>
      <w:r>
        <w:fldChar w:fldCharType="separate"/>
      </w:r>
      <w:r>
        <w:rPr>
          <w:rStyle w:val="90"/>
          <w:rFonts w:hint="default" w:ascii="宋体" w:hAnsi="宋体" w:eastAsia="宋体"/>
          <w:color w:val="auto"/>
        </w:rPr>
        <w:t>7. 环境影响经济损益分析</w:t>
      </w:r>
      <w:r>
        <w:rPr>
          <w:rFonts w:ascii="宋体" w:hAnsi="宋体"/>
        </w:rPr>
        <w:tab/>
      </w:r>
      <w:r>
        <w:rPr>
          <w:rFonts w:ascii="宋体" w:hAnsi="宋体"/>
        </w:rPr>
        <w:fldChar w:fldCharType="begin"/>
      </w:r>
      <w:r>
        <w:rPr>
          <w:rFonts w:ascii="宋体" w:hAnsi="宋体"/>
        </w:rPr>
        <w:instrText xml:space="preserve"> PAGEREF _Toc116379723 \h </w:instrText>
      </w:r>
      <w:r>
        <w:rPr>
          <w:rFonts w:ascii="宋体" w:hAnsi="宋体"/>
        </w:rPr>
        <w:fldChar w:fldCharType="separate"/>
      </w:r>
      <w:r>
        <w:rPr>
          <w:rFonts w:ascii="宋体" w:hAnsi="宋体"/>
        </w:rPr>
        <w:t>214</w:t>
      </w:r>
      <w:r>
        <w:rPr>
          <w:rFonts w:ascii="宋体" w:hAnsi="宋体"/>
        </w:rPr>
        <w:fldChar w:fldCharType="end"/>
      </w:r>
      <w:r>
        <w:rPr>
          <w:rFonts w:ascii="宋体" w:hAnsi="宋体"/>
        </w:rPr>
        <w:fldChar w:fldCharType="end"/>
      </w:r>
    </w:p>
    <w:p>
      <w:pPr>
        <w:pStyle w:val="65"/>
        <w:tabs>
          <w:tab w:val="right" w:leader="dot" w:pos="8302"/>
        </w:tabs>
        <w:rPr>
          <w:rFonts w:ascii="宋体" w:hAnsi="宋体" w:cstheme="minorBidi"/>
          <w:smallCaps w:val="0"/>
          <w:kern w:val="2"/>
          <w:sz w:val="21"/>
          <w:szCs w:val="22"/>
        </w:rPr>
      </w:pPr>
      <w:r>
        <w:fldChar w:fldCharType="begin"/>
      </w:r>
      <w:r>
        <w:instrText xml:space="preserve"> HYPERLINK \l "_Toc116379724" </w:instrText>
      </w:r>
      <w:r>
        <w:fldChar w:fldCharType="separate"/>
      </w:r>
      <w:r>
        <w:rPr>
          <w:rStyle w:val="90"/>
          <w:rFonts w:hint="default" w:ascii="宋体" w:hAnsi="宋体" w:eastAsia="宋体"/>
          <w:bCs/>
          <w:color w:val="auto"/>
        </w:rPr>
        <w:t>7.1.</w:t>
      </w:r>
      <w:r>
        <w:rPr>
          <w:rStyle w:val="90"/>
          <w:rFonts w:hint="default" w:ascii="宋体" w:hAnsi="宋体" w:eastAsia="宋体"/>
          <w:color w:val="auto"/>
        </w:rPr>
        <w:t xml:space="preserve"> 建设项目的经济效益分析</w:t>
      </w:r>
      <w:r>
        <w:rPr>
          <w:rFonts w:ascii="宋体" w:hAnsi="宋体"/>
        </w:rPr>
        <w:tab/>
      </w:r>
      <w:r>
        <w:rPr>
          <w:rFonts w:ascii="宋体" w:hAnsi="宋体"/>
        </w:rPr>
        <w:fldChar w:fldCharType="begin"/>
      </w:r>
      <w:r>
        <w:rPr>
          <w:rFonts w:ascii="宋体" w:hAnsi="宋体"/>
        </w:rPr>
        <w:instrText xml:space="preserve"> PAGEREF _Toc116379724 \h </w:instrText>
      </w:r>
      <w:r>
        <w:rPr>
          <w:rFonts w:ascii="宋体" w:hAnsi="宋体"/>
        </w:rPr>
        <w:fldChar w:fldCharType="separate"/>
      </w:r>
      <w:r>
        <w:rPr>
          <w:rFonts w:ascii="宋体" w:hAnsi="宋体"/>
        </w:rPr>
        <w:t>214</w:t>
      </w:r>
      <w:r>
        <w:rPr>
          <w:rFonts w:ascii="宋体" w:hAnsi="宋体"/>
        </w:rPr>
        <w:fldChar w:fldCharType="end"/>
      </w:r>
      <w:r>
        <w:rPr>
          <w:rFonts w:ascii="宋体" w:hAnsi="宋体"/>
        </w:rPr>
        <w:fldChar w:fldCharType="end"/>
      </w:r>
    </w:p>
    <w:p>
      <w:pPr>
        <w:pStyle w:val="65"/>
        <w:tabs>
          <w:tab w:val="right" w:leader="dot" w:pos="8302"/>
        </w:tabs>
        <w:rPr>
          <w:rFonts w:ascii="宋体" w:hAnsi="宋体" w:cstheme="minorBidi"/>
          <w:smallCaps w:val="0"/>
          <w:kern w:val="2"/>
          <w:sz w:val="21"/>
          <w:szCs w:val="22"/>
        </w:rPr>
      </w:pPr>
      <w:r>
        <w:fldChar w:fldCharType="begin"/>
      </w:r>
      <w:r>
        <w:instrText xml:space="preserve"> HYPERLINK \l "_Toc116379725" </w:instrText>
      </w:r>
      <w:r>
        <w:fldChar w:fldCharType="separate"/>
      </w:r>
      <w:r>
        <w:rPr>
          <w:rStyle w:val="90"/>
          <w:rFonts w:hint="default" w:ascii="宋体" w:hAnsi="宋体" w:eastAsia="宋体"/>
          <w:bCs/>
          <w:color w:val="auto"/>
        </w:rPr>
        <w:t>7.2.</w:t>
      </w:r>
      <w:r>
        <w:rPr>
          <w:rStyle w:val="90"/>
          <w:rFonts w:hint="default" w:ascii="宋体" w:hAnsi="宋体" w:eastAsia="宋体"/>
          <w:color w:val="auto"/>
        </w:rPr>
        <w:t xml:space="preserve"> 建设项目的社会效益分析</w:t>
      </w:r>
      <w:r>
        <w:rPr>
          <w:rFonts w:ascii="宋体" w:hAnsi="宋体"/>
        </w:rPr>
        <w:tab/>
      </w:r>
      <w:r>
        <w:rPr>
          <w:rFonts w:ascii="宋体" w:hAnsi="宋体"/>
        </w:rPr>
        <w:fldChar w:fldCharType="begin"/>
      </w:r>
      <w:r>
        <w:rPr>
          <w:rFonts w:ascii="宋体" w:hAnsi="宋体"/>
        </w:rPr>
        <w:instrText xml:space="preserve"> PAGEREF _Toc116379725 \h </w:instrText>
      </w:r>
      <w:r>
        <w:rPr>
          <w:rFonts w:ascii="宋体" w:hAnsi="宋体"/>
        </w:rPr>
        <w:fldChar w:fldCharType="separate"/>
      </w:r>
      <w:r>
        <w:rPr>
          <w:rFonts w:ascii="宋体" w:hAnsi="宋体"/>
        </w:rPr>
        <w:t>215</w:t>
      </w:r>
      <w:r>
        <w:rPr>
          <w:rFonts w:ascii="宋体" w:hAnsi="宋体"/>
        </w:rPr>
        <w:fldChar w:fldCharType="end"/>
      </w:r>
      <w:r>
        <w:rPr>
          <w:rFonts w:ascii="宋体" w:hAnsi="宋体"/>
        </w:rPr>
        <w:fldChar w:fldCharType="end"/>
      </w:r>
    </w:p>
    <w:p>
      <w:pPr>
        <w:pStyle w:val="65"/>
        <w:tabs>
          <w:tab w:val="right" w:leader="dot" w:pos="8302"/>
        </w:tabs>
        <w:rPr>
          <w:rFonts w:ascii="宋体" w:hAnsi="宋体" w:cstheme="minorBidi"/>
          <w:smallCaps w:val="0"/>
          <w:kern w:val="2"/>
          <w:sz w:val="21"/>
          <w:szCs w:val="22"/>
        </w:rPr>
      </w:pPr>
      <w:r>
        <w:fldChar w:fldCharType="begin"/>
      </w:r>
      <w:r>
        <w:instrText xml:space="preserve"> HYPERLINK \l "_Toc116379726" </w:instrText>
      </w:r>
      <w:r>
        <w:fldChar w:fldCharType="separate"/>
      </w:r>
      <w:r>
        <w:rPr>
          <w:rStyle w:val="90"/>
          <w:rFonts w:hint="default" w:ascii="宋体" w:hAnsi="宋体" w:eastAsia="宋体"/>
          <w:bCs/>
          <w:color w:val="auto"/>
        </w:rPr>
        <w:t>7.3.</w:t>
      </w:r>
      <w:r>
        <w:rPr>
          <w:rStyle w:val="90"/>
          <w:rFonts w:hint="default" w:ascii="宋体" w:hAnsi="宋体" w:eastAsia="宋体"/>
          <w:color w:val="auto"/>
        </w:rPr>
        <w:t xml:space="preserve"> 建设项目的环境效益分析</w:t>
      </w:r>
      <w:r>
        <w:rPr>
          <w:rFonts w:ascii="宋体" w:hAnsi="宋体"/>
        </w:rPr>
        <w:tab/>
      </w:r>
      <w:r>
        <w:rPr>
          <w:rFonts w:ascii="宋体" w:hAnsi="宋体"/>
        </w:rPr>
        <w:fldChar w:fldCharType="begin"/>
      </w:r>
      <w:r>
        <w:rPr>
          <w:rFonts w:ascii="宋体" w:hAnsi="宋体"/>
        </w:rPr>
        <w:instrText xml:space="preserve"> PAGEREF _Toc116379726 \h </w:instrText>
      </w:r>
      <w:r>
        <w:rPr>
          <w:rFonts w:ascii="宋体" w:hAnsi="宋体"/>
        </w:rPr>
        <w:fldChar w:fldCharType="separate"/>
      </w:r>
      <w:r>
        <w:rPr>
          <w:rFonts w:ascii="宋体" w:hAnsi="宋体"/>
        </w:rPr>
        <w:t>216</w:t>
      </w:r>
      <w:r>
        <w:rPr>
          <w:rFonts w:ascii="宋体" w:hAnsi="宋体"/>
        </w:rPr>
        <w:fldChar w:fldCharType="end"/>
      </w:r>
      <w:r>
        <w:rPr>
          <w:rFonts w:ascii="宋体" w:hAnsi="宋体"/>
        </w:rPr>
        <w:fldChar w:fldCharType="end"/>
      </w:r>
    </w:p>
    <w:p>
      <w:pPr>
        <w:pStyle w:val="65"/>
        <w:tabs>
          <w:tab w:val="right" w:leader="dot" w:pos="8302"/>
        </w:tabs>
        <w:rPr>
          <w:rFonts w:ascii="宋体" w:hAnsi="宋体" w:cstheme="minorBidi"/>
          <w:smallCaps w:val="0"/>
          <w:kern w:val="2"/>
          <w:sz w:val="21"/>
          <w:szCs w:val="22"/>
        </w:rPr>
      </w:pPr>
      <w:r>
        <w:fldChar w:fldCharType="begin"/>
      </w:r>
      <w:r>
        <w:instrText xml:space="preserve"> HYPERLINK \l "_Toc116379727" </w:instrText>
      </w:r>
      <w:r>
        <w:fldChar w:fldCharType="separate"/>
      </w:r>
      <w:r>
        <w:rPr>
          <w:rStyle w:val="90"/>
          <w:rFonts w:hint="default" w:ascii="宋体" w:hAnsi="宋体" w:eastAsia="宋体"/>
          <w:bCs/>
          <w:color w:val="auto"/>
        </w:rPr>
        <w:t>7.4.</w:t>
      </w:r>
      <w:r>
        <w:rPr>
          <w:rStyle w:val="90"/>
          <w:rFonts w:hint="default" w:ascii="宋体" w:hAnsi="宋体" w:eastAsia="宋体"/>
          <w:color w:val="auto"/>
        </w:rPr>
        <w:t xml:space="preserve"> 小结</w:t>
      </w:r>
      <w:r>
        <w:rPr>
          <w:rFonts w:ascii="宋体" w:hAnsi="宋体"/>
        </w:rPr>
        <w:tab/>
      </w:r>
      <w:r>
        <w:rPr>
          <w:rFonts w:ascii="宋体" w:hAnsi="宋体"/>
        </w:rPr>
        <w:fldChar w:fldCharType="begin"/>
      </w:r>
      <w:r>
        <w:rPr>
          <w:rFonts w:ascii="宋体" w:hAnsi="宋体"/>
        </w:rPr>
        <w:instrText xml:space="preserve"> PAGEREF _Toc116379727 \h </w:instrText>
      </w:r>
      <w:r>
        <w:rPr>
          <w:rFonts w:ascii="宋体" w:hAnsi="宋体"/>
        </w:rPr>
        <w:fldChar w:fldCharType="separate"/>
      </w:r>
      <w:r>
        <w:rPr>
          <w:rFonts w:ascii="宋体" w:hAnsi="宋体"/>
        </w:rPr>
        <w:t>216</w:t>
      </w:r>
      <w:r>
        <w:rPr>
          <w:rFonts w:ascii="宋体" w:hAnsi="宋体"/>
        </w:rPr>
        <w:fldChar w:fldCharType="end"/>
      </w:r>
      <w:r>
        <w:rPr>
          <w:rFonts w:ascii="宋体" w:hAnsi="宋体"/>
        </w:rPr>
        <w:fldChar w:fldCharType="end"/>
      </w:r>
    </w:p>
    <w:p>
      <w:pPr>
        <w:pStyle w:val="53"/>
        <w:rPr>
          <w:rFonts w:ascii="宋体" w:hAnsi="宋体" w:cstheme="minorBidi"/>
          <w:b w:val="0"/>
          <w:bCs w:val="0"/>
          <w:caps w:val="0"/>
          <w:kern w:val="2"/>
          <w:sz w:val="21"/>
          <w:szCs w:val="22"/>
        </w:rPr>
      </w:pPr>
      <w:r>
        <w:fldChar w:fldCharType="begin"/>
      </w:r>
      <w:r>
        <w:instrText xml:space="preserve"> HYPERLINK \l "_Toc116379728" </w:instrText>
      </w:r>
      <w:r>
        <w:fldChar w:fldCharType="separate"/>
      </w:r>
      <w:r>
        <w:rPr>
          <w:rStyle w:val="90"/>
          <w:rFonts w:hint="default" w:ascii="宋体" w:hAnsi="宋体" w:eastAsia="宋体"/>
          <w:color w:val="auto"/>
        </w:rPr>
        <w:t>8. 环境管理及环境监测</w:t>
      </w:r>
      <w:r>
        <w:rPr>
          <w:rFonts w:ascii="宋体" w:hAnsi="宋体"/>
        </w:rPr>
        <w:tab/>
      </w:r>
      <w:r>
        <w:rPr>
          <w:rFonts w:ascii="宋体" w:hAnsi="宋体"/>
        </w:rPr>
        <w:fldChar w:fldCharType="begin"/>
      </w:r>
      <w:r>
        <w:rPr>
          <w:rFonts w:ascii="宋体" w:hAnsi="宋体"/>
        </w:rPr>
        <w:instrText xml:space="preserve"> PAGEREF _Toc116379728 \h </w:instrText>
      </w:r>
      <w:r>
        <w:rPr>
          <w:rFonts w:ascii="宋体" w:hAnsi="宋体"/>
        </w:rPr>
        <w:fldChar w:fldCharType="separate"/>
      </w:r>
      <w:r>
        <w:rPr>
          <w:rFonts w:ascii="宋体" w:hAnsi="宋体"/>
        </w:rPr>
        <w:t>217</w:t>
      </w:r>
      <w:r>
        <w:rPr>
          <w:rFonts w:ascii="宋体" w:hAnsi="宋体"/>
        </w:rPr>
        <w:fldChar w:fldCharType="end"/>
      </w:r>
      <w:r>
        <w:rPr>
          <w:rFonts w:ascii="宋体" w:hAnsi="宋体"/>
        </w:rPr>
        <w:fldChar w:fldCharType="end"/>
      </w:r>
    </w:p>
    <w:p>
      <w:pPr>
        <w:pStyle w:val="65"/>
        <w:tabs>
          <w:tab w:val="right" w:leader="dot" w:pos="8302"/>
        </w:tabs>
        <w:rPr>
          <w:rFonts w:ascii="宋体" w:hAnsi="宋体" w:cstheme="minorBidi"/>
          <w:smallCaps w:val="0"/>
          <w:kern w:val="2"/>
          <w:sz w:val="21"/>
          <w:szCs w:val="22"/>
        </w:rPr>
      </w:pPr>
      <w:r>
        <w:fldChar w:fldCharType="begin"/>
      </w:r>
      <w:r>
        <w:instrText xml:space="preserve"> HYPERLINK \l "_Toc116379729" </w:instrText>
      </w:r>
      <w:r>
        <w:fldChar w:fldCharType="separate"/>
      </w:r>
      <w:r>
        <w:rPr>
          <w:rStyle w:val="90"/>
          <w:rFonts w:hint="default" w:ascii="宋体" w:hAnsi="宋体" w:eastAsia="宋体"/>
          <w:bCs/>
          <w:color w:val="auto"/>
        </w:rPr>
        <w:t>8.1.</w:t>
      </w:r>
      <w:r>
        <w:rPr>
          <w:rStyle w:val="90"/>
          <w:rFonts w:hint="default" w:ascii="宋体" w:hAnsi="宋体" w:eastAsia="宋体"/>
          <w:color w:val="auto"/>
        </w:rPr>
        <w:t xml:space="preserve"> 环境管理</w:t>
      </w:r>
      <w:r>
        <w:rPr>
          <w:rFonts w:ascii="宋体" w:hAnsi="宋体"/>
        </w:rPr>
        <w:tab/>
      </w:r>
      <w:r>
        <w:rPr>
          <w:rFonts w:ascii="宋体" w:hAnsi="宋体"/>
        </w:rPr>
        <w:fldChar w:fldCharType="begin"/>
      </w:r>
      <w:r>
        <w:rPr>
          <w:rFonts w:ascii="宋体" w:hAnsi="宋体"/>
        </w:rPr>
        <w:instrText xml:space="preserve"> PAGEREF _Toc116379729 \h </w:instrText>
      </w:r>
      <w:r>
        <w:rPr>
          <w:rFonts w:ascii="宋体" w:hAnsi="宋体"/>
        </w:rPr>
        <w:fldChar w:fldCharType="separate"/>
      </w:r>
      <w:r>
        <w:rPr>
          <w:rFonts w:ascii="宋体" w:hAnsi="宋体"/>
        </w:rPr>
        <w:t>217</w:t>
      </w:r>
      <w:r>
        <w:rPr>
          <w:rFonts w:ascii="宋体" w:hAnsi="宋体"/>
        </w:rPr>
        <w:fldChar w:fldCharType="end"/>
      </w:r>
      <w:r>
        <w:rPr>
          <w:rFonts w:ascii="宋体" w:hAnsi="宋体"/>
        </w:rPr>
        <w:fldChar w:fldCharType="end"/>
      </w:r>
    </w:p>
    <w:p>
      <w:pPr>
        <w:pStyle w:val="65"/>
        <w:tabs>
          <w:tab w:val="right" w:leader="dot" w:pos="8302"/>
        </w:tabs>
        <w:rPr>
          <w:rFonts w:ascii="宋体" w:hAnsi="宋体" w:cstheme="minorBidi"/>
          <w:smallCaps w:val="0"/>
          <w:kern w:val="2"/>
          <w:sz w:val="21"/>
          <w:szCs w:val="22"/>
        </w:rPr>
      </w:pPr>
      <w:r>
        <w:fldChar w:fldCharType="begin"/>
      </w:r>
      <w:r>
        <w:instrText xml:space="preserve"> HYPERLINK \l "_Toc116379730" </w:instrText>
      </w:r>
      <w:r>
        <w:fldChar w:fldCharType="separate"/>
      </w:r>
      <w:r>
        <w:rPr>
          <w:rStyle w:val="90"/>
          <w:rFonts w:hint="default" w:ascii="宋体" w:hAnsi="宋体" w:eastAsia="宋体"/>
          <w:bCs/>
          <w:color w:val="auto"/>
        </w:rPr>
        <w:t>8.2.</w:t>
      </w:r>
      <w:r>
        <w:rPr>
          <w:rStyle w:val="90"/>
          <w:rFonts w:hint="default" w:ascii="宋体" w:hAnsi="宋体" w:eastAsia="宋体"/>
          <w:color w:val="auto"/>
        </w:rPr>
        <w:t xml:space="preserve"> 环境监测计划</w:t>
      </w:r>
      <w:r>
        <w:rPr>
          <w:rFonts w:ascii="宋体" w:hAnsi="宋体"/>
        </w:rPr>
        <w:tab/>
      </w:r>
      <w:r>
        <w:rPr>
          <w:rFonts w:ascii="宋体" w:hAnsi="宋体"/>
        </w:rPr>
        <w:fldChar w:fldCharType="begin"/>
      </w:r>
      <w:r>
        <w:rPr>
          <w:rFonts w:ascii="宋体" w:hAnsi="宋体"/>
        </w:rPr>
        <w:instrText xml:space="preserve"> PAGEREF _Toc116379730 \h </w:instrText>
      </w:r>
      <w:r>
        <w:rPr>
          <w:rFonts w:ascii="宋体" w:hAnsi="宋体"/>
        </w:rPr>
        <w:fldChar w:fldCharType="separate"/>
      </w:r>
      <w:r>
        <w:rPr>
          <w:rFonts w:ascii="宋体" w:hAnsi="宋体"/>
        </w:rPr>
        <w:t>224</w:t>
      </w:r>
      <w:r>
        <w:rPr>
          <w:rFonts w:ascii="宋体" w:hAnsi="宋体"/>
        </w:rPr>
        <w:fldChar w:fldCharType="end"/>
      </w:r>
      <w:r>
        <w:rPr>
          <w:rFonts w:ascii="宋体" w:hAnsi="宋体"/>
        </w:rPr>
        <w:fldChar w:fldCharType="end"/>
      </w:r>
    </w:p>
    <w:p>
      <w:pPr>
        <w:pStyle w:val="65"/>
        <w:tabs>
          <w:tab w:val="right" w:leader="dot" w:pos="8302"/>
        </w:tabs>
        <w:rPr>
          <w:rFonts w:ascii="宋体" w:hAnsi="宋体" w:cstheme="minorBidi"/>
          <w:smallCaps w:val="0"/>
          <w:kern w:val="2"/>
          <w:sz w:val="21"/>
          <w:szCs w:val="22"/>
        </w:rPr>
      </w:pPr>
      <w:r>
        <w:fldChar w:fldCharType="begin"/>
      </w:r>
      <w:r>
        <w:instrText xml:space="preserve"> HYPERLINK \l "_Toc116379731" </w:instrText>
      </w:r>
      <w:r>
        <w:fldChar w:fldCharType="separate"/>
      </w:r>
      <w:r>
        <w:rPr>
          <w:rStyle w:val="90"/>
          <w:rFonts w:hint="default" w:ascii="宋体" w:hAnsi="宋体" w:eastAsia="宋体"/>
          <w:bCs/>
          <w:color w:val="auto"/>
        </w:rPr>
        <w:t>8.3.</w:t>
      </w:r>
      <w:r>
        <w:rPr>
          <w:rStyle w:val="90"/>
          <w:rFonts w:hint="default" w:ascii="宋体" w:hAnsi="宋体" w:eastAsia="宋体"/>
          <w:color w:val="auto"/>
        </w:rPr>
        <w:t xml:space="preserve"> 环境信息公开</w:t>
      </w:r>
      <w:r>
        <w:rPr>
          <w:rFonts w:ascii="宋体" w:hAnsi="宋体"/>
        </w:rPr>
        <w:tab/>
      </w:r>
      <w:r>
        <w:rPr>
          <w:rFonts w:ascii="宋体" w:hAnsi="宋体"/>
        </w:rPr>
        <w:fldChar w:fldCharType="begin"/>
      </w:r>
      <w:r>
        <w:rPr>
          <w:rFonts w:ascii="宋体" w:hAnsi="宋体"/>
        </w:rPr>
        <w:instrText xml:space="preserve"> PAGEREF _Toc116379731 \h </w:instrText>
      </w:r>
      <w:r>
        <w:rPr>
          <w:rFonts w:ascii="宋体" w:hAnsi="宋体"/>
        </w:rPr>
        <w:fldChar w:fldCharType="separate"/>
      </w:r>
      <w:r>
        <w:rPr>
          <w:rFonts w:ascii="宋体" w:hAnsi="宋体"/>
        </w:rPr>
        <w:t>225</w:t>
      </w:r>
      <w:r>
        <w:rPr>
          <w:rFonts w:ascii="宋体" w:hAnsi="宋体"/>
        </w:rPr>
        <w:fldChar w:fldCharType="end"/>
      </w:r>
      <w:r>
        <w:rPr>
          <w:rFonts w:ascii="宋体" w:hAnsi="宋体"/>
        </w:rPr>
        <w:fldChar w:fldCharType="end"/>
      </w:r>
    </w:p>
    <w:p>
      <w:pPr>
        <w:pStyle w:val="65"/>
        <w:tabs>
          <w:tab w:val="right" w:leader="dot" w:pos="8302"/>
        </w:tabs>
        <w:rPr>
          <w:rFonts w:ascii="宋体" w:hAnsi="宋体" w:cstheme="minorBidi"/>
          <w:smallCaps w:val="0"/>
          <w:kern w:val="2"/>
          <w:sz w:val="21"/>
          <w:szCs w:val="22"/>
        </w:rPr>
      </w:pPr>
      <w:r>
        <w:fldChar w:fldCharType="begin"/>
      </w:r>
      <w:r>
        <w:instrText xml:space="preserve"> HYPERLINK \l "_Toc116379732" </w:instrText>
      </w:r>
      <w:r>
        <w:fldChar w:fldCharType="separate"/>
      </w:r>
      <w:r>
        <w:rPr>
          <w:rStyle w:val="90"/>
          <w:rFonts w:hint="default" w:ascii="宋体" w:hAnsi="宋体" w:eastAsia="宋体"/>
          <w:bCs/>
          <w:color w:val="auto"/>
        </w:rPr>
        <w:t>8.4.</w:t>
      </w:r>
      <w:r>
        <w:rPr>
          <w:rStyle w:val="90"/>
          <w:rFonts w:hint="default" w:ascii="宋体" w:hAnsi="宋体" w:eastAsia="宋体"/>
          <w:color w:val="auto"/>
        </w:rPr>
        <w:t xml:space="preserve"> “三同时”竣工验收内容</w:t>
      </w:r>
      <w:r>
        <w:rPr>
          <w:rFonts w:ascii="宋体" w:hAnsi="宋体"/>
        </w:rPr>
        <w:tab/>
      </w:r>
      <w:r>
        <w:rPr>
          <w:rFonts w:ascii="宋体" w:hAnsi="宋体"/>
        </w:rPr>
        <w:fldChar w:fldCharType="begin"/>
      </w:r>
      <w:r>
        <w:rPr>
          <w:rFonts w:ascii="宋体" w:hAnsi="宋体"/>
        </w:rPr>
        <w:instrText xml:space="preserve"> PAGEREF _Toc116379732 \h </w:instrText>
      </w:r>
      <w:r>
        <w:rPr>
          <w:rFonts w:ascii="宋体" w:hAnsi="宋体"/>
        </w:rPr>
        <w:fldChar w:fldCharType="separate"/>
      </w:r>
      <w:r>
        <w:rPr>
          <w:rFonts w:ascii="宋体" w:hAnsi="宋体"/>
        </w:rPr>
        <w:t>226</w:t>
      </w:r>
      <w:r>
        <w:rPr>
          <w:rFonts w:ascii="宋体" w:hAnsi="宋体"/>
        </w:rPr>
        <w:fldChar w:fldCharType="end"/>
      </w:r>
      <w:r>
        <w:rPr>
          <w:rFonts w:ascii="宋体" w:hAnsi="宋体"/>
        </w:rPr>
        <w:fldChar w:fldCharType="end"/>
      </w:r>
    </w:p>
    <w:p>
      <w:pPr>
        <w:pStyle w:val="65"/>
        <w:tabs>
          <w:tab w:val="right" w:leader="dot" w:pos="8302"/>
        </w:tabs>
        <w:rPr>
          <w:rFonts w:ascii="宋体" w:hAnsi="宋体" w:cstheme="minorBidi"/>
          <w:smallCaps w:val="0"/>
          <w:kern w:val="2"/>
          <w:sz w:val="21"/>
          <w:szCs w:val="22"/>
        </w:rPr>
      </w:pPr>
      <w:r>
        <w:fldChar w:fldCharType="begin"/>
      </w:r>
      <w:r>
        <w:instrText xml:space="preserve"> HYPERLINK \l "_Toc116379733" </w:instrText>
      </w:r>
      <w:r>
        <w:fldChar w:fldCharType="separate"/>
      </w:r>
      <w:r>
        <w:rPr>
          <w:rStyle w:val="90"/>
          <w:rFonts w:hint="default" w:ascii="宋体" w:hAnsi="宋体" w:eastAsia="宋体"/>
          <w:bCs/>
          <w:color w:val="auto"/>
        </w:rPr>
        <w:t>8.5.</w:t>
      </w:r>
      <w:r>
        <w:rPr>
          <w:rStyle w:val="90"/>
          <w:rFonts w:hint="default" w:ascii="宋体" w:hAnsi="宋体" w:eastAsia="宋体"/>
          <w:color w:val="auto"/>
        </w:rPr>
        <w:t xml:space="preserve"> 排污口规范化设置</w:t>
      </w:r>
      <w:r>
        <w:rPr>
          <w:rFonts w:ascii="宋体" w:hAnsi="宋体"/>
        </w:rPr>
        <w:tab/>
      </w:r>
      <w:r>
        <w:rPr>
          <w:rFonts w:ascii="宋体" w:hAnsi="宋体"/>
        </w:rPr>
        <w:fldChar w:fldCharType="begin"/>
      </w:r>
      <w:r>
        <w:rPr>
          <w:rFonts w:ascii="宋体" w:hAnsi="宋体"/>
        </w:rPr>
        <w:instrText xml:space="preserve"> PAGEREF _Toc116379733 \h </w:instrText>
      </w:r>
      <w:r>
        <w:rPr>
          <w:rFonts w:ascii="宋体" w:hAnsi="宋体"/>
        </w:rPr>
        <w:fldChar w:fldCharType="separate"/>
      </w:r>
      <w:r>
        <w:rPr>
          <w:rFonts w:ascii="宋体" w:hAnsi="宋体"/>
        </w:rPr>
        <w:t>229</w:t>
      </w:r>
      <w:r>
        <w:rPr>
          <w:rFonts w:ascii="宋体" w:hAnsi="宋体"/>
        </w:rPr>
        <w:fldChar w:fldCharType="end"/>
      </w:r>
      <w:r>
        <w:rPr>
          <w:rFonts w:ascii="宋体" w:hAnsi="宋体"/>
        </w:rPr>
        <w:fldChar w:fldCharType="end"/>
      </w:r>
    </w:p>
    <w:p>
      <w:pPr>
        <w:pStyle w:val="65"/>
        <w:tabs>
          <w:tab w:val="right" w:leader="dot" w:pos="8302"/>
        </w:tabs>
        <w:rPr>
          <w:rFonts w:ascii="宋体" w:hAnsi="宋体" w:cstheme="minorBidi"/>
          <w:smallCaps w:val="0"/>
          <w:kern w:val="2"/>
          <w:sz w:val="21"/>
          <w:szCs w:val="22"/>
        </w:rPr>
      </w:pPr>
      <w:r>
        <w:fldChar w:fldCharType="begin"/>
      </w:r>
      <w:r>
        <w:instrText xml:space="preserve"> HYPERLINK \l "_Toc116379734" </w:instrText>
      </w:r>
      <w:r>
        <w:fldChar w:fldCharType="separate"/>
      </w:r>
      <w:r>
        <w:rPr>
          <w:rStyle w:val="90"/>
          <w:rFonts w:hint="default" w:ascii="宋体" w:hAnsi="宋体" w:eastAsia="宋体"/>
          <w:bCs/>
          <w:color w:val="auto"/>
        </w:rPr>
        <w:t>8.6.</w:t>
      </w:r>
      <w:r>
        <w:rPr>
          <w:rStyle w:val="90"/>
          <w:rFonts w:hint="default" w:ascii="宋体" w:hAnsi="宋体" w:eastAsia="宋体"/>
          <w:color w:val="auto"/>
        </w:rPr>
        <w:t xml:space="preserve"> 排污许可制度要求</w:t>
      </w:r>
      <w:r>
        <w:rPr>
          <w:rFonts w:ascii="宋体" w:hAnsi="宋体"/>
        </w:rPr>
        <w:tab/>
      </w:r>
      <w:r>
        <w:rPr>
          <w:rFonts w:ascii="宋体" w:hAnsi="宋体"/>
        </w:rPr>
        <w:fldChar w:fldCharType="begin"/>
      </w:r>
      <w:r>
        <w:rPr>
          <w:rFonts w:ascii="宋体" w:hAnsi="宋体"/>
        </w:rPr>
        <w:instrText xml:space="preserve"> PAGEREF _Toc116379734 \h </w:instrText>
      </w:r>
      <w:r>
        <w:rPr>
          <w:rFonts w:ascii="宋体" w:hAnsi="宋体"/>
        </w:rPr>
        <w:fldChar w:fldCharType="separate"/>
      </w:r>
      <w:r>
        <w:rPr>
          <w:rFonts w:ascii="宋体" w:hAnsi="宋体"/>
        </w:rPr>
        <w:t>230</w:t>
      </w:r>
      <w:r>
        <w:rPr>
          <w:rFonts w:ascii="宋体" w:hAnsi="宋体"/>
        </w:rPr>
        <w:fldChar w:fldCharType="end"/>
      </w:r>
      <w:r>
        <w:rPr>
          <w:rFonts w:ascii="宋体" w:hAnsi="宋体"/>
        </w:rPr>
        <w:fldChar w:fldCharType="end"/>
      </w:r>
    </w:p>
    <w:p>
      <w:pPr>
        <w:pStyle w:val="65"/>
        <w:tabs>
          <w:tab w:val="right" w:leader="dot" w:pos="8302"/>
        </w:tabs>
        <w:rPr>
          <w:rFonts w:ascii="宋体" w:hAnsi="宋体" w:cstheme="minorBidi"/>
          <w:smallCaps w:val="0"/>
          <w:kern w:val="2"/>
          <w:sz w:val="21"/>
          <w:szCs w:val="22"/>
        </w:rPr>
      </w:pPr>
      <w:r>
        <w:fldChar w:fldCharType="begin"/>
      </w:r>
      <w:r>
        <w:instrText xml:space="preserve"> HYPERLINK \l "_Toc116379735" </w:instrText>
      </w:r>
      <w:r>
        <w:fldChar w:fldCharType="separate"/>
      </w:r>
      <w:r>
        <w:rPr>
          <w:rStyle w:val="90"/>
          <w:rFonts w:hint="default" w:ascii="宋体" w:hAnsi="宋体" w:eastAsia="宋体"/>
          <w:bCs/>
          <w:color w:val="auto"/>
        </w:rPr>
        <w:t>8.7.</w:t>
      </w:r>
      <w:r>
        <w:rPr>
          <w:rStyle w:val="90"/>
          <w:rFonts w:hint="default" w:ascii="宋体" w:hAnsi="宋体" w:eastAsia="宋体"/>
          <w:color w:val="auto"/>
        </w:rPr>
        <w:t xml:space="preserve"> 危险废物经营许可证申领</w:t>
      </w:r>
      <w:r>
        <w:rPr>
          <w:rFonts w:ascii="宋体" w:hAnsi="宋体"/>
        </w:rPr>
        <w:tab/>
      </w:r>
      <w:r>
        <w:rPr>
          <w:rFonts w:ascii="宋体" w:hAnsi="宋体"/>
        </w:rPr>
        <w:fldChar w:fldCharType="begin"/>
      </w:r>
      <w:r>
        <w:rPr>
          <w:rFonts w:ascii="宋体" w:hAnsi="宋体"/>
        </w:rPr>
        <w:instrText xml:space="preserve"> PAGEREF _Toc116379735 \h </w:instrText>
      </w:r>
      <w:r>
        <w:rPr>
          <w:rFonts w:ascii="宋体" w:hAnsi="宋体"/>
        </w:rPr>
        <w:fldChar w:fldCharType="separate"/>
      </w:r>
      <w:r>
        <w:rPr>
          <w:rFonts w:ascii="宋体" w:hAnsi="宋体"/>
        </w:rPr>
        <w:t>231</w:t>
      </w:r>
      <w:r>
        <w:rPr>
          <w:rFonts w:ascii="宋体" w:hAnsi="宋体"/>
        </w:rPr>
        <w:fldChar w:fldCharType="end"/>
      </w:r>
      <w:r>
        <w:rPr>
          <w:rFonts w:ascii="宋体" w:hAnsi="宋体"/>
        </w:rPr>
        <w:fldChar w:fldCharType="end"/>
      </w:r>
    </w:p>
    <w:p>
      <w:pPr>
        <w:pStyle w:val="65"/>
        <w:tabs>
          <w:tab w:val="right" w:leader="dot" w:pos="8302"/>
        </w:tabs>
        <w:rPr>
          <w:rFonts w:ascii="宋体" w:hAnsi="宋体" w:cstheme="minorBidi"/>
          <w:smallCaps w:val="0"/>
          <w:kern w:val="2"/>
          <w:sz w:val="21"/>
          <w:szCs w:val="22"/>
        </w:rPr>
      </w:pPr>
      <w:r>
        <w:fldChar w:fldCharType="begin"/>
      </w:r>
      <w:r>
        <w:instrText xml:space="preserve"> HYPERLINK \l "_Toc116379736" </w:instrText>
      </w:r>
      <w:r>
        <w:fldChar w:fldCharType="separate"/>
      </w:r>
      <w:r>
        <w:rPr>
          <w:rStyle w:val="90"/>
          <w:rFonts w:hint="default" w:ascii="宋体" w:hAnsi="宋体" w:eastAsia="宋体"/>
          <w:bCs/>
          <w:color w:val="auto"/>
        </w:rPr>
        <w:t>8.8.</w:t>
      </w:r>
      <w:r>
        <w:rPr>
          <w:rStyle w:val="90"/>
          <w:rFonts w:hint="default" w:ascii="宋体" w:hAnsi="宋体" w:eastAsia="宋体"/>
          <w:color w:val="auto"/>
        </w:rPr>
        <w:t xml:space="preserve"> 污染物排放清单</w:t>
      </w:r>
      <w:r>
        <w:rPr>
          <w:rFonts w:ascii="宋体" w:hAnsi="宋体"/>
        </w:rPr>
        <w:tab/>
      </w:r>
      <w:r>
        <w:rPr>
          <w:rFonts w:ascii="宋体" w:hAnsi="宋体"/>
        </w:rPr>
        <w:fldChar w:fldCharType="begin"/>
      </w:r>
      <w:r>
        <w:rPr>
          <w:rFonts w:ascii="宋体" w:hAnsi="宋体"/>
        </w:rPr>
        <w:instrText xml:space="preserve"> PAGEREF _Toc116379736 \h </w:instrText>
      </w:r>
      <w:r>
        <w:rPr>
          <w:rFonts w:ascii="宋体" w:hAnsi="宋体"/>
        </w:rPr>
        <w:fldChar w:fldCharType="separate"/>
      </w:r>
      <w:r>
        <w:rPr>
          <w:rFonts w:ascii="宋体" w:hAnsi="宋体"/>
        </w:rPr>
        <w:t>233</w:t>
      </w:r>
      <w:r>
        <w:rPr>
          <w:rFonts w:ascii="宋体" w:hAnsi="宋体"/>
        </w:rPr>
        <w:fldChar w:fldCharType="end"/>
      </w:r>
      <w:r>
        <w:rPr>
          <w:rFonts w:ascii="宋体" w:hAnsi="宋体"/>
        </w:rPr>
        <w:fldChar w:fldCharType="end"/>
      </w:r>
    </w:p>
    <w:p>
      <w:pPr>
        <w:pStyle w:val="53"/>
        <w:rPr>
          <w:rFonts w:ascii="宋体" w:hAnsi="宋体" w:cstheme="minorBidi"/>
          <w:b w:val="0"/>
          <w:bCs w:val="0"/>
          <w:caps w:val="0"/>
          <w:kern w:val="2"/>
          <w:sz w:val="21"/>
          <w:szCs w:val="22"/>
        </w:rPr>
      </w:pPr>
      <w:r>
        <w:fldChar w:fldCharType="begin"/>
      </w:r>
      <w:r>
        <w:instrText xml:space="preserve"> HYPERLINK \l "_Toc116379737" </w:instrText>
      </w:r>
      <w:r>
        <w:fldChar w:fldCharType="separate"/>
      </w:r>
      <w:r>
        <w:rPr>
          <w:rStyle w:val="90"/>
          <w:rFonts w:hint="default" w:ascii="宋体" w:hAnsi="宋体" w:eastAsia="宋体"/>
          <w:color w:val="auto"/>
        </w:rPr>
        <w:t>9. 环境影响评价结论</w:t>
      </w:r>
      <w:r>
        <w:rPr>
          <w:rFonts w:ascii="宋体" w:hAnsi="宋体"/>
        </w:rPr>
        <w:tab/>
      </w:r>
      <w:r>
        <w:rPr>
          <w:rFonts w:ascii="宋体" w:hAnsi="宋体"/>
        </w:rPr>
        <w:fldChar w:fldCharType="begin"/>
      </w:r>
      <w:r>
        <w:rPr>
          <w:rFonts w:ascii="宋体" w:hAnsi="宋体"/>
        </w:rPr>
        <w:instrText xml:space="preserve"> PAGEREF _Toc116379737 \h </w:instrText>
      </w:r>
      <w:r>
        <w:rPr>
          <w:rFonts w:ascii="宋体" w:hAnsi="宋体"/>
        </w:rPr>
        <w:fldChar w:fldCharType="separate"/>
      </w:r>
      <w:r>
        <w:rPr>
          <w:rFonts w:ascii="宋体" w:hAnsi="宋体"/>
        </w:rPr>
        <w:t>237</w:t>
      </w:r>
      <w:r>
        <w:rPr>
          <w:rFonts w:ascii="宋体" w:hAnsi="宋体"/>
        </w:rPr>
        <w:fldChar w:fldCharType="end"/>
      </w:r>
      <w:r>
        <w:rPr>
          <w:rFonts w:ascii="宋体" w:hAnsi="宋体"/>
        </w:rPr>
        <w:fldChar w:fldCharType="end"/>
      </w:r>
    </w:p>
    <w:p>
      <w:pPr>
        <w:pStyle w:val="65"/>
        <w:tabs>
          <w:tab w:val="right" w:leader="dot" w:pos="8302"/>
        </w:tabs>
        <w:rPr>
          <w:rFonts w:ascii="宋体" w:hAnsi="宋体" w:cstheme="minorBidi"/>
          <w:smallCaps w:val="0"/>
          <w:kern w:val="2"/>
          <w:sz w:val="21"/>
          <w:szCs w:val="22"/>
        </w:rPr>
      </w:pPr>
      <w:r>
        <w:fldChar w:fldCharType="begin"/>
      </w:r>
      <w:r>
        <w:instrText xml:space="preserve"> HYPERLINK \l "_Toc116379738" </w:instrText>
      </w:r>
      <w:r>
        <w:fldChar w:fldCharType="separate"/>
      </w:r>
      <w:r>
        <w:rPr>
          <w:rStyle w:val="90"/>
          <w:rFonts w:hint="default" w:ascii="宋体" w:hAnsi="宋体" w:eastAsia="宋体"/>
          <w:bCs/>
          <w:color w:val="auto"/>
        </w:rPr>
        <w:t>9.1.</w:t>
      </w:r>
      <w:r>
        <w:rPr>
          <w:rStyle w:val="90"/>
          <w:rFonts w:hint="default" w:ascii="宋体" w:hAnsi="宋体" w:eastAsia="宋体"/>
          <w:color w:val="auto"/>
        </w:rPr>
        <w:t xml:space="preserve"> 评价结论</w:t>
      </w:r>
      <w:r>
        <w:rPr>
          <w:rFonts w:ascii="宋体" w:hAnsi="宋体"/>
        </w:rPr>
        <w:tab/>
      </w:r>
      <w:r>
        <w:rPr>
          <w:rFonts w:ascii="宋体" w:hAnsi="宋体"/>
        </w:rPr>
        <w:fldChar w:fldCharType="begin"/>
      </w:r>
      <w:r>
        <w:rPr>
          <w:rFonts w:ascii="宋体" w:hAnsi="宋体"/>
        </w:rPr>
        <w:instrText xml:space="preserve"> PAGEREF _Toc116379738 \h </w:instrText>
      </w:r>
      <w:r>
        <w:rPr>
          <w:rFonts w:ascii="宋体" w:hAnsi="宋体"/>
        </w:rPr>
        <w:fldChar w:fldCharType="separate"/>
      </w:r>
      <w:r>
        <w:rPr>
          <w:rFonts w:ascii="宋体" w:hAnsi="宋体"/>
        </w:rPr>
        <w:t>237</w:t>
      </w:r>
      <w:r>
        <w:rPr>
          <w:rFonts w:ascii="宋体" w:hAnsi="宋体"/>
        </w:rPr>
        <w:fldChar w:fldCharType="end"/>
      </w:r>
      <w:r>
        <w:rPr>
          <w:rFonts w:ascii="宋体" w:hAnsi="宋体"/>
        </w:rPr>
        <w:fldChar w:fldCharType="end"/>
      </w:r>
    </w:p>
    <w:p>
      <w:pPr>
        <w:pStyle w:val="65"/>
        <w:tabs>
          <w:tab w:val="right" w:leader="dot" w:pos="8302"/>
        </w:tabs>
        <w:rPr>
          <w:rFonts w:ascii="宋体" w:hAnsi="宋体" w:cstheme="minorBidi"/>
          <w:smallCaps w:val="0"/>
          <w:kern w:val="2"/>
          <w:sz w:val="21"/>
          <w:szCs w:val="22"/>
        </w:rPr>
      </w:pPr>
      <w:r>
        <w:fldChar w:fldCharType="begin"/>
      </w:r>
      <w:r>
        <w:instrText xml:space="preserve"> HYPERLINK \l "_Toc116379739" </w:instrText>
      </w:r>
      <w:r>
        <w:fldChar w:fldCharType="separate"/>
      </w:r>
      <w:r>
        <w:rPr>
          <w:rStyle w:val="90"/>
          <w:rFonts w:hint="default" w:ascii="宋体" w:hAnsi="宋体" w:eastAsia="宋体"/>
          <w:bCs/>
          <w:color w:val="auto"/>
        </w:rPr>
        <w:t>9.2.</w:t>
      </w:r>
      <w:r>
        <w:rPr>
          <w:rStyle w:val="90"/>
          <w:rFonts w:hint="default" w:ascii="宋体" w:hAnsi="宋体" w:eastAsia="宋体"/>
          <w:color w:val="auto"/>
        </w:rPr>
        <w:t xml:space="preserve"> 总量控制</w:t>
      </w:r>
      <w:r>
        <w:rPr>
          <w:rFonts w:ascii="宋体" w:hAnsi="宋体"/>
        </w:rPr>
        <w:tab/>
      </w:r>
      <w:r>
        <w:rPr>
          <w:rFonts w:ascii="宋体" w:hAnsi="宋体"/>
        </w:rPr>
        <w:fldChar w:fldCharType="begin"/>
      </w:r>
      <w:r>
        <w:rPr>
          <w:rFonts w:ascii="宋体" w:hAnsi="宋体"/>
        </w:rPr>
        <w:instrText xml:space="preserve"> PAGEREF _Toc116379739 \h </w:instrText>
      </w:r>
      <w:r>
        <w:rPr>
          <w:rFonts w:ascii="宋体" w:hAnsi="宋体"/>
        </w:rPr>
        <w:fldChar w:fldCharType="separate"/>
      </w:r>
      <w:r>
        <w:rPr>
          <w:b/>
        </w:rPr>
        <w:t>错误！未定义书签。</w:t>
      </w:r>
      <w:r>
        <w:rPr>
          <w:rFonts w:ascii="宋体" w:hAnsi="宋体"/>
        </w:rPr>
        <w:fldChar w:fldCharType="end"/>
      </w:r>
      <w:r>
        <w:rPr>
          <w:rFonts w:ascii="宋体" w:hAnsi="宋体"/>
        </w:rPr>
        <w:fldChar w:fldCharType="end"/>
      </w:r>
    </w:p>
    <w:p>
      <w:pPr>
        <w:pStyle w:val="65"/>
        <w:tabs>
          <w:tab w:val="right" w:leader="dot" w:pos="8302"/>
        </w:tabs>
        <w:rPr>
          <w:rFonts w:ascii="宋体" w:hAnsi="宋体" w:cstheme="minorBidi"/>
          <w:smallCaps w:val="0"/>
          <w:kern w:val="2"/>
          <w:sz w:val="21"/>
          <w:szCs w:val="22"/>
        </w:rPr>
      </w:pPr>
      <w:r>
        <w:fldChar w:fldCharType="begin"/>
      </w:r>
      <w:r>
        <w:instrText xml:space="preserve"> HYPERLINK \l "_Toc116379740" </w:instrText>
      </w:r>
      <w:r>
        <w:fldChar w:fldCharType="separate"/>
      </w:r>
      <w:r>
        <w:rPr>
          <w:rStyle w:val="90"/>
          <w:rFonts w:hint="default" w:ascii="宋体" w:hAnsi="宋体" w:eastAsia="宋体"/>
          <w:bCs/>
          <w:color w:val="auto"/>
        </w:rPr>
        <w:t>9.3.</w:t>
      </w:r>
      <w:r>
        <w:rPr>
          <w:rStyle w:val="90"/>
          <w:rFonts w:hint="default" w:ascii="宋体" w:hAnsi="宋体" w:eastAsia="宋体"/>
          <w:color w:val="auto"/>
        </w:rPr>
        <w:t xml:space="preserve"> 总体结论</w:t>
      </w:r>
      <w:r>
        <w:rPr>
          <w:rFonts w:ascii="宋体" w:hAnsi="宋体"/>
        </w:rPr>
        <w:tab/>
      </w:r>
      <w:r>
        <w:rPr>
          <w:rFonts w:ascii="宋体" w:hAnsi="宋体"/>
        </w:rPr>
        <w:fldChar w:fldCharType="begin"/>
      </w:r>
      <w:r>
        <w:rPr>
          <w:rFonts w:ascii="宋体" w:hAnsi="宋体"/>
        </w:rPr>
        <w:instrText xml:space="preserve"> PAGEREF _Toc116379740 \h </w:instrText>
      </w:r>
      <w:r>
        <w:rPr>
          <w:rFonts w:ascii="宋体" w:hAnsi="宋体"/>
        </w:rPr>
        <w:fldChar w:fldCharType="separate"/>
      </w:r>
      <w:r>
        <w:rPr>
          <w:rFonts w:ascii="宋体" w:hAnsi="宋体"/>
        </w:rPr>
        <w:t>241</w:t>
      </w:r>
      <w:r>
        <w:rPr>
          <w:rFonts w:ascii="宋体" w:hAnsi="宋体"/>
        </w:rPr>
        <w:fldChar w:fldCharType="end"/>
      </w:r>
      <w:r>
        <w:rPr>
          <w:rFonts w:ascii="宋体" w:hAnsi="宋体"/>
        </w:rPr>
        <w:fldChar w:fldCharType="end"/>
      </w:r>
    </w:p>
    <w:p>
      <w:pPr>
        <w:pStyle w:val="65"/>
        <w:tabs>
          <w:tab w:val="right" w:leader="dot" w:pos="8302"/>
        </w:tabs>
        <w:rPr>
          <w:rFonts w:ascii="宋体" w:hAnsi="宋体" w:cstheme="minorBidi"/>
          <w:smallCaps w:val="0"/>
          <w:kern w:val="2"/>
          <w:sz w:val="21"/>
          <w:szCs w:val="22"/>
        </w:rPr>
      </w:pPr>
      <w:r>
        <w:fldChar w:fldCharType="begin"/>
      </w:r>
      <w:r>
        <w:instrText xml:space="preserve"> HYPERLINK \l "_Toc116379741" </w:instrText>
      </w:r>
      <w:r>
        <w:fldChar w:fldCharType="separate"/>
      </w:r>
      <w:r>
        <w:rPr>
          <w:rStyle w:val="90"/>
          <w:rFonts w:hint="default" w:ascii="宋体" w:hAnsi="宋体" w:eastAsia="宋体"/>
          <w:bCs/>
          <w:color w:val="auto"/>
        </w:rPr>
        <w:t>9.4.</w:t>
      </w:r>
      <w:r>
        <w:rPr>
          <w:rStyle w:val="90"/>
          <w:rFonts w:hint="default" w:ascii="宋体" w:hAnsi="宋体" w:eastAsia="宋体"/>
          <w:color w:val="auto"/>
        </w:rPr>
        <w:t xml:space="preserve"> 建议</w:t>
      </w:r>
      <w:r>
        <w:rPr>
          <w:rFonts w:ascii="宋体" w:hAnsi="宋体"/>
        </w:rPr>
        <w:tab/>
      </w:r>
      <w:r>
        <w:rPr>
          <w:rFonts w:ascii="宋体" w:hAnsi="宋体"/>
        </w:rPr>
        <w:fldChar w:fldCharType="begin"/>
      </w:r>
      <w:r>
        <w:rPr>
          <w:rFonts w:ascii="宋体" w:hAnsi="宋体"/>
        </w:rPr>
        <w:instrText xml:space="preserve"> PAGEREF _Toc116379741 \h </w:instrText>
      </w:r>
      <w:r>
        <w:rPr>
          <w:rFonts w:ascii="宋体" w:hAnsi="宋体"/>
        </w:rPr>
        <w:fldChar w:fldCharType="separate"/>
      </w:r>
      <w:r>
        <w:rPr>
          <w:rFonts w:ascii="宋体" w:hAnsi="宋体"/>
        </w:rPr>
        <w:t>241</w:t>
      </w:r>
      <w:r>
        <w:rPr>
          <w:rFonts w:ascii="宋体" w:hAnsi="宋体"/>
        </w:rPr>
        <w:fldChar w:fldCharType="end"/>
      </w:r>
      <w:r>
        <w:rPr>
          <w:rFonts w:ascii="宋体" w:hAnsi="宋体"/>
        </w:rPr>
        <w:fldChar w:fldCharType="end"/>
      </w:r>
    </w:p>
    <w:p>
      <w:pPr>
        <w:tabs>
          <w:tab w:val="right" w:leader="dot" w:pos="8505"/>
        </w:tabs>
        <w:spacing w:line="400" w:lineRule="exact"/>
        <w:rPr>
          <w:sz w:val="24"/>
          <w:szCs w:val="24"/>
        </w:rPr>
      </w:pPr>
      <w:r>
        <w:rPr>
          <w:bCs/>
          <w:sz w:val="24"/>
          <w:szCs w:val="24"/>
        </w:rPr>
        <w:fldChar w:fldCharType="end"/>
      </w:r>
    </w:p>
    <w:p>
      <w:pPr>
        <w:pStyle w:val="65"/>
        <w:ind w:left="0"/>
        <w:jc w:val="both"/>
        <w:sectPr>
          <w:headerReference r:id="rId7" w:type="default"/>
          <w:footerReference r:id="rId9" w:type="default"/>
          <w:headerReference r:id="rId8" w:type="even"/>
          <w:footerReference r:id="rId10" w:type="even"/>
          <w:pgSz w:w="11906" w:h="16838"/>
          <w:pgMar w:top="1440" w:right="1797" w:bottom="1440" w:left="1797" w:header="851" w:footer="992" w:gutter="0"/>
          <w:pgNumType w:fmt="upperRoman" w:start="1"/>
          <w:cols w:space="720" w:num="1"/>
          <w:docGrid w:linePitch="312" w:charSpace="0"/>
        </w:sectPr>
      </w:pPr>
    </w:p>
    <w:p>
      <w:pPr>
        <w:tabs>
          <w:tab w:val="right" w:leader="dot" w:pos="8505"/>
        </w:tabs>
        <w:spacing w:line="400" w:lineRule="exact"/>
        <w:rPr>
          <w:rFonts w:ascii="Times New Roman" w:hAnsi="Times New Roman"/>
          <w:sz w:val="24"/>
          <w:szCs w:val="24"/>
        </w:rPr>
      </w:pPr>
      <w:r>
        <w:rPr>
          <w:rFonts w:ascii="Times New Roman" w:hAnsi="Times New Roman"/>
          <w:b/>
          <w:sz w:val="24"/>
          <w:szCs w:val="24"/>
        </w:rPr>
        <w:t>附图：</w:t>
      </w:r>
    </w:p>
    <w:p>
      <w:pPr>
        <w:pStyle w:val="538"/>
        <w:spacing w:line="400" w:lineRule="exact"/>
        <w:ind w:firstLine="0" w:firstLineChars="0"/>
        <w:rPr>
          <w:rFonts w:ascii="Times New Roman" w:hAnsi="Times New Roman"/>
          <w:sz w:val="24"/>
          <w:szCs w:val="24"/>
        </w:rPr>
      </w:pPr>
      <w:r>
        <w:rPr>
          <w:rFonts w:ascii="Times New Roman" w:hAnsi="Times New Roman"/>
          <w:sz w:val="24"/>
          <w:szCs w:val="24"/>
        </w:rPr>
        <w:t>1、项目评价范围图</w:t>
      </w:r>
    </w:p>
    <w:p>
      <w:pPr>
        <w:pStyle w:val="538"/>
        <w:spacing w:line="400" w:lineRule="exact"/>
        <w:ind w:firstLine="0" w:firstLineChars="0"/>
        <w:rPr>
          <w:rFonts w:ascii="Times New Roman" w:hAnsi="Times New Roman"/>
          <w:sz w:val="24"/>
          <w:szCs w:val="24"/>
        </w:rPr>
      </w:pPr>
      <w:r>
        <w:rPr>
          <w:rFonts w:ascii="Times New Roman" w:hAnsi="Times New Roman"/>
          <w:sz w:val="24"/>
          <w:szCs w:val="24"/>
        </w:rPr>
        <w:t>2、项目平面布置图</w:t>
      </w:r>
    </w:p>
    <w:p>
      <w:pPr>
        <w:pStyle w:val="538"/>
        <w:spacing w:line="400" w:lineRule="exact"/>
        <w:ind w:firstLine="0" w:firstLineChars="0"/>
        <w:rPr>
          <w:rFonts w:ascii="Times New Roman" w:hAnsi="Times New Roman"/>
          <w:sz w:val="24"/>
          <w:szCs w:val="24"/>
        </w:rPr>
      </w:pPr>
      <w:r>
        <w:rPr>
          <w:rFonts w:ascii="Times New Roman" w:hAnsi="Times New Roman"/>
          <w:sz w:val="24"/>
          <w:szCs w:val="24"/>
        </w:rPr>
        <w:t>3、项目周边环境关系图</w:t>
      </w:r>
    </w:p>
    <w:p>
      <w:pPr>
        <w:pStyle w:val="538"/>
        <w:spacing w:line="400" w:lineRule="exact"/>
        <w:ind w:firstLine="0" w:firstLineChars="0"/>
        <w:rPr>
          <w:rFonts w:ascii="Times New Roman" w:hAnsi="Times New Roman"/>
          <w:sz w:val="24"/>
          <w:szCs w:val="24"/>
        </w:rPr>
      </w:pPr>
      <w:r>
        <w:rPr>
          <w:rFonts w:ascii="Times New Roman" w:hAnsi="Times New Roman"/>
          <w:sz w:val="24"/>
          <w:szCs w:val="24"/>
        </w:rPr>
        <w:t>4、项目周围现场照片</w:t>
      </w:r>
    </w:p>
    <w:p>
      <w:pPr>
        <w:pStyle w:val="538"/>
        <w:spacing w:line="400" w:lineRule="exact"/>
        <w:ind w:firstLine="0" w:firstLineChars="0"/>
        <w:rPr>
          <w:rFonts w:ascii="Times New Roman" w:hAnsi="Times New Roman"/>
          <w:sz w:val="24"/>
          <w:szCs w:val="24"/>
        </w:rPr>
      </w:pPr>
      <w:r>
        <w:rPr>
          <w:rFonts w:hint="eastAsia" w:ascii="Times New Roman" w:hAnsi="Times New Roman"/>
          <w:sz w:val="24"/>
          <w:szCs w:val="24"/>
        </w:rPr>
        <w:t>5、双鸭山市生态保护红线分布图</w:t>
      </w:r>
    </w:p>
    <w:p>
      <w:pPr>
        <w:pStyle w:val="538"/>
        <w:spacing w:line="400" w:lineRule="exact"/>
        <w:ind w:firstLine="0" w:firstLineChars="0"/>
        <w:rPr>
          <w:rFonts w:ascii="Times New Roman" w:hAnsi="Times New Roman"/>
          <w:sz w:val="24"/>
          <w:szCs w:val="24"/>
        </w:rPr>
      </w:pPr>
      <w:r>
        <w:rPr>
          <w:rFonts w:hint="eastAsia" w:ascii="Times New Roman" w:hAnsi="Times New Roman"/>
          <w:sz w:val="24"/>
          <w:szCs w:val="24"/>
        </w:rPr>
        <w:t>6、双鸭山市大气环境分区管控图</w:t>
      </w:r>
    </w:p>
    <w:p>
      <w:pPr>
        <w:pStyle w:val="538"/>
        <w:spacing w:line="400" w:lineRule="exact"/>
        <w:ind w:firstLine="0" w:firstLineChars="0"/>
        <w:rPr>
          <w:rFonts w:ascii="Times New Roman" w:hAnsi="Times New Roman"/>
          <w:sz w:val="24"/>
          <w:szCs w:val="24"/>
        </w:rPr>
      </w:pPr>
      <w:r>
        <w:rPr>
          <w:rFonts w:hint="eastAsia" w:ascii="Times New Roman" w:hAnsi="Times New Roman"/>
          <w:sz w:val="24"/>
          <w:szCs w:val="24"/>
        </w:rPr>
        <w:t>7、双鸭山市水环境分区管控图</w:t>
      </w:r>
    </w:p>
    <w:p>
      <w:pPr>
        <w:pStyle w:val="538"/>
        <w:spacing w:line="400" w:lineRule="exact"/>
        <w:ind w:firstLine="0" w:firstLineChars="0"/>
        <w:rPr>
          <w:rFonts w:ascii="Times New Roman" w:hAnsi="Times New Roman"/>
          <w:sz w:val="24"/>
          <w:szCs w:val="24"/>
        </w:rPr>
      </w:pPr>
      <w:r>
        <w:rPr>
          <w:rFonts w:hint="eastAsia" w:ascii="Times New Roman" w:hAnsi="Times New Roman"/>
          <w:sz w:val="24"/>
          <w:szCs w:val="24"/>
        </w:rPr>
        <w:t>8、双鸭山市土壤污染风险重点管控区图</w:t>
      </w:r>
    </w:p>
    <w:p>
      <w:pPr>
        <w:pStyle w:val="538"/>
        <w:spacing w:line="400" w:lineRule="exact"/>
        <w:ind w:firstLine="0" w:firstLineChars="0"/>
        <w:rPr>
          <w:rFonts w:ascii="Times New Roman" w:hAnsi="Times New Roman"/>
          <w:sz w:val="24"/>
          <w:szCs w:val="24"/>
        </w:rPr>
      </w:pPr>
      <w:r>
        <w:rPr>
          <w:rFonts w:hint="eastAsia" w:ascii="Times New Roman" w:hAnsi="Times New Roman"/>
          <w:sz w:val="24"/>
          <w:szCs w:val="24"/>
        </w:rPr>
        <w:t>9、双鸭山市环境管控单元分布图</w:t>
      </w:r>
    </w:p>
    <w:p>
      <w:pPr>
        <w:pStyle w:val="538"/>
        <w:spacing w:line="400" w:lineRule="exact"/>
        <w:ind w:firstLine="0" w:firstLineChars="0"/>
        <w:rPr>
          <w:rFonts w:ascii="Times New Roman" w:hAnsi="Times New Roman"/>
          <w:sz w:val="24"/>
          <w:szCs w:val="24"/>
        </w:rPr>
      </w:pPr>
      <w:r>
        <w:rPr>
          <w:rFonts w:ascii="Times New Roman" w:hAnsi="Times New Roman"/>
          <w:sz w:val="24"/>
          <w:szCs w:val="24"/>
        </w:rPr>
        <w:t>10</w:t>
      </w:r>
      <w:r>
        <w:rPr>
          <w:rFonts w:hint="eastAsia" w:ascii="Times New Roman" w:hAnsi="Times New Roman"/>
          <w:sz w:val="24"/>
          <w:szCs w:val="24"/>
        </w:rPr>
        <w:t>、本项目黑龙江省三线一单数据应用平台图</w:t>
      </w:r>
    </w:p>
    <w:p>
      <w:pPr>
        <w:tabs>
          <w:tab w:val="right" w:leader="dot" w:pos="8505"/>
        </w:tabs>
        <w:spacing w:line="400" w:lineRule="exact"/>
        <w:rPr>
          <w:rFonts w:ascii="Times New Roman" w:hAnsi="Times New Roman"/>
          <w:sz w:val="24"/>
          <w:szCs w:val="24"/>
        </w:rPr>
      </w:pPr>
      <w:r>
        <w:rPr>
          <w:rFonts w:ascii="Times New Roman" w:hAnsi="Times New Roman"/>
          <w:b/>
          <w:sz w:val="24"/>
          <w:szCs w:val="24"/>
        </w:rPr>
        <w:t>附件：</w:t>
      </w:r>
    </w:p>
    <w:p>
      <w:pPr>
        <w:pStyle w:val="538"/>
        <w:spacing w:line="400" w:lineRule="exact"/>
        <w:ind w:firstLine="0" w:firstLineChars="0"/>
        <w:rPr>
          <w:rFonts w:ascii="Times New Roman" w:hAnsi="Times New Roman"/>
          <w:sz w:val="24"/>
          <w:szCs w:val="24"/>
        </w:rPr>
      </w:pPr>
      <w:r>
        <w:rPr>
          <w:rFonts w:ascii="Times New Roman" w:hAnsi="Times New Roman"/>
          <w:sz w:val="24"/>
          <w:szCs w:val="24"/>
        </w:rPr>
        <w:t>1、</w:t>
      </w:r>
      <w:r>
        <w:rPr>
          <w:rFonts w:hint="eastAsia" w:ascii="Times New Roman" w:hAnsi="Times New Roman"/>
          <w:sz w:val="24"/>
          <w:szCs w:val="24"/>
        </w:rPr>
        <w:t>营业执照</w:t>
      </w:r>
    </w:p>
    <w:p>
      <w:pPr>
        <w:pStyle w:val="538"/>
        <w:spacing w:line="400" w:lineRule="exact"/>
        <w:ind w:firstLine="0" w:firstLineChars="0"/>
        <w:rPr>
          <w:rFonts w:ascii="Times New Roman" w:hAnsi="Times New Roman"/>
          <w:sz w:val="24"/>
          <w:szCs w:val="24"/>
        </w:rPr>
      </w:pPr>
      <w:r>
        <w:rPr>
          <w:rFonts w:hint="eastAsia" w:ascii="Times New Roman" w:hAnsi="Times New Roman"/>
          <w:sz w:val="24"/>
          <w:szCs w:val="24"/>
        </w:rPr>
        <w:t>2、</w:t>
      </w:r>
      <w:r>
        <w:rPr>
          <w:rFonts w:ascii="Times New Roman" w:hAnsi="Times New Roman"/>
          <w:sz w:val="24"/>
          <w:szCs w:val="24"/>
        </w:rPr>
        <w:t>租房合同</w:t>
      </w:r>
    </w:p>
    <w:p>
      <w:pPr>
        <w:pStyle w:val="538"/>
        <w:spacing w:line="400" w:lineRule="exact"/>
        <w:ind w:firstLine="0" w:firstLineChars="0"/>
        <w:rPr>
          <w:rFonts w:ascii="Times New Roman" w:hAnsi="Times New Roman"/>
          <w:sz w:val="24"/>
          <w:szCs w:val="24"/>
        </w:rPr>
      </w:pPr>
      <w:r>
        <w:rPr>
          <w:rFonts w:ascii="Times New Roman" w:hAnsi="Times New Roman"/>
          <w:sz w:val="24"/>
          <w:szCs w:val="24"/>
        </w:rPr>
        <w:t>3、现有工程排污许可证</w:t>
      </w:r>
    </w:p>
    <w:p>
      <w:pPr>
        <w:pStyle w:val="538"/>
        <w:spacing w:line="400" w:lineRule="exact"/>
        <w:ind w:firstLine="0" w:firstLineChars="0"/>
        <w:rPr>
          <w:rFonts w:ascii="Times New Roman" w:hAnsi="Times New Roman"/>
          <w:sz w:val="24"/>
          <w:szCs w:val="24"/>
        </w:rPr>
      </w:pPr>
      <w:r>
        <w:rPr>
          <w:rFonts w:ascii="Times New Roman" w:hAnsi="Times New Roman"/>
          <w:sz w:val="24"/>
          <w:szCs w:val="24"/>
        </w:rPr>
        <w:t>4、危险废物处置协议</w:t>
      </w:r>
    </w:p>
    <w:p>
      <w:pPr>
        <w:pStyle w:val="538"/>
        <w:spacing w:line="400" w:lineRule="exact"/>
        <w:ind w:firstLine="0" w:firstLineChars="0"/>
        <w:rPr>
          <w:rFonts w:ascii="Times New Roman" w:hAnsi="Times New Roman"/>
          <w:sz w:val="24"/>
          <w:szCs w:val="24"/>
        </w:rPr>
      </w:pPr>
      <w:r>
        <w:rPr>
          <w:rFonts w:ascii="Times New Roman" w:hAnsi="Times New Roman"/>
          <w:sz w:val="24"/>
          <w:szCs w:val="24"/>
        </w:rPr>
        <w:t>5、</w:t>
      </w:r>
      <w:bookmarkStart w:id="22" w:name="_Hlk109033740"/>
      <w:r>
        <w:rPr>
          <w:rFonts w:ascii="Times New Roman" w:hAnsi="Times New Roman"/>
          <w:sz w:val="24"/>
          <w:szCs w:val="24"/>
        </w:rPr>
        <w:t>《关于黑龙江省双鸭山市医疗废物集中处置工程环境影响报告书的批复》（黑龙江省环境保护厅，黑环函[2007]284号，2007年9月15日）</w:t>
      </w:r>
      <w:bookmarkEnd w:id="22"/>
    </w:p>
    <w:p>
      <w:pPr>
        <w:pStyle w:val="538"/>
        <w:spacing w:line="400" w:lineRule="exact"/>
        <w:ind w:firstLine="0" w:firstLineChars="0"/>
        <w:rPr>
          <w:rFonts w:ascii="Times New Roman" w:hAnsi="Times New Roman"/>
          <w:sz w:val="24"/>
          <w:szCs w:val="24"/>
        </w:rPr>
      </w:pPr>
      <w:r>
        <w:rPr>
          <w:rFonts w:ascii="Times New Roman" w:hAnsi="Times New Roman"/>
          <w:sz w:val="24"/>
          <w:szCs w:val="24"/>
        </w:rPr>
        <w:t>6、</w:t>
      </w:r>
      <w:bookmarkStart w:id="23" w:name="_Hlk109033960"/>
      <w:r>
        <w:rPr>
          <w:rFonts w:ascii="Times New Roman" w:hAnsi="Times New Roman"/>
          <w:sz w:val="24"/>
          <w:szCs w:val="24"/>
        </w:rPr>
        <w:t>《关于双鸭山市医疗废物处置工程项目竣工环境保护验收意见的函》（黑龙江省环境保护厅，黑环验[2012]99号，2012年7月26日）</w:t>
      </w:r>
    </w:p>
    <w:bookmarkEnd w:id="23"/>
    <w:p>
      <w:pPr>
        <w:pStyle w:val="538"/>
        <w:spacing w:line="400" w:lineRule="exact"/>
        <w:ind w:firstLine="0" w:firstLineChars="0"/>
        <w:rPr>
          <w:rFonts w:ascii="Times New Roman" w:hAnsi="Times New Roman"/>
          <w:sz w:val="24"/>
          <w:szCs w:val="24"/>
        </w:rPr>
      </w:pPr>
      <w:r>
        <w:rPr>
          <w:rFonts w:ascii="Times New Roman" w:hAnsi="Times New Roman"/>
          <w:sz w:val="24"/>
          <w:szCs w:val="24"/>
        </w:rPr>
        <w:t>7、现有工程监测报告</w:t>
      </w:r>
    </w:p>
    <w:p>
      <w:pPr>
        <w:pStyle w:val="538"/>
        <w:spacing w:line="400" w:lineRule="exact"/>
        <w:ind w:firstLine="0" w:firstLineChars="0"/>
        <w:rPr>
          <w:rFonts w:ascii="Times New Roman" w:hAnsi="Times New Roman"/>
          <w:sz w:val="24"/>
          <w:szCs w:val="24"/>
        </w:rPr>
      </w:pPr>
      <w:r>
        <w:rPr>
          <w:rFonts w:ascii="Times New Roman" w:hAnsi="Times New Roman"/>
          <w:sz w:val="24"/>
          <w:szCs w:val="24"/>
        </w:rPr>
        <w:t>8、现状监测报告</w:t>
      </w:r>
    </w:p>
    <w:p>
      <w:pPr>
        <w:pStyle w:val="538"/>
        <w:spacing w:line="400" w:lineRule="exact"/>
        <w:ind w:firstLine="0" w:firstLineChars="0"/>
        <w:rPr>
          <w:rFonts w:ascii="Times New Roman" w:hAnsi="Times New Roman"/>
          <w:sz w:val="24"/>
          <w:szCs w:val="24"/>
        </w:rPr>
      </w:pPr>
      <w:r>
        <w:rPr>
          <w:rFonts w:hint="eastAsia" w:ascii="Times New Roman" w:hAnsi="Times New Roman"/>
          <w:sz w:val="24"/>
          <w:szCs w:val="24"/>
        </w:rPr>
        <w:t>9、高温高热工艺发明专利</w:t>
      </w:r>
    </w:p>
    <w:p>
      <w:pPr>
        <w:pStyle w:val="538"/>
        <w:spacing w:line="400" w:lineRule="exact"/>
        <w:ind w:firstLine="0" w:firstLineChars="0"/>
        <w:rPr>
          <w:rFonts w:ascii="Times New Roman" w:hAnsi="Times New Roman"/>
          <w:sz w:val="24"/>
          <w:szCs w:val="24"/>
        </w:rPr>
      </w:pPr>
      <w:r>
        <w:rPr>
          <w:rFonts w:ascii="Times New Roman" w:hAnsi="Times New Roman"/>
          <w:sz w:val="24"/>
          <w:szCs w:val="24"/>
        </w:rPr>
        <w:t>10</w:t>
      </w:r>
      <w:r>
        <w:rPr>
          <w:rFonts w:hint="eastAsia" w:ascii="Times New Roman" w:hAnsi="Times New Roman"/>
          <w:sz w:val="24"/>
          <w:szCs w:val="24"/>
        </w:rPr>
        <w:t>、黑龙江省医疗废物应急处置中心暨尚志市医疗废物集中处置中心项目（二期）</w:t>
      </w:r>
      <w:r>
        <w:fldChar w:fldCharType="begin"/>
      </w:r>
      <w:r>
        <w:instrText xml:space="preserve">HYPERLINK "http://www.baidu.com/link?url=7x_qXP_bsECWWcwRWCzwobF3JgiOCB27Fc3ia2dnEVd4BloiUeZwYURPVlF9Qowrtbaw8_oI1ULu_YCMvBK62_KKnPk3t-9OVDAq9B2l23shwBFMqO9nW4B4-FRrsGTX" \t "_blank"</w:instrText>
      </w:r>
      <w:r>
        <w:fldChar w:fldCharType="separate"/>
      </w:r>
      <w:r>
        <w:rPr>
          <w:rFonts w:hint="eastAsia" w:ascii="Times New Roman" w:hAnsi="Times New Roman"/>
          <w:sz w:val="24"/>
          <w:szCs w:val="24"/>
        </w:rPr>
        <w:t>竣工环境保护验收监测报告</w:t>
      </w:r>
      <w:r>
        <w:rPr>
          <w:rFonts w:ascii="Times New Roman" w:hAnsi="Times New Roman"/>
          <w:sz w:val="24"/>
          <w:szCs w:val="24"/>
        </w:rPr>
        <w:fldChar w:fldCharType="end"/>
      </w:r>
    </w:p>
    <w:p>
      <w:pPr>
        <w:pStyle w:val="538"/>
        <w:spacing w:line="400" w:lineRule="exact"/>
        <w:ind w:firstLine="0" w:firstLineChars="0"/>
        <w:rPr>
          <w:rFonts w:ascii="Times New Roman" w:hAnsi="Times New Roman"/>
          <w:sz w:val="24"/>
          <w:szCs w:val="24"/>
        </w:rPr>
      </w:pPr>
      <w:r>
        <w:rPr>
          <w:rFonts w:hint="eastAsia" w:ascii="Times New Roman" w:hAnsi="Times New Roman"/>
          <w:sz w:val="24"/>
          <w:szCs w:val="24"/>
        </w:rPr>
        <w:t>1</w:t>
      </w:r>
      <w:r>
        <w:rPr>
          <w:rFonts w:ascii="Times New Roman" w:hAnsi="Times New Roman"/>
          <w:sz w:val="24"/>
          <w:szCs w:val="24"/>
        </w:rPr>
        <w:t>1</w:t>
      </w:r>
      <w:r>
        <w:rPr>
          <w:rFonts w:hint="eastAsia" w:ascii="Times New Roman" w:hAnsi="Times New Roman"/>
          <w:sz w:val="24"/>
          <w:szCs w:val="24"/>
        </w:rPr>
        <w:t>、污染物排放总量控核算制程</w:t>
      </w:r>
    </w:p>
    <w:p>
      <w:pPr>
        <w:pStyle w:val="538"/>
        <w:spacing w:line="400" w:lineRule="exact"/>
        <w:ind w:firstLine="0" w:firstLineChars="0"/>
        <w:rPr>
          <w:rFonts w:ascii="Times New Roman" w:hAnsi="Times New Roman"/>
          <w:sz w:val="24"/>
          <w:szCs w:val="24"/>
        </w:rPr>
      </w:pPr>
      <w:r>
        <w:rPr>
          <w:rFonts w:hint="eastAsia" w:ascii="Times New Roman" w:hAnsi="Times New Roman"/>
          <w:sz w:val="24"/>
          <w:szCs w:val="24"/>
        </w:rPr>
        <w:t>1</w:t>
      </w:r>
      <w:r>
        <w:rPr>
          <w:rFonts w:ascii="Times New Roman" w:hAnsi="Times New Roman"/>
          <w:sz w:val="24"/>
          <w:szCs w:val="24"/>
        </w:rPr>
        <w:t>2</w:t>
      </w:r>
      <w:r>
        <w:rPr>
          <w:rFonts w:hint="eastAsia" w:ascii="Times New Roman" w:hAnsi="Times New Roman"/>
          <w:sz w:val="24"/>
          <w:szCs w:val="24"/>
        </w:rPr>
        <w:t>、与双鸭山市垃圾填埋场协议</w:t>
      </w:r>
    </w:p>
    <w:p>
      <w:pPr>
        <w:pStyle w:val="538"/>
        <w:spacing w:line="400" w:lineRule="exact"/>
        <w:ind w:firstLine="0" w:firstLineChars="0"/>
        <w:rPr>
          <w:rFonts w:hint="eastAsia" w:ascii="Times New Roman" w:hAnsi="Times New Roman" w:cs="Times New Roman"/>
          <w:sz w:val="24"/>
          <w:szCs w:val="24"/>
        </w:rPr>
      </w:pPr>
      <w:r>
        <w:rPr>
          <w:rFonts w:ascii="Times New Roman" w:hAnsi="Times New Roman"/>
          <w:sz w:val="24"/>
          <w:szCs w:val="24"/>
        </w:rPr>
        <w:t>1</w:t>
      </w:r>
      <w:r>
        <w:rPr>
          <w:rFonts w:hint="eastAsia" w:ascii="Times New Roman" w:hAnsi="Times New Roman" w:cs="Times New Roman"/>
          <w:sz w:val="24"/>
          <w:szCs w:val="24"/>
        </w:rPr>
        <w:t>3、生活污水处理协议</w:t>
      </w:r>
    </w:p>
    <w:p>
      <w:pPr>
        <w:pStyle w:val="538"/>
        <w:spacing w:line="400" w:lineRule="exact"/>
        <w:ind w:firstLine="0" w:firstLineChars="0"/>
        <w:rPr>
          <w:rFonts w:hint="default" w:ascii="Times New Roman" w:hAnsi="Times New Roman" w:cs="Times New Roman"/>
          <w:sz w:val="24"/>
          <w:szCs w:val="24"/>
          <w:lang w:val="en-US" w:eastAsia="zh-CN"/>
        </w:rPr>
      </w:pPr>
      <w:r>
        <w:rPr>
          <w:rFonts w:hint="eastAsia" w:ascii="Times New Roman" w:hAnsi="Times New Roman" w:cs="Times New Roman"/>
          <w:sz w:val="24"/>
          <w:szCs w:val="24"/>
        </w:rPr>
        <w:t>1</w:t>
      </w:r>
      <w:r>
        <w:rPr>
          <w:rFonts w:hint="eastAsia" w:ascii="Times New Roman" w:hAnsi="Times New Roman" w:cs="Times New Roman"/>
          <w:sz w:val="24"/>
          <w:szCs w:val="24"/>
          <w:lang w:val="en-US" w:eastAsia="zh-CN"/>
        </w:rPr>
        <w:t>4</w:t>
      </w:r>
      <w:r>
        <w:rPr>
          <w:rFonts w:hint="eastAsia" w:ascii="Times New Roman" w:hAnsi="Times New Roman" w:cs="Times New Roman"/>
          <w:sz w:val="24"/>
          <w:szCs w:val="24"/>
          <w:lang w:eastAsia="zh-CN"/>
        </w:rPr>
        <w:t>、</w:t>
      </w:r>
      <w:r>
        <w:rPr>
          <w:rFonts w:hint="eastAsia" w:ascii="Times New Roman" w:hAnsi="Times New Roman" w:cs="Times New Roman"/>
          <w:sz w:val="24"/>
          <w:szCs w:val="24"/>
          <w:lang w:val="en-US" w:eastAsia="zh-CN"/>
        </w:rPr>
        <w:t>总量认定的函</w:t>
      </w:r>
    </w:p>
    <w:p>
      <w:pPr>
        <w:tabs>
          <w:tab w:val="right" w:leader="dot" w:pos="8505"/>
        </w:tabs>
        <w:spacing w:line="400" w:lineRule="exact"/>
        <w:rPr>
          <w:rFonts w:ascii="Times New Roman" w:hAnsi="Times New Roman"/>
          <w:sz w:val="24"/>
          <w:szCs w:val="24"/>
        </w:rPr>
      </w:pPr>
      <w:r>
        <w:rPr>
          <w:rFonts w:ascii="Times New Roman" w:hAnsi="Times New Roman"/>
          <w:b/>
          <w:sz w:val="24"/>
          <w:szCs w:val="24"/>
        </w:rPr>
        <w:t>附表：</w:t>
      </w:r>
    </w:p>
    <w:p>
      <w:pPr>
        <w:pStyle w:val="538"/>
        <w:spacing w:line="400" w:lineRule="exact"/>
        <w:ind w:firstLine="0" w:firstLineChars="0"/>
        <w:rPr>
          <w:rFonts w:ascii="Times New Roman" w:hAnsi="Times New Roman"/>
          <w:sz w:val="24"/>
          <w:szCs w:val="24"/>
        </w:rPr>
      </w:pPr>
      <w:r>
        <w:rPr>
          <w:rFonts w:ascii="Times New Roman" w:hAnsi="Times New Roman"/>
          <w:sz w:val="24"/>
          <w:szCs w:val="24"/>
        </w:rPr>
        <w:t>1、建设项目大气环境影响评价自查表</w:t>
      </w:r>
    </w:p>
    <w:p>
      <w:pPr>
        <w:pStyle w:val="538"/>
        <w:spacing w:line="400" w:lineRule="exact"/>
        <w:ind w:firstLine="0" w:firstLineChars="0"/>
        <w:rPr>
          <w:rFonts w:ascii="Times New Roman" w:hAnsi="Times New Roman"/>
          <w:sz w:val="24"/>
          <w:szCs w:val="24"/>
        </w:rPr>
      </w:pPr>
      <w:r>
        <w:rPr>
          <w:rFonts w:ascii="Times New Roman" w:hAnsi="Times New Roman"/>
          <w:sz w:val="24"/>
          <w:szCs w:val="24"/>
        </w:rPr>
        <w:t>2、建设项目地表水环境影响评价自查表</w:t>
      </w:r>
    </w:p>
    <w:p>
      <w:pPr>
        <w:pStyle w:val="538"/>
        <w:spacing w:line="400" w:lineRule="exact"/>
        <w:ind w:firstLine="0" w:firstLineChars="0"/>
        <w:rPr>
          <w:rFonts w:ascii="Times New Roman" w:hAnsi="Times New Roman"/>
          <w:sz w:val="24"/>
          <w:szCs w:val="24"/>
        </w:rPr>
      </w:pPr>
      <w:r>
        <w:rPr>
          <w:rFonts w:ascii="Times New Roman" w:hAnsi="Times New Roman"/>
          <w:sz w:val="24"/>
          <w:szCs w:val="24"/>
        </w:rPr>
        <w:t>3、建设项目土壤环境影响评价自查表</w:t>
      </w:r>
    </w:p>
    <w:p>
      <w:pPr>
        <w:pStyle w:val="538"/>
        <w:spacing w:line="400" w:lineRule="exact"/>
        <w:ind w:firstLine="0" w:firstLineChars="0"/>
        <w:rPr>
          <w:rFonts w:ascii="Times New Roman" w:hAnsi="Times New Roman"/>
          <w:sz w:val="24"/>
          <w:szCs w:val="24"/>
        </w:rPr>
      </w:pPr>
      <w:r>
        <w:rPr>
          <w:rFonts w:ascii="Times New Roman" w:hAnsi="Times New Roman"/>
          <w:sz w:val="24"/>
          <w:szCs w:val="24"/>
        </w:rPr>
        <w:t>4、建设项目环境风险简单分析内容表</w:t>
      </w:r>
    </w:p>
    <w:p>
      <w:pPr>
        <w:spacing w:line="480" w:lineRule="exact"/>
        <w:rPr>
          <w:rFonts w:ascii="Times New Roman" w:hAnsi="Times New Roman"/>
          <w:sz w:val="24"/>
          <w:szCs w:val="24"/>
        </w:rPr>
        <w:sectPr>
          <w:footerReference r:id="rId11" w:type="default"/>
          <w:pgSz w:w="11906" w:h="16838"/>
          <w:pgMar w:top="1440" w:right="1797" w:bottom="1440" w:left="1797" w:header="851" w:footer="992" w:gutter="0"/>
          <w:pgNumType w:fmt="upperRoman"/>
          <w:cols w:space="720" w:num="1"/>
          <w:docGrid w:linePitch="312" w:charSpace="0"/>
        </w:sectPr>
      </w:pPr>
    </w:p>
    <w:p>
      <w:pPr>
        <w:pStyle w:val="2"/>
        <w:numPr>
          <w:ilvl w:val="0"/>
          <w:numId w:val="2"/>
        </w:numPr>
        <w:ind w:left="0"/>
        <w:jc w:val="both"/>
        <w:rPr>
          <w:color w:val="auto"/>
        </w:rPr>
      </w:pPr>
      <w:bookmarkStart w:id="24" w:name="_Toc116379688"/>
      <w:r>
        <w:rPr>
          <w:color w:val="auto"/>
        </w:rPr>
        <w:t>概述</w:t>
      </w:r>
      <w:bookmarkEnd w:id="24"/>
    </w:p>
    <w:p>
      <w:pPr>
        <w:pStyle w:val="3"/>
        <w:spacing w:before="120" w:beforeLines="50" w:after="120" w:afterLines="50" w:line="480" w:lineRule="exact"/>
        <w:ind w:left="-11"/>
        <w:rPr>
          <w:rFonts w:ascii="Times New Roman" w:hAnsi="Times New Roman" w:eastAsia="黑体"/>
          <w:sz w:val="30"/>
          <w:szCs w:val="30"/>
        </w:rPr>
      </w:pPr>
      <w:bookmarkStart w:id="25" w:name="_Toc116379689"/>
      <w:r>
        <w:rPr>
          <w:rFonts w:ascii="Times New Roman" w:hAnsi="Times New Roman" w:eastAsia="黑体"/>
          <w:sz w:val="30"/>
          <w:szCs w:val="30"/>
        </w:rPr>
        <w:t>项目由来</w:t>
      </w:r>
      <w:bookmarkEnd w:id="25"/>
    </w:p>
    <w:p>
      <w:pPr>
        <w:pStyle w:val="155"/>
        <w:spacing w:line="480" w:lineRule="exact"/>
        <w:ind w:firstLine="480"/>
        <w:rPr>
          <w:szCs w:val="24"/>
        </w:rPr>
      </w:pPr>
      <w:r>
        <w:rPr>
          <w:szCs w:val="24"/>
        </w:rPr>
        <w:t>医疗有害固体废物是污染程度及危害程度最广泛、最严重的一类危险废物。因突如其来的疫情，我国医疗废物处理需求急速增加，让医疗废物处置这个鲜有人关心的行业站到台前。但由于我国各地医疗废物处置能力分布不平衡，多地采取移动处理设备、水泥业跨界补位、跨区域协调处理等多种方式加强医疗废物的应急接收和处置能力。根据国家发改委、卫生健康委、生态环境部联合印发了《医疗废物集中处置设施能力建设实施方案》（发改环资[2020]696号）中要求，以加快推进医疗废物处置能力建设，补齐医疗废物、危险废物收集处理设施方面的短板弱项。《实施方案》提出，争取通过1~2年努力，实现大城市、特大城市具备充足应急处理能力；每个地级以上城市至少建成1个符合运行要求的医疗废物集中处置设施；每个县（市）都建成医疗废物收集转运处置体系，实现县级以上医疗废物全收集、全处理，并逐步覆盖到建制镇，争取农村地区医疗废物得到规范处置，全面补齐医疗废物集中处置设施短板弱项。2021年底前，将建立全国医疗废物信息化管理平台，覆盖医疗机构、医疗废物集中贮存点和医疗废物集中处置单位，实现信息互通共享，提高医疗废物处置现代化管理水平。</w:t>
      </w:r>
    </w:p>
    <w:p>
      <w:pPr>
        <w:spacing w:line="480" w:lineRule="exact"/>
        <w:ind w:firstLine="480" w:firstLineChars="200"/>
        <w:rPr>
          <w:rFonts w:ascii="Times New Roman" w:hAnsi="Times New Roman"/>
          <w:kern w:val="2"/>
          <w:sz w:val="24"/>
          <w:szCs w:val="24"/>
        </w:rPr>
      </w:pPr>
      <w:r>
        <w:rPr>
          <w:rFonts w:ascii="Times New Roman" w:hAnsi="Times New Roman"/>
          <w:kern w:val="2"/>
          <w:sz w:val="24"/>
          <w:szCs w:val="24"/>
        </w:rPr>
        <w:t>双鸭山市现有大小医院共129所，全市各级医院病闲总数为5877张，日产医疗废物约2.54吨，废物产生量逐年增长。</w:t>
      </w:r>
      <w:r>
        <w:rPr>
          <w:rFonts w:hint="eastAsia" w:ascii="Times New Roman" w:hAnsi="Times New Roman"/>
          <w:kern w:val="2"/>
          <w:sz w:val="24"/>
          <w:szCs w:val="24"/>
        </w:rPr>
        <w:t>近三年双鸭山市新冠病毒感染相关医疗废物有所增长，根据《2</w:t>
      </w:r>
      <w:r>
        <w:rPr>
          <w:rFonts w:ascii="Times New Roman" w:hAnsi="Times New Roman"/>
          <w:kern w:val="2"/>
          <w:sz w:val="24"/>
          <w:szCs w:val="24"/>
        </w:rPr>
        <w:t>019</w:t>
      </w:r>
      <w:r>
        <w:rPr>
          <w:rFonts w:hint="eastAsia" w:ascii="Times New Roman" w:hAnsi="Times New Roman"/>
          <w:kern w:val="2"/>
          <w:sz w:val="24"/>
          <w:szCs w:val="24"/>
        </w:rPr>
        <w:t>年双鸭山市固体废物污染环境防治信息公告》，2</w:t>
      </w:r>
      <w:r>
        <w:rPr>
          <w:rFonts w:ascii="Times New Roman" w:hAnsi="Times New Roman"/>
          <w:kern w:val="2"/>
          <w:sz w:val="24"/>
          <w:szCs w:val="24"/>
        </w:rPr>
        <w:t>019</w:t>
      </w:r>
      <w:r>
        <w:rPr>
          <w:rFonts w:hint="eastAsia" w:ascii="Times New Roman" w:hAnsi="Times New Roman"/>
          <w:kern w:val="2"/>
          <w:sz w:val="24"/>
          <w:szCs w:val="24"/>
        </w:rPr>
        <w:t>年双鸭山翁氏环保有限公司处置的H</w:t>
      </w:r>
      <w:r>
        <w:rPr>
          <w:rFonts w:ascii="Times New Roman" w:hAnsi="Times New Roman"/>
          <w:kern w:val="2"/>
          <w:sz w:val="24"/>
          <w:szCs w:val="24"/>
        </w:rPr>
        <w:t>W01</w:t>
      </w:r>
      <w:r>
        <w:rPr>
          <w:rFonts w:hint="eastAsia" w:ascii="Times New Roman" w:hAnsi="Times New Roman"/>
          <w:kern w:val="2"/>
          <w:sz w:val="24"/>
          <w:szCs w:val="24"/>
        </w:rPr>
        <w:t>（8</w:t>
      </w:r>
      <w:r>
        <w:rPr>
          <w:rFonts w:ascii="Times New Roman" w:hAnsi="Times New Roman"/>
          <w:kern w:val="2"/>
          <w:sz w:val="24"/>
          <w:szCs w:val="24"/>
        </w:rPr>
        <w:t>41</w:t>
      </w:r>
      <w:r>
        <w:rPr>
          <w:rFonts w:hint="eastAsia" w:ascii="Times New Roman" w:hAnsi="Times New Roman"/>
          <w:kern w:val="2"/>
          <w:sz w:val="24"/>
          <w:szCs w:val="24"/>
        </w:rPr>
        <w:t>-</w:t>
      </w:r>
      <w:r>
        <w:rPr>
          <w:rFonts w:ascii="Times New Roman" w:hAnsi="Times New Roman"/>
          <w:kern w:val="2"/>
          <w:sz w:val="24"/>
          <w:szCs w:val="24"/>
        </w:rPr>
        <w:t>001</w:t>
      </w:r>
      <w:r>
        <w:rPr>
          <w:rFonts w:hint="eastAsia" w:ascii="Times New Roman" w:hAnsi="Times New Roman"/>
          <w:kern w:val="2"/>
          <w:sz w:val="24"/>
          <w:szCs w:val="24"/>
        </w:rPr>
        <w:t>-</w:t>
      </w:r>
      <w:r>
        <w:rPr>
          <w:rFonts w:ascii="Times New Roman" w:hAnsi="Times New Roman"/>
          <w:kern w:val="2"/>
          <w:sz w:val="24"/>
          <w:szCs w:val="24"/>
        </w:rPr>
        <w:t>01</w:t>
      </w:r>
      <w:r>
        <w:rPr>
          <w:rFonts w:hint="eastAsia" w:ascii="Times New Roman" w:hAnsi="Times New Roman"/>
          <w:kern w:val="2"/>
          <w:sz w:val="24"/>
          <w:szCs w:val="24"/>
        </w:rPr>
        <w:t>）感染性废物与H</w:t>
      </w:r>
      <w:r>
        <w:rPr>
          <w:rFonts w:ascii="Times New Roman" w:hAnsi="Times New Roman"/>
          <w:kern w:val="2"/>
          <w:sz w:val="24"/>
          <w:szCs w:val="24"/>
        </w:rPr>
        <w:t>W01</w:t>
      </w:r>
      <w:r>
        <w:rPr>
          <w:rFonts w:hint="eastAsia" w:ascii="Times New Roman" w:hAnsi="Times New Roman"/>
          <w:kern w:val="2"/>
          <w:sz w:val="24"/>
          <w:szCs w:val="24"/>
        </w:rPr>
        <w:t>（8</w:t>
      </w:r>
      <w:r>
        <w:rPr>
          <w:rFonts w:ascii="Times New Roman" w:hAnsi="Times New Roman"/>
          <w:kern w:val="2"/>
          <w:sz w:val="24"/>
          <w:szCs w:val="24"/>
        </w:rPr>
        <w:t>41</w:t>
      </w:r>
      <w:r>
        <w:rPr>
          <w:rFonts w:hint="eastAsia" w:ascii="Times New Roman" w:hAnsi="Times New Roman"/>
          <w:kern w:val="2"/>
          <w:sz w:val="24"/>
          <w:szCs w:val="24"/>
        </w:rPr>
        <w:t>-</w:t>
      </w:r>
      <w:r>
        <w:rPr>
          <w:rFonts w:ascii="Times New Roman" w:hAnsi="Times New Roman"/>
          <w:kern w:val="2"/>
          <w:sz w:val="24"/>
          <w:szCs w:val="24"/>
        </w:rPr>
        <w:t>002</w:t>
      </w:r>
      <w:r>
        <w:rPr>
          <w:rFonts w:hint="eastAsia" w:ascii="Times New Roman" w:hAnsi="Times New Roman"/>
          <w:kern w:val="2"/>
          <w:sz w:val="24"/>
          <w:szCs w:val="24"/>
        </w:rPr>
        <w:t>-</w:t>
      </w:r>
      <w:r>
        <w:rPr>
          <w:rFonts w:ascii="Times New Roman" w:hAnsi="Times New Roman"/>
          <w:kern w:val="2"/>
          <w:sz w:val="24"/>
          <w:szCs w:val="24"/>
        </w:rPr>
        <w:t>01</w:t>
      </w:r>
      <w:r>
        <w:rPr>
          <w:rFonts w:hint="eastAsia" w:ascii="Times New Roman" w:hAnsi="Times New Roman"/>
          <w:kern w:val="2"/>
          <w:sz w:val="24"/>
          <w:szCs w:val="24"/>
        </w:rPr>
        <w:t>）损伤性废物的量为0</w:t>
      </w:r>
      <w:r>
        <w:rPr>
          <w:rFonts w:ascii="Times New Roman" w:hAnsi="Times New Roman"/>
          <w:kern w:val="2"/>
          <w:sz w:val="24"/>
          <w:szCs w:val="24"/>
        </w:rPr>
        <w:t>.0591</w:t>
      </w:r>
      <w:r>
        <w:rPr>
          <w:rFonts w:hint="eastAsia" w:ascii="Times New Roman" w:hAnsi="Times New Roman"/>
          <w:kern w:val="2"/>
          <w:sz w:val="24"/>
          <w:szCs w:val="24"/>
        </w:rPr>
        <w:t>万吨/年，根据《</w:t>
      </w:r>
      <w:r>
        <w:rPr>
          <w:rFonts w:ascii="Times New Roman" w:hAnsi="Times New Roman"/>
          <w:kern w:val="2"/>
          <w:sz w:val="24"/>
          <w:szCs w:val="24"/>
        </w:rPr>
        <w:t>2020</w:t>
      </w:r>
      <w:r>
        <w:rPr>
          <w:rFonts w:hint="eastAsia" w:ascii="Times New Roman" w:hAnsi="Times New Roman"/>
          <w:kern w:val="2"/>
          <w:sz w:val="24"/>
          <w:szCs w:val="24"/>
        </w:rPr>
        <w:t>、</w:t>
      </w:r>
      <w:r>
        <w:rPr>
          <w:rFonts w:ascii="Times New Roman" w:hAnsi="Times New Roman"/>
          <w:kern w:val="2"/>
          <w:sz w:val="24"/>
          <w:szCs w:val="24"/>
        </w:rPr>
        <w:t>2021年双鸭山市固体废物污染环境防治信息公告》</w:t>
      </w:r>
      <w:r>
        <w:rPr>
          <w:rFonts w:hint="eastAsia" w:ascii="Times New Roman" w:hAnsi="Times New Roman"/>
          <w:kern w:val="2"/>
          <w:sz w:val="24"/>
          <w:szCs w:val="24"/>
        </w:rPr>
        <w:t>，</w:t>
      </w:r>
      <w:r>
        <w:rPr>
          <w:rFonts w:ascii="Times New Roman" w:hAnsi="Times New Roman"/>
          <w:kern w:val="2"/>
          <w:sz w:val="24"/>
          <w:szCs w:val="24"/>
        </w:rPr>
        <w:t>2020</w:t>
      </w:r>
      <w:r>
        <w:rPr>
          <w:rFonts w:hint="eastAsia" w:ascii="Times New Roman" w:hAnsi="Times New Roman"/>
          <w:kern w:val="2"/>
          <w:sz w:val="24"/>
          <w:szCs w:val="24"/>
        </w:rPr>
        <w:t>、2</w:t>
      </w:r>
      <w:r>
        <w:rPr>
          <w:rFonts w:ascii="Times New Roman" w:hAnsi="Times New Roman"/>
          <w:kern w:val="2"/>
          <w:sz w:val="24"/>
          <w:szCs w:val="24"/>
        </w:rPr>
        <w:t>021年双鸭山翁氏环保有限公司处置的HW01（841-001-01）感染性废物与HW01（841-002-01）损伤性废物的量</w:t>
      </w:r>
      <w:r>
        <w:rPr>
          <w:rFonts w:hint="eastAsia" w:ascii="Times New Roman" w:hAnsi="Times New Roman"/>
          <w:kern w:val="2"/>
          <w:sz w:val="24"/>
          <w:szCs w:val="24"/>
        </w:rPr>
        <w:t>分别</w:t>
      </w:r>
      <w:r>
        <w:rPr>
          <w:rFonts w:ascii="Times New Roman" w:hAnsi="Times New Roman"/>
          <w:kern w:val="2"/>
          <w:sz w:val="24"/>
          <w:szCs w:val="24"/>
        </w:rPr>
        <w:t>为0.1095万吨/年，</w:t>
      </w:r>
      <w:r>
        <w:rPr>
          <w:rFonts w:hint="eastAsia" w:ascii="Times New Roman" w:hAnsi="Times New Roman"/>
          <w:kern w:val="2"/>
          <w:sz w:val="24"/>
          <w:szCs w:val="24"/>
        </w:rPr>
        <w:t>由此可见，疫情爆发后双鸭山市医疗废物处置工作压力明显增大。</w:t>
      </w:r>
      <w:r>
        <w:rPr>
          <w:rFonts w:ascii="Times New Roman" w:hAnsi="Times New Roman"/>
          <w:kern w:val="2"/>
          <w:sz w:val="24"/>
          <w:szCs w:val="24"/>
        </w:rPr>
        <w:t>现有医疗废物处理厂仅有一套2007年投产的生产设备，如遇设备维修影响我市医疗废物的正常处理，为改善这种状况，加快推进医疗废物集中处置设施建设，补齐短板弱项，推动形成与全面建成小康社会相适应的医疗废物处置体系，</w:t>
      </w:r>
      <w:bookmarkStart w:id="26" w:name="_Hlk105483534"/>
      <w:r>
        <w:rPr>
          <w:rFonts w:ascii="Times New Roman" w:hAnsi="Times New Roman"/>
          <w:kern w:val="2"/>
          <w:sz w:val="24"/>
          <w:szCs w:val="24"/>
        </w:rPr>
        <w:t>双鸭山翁氏环保有限公司</w:t>
      </w:r>
      <w:bookmarkEnd w:id="26"/>
      <w:r>
        <w:rPr>
          <w:rFonts w:ascii="Times New Roman" w:hAnsi="Times New Roman"/>
          <w:kern w:val="2"/>
          <w:sz w:val="24"/>
          <w:szCs w:val="24"/>
        </w:rPr>
        <w:t>决定建设黑龙江省双鸭山市医疗废物集中处置中心设备扩建项目，黑龙江省双鸭山市医疗废物集中处置中心现有医疗废物处理厂的3吨</w:t>
      </w:r>
      <w:r>
        <w:rPr>
          <w:rFonts w:hint="eastAsia" w:ascii="Times New Roman" w:hAnsi="Times New Roman"/>
          <w:kern w:val="2"/>
          <w:sz w:val="24"/>
          <w:szCs w:val="24"/>
        </w:rPr>
        <w:t>/日</w:t>
      </w:r>
      <w:r>
        <w:rPr>
          <w:rFonts w:ascii="Times New Roman" w:hAnsi="Times New Roman"/>
          <w:kern w:val="2"/>
          <w:sz w:val="24"/>
          <w:szCs w:val="24"/>
        </w:rPr>
        <w:t>处理设备不变，新增一条5吨</w:t>
      </w:r>
      <w:r>
        <w:rPr>
          <w:rFonts w:hint="eastAsia" w:ascii="Times New Roman" w:hAnsi="Times New Roman"/>
          <w:kern w:val="2"/>
          <w:sz w:val="24"/>
          <w:szCs w:val="24"/>
        </w:rPr>
        <w:t>/日</w:t>
      </w:r>
      <w:r>
        <w:rPr>
          <w:rFonts w:ascii="Times New Roman" w:hAnsi="Times New Roman"/>
          <w:kern w:val="2"/>
          <w:sz w:val="24"/>
          <w:szCs w:val="24"/>
        </w:rPr>
        <w:t>处理设备，扩建到日处理8吨规模。该项目的建设可减少医疗废物对人们身体健康带来的威胁，实现本地区医疗废物无害化处置，可有效防止因医疗废物导致的传染病的爆发，提高城市的文明程度，美化城市整体形象，对保护环境、保障公众健康具有深远意义，并有利于双鸭山市社会经济的发展。</w:t>
      </w:r>
    </w:p>
    <w:p>
      <w:pPr>
        <w:pStyle w:val="155"/>
        <w:spacing w:line="480" w:lineRule="exact"/>
        <w:ind w:firstLine="480"/>
        <w:rPr>
          <w:szCs w:val="24"/>
        </w:rPr>
      </w:pPr>
      <w:r>
        <w:rPr>
          <w:szCs w:val="24"/>
        </w:rPr>
        <w:t>依据《建设项目环境影响评价分类管理名录》（2021年版），本项目属于“四十七 生态保护和环境治理业 102、医疗废物处置、病死及病害动物无害化处理 医疗废物集中处置（单纯收集、贮存的除外）”，应编制环境影响评价报告书。根据《中华人民共和国环境保护法》和《中华人民共和国环境影响评价法》的有关要求，双鸭山翁氏环保有限公司委托哈尔滨玖时工程咨询有限公司承担黑龙江省双鸭山市医疗废物集中处置中心设备扩建项目的环境影响评价工作。接受委托后，评价单位课题组评价人员对现场进行实地踏查并收集相关资料，按照环境影响评价导则以及国家、地方有关环境保护法律、法规规定，制定环境影响评价工作方案，编制出该工程的环境影响报告书。</w:t>
      </w:r>
    </w:p>
    <w:p>
      <w:pPr>
        <w:pStyle w:val="3"/>
        <w:spacing w:before="120" w:beforeLines="50" w:after="120" w:afterLines="50" w:line="480" w:lineRule="exact"/>
        <w:ind w:left="-11"/>
        <w:rPr>
          <w:rFonts w:ascii="Times New Roman" w:hAnsi="Times New Roman" w:eastAsia="黑体"/>
          <w:sz w:val="30"/>
          <w:szCs w:val="30"/>
        </w:rPr>
      </w:pPr>
      <w:bookmarkStart w:id="27" w:name="_Toc116379690"/>
      <w:r>
        <w:rPr>
          <w:rFonts w:ascii="Times New Roman" w:hAnsi="Times New Roman" w:eastAsia="黑体"/>
          <w:sz w:val="30"/>
          <w:szCs w:val="30"/>
        </w:rPr>
        <w:t>项目特点</w:t>
      </w:r>
      <w:bookmarkEnd w:id="27"/>
    </w:p>
    <w:p>
      <w:pPr>
        <w:spacing w:before="14" w:line="340" w:lineRule="auto"/>
        <w:ind w:left="37" w:right="28" w:firstLine="561"/>
        <w:rPr>
          <w:rFonts w:ascii="Times New Roman" w:hAnsi="Times New Roman"/>
          <w:kern w:val="2"/>
          <w:sz w:val="24"/>
          <w:szCs w:val="20"/>
        </w:rPr>
      </w:pPr>
      <w:r>
        <w:rPr>
          <w:rFonts w:ascii="Times New Roman" w:hAnsi="Times New Roman"/>
          <w:kern w:val="2"/>
          <w:sz w:val="24"/>
          <w:szCs w:val="20"/>
        </w:rPr>
        <w:t>（1）本项目处置双鸭山市辖区产生的医疗废物，本项目高温干热工艺主要针对《医疗废物分类目录》中感染性和损伤性医疗废物，不涉及其他危险废物。</w:t>
      </w:r>
      <w:r>
        <w:rPr>
          <w:rFonts w:hint="eastAsia" w:ascii="Times New Roman" w:hAnsi="Times New Roman"/>
          <w:kern w:val="2"/>
          <w:sz w:val="24"/>
          <w:szCs w:val="20"/>
        </w:rPr>
        <w:t>本项目拟采用高温干热处理技术对医疗废物进行无害化处置，该技术（医疗废物高温干热处理设备及处理工艺） 已获得中华人民共和国国家知识产权局发明专利，同时，被纳入《2017 年国家先进污染防治技术目录(固体废物处理处置领域) 》之中，并已在辽宁省朝阳市、黑龙江省七台河市、黑龙江省尚志市、江西省宜春市和萍乡市等城市得到应用，运行效果很好。因此，本项目采取的工艺成熟，拟采取的环境保护措施技术可行、经济合理，可长期稳定运行并保证各类污染物稳定达标排放。</w:t>
      </w:r>
    </w:p>
    <w:p>
      <w:pPr>
        <w:pStyle w:val="155"/>
        <w:spacing w:line="480" w:lineRule="exact"/>
        <w:ind w:firstLine="480"/>
      </w:pPr>
      <w:r>
        <w:t>（2）本项目性质为扩建，</w:t>
      </w:r>
      <w:r>
        <w:rPr>
          <w:rFonts w:hint="eastAsia"/>
        </w:rPr>
        <w:t>位置紧邻双鸭山市生活垃圾填埋场。（原生活垃圾填埋场）</w:t>
      </w:r>
      <w:r>
        <w:rPr>
          <w:szCs w:val="24"/>
        </w:rPr>
        <w:t>黑龙江省双鸭山市医疗废物集中处置中心原有的3吨</w:t>
      </w:r>
      <w:r>
        <w:rPr>
          <w:rFonts w:hint="eastAsia"/>
          <w:szCs w:val="24"/>
        </w:rPr>
        <w:t>/日</w:t>
      </w:r>
      <w:r>
        <w:rPr>
          <w:szCs w:val="24"/>
        </w:rPr>
        <w:t>处理设备不变，新增一条5吨</w:t>
      </w:r>
      <w:r>
        <w:rPr>
          <w:rFonts w:hint="eastAsia"/>
          <w:szCs w:val="24"/>
        </w:rPr>
        <w:t>/日</w:t>
      </w:r>
      <w:r>
        <w:rPr>
          <w:szCs w:val="24"/>
        </w:rPr>
        <w:t>处理设备，扩能提质到日处理8吨规模。</w:t>
      </w:r>
      <w:r>
        <w:t>项目接收暂存间（包括冷库）、运输系统、收集系统、消毒清洗系统、</w:t>
      </w:r>
      <w:r>
        <w:rPr>
          <w:rFonts w:hint="eastAsia"/>
        </w:rPr>
        <w:t>污水处理站</w:t>
      </w:r>
      <w:r>
        <w:t>等其他辅助设施均依托现有工程。</w:t>
      </w:r>
    </w:p>
    <w:p>
      <w:pPr>
        <w:pStyle w:val="155"/>
        <w:spacing w:line="480" w:lineRule="exact"/>
        <w:ind w:firstLine="480"/>
      </w:pPr>
      <w:r>
        <w:t>（3）运营期重点评价医疗废物处置过程中“三废”产排、环境风险及防范内容。</w:t>
      </w:r>
    </w:p>
    <w:p>
      <w:pPr>
        <w:pStyle w:val="155"/>
        <w:spacing w:line="480" w:lineRule="exact"/>
        <w:ind w:firstLine="480"/>
      </w:pPr>
      <w:r>
        <w:rPr>
          <w:rFonts w:hint="eastAsia"/>
        </w:rPr>
        <w:t>（4）2019年，新冠肺炎疫情爆发，新冠病毒感染相关医疗废物的处置成为重中之重，双鸭山市2021年和2022年间歇爆发新冠肺炎疫情，医疗废物及集中隔离人员生活垃圾处置工作压力增大；因此，</w:t>
      </w:r>
      <w:r>
        <w:t>双鸭山翁氏环保有限公司</w:t>
      </w:r>
      <w:r>
        <w:rPr>
          <w:rFonts w:hint="eastAsia"/>
        </w:rPr>
        <w:t>拟安装</w:t>
      </w:r>
      <w:r>
        <w:t>1</w:t>
      </w:r>
      <w:r>
        <w:rPr>
          <w:rFonts w:hint="eastAsia"/>
        </w:rPr>
        <w:t>套</w:t>
      </w:r>
      <w:r>
        <w:t>5</w:t>
      </w:r>
      <w:r>
        <w:rPr>
          <w:rFonts w:hint="eastAsia"/>
        </w:rPr>
        <w:t>t/d医疗废物高温干热设备用于处理医疗废物是有意义的。</w:t>
      </w:r>
    </w:p>
    <w:p>
      <w:pPr>
        <w:pStyle w:val="3"/>
        <w:spacing w:before="120" w:beforeLines="50" w:after="120" w:afterLines="50" w:line="480" w:lineRule="exact"/>
        <w:ind w:left="-11"/>
        <w:rPr>
          <w:rFonts w:ascii="Times New Roman" w:hAnsi="Times New Roman" w:eastAsia="黑体"/>
          <w:sz w:val="30"/>
          <w:szCs w:val="30"/>
        </w:rPr>
      </w:pPr>
      <w:bookmarkStart w:id="28" w:name="_Toc116379691"/>
      <w:r>
        <w:rPr>
          <w:rFonts w:ascii="Times New Roman" w:hAnsi="Times New Roman" w:eastAsia="黑体"/>
          <w:sz w:val="30"/>
          <w:szCs w:val="30"/>
        </w:rPr>
        <w:t>工作流程</w:t>
      </w:r>
      <w:bookmarkEnd w:id="28"/>
    </w:p>
    <w:p>
      <w:pPr>
        <w:spacing w:line="480" w:lineRule="exact"/>
        <w:ind w:firstLine="480" w:firstLineChars="200"/>
        <w:rPr>
          <w:rFonts w:ascii="Times New Roman" w:hAnsi="Times New Roman"/>
          <w:b/>
          <w:kern w:val="2"/>
        </w:rPr>
      </w:pPr>
      <w:r>
        <w:rPr>
          <w:rFonts w:ascii="Times New Roman" w:hAnsi="Times New Roman"/>
          <w:kern w:val="2"/>
          <w:sz w:val="24"/>
          <w:szCs w:val="24"/>
        </w:rPr>
        <w:t>依据《建设项目环境影响评价分类管理名录》（2021年版），本项目属于“四十七 生态保护和环境治理业 102、医疗废物处置、病死及病害动物无害化处理 医疗废物集中处置（单纯收集、贮存的除外）”，应编制环境影响评价报告书。根据《建设项目环境影响评价技术导则 总纲》（HJ2.1-2016）要求，本次环境影响评价工作分为三个阶段。</w:t>
      </w:r>
    </w:p>
    <w:p>
      <w:pPr>
        <w:spacing w:line="480" w:lineRule="exact"/>
        <w:ind w:firstLine="480" w:firstLineChars="200"/>
        <w:rPr>
          <w:rFonts w:ascii="Times New Roman" w:hAnsi="Times New Roman"/>
          <w:kern w:val="2"/>
          <w:sz w:val="24"/>
          <w:szCs w:val="24"/>
        </w:rPr>
      </w:pPr>
      <w:r>
        <w:rPr>
          <w:rFonts w:ascii="Times New Roman" w:hAnsi="Times New Roman"/>
          <w:kern w:val="2"/>
          <w:sz w:val="24"/>
          <w:szCs w:val="24"/>
        </w:rPr>
        <w:t>（1）调查分析和工作方案制定阶段</w:t>
      </w:r>
    </w:p>
    <w:p>
      <w:pPr>
        <w:spacing w:line="480" w:lineRule="exact"/>
        <w:ind w:firstLine="480" w:firstLineChars="200"/>
        <w:rPr>
          <w:rFonts w:ascii="Times New Roman" w:hAnsi="Times New Roman"/>
          <w:kern w:val="2"/>
          <w:sz w:val="24"/>
          <w:szCs w:val="24"/>
        </w:rPr>
      </w:pPr>
      <w:r>
        <w:rPr>
          <w:rFonts w:ascii="Times New Roman" w:hAnsi="Times New Roman"/>
          <w:kern w:val="2"/>
          <w:sz w:val="24"/>
          <w:szCs w:val="24"/>
        </w:rPr>
        <w:t>本评价按照环境影响报告书的编制要求进行了前期准备，在研究相关技术及其他有关文件基础上进行初步工程分析，哈尔滨玖时工程咨询有限公司于2022年5月对项目现场开展了初步环境现状调查，进行了环境影响识别和评价因子筛选。明确了评价重点为大气环境影响、水环境影响、固体废物环境影响以及风险环境影响，确定了保护目标，进一步确定评价工作等级、范围及评价标准，制定出相应工作方案。</w:t>
      </w:r>
    </w:p>
    <w:p>
      <w:pPr>
        <w:spacing w:line="480" w:lineRule="exact"/>
        <w:ind w:firstLine="480" w:firstLineChars="200"/>
        <w:rPr>
          <w:rFonts w:ascii="Times New Roman" w:hAnsi="Times New Roman"/>
          <w:kern w:val="2"/>
          <w:sz w:val="24"/>
          <w:szCs w:val="24"/>
        </w:rPr>
      </w:pPr>
      <w:r>
        <w:rPr>
          <w:rFonts w:ascii="Times New Roman" w:hAnsi="Times New Roman"/>
          <w:kern w:val="2"/>
          <w:sz w:val="24"/>
          <w:szCs w:val="24"/>
        </w:rPr>
        <w:t>（2）分析论证和预测评价阶段</w:t>
      </w:r>
    </w:p>
    <w:p>
      <w:pPr>
        <w:spacing w:line="480" w:lineRule="exact"/>
        <w:ind w:firstLine="480" w:firstLineChars="200"/>
        <w:rPr>
          <w:rFonts w:ascii="Times New Roman" w:hAnsi="Times New Roman"/>
          <w:kern w:val="2"/>
          <w:sz w:val="24"/>
          <w:szCs w:val="24"/>
          <w:shd w:val="clear" w:color="FFFFFF" w:fill="D9D9D9"/>
        </w:rPr>
      </w:pPr>
      <w:r>
        <w:rPr>
          <w:rFonts w:ascii="Times New Roman" w:hAnsi="Times New Roman"/>
          <w:kern w:val="2"/>
          <w:sz w:val="24"/>
          <w:szCs w:val="24"/>
        </w:rPr>
        <w:t>按照环境影响评价工作方案，</w:t>
      </w:r>
      <w:r>
        <w:rPr>
          <w:rFonts w:ascii="Times New Roman" w:hAnsi="Times New Roman"/>
          <w:sz w:val="24"/>
          <w:szCs w:val="24"/>
        </w:rPr>
        <w:t>根据</w:t>
      </w:r>
      <w:r>
        <w:rPr>
          <w:rFonts w:hint="eastAsia" w:ascii="Times New Roman" w:hAnsi="Times New Roman"/>
          <w:sz w:val="24"/>
          <w:szCs w:val="24"/>
        </w:rPr>
        <w:t>双鸭山市</w:t>
      </w:r>
      <w:r>
        <w:rPr>
          <w:rFonts w:ascii="Times New Roman" w:hAnsi="Times New Roman"/>
          <w:kern w:val="2"/>
          <w:sz w:val="24"/>
          <w:szCs w:val="24"/>
        </w:rPr>
        <w:t>生态环境局公布的《2020年双鸭山市环境空气质量状况》、《2020年水环境质量状况</w:t>
      </w:r>
      <w:r>
        <w:rPr>
          <w:rFonts w:ascii="Times New Roman" w:hAnsi="Times New Roman"/>
          <w:kern w:val="2"/>
          <w:sz w:val="24"/>
          <w:szCs w:val="20"/>
        </w:rPr>
        <w:t>》</w:t>
      </w:r>
      <w:r>
        <w:rPr>
          <w:rFonts w:ascii="Times New Roman" w:hAnsi="Times New Roman"/>
          <w:kern w:val="2"/>
          <w:sz w:val="24"/>
          <w:szCs w:val="24"/>
        </w:rPr>
        <w:t>进行分析，委托</w:t>
      </w:r>
      <w:r>
        <w:rPr>
          <w:rFonts w:hint="eastAsia" w:ascii="Times New Roman" w:hAnsi="Times New Roman"/>
          <w:kern w:val="2"/>
          <w:sz w:val="24"/>
          <w:szCs w:val="24"/>
        </w:rPr>
        <w:t>黑龙江省华裕检测技术有限公司</w:t>
      </w:r>
      <w:r>
        <w:rPr>
          <w:rFonts w:ascii="Times New Roman" w:hAnsi="Times New Roman"/>
          <w:kern w:val="2"/>
          <w:sz w:val="24"/>
          <w:szCs w:val="24"/>
        </w:rPr>
        <w:t>于2022年5月分别对评价范围内环境空气、地下水、声环境和土壤环境进行了监测。在对取得的监测数据梳理统计分析的基础上，按照各环境要素环境影响评价技术导则所规定的评价方法，对环境质量现状进行了科学评价；在此同时，报告编制组对本项目建设内容、开发活动进行的工程分析与污染因素分析，在环境影响因素的识别，辨识出了产污节点与污染物，按照环境影响评价技术方法以及污染源源强核算技术指南等相关文件、资料，合理确定了各污染源的源强。按照环境影响评价技术导则规定的模型，对各环境要素影响进行了预测与评价。进行各专题环境影响分析与评价。</w:t>
      </w:r>
    </w:p>
    <w:p>
      <w:pPr>
        <w:spacing w:line="480" w:lineRule="exact"/>
        <w:ind w:firstLine="480" w:firstLineChars="200"/>
        <w:rPr>
          <w:rFonts w:ascii="Times New Roman" w:hAnsi="Times New Roman"/>
          <w:kern w:val="2"/>
          <w:sz w:val="24"/>
          <w:szCs w:val="24"/>
        </w:rPr>
      </w:pPr>
      <w:r>
        <w:rPr>
          <w:rFonts w:ascii="Times New Roman" w:hAnsi="Times New Roman"/>
          <w:kern w:val="2"/>
          <w:sz w:val="24"/>
          <w:szCs w:val="24"/>
        </w:rPr>
        <w:t>（3）环境影响报告书编制阶段</w:t>
      </w:r>
    </w:p>
    <w:p>
      <w:pPr>
        <w:spacing w:line="480" w:lineRule="exact"/>
        <w:ind w:firstLine="480" w:firstLineChars="200"/>
        <w:rPr>
          <w:rFonts w:ascii="Times New Roman" w:hAnsi="Times New Roman"/>
          <w:kern w:val="2"/>
          <w:sz w:val="24"/>
          <w:szCs w:val="24"/>
        </w:rPr>
      </w:pPr>
      <w:r>
        <w:rPr>
          <w:rFonts w:ascii="Times New Roman" w:hAnsi="Times New Roman"/>
          <w:kern w:val="2"/>
          <w:sz w:val="24"/>
          <w:szCs w:val="24"/>
        </w:rPr>
        <w:t>根据第二阶段工作成果，针对各产污环节，提出了相应的环境保护措施，并进行了经济技术可行性论证，按照HJ2.1-2016的相关要求，进行了经济损益分析，提出了环境管理与环境监测计划，给出污染物排放清单，最后给出了环境影响评价的综合结论。具体过程见图1.3-1。</w:t>
      </w:r>
    </w:p>
    <w:p>
      <w:pPr>
        <w:pStyle w:val="155"/>
        <w:spacing w:line="240" w:lineRule="auto"/>
        <w:ind w:firstLine="0" w:firstLineChars="0"/>
        <w:jc w:val="center"/>
        <w:rPr>
          <w:shd w:val="clear" w:color="FFFFFF" w:fill="D9D9D9"/>
        </w:rPr>
      </w:pPr>
      <w:r>
        <w:rPr>
          <w:shd w:val="clear" w:color="FFFFFF" w:fill="D9D9D9"/>
        </w:rPr>
        <w:drawing>
          <wp:inline distT="0" distB="0" distL="114300" distR="114300">
            <wp:extent cx="4225290" cy="4894580"/>
            <wp:effectExtent l="19050" t="19050" r="22860" b="20320"/>
            <wp:docPr id="24" name="图片 17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7340"/>
                    <pic:cNvPicPr>
                      <a:picLocks noChangeAspect="1"/>
                    </pic:cNvPicPr>
                  </pic:nvPicPr>
                  <pic:blipFill>
                    <a:blip r:embed="rId20"/>
                    <a:stretch>
                      <a:fillRect/>
                    </a:stretch>
                  </pic:blipFill>
                  <pic:spPr>
                    <a:xfrm>
                      <a:off x="0" y="0"/>
                      <a:ext cx="4255414" cy="4929754"/>
                    </a:xfrm>
                    <a:prstGeom prst="rect">
                      <a:avLst/>
                    </a:prstGeom>
                    <a:noFill/>
                    <a:ln w="6350" cap="flat" cmpd="sng">
                      <a:solidFill>
                        <a:srgbClr val="000000"/>
                      </a:solidFill>
                      <a:prstDash val="solid"/>
                      <a:miter/>
                      <a:headEnd type="none" w="med" len="med"/>
                      <a:tailEnd type="none" w="med" len="med"/>
                    </a:ln>
                  </pic:spPr>
                </pic:pic>
              </a:graphicData>
            </a:graphic>
          </wp:inline>
        </w:drawing>
      </w:r>
    </w:p>
    <w:p>
      <w:pPr>
        <w:spacing w:line="480" w:lineRule="exact"/>
        <w:ind w:firstLine="422" w:firstLineChars="200"/>
        <w:jc w:val="center"/>
        <w:rPr>
          <w:rFonts w:ascii="Times New Roman" w:hAnsi="Times New Roman"/>
        </w:rPr>
      </w:pPr>
      <w:r>
        <w:rPr>
          <w:rFonts w:ascii="Times New Roman" w:hAnsi="Times New Roman"/>
          <w:b/>
          <w:kern w:val="2"/>
        </w:rPr>
        <w:t>图1.3-1 建设项目环境影响评价工作程序图</w:t>
      </w:r>
    </w:p>
    <w:p>
      <w:pPr>
        <w:pStyle w:val="3"/>
        <w:spacing w:before="120" w:beforeLines="50" w:after="120" w:afterLines="50" w:line="480" w:lineRule="exact"/>
        <w:ind w:left="-11"/>
        <w:rPr>
          <w:rFonts w:ascii="Times New Roman" w:hAnsi="Times New Roman" w:eastAsia="黑体"/>
          <w:sz w:val="30"/>
          <w:szCs w:val="30"/>
        </w:rPr>
      </w:pPr>
      <w:bookmarkStart w:id="29" w:name="_Toc116379692"/>
      <w:r>
        <w:rPr>
          <w:rFonts w:ascii="Times New Roman" w:hAnsi="Times New Roman" w:eastAsia="黑体"/>
          <w:sz w:val="30"/>
          <w:szCs w:val="30"/>
        </w:rPr>
        <w:t>分析判定相关情况</w:t>
      </w:r>
      <w:bookmarkEnd w:id="29"/>
    </w:p>
    <w:p>
      <w:pPr>
        <w:pStyle w:val="4"/>
        <w:spacing w:before="120" w:beforeLines="50" w:after="120" w:afterLines="50" w:line="480" w:lineRule="exact"/>
        <w:rPr>
          <w:rFonts w:ascii="Times New Roman" w:hAnsi="Times New Roman" w:eastAsia="黑体"/>
          <w:kern w:val="2"/>
          <w:sz w:val="28"/>
          <w:szCs w:val="32"/>
        </w:rPr>
      </w:pPr>
      <w:bookmarkStart w:id="30" w:name="_Toc497228782"/>
      <w:bookmarkStart w:id="31" w:name="_Toc26359"/>
      <w:bookmarkStart w:id="32" w:name="_Toc535168857"/>
      <w:bookmarkStart w:id="33" w:name="_Toc487111455"/>
      <w:bookmarkStart w:id="34" w:name="_Toc27134246"/>
      <w:bookmarkStart w:id="35" w:name="_Toc527205684"/>
      <w:bookmarkStart w:id="36" w:name="_Toc532556557"/>
      <w:bookmarkStart w:id="37" w:name="_Toc2439"/>
      <w:bookmarkStart w:id="38" w:name="_Toc20504"/>
      <w:bookmarkStart w:id="39" w:name="_Toc530655917"/>
      <w:bookmarkStart w:id="40" w:name="_Toc2684"/>
      <w:bookmarkStart w:id="41" w:name="_Toc9843762"/>
      <w:bookmarkStart w:id="42" w:name="_Toc534537572"/>
      <w:bookmarkStart w:id="43" w:name="_Toc26187970"/>
      <w:bookmarkStart w:id="44" w:name="_Toc12645"/>
      <w:bookmarkStart w:id="45" w:name="_Toc535348411"/>
      <w:r>
        <w:rPr>
          <w:rFonts w:ascii="Times New Roman" w:hAnsi="Times New Roman" w:eastAsia="黑体"/>
          <w:kern w:val="2"/>
          <w:sz w:val="28"/>
          <w:szCs w:val="32"/>
        </w:rPr>
        <w:t>产业政策符合性</w:t>
      </w:r>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p>
    <w:p>
      <w:pPr>
        <w:pStyle w:val="155"/>
        <w:spacing w:line="480" w:lineRule="exact"/>
        <w:ind w:firstLine="480"/>
      </w:pPr>
      <w:r>
        <w:t>根据《产业结构调整指导目录》（2019年本），本项目属于鼓励类“</w:t>
      </w:r>
      <w:r>
        <w:rPr>
          <w:szCs w:val="24"/>
        </w:rPr>
        <w:t>四十三、环境保护与资源节约综合利用 8、危险废物（医疗废物）及含重金属废物安全处置技术设备开发制造及处置中心建设及运营</w:t>
      </w:r>
      <w:r>
        <w:t>”项目，符合国家产业政策要求。</w:t>
      </w:r>
    </w:p>
    <w:p>
      <w:pPr>
        <w:pStyle w:val="4"/>
        <w:spacing w:before="120" w:beforeLines="50" w:after="120" w:afterLines="50" w:line="480" w:lineRule="exact"/>
        <w:rPr>
          <w:rFonts w:ascii="Times New Roman" w:hAnsi="Times New Roman" w:eastAsia="黑体"/>
          <w:kern w:val="2"/>
          <w:sz w:val="28"/>
          <w:szCs w:val="32"/>
        </w:rPr>
      </w:pPr>
      <w:bookmarkStart w:id="46" w:name="_Toc21893"/>
      <w:bookmarkStart w:id="47" w:name="_Toc7675"/>
      <w:bookmarkStart w:id="48" w:name="_Toc26187971"/>
      <w:bookmarkStart w:id="49" w:name="_Toc30304"/>
      <w:bookmarkStart w:id="50" w:name="_Toc13411"/>
      <w:bookmarkStart w:id="51" w:name="_Toc27134247"/>
      <w:bookmarkStart w:id="52" w:name="_Toc13355"/>
      <w:r>
        <w:rPr>
          <w:rFonts w:ascii="Times New Roman" w:hAnsi="Times New Roman" w:eastAsia="黑体"/>
          <w:kern w:val="2"/>
          <w:sz w:val="28"/>
          <w:szCs w:val="32"/>
        </w:rPr>
        <w:t>项目选址可行性</w:t>
      </w:r>
      <w:bookmarkEnd w:id="46"/>
      <w:bookmarkEnd w:id="47"/>
      <w:bookmarkEnd w:id="48"/>
      <w:bookmarkEnd w:id="49"/>
      <w:bookmarkEnd w:id="50"/>
      <w:bookmarkEnd w:id="51"/>
      <w:bookmarkEnd w:id="52"/>
    </w:p>
    <w:p>
      <w:pPr>
        <w:pStyle w:val="155"/>
        <w:spacing w:line="480" w:lineRule="exact"/>
        <w:ind w:firstLine="480"/>
        <w:rPr>
          <w:szCs w:val="24"/>
        </w:rPr>
      </w:pPr>
      <w:r>
        <w:t>（1）本项目建设地点位于双鸭山市四方台梨花盖子沟垃圾处理场院内，现有工程占地面积为3093m</w:t>
      </w:r>
      <w:r>
        <w:rPr>
          <w:vertAlign w:val="superscript"/>
        </w:rPr>
        <w:t>2</w:t>
      </w:r>
      <w:r>
        <w:t>，用地性质为工业用地。本次扩建项目不新增占地，不改变用地性质。根据现场调查，项目厂区东侧为双鸭山市垃圾填埋场（紧邻），南侧、西侧和北侧均为山林。</w:t>
      </w:r>
    </w:p>
    <w:p>
      <w:pPr>
        <w:pStyle w:val="155"/>
        <w:spacing w:line="480" w:lineRule="exact"/>
        <w:ind w:firstLine="480"/>
        <w:rPr>
          <w:szCs w:val="24"/>
        </w:rPr>
      </w:pPr>
      <w:r>
        <w:rPr>
          <w:szCs w:val="24"/>
        </w:rPr>
        <w:t>（2）本项目所在区域供水、供电、通讯设施齐全，交通便利，便于项目设备、医疗废物及其他物料的运输，可满足项目的需要。</w:t>
      </w:r>
    </w:p>
    <w:p>
      <w:pPr>
        <w:pStyle w:val="65"/>
        <w:spacing w:line="480" w:lineRule="exact"/>
        <w:ind w:left="0" w:firstLine="480" w:firstLineChars="200"/>
        <w:jc w:val="both"/>
        <w:rPr>
          <w:kern w:val="2"/>
          <w:sz w:val="24"/>
        </w:rPr>
      </w:pPr>
      <w:r>
        <w:rPr>
          <w:kern w:val="2"/>
          <w:sz w:val="24"/>
        </w:rPr>
        <w:t>（3）根据《环境影响评价技术导则 大气环境》（HJ2.2-2018）中“评价等级判定及大气环境影响预测与评价”的要求，以项目排放的颗粒物为污染源，经估算模型计算，评价工作等级为二级，不进行进一步预测与评价，只对污染物排放量进行核算。本项目不设置大气环境防护距离。</w:t>
      </w:r>
    </w:p>
    <w:p>
      <w:pPr>
        <w:pStyle w:val="65"/>
        <w:spacing w:line="480" w:lineRule="exact"/>
        <w:ind w:left="0" w:firstLine="480" w:firstLineChars="200"/>
        <w:jc w:val="both"/>
        <w:rPr>
          <w:kern w:val="2"/>
          <w:sz w:val="24"/>
        </w:rPr>
      </w:pPr>
      <w:r>
        <w:rPr>
          <w:rFonts w:hint="eastAsia"/>
          <w:kern w:val="2"/>
          <w:sz w:val="24"/>
        </w:rPr>
        <w:t>根据《医疗废物处理处置污染控制标准》（</w:t>
      </w:r>
      <w:r>
        <w:rPr>
          <w:kern w:val="2"/>
          <w:sz w:val="24"/>
        </w:rPr>
        <w:t>GB39707-2020）4.3要求，医疗废物处理处置厂址应与敏感目标之间设置一定的防护距离；根据《大气有害物质无组织排放卫生防护距离推导技术导则》（GB/T 39499-2020）</w:t>
      </w:r>
      <w:r>
        <w:rPr>
          <w:rFonts w:hint="eastAsia"/>
          <w:kern w:val="2"/>
          <w:sz w:val="24"/>
        </w:rPr>
        <w:t>计算，得到本项目的卫生防护距离为1</w:t>
      </w:r>
      <w:r>
        <w:rPr>
          <w:kern w:val="2"/>
          <w:sz w:val="24"/>
        </w:rPr>
        <w:t>00</w:t>
      </w:r>
      <w:r>
        <w:rPr>
          <w:rFonts w:hint="eastAsia"/>
          <w:kern w:val="2"/>
          <w:sz w:val="24"/>
        </w:rPr>
        <w:t>米。</w:t>
      </w:r>
    </w:p>
    <w:p>
      <w:pPr>
        <w:pStyle w:val="65"/>
        <w:spacing w:line="480" w:lineRule="exact"/>
        <w:ind w:left="0" w:firstLine="480" w:firstLineChars="200"/>
        <w:jc w:val="both"/>
        <w:rPr>
          <w:kern w:val="2"/>
          <w:sz w:val="24"/>
        </w:rPr>
      </w:pPr>
      <w:r>
        <w:rPr>
          <w:rFonts w:hint="eastAsia"/>
          <w:kern w:val="2"/>
          <w:sz w:val="24"/>
        </w:rPr>
        <w:t>综上所述，本项目选址可行。</w:t>
      </w:r>
    </w:p>
    <w:p>
      <w:pPr>
        <w:pStyle w:val="4"/>
        <w:spacing w:before="120" w:beforeLines="50" w:after="120" w:afterLines="50" w:line="480" w:lineRule="exact"/>
        <w:rPr>
          <w:rFonts w:ascii="Times New Roman" w:hAnsi="Times New Roman" w:eastAsia="黑体"/>
          <w:kern w:val="2"/>
          <w:sz w:val="28"/>
          <w:szCs w:val="32"/>
        </w:rPr>
      </w:pPr>
      <w:bookmarkStart w:id="53" w:name="_Toc28603"/>
      <w:r>
        <w:rPr>
          <w:rFonts w:ascii="Times New Roman" w:hAnsi="Times New Roman" w:eastAsia="黑体"/>
          <w:kern w:val="2"/>
          <w:sz w:val="28"/>
          <w:szCs w:val="32"/>
        </w:rPr>
        <w:t>与《危险废物贮存污染控制标准》（GB18597-2001）及修改单符合性</w:t>
      </w:r>
      <w:bookmarkEnd w:id="53"/>
    </w:p>
    <w:p>
      <w:pPr>
        <w:pStyle w:val="155"/>
        <w:spacing w:line="480" w:lineRule="exact"/>
        <w:ind w:firstLine="480"/>
        <w:rPr>
          <w:szCs w:val="24"/>
        </w:rPr>
      </w:pPr>
      <w:r>
        <w:rPr>
          <w:szCs w:val="24"/>
        </w:rPr>
        <w:t>本项目与《危险废物贮存污染控制标准》（GB18597-2001）及修改单符合性分析见表1.4-1。</w:t>
      </w:r>
    </w:p>
    <w:p>
      <w:pPr>
        <w:pStyle w:val="155"/>
        <w:spacing w:line="480" w:lineRule="exact"/>
        <w:ind w:firstLine="0" w:firstLineChars="0"/>
        <w:jc w:val="center"/>
        <w:rPr>
          <w:b/>
          <w:sz w:val="21"/>
          <w:szCs w:val="21"/>
        </w:rPr>
      </w:pPr>
      <w:r>
        <w:rPr>
          <w:b/>
          <w:sz w:val="21"/>
          <w:szCs w:val="21"/>
        </w:rPr>
        <w:t>表1.4-1 与《危险废物贮存污染控制标准》（GB18597-2001）及修改单符合性一览表</w:t>
      </w:r>
    </w:p>
    <w:tbl>
      <w:tblPr>
        <w:tblStyle w:val="7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346"/>
        <w:gridCol w:w="4217"/>
        <w:gridCol w:w="96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261" w:type="dxa"/>
            <w:vAlign w:val="center"/>
          </w:tcPr>
          <w:p>
            <w:pPr>
              <w:spacing w:line="280" w:lineRule="exact"/>
              <w:jc w:val="center"/>
              <w:rPr>
                <w:rFonts w:ascii="Times New Roman" w:hAnsi="Times New Roman"/>
                <w:b/>
              </w:rPr>
            </w:pPr>
            <w:r>
              <w:rPr>
                <w:rFonts w:ascii="Times New Roman" w:hAnsi="Times New Roman"/>
                <w:b/>
              </w:rPr>
              <w:t>《危险废物贮存污染控制标准》（GB18597-2001）及修改单</w:t>
            </w:r>
          </w:p>
        </w:tc>
        <w:tc>
          <w:tcPr>
            <w:tcW w:w="4110" w:type="dxa"/>
            <w:vAlign w:val="center"/>
          </w:tcPr>
          <w:p>
            <w:pPr>
              <w:spacing w:line="280" w:lineRule="exact"/>
              <w:jc w:val="center"/>
              <w:rPr>
                <w:rFonts w:ascii="Times New Roman" w:hAnsi="Times New Roman"/>
                <w:b/>
              </w:rPr>
            </w:pPr>
            <w:r>
              <w:rPr>
                <w:rFonts w:ascii="Times New Roman" w:hAnsi="Times New Roman"/>
                <w:b/>
              </w:rPr>
              <w:t>本项目情况</w:t>
            </w:r>
          </w:p>
        </w:tc>
        <w:tc>
          <w:tcPr>
            <w:tcW w:w="941" w:type="dxa"/>
            <w:vAlign w:val="center"/>
          </w:tcPr>
          <w:p>
            <w:pPr>
              <w:spacing w:line="280" w:lineRule="exact"/>
              <w:jc w:val="center"/>
              <w:rPr>
                <w:rFonts w:ascii="Times New Roman" w:hAnsi="Times New Roman"/>
                <w:b/>
              </w:rPr>
            </w:pPr>
            <w:r>
              <w:rPr>
                <w:rFonts w:ascii="Times New Roman" w:hAnsi="Times New Roman"/>
                <w:b/>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261" w:type="dxa"/>
            <w:vAlign w:val="center"/>
          </w:tcPr>
          <w:p>
            <w:pPr>
              <w:spacing w:line="280" w:lineRule="exact"/>
              <w:jc w:val="center"/>
              <w:rPr>
                <w:rFonts w:ascii="Times New Roman" w:hAnsi="Times New Roman"/>
              </w:rPr>
            </w:pPr>
            <w:r>
              <w:rPr>
                <w:rFonts w:ascii="Times New Roman" w:hAnsi="Times New Roman"/>
              </w:rPr>
              <w:t>地质结构稳定，地震烈度</w:t>
            </w:r>
          </w:p>
          <w:p>
            <w:pPr>
              <w:spacing w:line="280" w:lineRule="exact"/>
              <w:jc w:val="center"/>
              <w:rPr>
                <w:rFonts w:ascii="Times New Roman" w:hAnsi="Times New Roman"/>
              </w:rPr>
            </w:pPr>
            <w:r>
              <w:rPr>
                <w:rFonts w:ascii="Times New Roman" w:hAnsi="Times New Roman"/>
              </w:rPr>
              <w:t>不超过7度的区域内</w:t>
            </w:r>
          </w:p>
        </w:tc>
        <w:tc>
          <w:tcPr>
            <w:tcW w:w="4110" w:type="dxa"/>
            <w:vAlign w:val="center"/>
          </w:tcPr>
          <w:p>
            <w:pPr>
              <w:spacing w:line="280" w:lineRule="exact"/>
              <w:jc w:val="center"/>
              <w:rPr>
                <w:rFonts w:ascii="Times New Roman" w:hAnsi="Times New Roman"/>
              </w:rPr>
            </w:pPr>
            <w:r>
              <w:rPr>
                <w:rFonts w:ascii="Times New Roman" w:hAnsi="Times New Roman"/>
              </w:rPr>
              <w:t>根据中国地震烈度区划，本项目所在地区为地震烈度6度区域</w:t>
            </w:r>
          </w:p>
        </w:tc>
        <w:tc>
          <w:tcPr>
            <w:tcW w:w="941" w:type="dxa"/>
            <w:vAlign w:val="center"/>
          </w:tcPr>
          <w:p>
            <w:pPr>
              <w:spacing w:line="280" w:lineRule="exact"/>
              <w:jc w:val="center"/>
              <w:rPr>
                <w:rFonts w:ascii="Times New Roman" w:hAnsi="Times New Roman"/>
              </w:rPr>
            </w:pPr>
            <w:r>
              <w:rPr>
                <w:rFonts w:ascii="Times New Roman" w:hAnsi="Times New Roma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261" w:type="dxa"/>
            <w:vAlign w:val="center"/>
          </w:tcPr>
          <w:p>
            <w:pPr>
              <w:spacing w:line="280" w:lineRule="exact"/>
              <w:jc w:val="center"/>
              <w:rPr>
                <w:rFonts w:ascii="Times New Roman" w:hAnsi="Times New Roman"/>
              </w:rPr>
            </w:pPr>
            <w:r>
              <w:rPr>
                <w:rFonts w:ascii="Times New Roman" w:hAnsi="Times New Roman"/>
              </w:rPr>
              <w:t>设施底部必须高于地下水最高水位</w:t>
            </w:r>
          </w:p>
        </w:tc>
        <w:tc>
          <w:tcPr>
            <w:tcW w:w="4110" w:type="dxa"/>
            <w:vAlign w:val="center"/>
          </w:tcPr>
          <w:p>
            <w:pPr>
              <w:spacing w:line="280" w:lineRule="exact"/>
              <w:jc w:val="center"/>
              <w:rPr>
                <w:rFonts w:ascii="Times New Roman" w:hAnsi="Times New Roman"/>
              </w:rPr>
            </w:pPr>
            <w:r>
              <w:rPr>
                <w:rFonts w:ascii="Times New Roman" w:hAnsi="Times New Roman"/>
              </w:rPr>
              <w:t>本项目灭菌车间和危险废物暂存间</w:t>
            </w:r>
          </w:p>
          <w:p>
            <w:pPr>
              <w:spacing w:line="280" w:lineRule="exact"/>
              <w:jc w:val="center"/>
              <w:rPr>
                <w:rFonts w:ascii="Times New Roman" w:hAnsi="Times New Roman"/>
              </w:rPr>
            </w:pPr>
            <w:r>
              <w:rPr>
                <w:rFonts w:ascii="Times New Roman" w:hAnsi="Times New Roman"/>
              </w:rPr>
              <w:t>位于地上，</w:t>
            </w:r>
            <w:r>
              <w:rPr>
                <w:rFonts w:hint="eastAsia" w:ascii="Times New Roman" w:hAnsi="Times New Roman"/>
              </w:rPr>
              <w:t>地下水最高水位是213m，地表高程是230m，</w:t>
            </w:r>
            <w:r>
              <w:rPr>
                <w:rFonts w:ascii="Times New Roman" w:hAnsi="Times New Roman"/>
              </w:rPr>
              <w:t>高于地下水最高水位</w:t>
            </w:r>
          </w:p>
        </w:tc>
        <w:tc>
          <w:tcPr>
            <w:tcW w:w="941" w:type="dxa"/>
            <w:vAlign w:val="center"/>
          </w:tcPr>
          <w:p>
            <w:pPr>
              <w:jc w:val="center"/>
              <w:rPr>
                <w:rFonts w:ascii="Times New Roman" w:hAnsi="Times New Roman"/>
              </w:rPr>
            </w:pPr>
            <w:r>
              <w:rPr>
                <w:rFonts w:ascii="Times New Roman" w:hAnsi="Times New Roma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261" w:type="dxa"/>
            <w:vAlign w:val="center"/>
          </w:tcPr>
          <w:p>
            <w:pPr>
              <w:spacing w:line="280" w:lineRule="exact"/>
              <w:jc w:val="center"/>
              <w:rPr>
                <w:rFonts w:ascii="Times New Roman" w:hAnsi="Times New Roman"/>
              </w:rPr>
            </w:pPr>
            <w:r>
              <w:rPr>
                <w:rFonts w:ascii="Times New Roman" w:hAnsi="Times New Roman"/>
              </w:rPr>
              <w:t>应依据环境影响评价结论确定危险废物集中贮存设施的位置及其与周围人群的距离，并经具有审批权的环境保护行政主管部门批准，并可作为规划控制的依据</w:t>
            </w:r>
          </w:p>
        </w:tc>
        <w:tc>
          <w:tcPr>
            <w:tcW w:w="4110" w:type="dxa"/>
            <w:vAlign w:val="center"/>
          </w:tcPr>
          <w:p>
            <w:pPr>
              <w:spacing w:line="280" w:lineRule="exact"/>
              <w:jc w:val="center"/>
              <w:rPr>
                <w:rFonts w:ascii="Times New Roman" w:hAnsi="Times New Roman"/>
              </w:rPr>
            </w:pPr>
            <w:r>
              <w:rPr>
                <w:rFonts w:hint="eastAsia" w:ascii="Times New Roman" w:hAnsi="Times New Roman"/>
              </w:rPr>
              <w:t>厂界周围2400m范围内无居民区</w:t>
            </w:r>
          </w:p>
        </w:tc>
        <w:tc>
          <w:tcPr>
            <w:tcW w:w="941" w:type="dxa"/>
            <w:vAlign w:val="center"/>
          </w:tcPr>
          <w:p>
            <w:pPr>
              <w:jc w:val="center"/>
              <w:rPr>
                <w:rFonts w:ascii="Times New Roman" w:hAnsi="Times New Roman"/>
              </w:rPr>
            </w:pPr>
            <w:r>
              <w:rPr>
                <w:rFonts w:ascii="Times New Roman" w:hAnsi="Times New Roma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261" w:type="dxa"/>
            <w:vAlign w:val="center"/>
          </w:tcPr>
          <w:p>
            <w:pPr>
              <w:spacing w:line="280" w:lineRule="exact"/>
              <w:jc w:val="center"/>
              <w:rPr>
                <w:rFonts w:ascii="Times New Roman" w:hAnsi="Times New Roman"/>
              </w:rPr>
            </w:pPr>
            <w:r>
              <w:rPr>
                <w:rFonts w:ascii="Times New Roman" w:hAnsi="Times New Roman"/>
              </w:rPr>
              <w:t>应避免建在溶洞区或易遭受严重自然灾害如洪水、滑坡，泥石流、潮汐等影响的地区</w:t>
            </w:r>
          </w:p>
        </w:tc>
        <w:tc>
          <w:tcPr>
            <w:tcW w:w="4110" w:type="dxa"/>
            <w:vAlign w:val="center"/>
          </w:tcPr>
          <w:p>
            <w:pPr>
              <w:spacing w:line="280" w:lineRule="exact"/>
              <w:jc w:val="center"/>
              <w:rPr>
                <w:rFonts w:ascii="Times New Roman" w:hAnsi="Times New Roman"/>
              </w:rPr>
            </w:pPr>
            <w:r>
              <w:rPr>
                <w:rFonts w:ascii="Times New Roman" w:hAnsi="Times New Roman"/>
              </w:rPr>
              <w:t>本项目</w:t>
            </w:r>
            <w:r>
              <w:rPr>
                <w:rFonts w:hint="eastAsia" w:ascii="Times New Roman" w:hAnsi="Times New Roman"/>
              </w:rPr>
              <w:t>不属于</w:t>
            </w:r>
            <w:r>
              <w:rPr>
                <w:rFonts w:ascii="Times New Roman" w:hAnsi="Times New Roman"/>
              </w:rPr>
              <w:t>溶洞区、易遭受严重自然灾害的地区</w:t>
            </w:r>
          </w:p>
        </w:tc>
        <w:tc>
          <w:tcPr>
            <w:tcW w:w="941" w:type="dxa"/>
            <w:vAlign w:val="center"/>
          </w:tcPr>
          <w:p>
            <w:pPr>
              <w:jc w:val="center"/>
              <w:rPr>
                <w:rFonts w:ascii="Times New Roman" w:hAnsi="Times New Roman"/>
              </w:rPr>
            </w:pPr>
            <w:r>
              <w:rPr>
                <w:rFonts w:ascii="Times New Roman" w:hAnsi="Times New Roma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261" w:type="dxa"/>
            <w:vAlign w:val="center"/>
          </w:tcPr>
          <w:p>
            <w:pPr>
              <w:spacing w:line="280" w:lineRule="exact"/>
              <w:jc w:val="center"/>
              <w:rPr>
                <w:rFonts w:ascii="Times New Roman" w:hAnsi="Times New Roman"/>
              </w:rPr>
            </w:pPr>
            <w:r>
              <w:rPr>
                <w:rFonts w:ascii="Times New Roman" w:hAnsi="Times New Roman"/>
              </w:rPr>
              <w:t>应建在易燃、易爆等危险品仓库、高压输电线路防护区域以外</w:t>
            </w:r>
          </w:p>
        </w:tc>
        <w:tc>
          <w:tcPr>
            <w:tcW w:w="4110" w:type="dxa"/>
            <w:vAlign w:val="center"/>
          </w:tcPr>
          <w:p>
            <w:pPr>
              <w:spacing w:line="280" w:lineRule="exact"/>
              <w:jc w:val="center"/>
              <w:rPr>
                <w:rFonts w:ascii="Times New Roman" w:hAnsi="Times New Roman"/>
              </w:rPr>
            </w:pPr>
            <w:r>
              <w:rPr>
                <w:rFonts w:hint="eastAsia" w:ascii="Times New Roman" w:hAnsi="Times New Roman"/>
              </w:rPr>
              <w:t>厂址评价范围内无</w:t>
            </w:r>
            <w:r>
              <w:rPr>
                <w:rFonts w:ascii="Times New Roman" w:hAnsi="Times New Roman"/>
              </w:rPr>
              <w:t>易燃、易爆等危险品仓库、高压输电线路防护区域</w:t>
            </w:r>
          </w:p>
        </w:tc>
        <w:tc>
          <w:tcPr>
            <w:tcW w:w="941" w:type="dxa"/>
            <w:vAlign w:val="center"/>
          </w:tcPr>
          <w:p>
            <w:pPr>
              <w:jc w:val="center"/>
              <w:rPr>
                <w:rFonts w:ascii="Times New Roman" w:hAnsi="Times New Roman"/>
              </w:rPr>
            </w:pPr>
            <w:r>
              <w:rPr>
                <w:rFonts w:ascii="Times New Roman" w:hAnsi="Times New Roma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261" w:type="dxa"/>
            <w:vAlign w:val="center"/>
          </w:tcPr>
          <w:p>
            <w:pPr>
              <w:spacing w:line="280" w:lineRule="exact"/>
              <w:jc w:val="center"/>
              <w:rPr>
                <w:rFonts w:ascii="Times New Roman" w:hAnsi="Times New Roman"/>
              </w:rPr>
            </w:pPr>
            <w:r>
              <w:rPr>
                <w:rFonts w:ascii="Times New Roman" w:hAnsi="Times New Roman"/>
              </w:rPr>
              <w:t>应位于居民中心区常年最大风频</w:t>
            </w:r>
          </w:p>
          <w:p>
            <w:pPr>
              <w:spacing w:line="280" w:lineRule="exact"/>
              <w:jc w:val="center"/>
              <w:rPr>
                <w:rFonts w:ascii="Times New Roman" w:hAnsi="Times New Roman"/>
              </w:rPr>
            </w:pPr>
            <w:r>
              <w:rPr>
                <w:rFonts w:ascii="Times New Roman" w:hAnsi="Times New Roman"/>
              </w:rPr>
              <w:t>的下风向</w:t>
            </w:r>
          </w:p>
        </w:tc>
        <w:tc>
          <w:tcPr>
            <w:tcW w:w="4110" w:type="dxa"/>
            <w:vAlign w:val="center"/>
          </w:tcPr>
          <w:p>
            <w:pPr>
              <w:spacing w:line="280" w:lineRule="exact"/>
              <w:jc w:val="center"/>
              <w:rPr>
                <w:rFonts w:ascii="Times New Roman" w:hAnsi="Times New Roman"/>
              </w:rPr>
            </w:pPr>
            <w:r>
              <w:rPr>
                <w:rFonts w:ascii="Times New Roman" w:hAnsi="Times New Roman"/>
              </w:rPr>
              <w:t>双鸭山市居民中心区常年最大风频为西南风，本项目位于双鸭山市</w:t>
            </w:r>
            <w:r>
              <w:rPr>
                <w:rFonts w:hint="eastAsia" w:ascii="Times New Roman" w:hAnsi="Times New Roman"/>
              </w:rPr>
              <w:t>最近</w:t>
            </w:r>
            <w:r>
              <w:rPr>
                <w:rFonts w:ascii="Times New Roman" w:hAnsi="Times New Roman"/>
              </w:rPr>
              <w:t>主城区</w:t>
            </w:r>
            <w:r>
              <w:rPr>
                <w:rFonts w:hint="eastAsia" w:ascii="Times New Roman" w:hAnsi="Times New Roman"/>
              </w:rPr>
              <w:t>四方台区</w:t>
            </w:r>
            <w:r>
              <w:rPr>
                <w:rFonts w:ascii="Times New Roman" w:hAnsi="Times New Roman"/>
              </w:rPr>
              <w:t>北侧</w:t>
            </w:r>
            <w:r>
              <w:rPr>
                <w:rFonts w:hint="eastAsia" w:ascii="Times New Roman" w:hAnsi="Times New Roman"/>
              </w:rPr>
              <w:t>，距离为3.5km</w:t>
            </w:r>
            <w:r>
              <w:rPr>
                <w:rFonts w:ascii="Times New Roman" w:hAnsi="Times New Roman"/>
              </w:rPr>
              <w:t>，为居民中心区常年最大风频的下风向</w:t>
            </w:r>
          </w:p>
        </w:tc>
        <w:tc>
          <w:tcPr>
            <w:tcW w:w="941" w:type="dxa"/>
            <w:vAlign w:val="center"/>
          </w:tcPr>
          <w:p>
            <w:pPr>
              <w:jc w:val="center"/>
              <w:rPr>
                <w:rFonts w:ascii="Times New Roman" w:hAnsi="Times New Roman"/>
              </w:rPr>
            </w:pPr>
            <w:r>
              <w:rPr>
                <w:rFonts w:ascii="Times New Roman" w:hAnsi="Times New Roman"/>
              </w:rPr>
              <w:t>符合</w:t>
            </w:r>
          </w:p>
        </w:tc>
      </w:tr>
    </w:tbl>
    <w:p>
      <w:pPr>
        <w:pStyle w:val="155"/>
        <w:spacing w:line="480" w:lineRule="exact"/>
        <w:ind w:firstLine="480"/>
        <w:rPr>
          <w:szCs w:val="24"/>
        </w:rPr>
      </w:pPr>
      <w:r>
        <w:rPr>
          <w:szCs w:val="24"/>
        </w:rPr>
        <w:t>综上，本项目符合《危险废物贮存污染控制标准》（GB18597-2001）及修改单选址要求。</w:t>
      </w:r>
    </w:p>
    <w:p>
      <w:pPr>
        <w:pStyle w:val="4"/>
        <w:spacing w:before="120" w:beforeLines="50" w:after="120" w:afterLines="50" w:line="480" w:lineRule="exact"/>
        <w:rPr>
          <w:rFonts w:ascii="Times New Roman" w:hAnsi="Times New Roman" w:eastAsia="黑体"/>
          <w:kern w:val="2"/>
          <w:sz w:val="28"/>
          <w:szCs w:val="32"/>
        </w:rPr>
      </w:pPr>
      <w:bookmarkStart w:id="54" w:name="_Toc5706"/>
      <w:bookmarkStart w:id="55" w:name="_Toc5606"/>
      <w:bookmarkStart w:id="56" w:name="_Toc5967"/>
      <w:bookmarkStart w:id="57" w:name="_Toc20558"/>
      <w:bookmarkStart w:id="58" w:name="_Toc31916"/>
      <w:bookmarkStart w:id="59" w:name="_Toc26187973"/>
      <w:bookmarkStart w:id="60" w:name="_Toc27134249"/>
      <w:r>
        <w:rPr>
          <w:rFonts w:ascii="Times New Roman" w:hAnsi="Times New Roman" w:eastAsia="黑体"/>
          <w:kern w:val="2"/>
          <w:sz w:val="28"/>
          <w:szCs w:val="32"/>
        </w:rPr>
        <w:t>与《危险废物收集、贮存、运输技术规范》符合性</w:t>
      </w:r>
      <w:bookmarkEnd w:id="54"/>
      <w:bookmarkEnd w:id="55"/>
      <w:bookmarkEnd w:id="56"/>
      <w:bookmarkEnd w:id="57"/>
      <w:bookmarkEnd w:id="58"/>
    </w:p>
    <w:p>
      <w:pPr>
        <w:pStyle w:val="155"/>
        <w:spacing w:line="480" w:lineRule="exact"/>
        <w:ind w:firstLine="480"/>
        <w:rPr>
          <w:szCs w:val="24"/>
        </w:rPr>
      </w:pPr>
      <w:r>
        <w:rPr>
          <w:szCs w:val="24"/>
        </w:rPr>
        <w:t>本项目与《危险废物收集、贮存、运输技术规范》（HJ2025-2012）符合性分析见表1.4-2。</w:t>
      </w:r>
    </w:p>
    <w:p>
      <w:pPr>
        <w:pStyle w:val="155"/>
        <w:spacing w:line="480" w:lineRule="exact"/>
        <w:ind w:firstLine="0" w:firstLineChars="0"/>
        <w:jc w:val="center"/>
        <w:rPr>
          <w:b/>
          <w:sz w:val="21"/>
          <w:szCs w:val="21"/>
        </w:rPr>
      </w:pPr>
      <w:r>
        <w:rPr>
          <w:b/>
          <w:sz w:val="21"/>
          <w:szCs w:val="21"/>
        </w:rPr>
        <w:t>表1.4-2 与《危险废物收集、贮存、运输技术规范》符合性一览表</w:t>
      </w:r>
    </w:p>
    <w:tbl>
      <w:tblPr>
        <w:tblStyle w:val="7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483"/>
        <w:gridCol w:w="4021"/>
        <w:gridCol w:w="102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484" w:type="dxa"/>
            <w:vAlign w:val="center"/>
          </w:tcPr>
          <w:p>
            <w:pPr>
              <w:spacing w:line="280" w:lineRule="exact"/>
              <w:jc w:val="center"/>
              <w:rPr>
                <w:rFonts w:ascii="Times New Roman" w:hAnsi="Times New Roman"/>
                <w:b/>
              </w:rPr>
            </w:pPr>
            <w:r>
              <w:rPr>
                <w:rFonts w:ascii="Times New Roman" w:hAnsi="Times New Roman"/>
                <w:b/>
              </w:rPr>
              <w:t>《危险废物收集、贮存、运输</w:t>
            </w:r>
          </w:p>
          <w:p>
            <w:pPr>
              <w:spacing w:line="280" w:lineRule="exact"/>
              <w:jc w:val="center"/>
              <w:rPr>
                <w:rFonts w:ascii="Times New Roman" w:hAnsi="Times New Roman"/>
                <w:b/>
              </w:rPr>
            </w:pPr>
            <w:r>
              <w:rPr>
                <w:rFonts w:ascii="Times New Roman" w:hAnsi="Times New Roman"/>
                <w:b/>
              </w:rPr>
              <w:t>技术规范》（HJ2025-2012）</w:t>
            </w:r>
          </w:p>
        </w:tc>
        <w:tc>
          <w:tcPr>
            <w:tcW w:w="4024" w:type="dxa"/>
            <w:vAlign w:val="center"/>
          </w:tcPr>
          <w:p>
            <w:pPr>
              <w:spacing w:line="280" w:lineRule="exact"/>
              <w:jc w:val="center"/>
              <w:rPr>
                <w:rFonts w:ascii="Times New Roman" w:hAnsi="Times New Roman"/>
                <w:b/>
              </w:rPr>
            </w:pPr>
            <w:r>
              <w:rPr>
                <w:rFonts w:ascii="Times New Roman" w:hAnsi="Times New Roman"/>
                <w:b/>
              </w:rPr>
              <w:t>本项目情况</w:t>
            </w:r>
          </w:p>
        </w:tc>
        <w:tc>
          <w:tcPr>
            <w:tcW w:w="1020" w:type="dxa"/>
            <w:vAlign w:val="center"/>
          </w:tcPr>
          <w:p>
            <w:pPr>
              <w:spacing w:line="280" w:lineRule="exact"/>
              <w:jc w:val="center"/>
              <w:rPr>
                <w:rFonts w:ascii="Times New Roman" w:hAnsi="Times New Roman"/>
                <w:b/>
              </w:rPr>
            </w:pPr>
            <w:r>
              <w:rPr>
                <w:rFonts w:ascii="Times New Roman" w:hAnsi="Times New Roman"/>
                <w:b/>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484" w:type="dxa"/>
            <w:vAlign w:val="center"/>
          </w:tcPr>
          <w:p>
            <w:pPr>
              <w:spacing w:line="280" w:lineRule="exact"/>
              <w:jc w:val="center"/>
              <w:rPr>
                <w:rFonts w:ascii="Times New Roman" w:hAnsi="Times New Roman"/>
              </w:rPr>
            </w:pPr>
            <w:r>
              <w:rPr>
                <w:rFonts w:ascii="Times New Roman" w:hAnsi="Times New Roman"/>
              </w:rPr>
              <w:t>危险废物转移过程应按《危险废物</w:t>
            </w:r>
          </w:p>
          <w:p>
            <w:pPr>
              <w:spacing w:line="280" w:lineRule="exact"/>
              <w:jc w:val="center"/>
              <w:rPr>
                <w:rFonts w:ascii="Times New Roman" w:hAnsi="Times New Roman"/>
              </w:rPr>
            </w:pPr>
            <w:r>
              <w:rPr>
                <w:rFonts w:ascii="Times New Roman" w:hAnsi="Times New Roman"/>
              </w:rPr>
              <w:t>转移联单管理办法》执行</w:t>
            </w:r>
          </w:p>
        </w:tc>
        <w:tc>
          <w:tcPr>
            <w:tcW w:w="4024" w:type="dxa"/>
            <w:vAlign w:val="center"/>
          </w:tcPr>
          <w:p>
            <w:pPr>
              <w:spacing w:line="280" w:lineRule="exact"/>
              <w:jc w:val="center"/>
              <w:rPr>
                <w:rFonts w:ascii="Times New Roman" w:hAnsi="Times New Roman"/>
              </w:rPr>
            </w:pPr>
            <w:r>
              <w:rPr>
                <w:rFonts w:ascii="Times New Roman" w:hAnsi="Times New Roman"/>
              </w:rPr>
              <w:t>本项目生产过程中按照《危险废物转移</w:t>
            </w:r>
          </w:p>
          <w:p>
            <w:pPr>
              <w:spacing w:line="280" w:lineRule="exact"/>
              <w:jc w:val="center"/>
              <w:rPr>
                <w:rFonts w:ascii="Times New Roman" w:hAnsi="Times New Roman"/>
              </w:rPr>
            </w:pPr>
            <w:r>
              <w:rPr>
                <w:rFonts w:ascii="Times New Roman" w:hAnsi="Times New Roman"/>
              </w:rPr>
              <w:t>联单管理办法》进行危险废物转移</w:t>
            </w:r>
            <w:r>
              <w:rPr>
                <w:rFonts w:hint="eastAsia" w:ascii="Times New Roman" w:hAnsi="Times New Roman"/>
              </w:rPr>
              <w:t>，危险废物包装和运输由本项目负责，运输过程中应</w:t>
            </w:r>
            <w:r>
              <w:rPr>
                <w:rFonts w:ascii="Times New Roman" w:hAnsi="Times New Roman"/>
              </w:rPr>
              <w:t>当如实填写联单的运输单位栏目，按照国家有关危险物品运输的规定，将危险废物安全运抵联单载明的接受地点，并将联单第一联、第二联副联、第三联、第四联、第五联随转移的危险废物交付危险废物接受单位</w:t>
            </w:r>
          </w:p>
        </w:tc>
        <w:tc>
          <w:tcPr>
            <w:tcW w:w="1020" w:type="dxa"/>
            <w:vAlign w:val="center"/>
          </w:tcPr>
          <w:p>
            <w:pPr>
              <w:jc w:val="center"/>
              <w:rPr>
                <w:rFonts w:ascii="Times New Roman" w:hAnsi="Times New Roman"/>
              </w:rPr>
            </w:pPr>
            <w:r>
              <w:rPr>
                <w:rFonts w:ascii="Times New Roman" w:hAnsi="Times New Roma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484" w:type="dxa"/>
            <w:vAlign w:val="center"/>
          </w:tcPr>
          <w:p>
            <w:pPr>
              <w:spacing w:line="280" w:lineRule="exact"/>
              <w:jc w:val="center"/>
              <w:rPr>
                <w:rFonts w:ascii="Times New Roman" w:hAnsi="Times New Roman"/>
              </w:rPr>
            </w:pPr>
            <w:r>
              <w:rPr>
                <w:rFonts w:ascii="Times New Roman" w:hAnsi="Times New Roman"/>
              </w:rPr>
              <w:t>危险废物收集、贮存、运输单位应建立规范的管理和技术人员培训制度，定期针对管理和技术人员进行培训。培训内容至少应包括危险废物鉴别要求、危险废物经营许可证管理、危险废物转移联单管理、危险废物包装和标识、危险废物运输要求、危险废物事故应急方法等</w:t>
            </w:r>
          </w:p>
        </w:tc>
        <w:tc>
          <w:tcPr>
            <w:tcW w:w="4024" w:type="dxa"/>
            <w:vAlign w:val="center"/>
          </w:tcPr>
          <w:p>
            <w:pPr>
              <w:spacing w:line="280" w:lineRule="exact"/>
              <w:jc w:val="center"/>
              <w:rPr>
                <w:rFonts w:ascii="Times New Roman" w:hAnsi="Times New Roman"/>
              </w:rPr>
            </w:pPr>
            <w:r>
              <w:rPr>
                <w:rFonts w:ascii="Times New Roman" w:hAnsi="Times New Roman"/>
              </w:rPr>
              <w:t>本项目建立规范的管理和培训制度，设</w:t>
            </w:r>
          </w:p>
          <w:p>
            <w:pPr>
              <w:spacing w:line="280" w:lineRule="exact"/>
              <w:jc w:val="center"/>
              <w:rPr>
                <w:rFonts w:ascii="Times New Roman" w:hAnsi="Times New Roman"/>
              </w:rPr>
            </w:pPr>
            <w:r>
              <w:rPr>
                <w:rFonts w:ascii="Times New Roman" w:hAnsi="Times New Roman"/>
              </w:rPr>
              <w:t>专人负责危险废物收集、贮存、运输工作，定期对相关人员进行培训和考核</w:t>
            </w:r>
          </w:p>
        </w:tc>
        <w:tc>
          <w:tcPr>
            <w:tcW w:w="1020" w:type="dxa"/>
            <w:vAlign w:val="center"/>
          </w:tcPr>
          <w:p>
            <w:pPr>
              <w:jc w:val="center"/>
              <w:rPr>
                <w:rFonts w:ascii="Times New Roman" w:hAnsi="Times New Roman"/>
              </w:rPr>
            </w:pPr>
            <w:r>
              <w:rPr>
                <w:rFonts w:ascii="Times New Roman" w:hAnsi="Times New Roma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484" w:type="dxa"/>
            <w:vAlign w:val="center"/>
          </w:tcPr>
          <w:p>
            <w:pPr>
              <w:spacing w:line="280" w:lineRule="exact"/>
              <w:jc w:val="center"/>
              <w:rPr>
                <w:rFonts w:ascii="Times New Roman" w:hAnsi="Times New Roman"/>
              </w:rPr>
            </w:pPr>
            <w:r>
              <w:rPr>
                <w:rFonts w:ascii="Times New Roman" w:hAnsi="Times New Roman"/>
              </w:rPr>
              <w:t>危险废物收集、贮存、运输时应按腐蚀性、毒性、易燃性、反应性和感染性等危险特性对危险废物进行</w:t>
            </w:r>
            <w:r>
              <w:rPr>
                <w:rFonts w:hint="eastAsia" w:ascii="Times New Roman" w:hAnsi="Times New Roman"/>
              </w:rPr>
              <w:t>分类</w:t>
            </w:r>
            <w:r>
              <w:rPr>
                <w:rFonts w:ascii="Times New Roman" w:hAnsi="Times New Roman"/>
              </w:rPr>
              <w:t>包装并设置相应的标志和标签</w:t>
            </w:r>
          </w:p>
        </w:tc>
        <w:tc>
          <w:tcPr>
            <w:tcW w:w="4024" w:type="dxa"/>
            <w:vAlign w:val="center"/>
          </w:tcPr>
          <w:p>
            <w:pPr>
              <w:widowControl/>
              <w:kinsoku w:val="0"/>
              <w:autoSpaceDE w:val="0"/>
              <w:autoSpaceDN w:val="0"/>
              <w:adjustRightInd w:val="0"/>
              <w:snapToGrid w:val="0"/>
              <w:jc w:val="left"/>
              <w:textAlignment w:val="baseline"/>
              <w:rPr>
                <w:rFonts w:ascii="Arial" w:hAnsi="Arial" w:cs="Arial"/>
              </w:rPr>
            </w:pPr>
            <w:r>
              <w:rPr>
                <w:rFonts w:hint="eastAsia" w:ascii="Times New Roman" w:hAnsi="Times New Roman"/>
              </w:rPr>
              <w:t>本项目针对《国家危险废物名录》（环境保护部令第39号）中医疗废物（废物类别HW01）中感染性废物（废物代码 831-001-01）和损伤性废物（废物代码 831-002-01）进行无害化处置。</w:t>
            </w:r>
            <w:r>
              <w:rPr>
                <w:rFonts w:ascii="Times New Roman" w:hAnsi="Times New Roman"/>
              </w:rPr>
              <w:t>本项目在收集、贮存、运输过程种采用不易破损、变形、老化的容器运装医疗废物，在装有废物的容器上贴注标签</w:t>
            </w:r>
            <w:r>
              <w:rPr>
                <w:rFonts w:hint="eastAsia" w:ascii="Times New Roman" w:hAnsi="Times New Roman"/>
              </w:rPr>
              <w:t>，分类承装。</w:t>
            </w:r>
          </w:p>
        </w:tc>
        <w:tc>
          <w:tcPr>
            <w:tcW w:w="1020" w:type="dxa"/>
            <w:vAlign w:val="center"/>
          </w:tcPr>
          <w:p>
            <w:pPr>
              <w:jc w:val="center"/>
              <w:rPr>
                <w:rFonts w:ascii="Times New Roman" w:hAnsi="Times New Roman"/>
              </w:rPr>
            </w:pPr>
            <w:r>
              <w:rPr>
                <w:rFonts w:ascii="Times New Roman" w:hAnsi="Times New Roman"/>
              </w:rPr>
              <w:t>符合</w:t>
            </w:r>
          </w:p>
        </w:tc>
      </w:tr>
    </w:tbl>
    <w:p>
      <w:pPr>
        <w:spacing w:line="500" w:lineRule="exact"/>
        <w:ind w:firstLine="480" w:firstLineChars="200"/>
        <w:rPr>
          <w:rFonts w:ascii="Times New Roman" w:hAnsi="Times New Roman"/>
        </w:rPr>
      </w:pPr>
      <w:r>
        <w:rPr>
          <w:rFonts w:ascii="Times New Roman" w:hAnsi="Times New Roman"/>
          <w:kern w:val="2"/>
          <w:sz w:val="24"/>
          <w:szCs w:val="24"/>
        </w:rPr>
        <w:t>综上，本项目符合《危险废物收集、贮存、运输技术规范》（HJ2025-2012）要求。</w:t>
      </w:r>
      <w:bookmarkStart w:id="61" w:name="_Toc2543"/>
      <w:bookmarkStart w:id="62" w:name="_Toc12288"/>
    </w:p>
    <w:p>
      <w:pPr>
        <w:pStyle w:val="4"/>
        <w:spacing w:before="120" w:beforeLines="50" w:after="120" w:afterLines="50" w:line="480" w:lineRule="exact"/>
        <w:rPr>
          <w:rFonts w:ascii="Times New Roman" w:hAnsi="Times New Roman" w:eastAsia="黑体"/>
          <w:kern w:val="2"/>
          <w:sz w:val="28"/>
          <w:szCs w:val="32"/>
        </w:rPr>
      </w:pPr>
      <w:bookmarkStart w:id="63" w:name="_Toc16451"/>
      <w:bookmarkStart w:id="64" w:name="_Toc13596"/>
      <w:bookmarkStart w:id="65" w:name="_Toc29455"/>
      <w:r>
        <w:rPr>
          <w:rFonts w:ascii="Times New Roman" w:hAnsi="Times New Roman" w:eastAsia="黑体"/>
          <w:kern w:val="2"/>
          <w:sz w:val="28"/>
          <w:szCs w:val="32"/>
        </w:rPr>
        <w:t>与《危险废物处置工程技术导则》符合性</w:t>
      </w:r>
      <w:bookmarkEnd w:id="63"/>
      <w:bookmarkEnd w:id="64"/>
      <w:bookmarkEnd w:id="65"/>
    </w:p>
    <w:p>
      <w:pPr>
        <w:pStyle w:val="155"/>
        <w:spacing w:line="480" w:lineRule="exact"/>
        <w:ind w:firstLine="480"/>
        <w:rPr>
          <w:szCs w:val="24"/>
        </w:rPr>
      </w:pPr>
      <w:r>
        <w:rPr>
          <w:szCs w:val="24"/>
        </w:rPr>
        <w:t>本项目与《危险废物处置工程技术导则》（HJ2025-2012）符合性分析见表1.4-3。</w:t>
      </w:r>
    </w:p>
    <w:p>
      <w:pPr>
        <w:pStyle w:val="155"/>
        <w:spacing w:line="480" w:lineRule="exact"/>
        <w:ind w:firstLine="0" w:firstLineChars="0"/>
        <w:jc w:val="center"/>
        <w:rPr>
          <w:b/>
          <w:sz w:val="21"/>
          <w:szCs w:val="21"/>
        </w:rPr>
      </w:pPr>
      <w:r>
        <w:rPr>
          <w:b/>
          <w:sz w:val="21"/>
          <w:szCs w:val="21"/>
        </w:rPr>
        <w:t>表1.4-3 与《危险废物处置工程技术导则》符合性一览表</w:t>
      </w:r>
    </w:p>
    <w:tbl>
      <w:tblPr>
        <w:tblStyle w:val="7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490"/>
        <w:gridCol w:w="4014"/>
        <w:gridCol w:w="102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402" w:type="dxa"/>
            <w:vAlign w:val="center"/>
          </w:tcPr>
          <w:p>
            <w:pPr>
              <w:spacing w:line="280" w:lineRule="exact"/>
              <w:jc w:val="center"/>
              <w:rPr>
                <w:rFonts w:ascii="Times New Roman" w:hAnsi="Times New Roman"/>
                <w:b/>
              </w:rPr>
            </w:pPr>
            <w:r>
              <w:rPr>
                <w:rFonts w:ascii="Times New Roman" w:hAnsi="Times New Roman"/>
                <w:b/>
              </w:rPr>
              <w:t>《危险废物处置工程技术导则》（HJ2025-2012）</w:t>
            </w:r>
          </w:p>
        </w:tc>
        <w:tc>
          <w:tcPr>
            <w:tcW w:w="3912" w:type="dxa"/>
            <w:vAlign w:val="center"/>
          </w:tcPr>
          <w:p>
            <w:pPr>
              <w:spacing w:line="280" w:lineRule="exact"/>
              <w:jc w:val="center"/>
              <w:rPr>
                <w:rFonts w:ascii="Times New Roman" w:hAnsi="Times New Roman"/>
                <w:b/>
              </w:rPr>
            </w:pPr>
            <w:r>
              <w:rPr>
                <w:rFonts w:ascii="Times New Roman" w:hAnsi="Times New Roman"/>
                <w:b/>
              </w:rPr>
              <w:t>本项目情况</w:t>
            </w:r>
          </w:p>
        </w:tc>
        <w:tc>
          <w:tcPr>
            <w:tcW w:w="998" w:type="dxa"/>
            <w:vAlign w:val="center"/>
          </w:tcPr>
          <w:p>
            <w:pPr>
              <w:spacing w:line="280" w:lineRule="exact"/>
              <w:jc w:val="center"/>
              <w:rPr>
                <w:rFonts w:ascii="Times New Roman" w:hAnsi="Times New Roman"/>
                <w:b/>
              </w:rPr>
            </w:pPr>
            <w:r>
              <w:rPr>
                <w:rFonts w:ascii="Times New Roman" w:hAnsi="Times New Roman"/>
                <w:b/>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402" w:type="dxa"/>
            <w:vAlign w:val="center"/>
          </w:tcPr>
          <w:p>
            <w:pPr>
              <w:spacing w:line="280" w:lineRule="exact"/>
              <w:jc w:val="center"/>
              <w:rPr>
                <w:rFonts w:ascii="Times New Roman" w:hAnsi="Times New Roman"/>
              </w:rPr>
            </w:pPr>
            <w:r>
              <w:rPr>
                <w:rFonts w:ascii="Times New Roman" w:hAnsi="Times New Roman"/>
              </w:rPr>
              <w:t>危险废物处置工程应满足中华人民共和国环境影响评价法、建设项目环保管理条例和建设项目竣工环保验收管理办法的要求</w:t>
            </w:r>
          </w:p>
        </w:tc>
        <w:tc>
          <w:tcPr>
            <w:tcW w:w="3912" w:type="dxa"/>
            <w:vAlign w:val="center"/>
          </w:tcPr>
          <w:p>
            <w:pPr>
              <w:spacing w:line="280" w:lineRule="exact"/>
              <w:jc w:val="center"/>
              <w:rPr>
                <w:rFonts w:ascii="Times New Roman" w:hAnsi="Times New Roman"/>
              </w:rPr>
            </w:pPr>
            <w:r>
              <w:rPr>
                <w:rFonts w:ascii="Times New Roman" w:hAnsi="Times New Roman"/>
              </w:rPr>
              <w:t>按</w:t>
            </w:r>
            <w:r>
              <w:rPr>
                <w:rFonts w:hint="eastAsia" w:ascii="Times New Roman" w:hAnsi="Times New Roman"/>
              </w:rPr>
              <w:t>《中华人民共和国环境影响评价法》（</w:t>
            </w:r>
            <w:r>
              <w:rPr>
                <w:rFonts w:ascii="Times New Roman" w:hAnsi="Times New Roman"/>
              </w:rPr>
              <w:t>2018.12.29施行</w:t>
            </w:r>
            <w:r>
              <w:rPr>
                <w:rFonts w:hint="eastAsia" w:ascii="Times New Roman" w:hAnsi="Times New Roman"/>
              </w:rPr>
              <w:t>）</w:t>
            </w:r>
            <w:r>
              <w:rPr>
                <w:rFonts w:ascii="Times New Roman" w:hAnsi="Times New Roman"/>
              </w:rPr>
              <w:t>依法履行环评；评价要求项目严格落实三同时制度，强化环境管理，</w:t>
            </w:r>
            <w:r>
              <w:rPr>
                <w:rFonts w:hint="eastAsia" w:ascii="Times New Roman" w:hAnsi="Times New Roman"/>
              </w:rPr>
              <w:t>投产运行后</w:t>
            </w:r>
            <w:r>
              <w:rPr>
                <w:rFonts w:ascii="Times New Roman" w:hAnsi="Times New Roman"/>
              </w:rPr>
              <w:t>及时开展竣工环保验收</w:t>
            </w:r>
          </w:p>
        </w:tc>
        <w:tc>
          <w:tcPr>
            <w:tcW w:w="998" w:type="dxa"/>
            <w:vAlign w:val="center"/>
          </w:tcPr>
          <w:p>
            <w:pPr>
              <w:jc w:val="center"/>
              <w:rPr>
                <w:rFonts w:ascii="Times New Roman" w:hAnsi="Times New Roman"/>
              </w:rPr>
            </w:pPr>
            <w:r>
              <w:rPr>
                <w:rFonts w:ascii="Times New Roman" w:hAnsi="Times New Roma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402" w:type="dxa"/>
            <w:vAlign w:val="center"/>
          </w:tcPr>
          <w:p>
            <w:pPr>
              <w:spacing w:line="280" w:lineRule="exact"/>
              <w:jc w:val="center"/>
              <w:rPr>
                <w:rFonts w:ascii="Times New Roman" w:hAnsi="Times New Roman"/>
              </w:rPr>
            </w:pPr>
            <w:r>
              <w:rPr>
                <w:rFonts w:ascii="Times New Roman" w:hAnsi="Times New Roman"/>
              </w:rPr>
              <w:t>危险废物处置工程建设应能积极推进减量化、资源化和无害化目标的实现</w:t>
            </w:r>
          </w:p>
        </w:tc>
        <w:tc>
          <w:tcPr>
            <w:tcW w:w="3912" w:type="dxa"/>
            <w:vAlign w:val="center"/>
          </w:tcPr>
          <w:p>
            <w:pPr>
              <w:spacing w:line="280" w:lineRule="exact"/>
              <w:jc w:val="center"/>
              <w:rPr>
                <w:rFonts w:ascii="Times New Roman" w:hAnsi="Times New Roman"/>
              </w:rPr>
            </w:pPr>
            <w:r>
              <w:rPr>
                <w:rFonts w:ascii="Times New Roman" w:hAnsi="Times New Roman"/>
              </w:rPr>
              <w:t>本项目建设能积极推进</w:t>
            </w:r>
            <w:r>
              <w:rPr>
                <w:rFonts w:hint="eastAsia" w:ascii="Times New Roman" w:hAnsi="Times New Roman"/>
              </w:rPr>
              <w:t>双鸭山市</w:t>
            </w:r>
            <w:r>
              <w:rPr>
                <w:rFonts w:ascii="Times New Roman" w:hAnsi="Times New Roman"/>
              </w:rPr>
              <w:t>资源循环利用产业发展，可保护环境，实现危废含油污泥减量化、资源化和无害化</w:t>
            </w:r>
          </w:p>
        </w:tc>
        <w:tc>
          <w:tcPr>
            <w:tcW w:w="998" w:type="dxa"/>
            <w:vAlign w:val="center"/>
          </w:tcPr>
          <w:p>
            <w:pPr>
              <w:jc w:val="center"/>
              <w:rPr>
                <w:rFonts w:ascii="Times New Roman" w:hAnsi="Times New Roman"/>
              </w:rPr>
            </w:pPr>
            <w:r>
              <w:rPr>
                <w:rFonts w:ascii="Times New Roman" w:hAnsi="Times New Roma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402" w:type="dxa"/>
            <w:vAlign w:val="center"/>
          </w:tcPr>
          <w:p>
            <w:pPr>
              <w:spacing w:line="280" w:lineRule="exact"/>
              <w:jc w:val="center"/>
              <w:rPr>
                <w:rFonts w:ascii="Times New Roman" w:hAnsi="Times New Roman"/>
              </w:rPr>
            </w:pPr>
            <w:r>
              <w:rPr>
                <w:rFonts w:ascii="Times New Roman" w:hAnsi="Times New Roman"/>
              </w:rPr>
              <w:t>危险废物处置规模应根据项目服务区域范围内的可处置废物量、废物分布情况、发展规划及变化趋势等因素综合考虑确定</w:t>
            </w:r>
          </w:p>
        </w:tc>
        <w:tc>
          <w:tcPr>
            <w:tcW w:w="3912" w:type="dxa"/>
            <w:vAlign w:val="center"/>
          </w:tcPr>
          <w:p>
            <w:pPr>
              <w:spacing w:line="280" w:lineRule="exact"/>
              <w:jc w:val="center"/>
              <w:rPr>
                <w:rFonts w:ascii="Times New Roman" w:hAnsi="Times New Roman"/>
              </w:rPr>
            </w:pPr>
            <w:r>
              <w:rPr>
                <w:rFonts w:ascii="Times New Roman" w:hAnsi="Times New Roman"/>
              </w:rPr>
              <w:t>根据双鸭山市可处置医疗废物量、医疗废物分布情况、发展规划及变化趋势等因素，确定本项目医疗废物处置规模</w:t>
            </w:r>
            <w:r>
              <w:rPr>
                <w:rFonts w:hint="eastAsia"/>
              </w:rPr>
              <w:t>为</w:t>
            </w:r>
            <w:r>
              <w:rPr>
                <w:rFonts w:hint="eastAsia" w:ascii="Times New Roman" w:hAnsi="Times New Roman"/>
              </w:rPr>
              <w:t>8t</w:t>
            </w:r>
            <w:r>
              <w:rPr>
                <w:rFonts w:ascii="Times New Roman" w:hAnsi="Times New Roman"/>
              </w:rPr>
              <w:t>/</w:t>
            </w:r>
            <w:r>
              <w:rPr>
                <w:rFonts w:hint="eastAsia" w:ascii="Times New Roman" w:hAnsi="Times New Roman"/>
              </w:rPr>
              <w:t>d</w:t>
            </w:r>
          </w:p>
        </w:tc>
        <w:tc>
          <w:tcPr>
            <w:tcW w:w="998" w:type="dxa"/>
            <w:vAlign w:val="center"/>
          </w:tcPr>
          <w:p>
            <w:pPr>
              <w:jc w:val="center"/>
              <w:rPr>
                <w:rFonts w:ascii="Times New Roman" w:hAnsi="Times New Roman"/>
              </w:rPr>
            </w:pPr>
            <w:r>
              <w:rPr>
                <w:rFonts w:ascii="Times New Roman" w:hAnsi="Times New Roma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402" w:type="dxa"/>
            <w:vAlign w:val="center"/>
          </w:tcPr>
          <w:p>
            <w:pPr>
              <w:spacing w:line="280" w:lineRule="exact"/>
              <w:jc w:val="center"/>
              <w:rPr>
                <w:rFonts w:ascii="Times New Roman" w:hAnsi="Times New Roman"/>
              </w:rPr>
            </w:pPr>
            <w:r>
              <w:rPr>
                <w:rFonts w:ascii="Times New Roman" w:hAnsi="Times New Roman"/>
              </w:rPr>
              <w:t>危险废物处置技术选择、工程建设和设施运行管理应积极采用最佳环境管理实践</w:t>
            </w:r>
          </w:p>
        </w:tc>
        <w:tc>
          <w:tcPr>
            <w:tcW w:w="3912" w:type="dxa"/>
            <w:vAlign w:val="center"/>
          </w:tcPr>
          <w:p>
            <w:pPr>
              <w:spacing w:before="14" w:line="280" w:lineRule="exact"/>
              <w:ind w:left="37" w:right="28"/>
              <w:rPr>
                <w:rFonts w:ascii="Times New Roman" w:hAnsi="Times New Roman"/>
              </w:rPr>
            </w:pPr>
            <w:r>
              <w:rPr>
                <w:rFonts w:hint="eastAsia" w:ascii="Times New Roman" w:hAnsi="Times New Roman"/>
              </w:rPr>
              <w:t>本项目采取的工艺为：高温干热灭菌处理工艺。属于《医疗废物集中处置技术规范》（环发〔</w:t>
            </w:r>
            <w:r>
              <w:rPr>
                <w:rFonts w:ascii="Times New Roman" w:hAnsi="Times New Roman"/>
              </w:rPr>
              <w:t>2003</w:t>
            </w:r>
            <w:r>
              <w:rPr>
                <w:rFonts w:hint="eastAsia" w:ascii="Times New Roman" w:hAnsi="Times New Roman"/>
              </w:rPr>
              <w:t>〕</w:t>
            </w:r>
            <w:r>
              <w:rPr>
                <w:rFonts w:ascii="Times New Roman" w:hAnsi="Times New Roman"/>
              </w:rPr>
              <w:t>206</w:t>
            </w:r>
            <w:r>
              <w:rPr>
                <w:rFonts w:hint="eastAsia" w:ascii="Times New Roman" w:hAnsi="Times New Roman"/>
              </w:rPr>
              <w:t>号）中推荐的高温热处理的一种；该技术（医疗废物高温干热处理设备及处理工艺）已获得中华人民共和国国家知识产权局发明专利(详见附件</w:t>
            </w:r>
            <w:r>
              <w:rPr>
                <w:rFonts w:ascii="Times New Roman" w:hAnsi="Times New Roman"/>
              </w:rPr>
              <w:t>9</w:t>
            </w:r>
            <w:r>
              <w:rPr>
                <w:rFonts w:hint="eastAsia" w:ascii="Times New Roman" w:hAnsi="Times New Roman"/>
              </w:rPr>
              <w:t>)， 同时，被纳入《2017 年 国家先进污染防治技术目录(固体废物处理处置领域) 》之中，并已 在辽宁省朝阳市、黑龙江省七台河市、江西省宜春市和萍乡市等城市 得到应用，运行效果很好。因此，本项目采取的工艺成熟，拟采取的环境保护 措施技术可行、经济合理，可长期稳定运行并保证各类污染物稳定达标排放。</w:t>
            </w:r>
          </w:p>
        </w:tc>
        <w:tc>
          <w:tcPr>
            <w:tcW w:w="998" w:type="dxa"/>
            <w:vAlign w:val="center"/>
          </w:tcPr>
          <w:p>
            <w:pPr>
              <w:jc w:val="center"/>
              <w:rPr>
                <w:rFonts w:ascii="Times New Roman" w:hAnsi="Times New Roman"/>
              </w:rPr>
            </w:pPr>
            <w:r>
              <w:rPr>
                <w:rFonts w:ascii="Times New Roman" w:hAnsi="Times New Roma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402" w:type="dxa"/>
            <w:vAlign w:val="center"/>
          </w:tcPr>
          <w:p>
            <w:pPr>
              <w:spacing w:line="280" w:lineRule="exact"/>
              <w:jc w:val="center"/>
              <w:rPr>
                <w:rFonts w:ascii="Times New Roman" w:hAnsi="Times New Roman"/>
              </w:rPr>
            </w:pPr>
            <w:r>
              <w:rPr>
                <w:rFonts w:ascii="Times New Roman" w:hAnsi="Times New Roman"/>
              </w:rPr>
              <w:t>危险废物处置工程设计、施工、验收、运行除符合规定标准外，还应遵照并符合国家现行有关法律、法规、标准和行业规范的规定</w:t>
            </w:r>
          </w:p>
        </w:tc>
        <w:tc>
          <w:tcPr>
            <w:tcW w:w="3912" w:type="dxa"/>
            <w:vAlign w:val="center"/>
          </w:tcPr>
          <w:p>
            <w:pPr>
              <w:rPr>
                <w:rFonts w:ascii="Arial" w:hAnsi="Arial" w:cs="Arial"/>
              </w:rPr>
            </w:pPr>
            <w:r>
              <w:rPr>
                <w:rFonts w:ascii="Times New Roman" w:hAnsi="Times New Roman"/>
              </w:rPr>
              <w:t>评价要求项目工程设计、施工、验收、运行</w:t>
            </w:r>
            <w:r>
              <w:rPr>
                <w:rFonts w:hint="eastAsia" w:ascii="Times New Roman" w:hAnsi="Times New Roman"/>
              </w:rPr>
              <w:t xml:space="preserve">符合《危险废物贮存污染控制标 准》( GB18597-2001 )  ( 2013 年修订)、《医疗废物高温蒸汽集中处 理工程技术规范(试行) 》( HJ/T276-2006 ) 、《危险废物和医疗废 物处置设施建设项目环境影响评价技术原则(试行)》(环发 [2004]58 号)等的规定。 </w:t>
            </w:r>
          </w:p>
        </w:tc>
        <w:tc>
          <w:tcPr>
            <w:tcW w:w="998" w:type="dxa"/>
            <w:vAlign w:val="center"/>
          </w:tcPr>
          <w:p>
            <w:pPr>
              <w:jc w:val="center"/>
              <w:rPr>
                <w:rFonts w:ascii="Times New Roman" w:hAnsi="Times New Roman"/>
              </w:rPr>
            </w:pPr>
            <w:r>
              <w:rPr>
                <w:rFonts w:ascii="Times New Roman" w:hAnsi="Times New Roman"/>
              </w:rPr>
              <w:t>符合</w:t>
            </w:r>
          </w:p>
        </w:tc>
      </w:tr>
    </w:tbl>
    <w:p>
      <w:pPr>
        <w:pStyle w:val="155"/>
        <w:spacing w:line="480" w:lineRule="exact"/>
        <w:ind w:firstLine="480"/>
        <w:rPr>
          <w:szCs w:val="24"/>
        </w:rPr>
      </w:pPr>
      <w:r>
        <w:rPr>
          <w:szCs w:val="24"/>
        </w:rPr>
        <w:t>综上，本项目符合《危险废物处置工程技术导则</w:t>
      </w:r>
      <w:r>
        <w:rPr>
          <w:rFonts w:hint="eastAsia"/>
          <w:szCs w:val="24"/>
        </w:rPr>
        <w:t>》</w:t>
      </w:r>
      <w:r>
        <w:rPr>
          <w:szCs w:val="24"/>
        </w:rPr>
        <w:t>（HJ2025-2012）要求。</w:t>
      </w:r>
    </w:p>
    <w:p>
      <w:pPr>
        <w:pStyle w:val="4"/>
        <w:spacing w:before="120" w:beforeLines="50" w:after="120" w:afterLines="50" w:line="480" w:lineRule="exact"/>
        <w:rPr>
          <w:rFonts w:ascii="Times New Roman" w:hAnsi="Times New Roman" w:eastAsia="黑体"/>
          <w:kern w:val="2"/>
          <w:sz w:val="28"/>
          <w:szCs w:val="32"/>
        </w:rPr>
      </w:pPr>
      <w:bookmarkStart w:id="66" w:name="_Toc313"/>
      <w:bookmarkStart w:id="67" w:name="_Toc6882"/>
      <w:bookmarkStart w:id="68" w:name="_Toc6040"/>
      <w:r>
        <w:rPr>
          <w:rFonts w:ascii="Times New Roman" w:hAnsi="Times New Roman" w:eastAsia="黑体"/>
          <w:kern w:val="2"/>
          <w:sz w:val="28"/>
          <w:szCs w:val="32"/>
        </w:rPr>
        <w:t>与《危险废物和医疗废物处置设施建设项目环境影响评价技术原则》（试行）符合性</w:t>
      </w:r>
      <w:bookmarkEnd w:id="66"/>
    </w:p>
    <w:p>
      <w:pPr>
        <w:pStyle w:val="155"/>
        <w:spacing w:line="480" w:lineRule="exact"/>
        <w:ind w:firstLine="480"/>
        <w:rPr>
          <w:szCs w:val="24"/>
        </w:rPr>
      </w:pPr>
      <w:r>
        <w:rPr>
          <w:szCs w:val="24"/>
        </w:rPr>
        <w:t>本项目与《危险废物和医疗废物处置设施建设项目环境影响评价技术原则》（试行）符合性分析见表1.4-4。</w:t>
      </w:r>
    </w:p>
    <w:p>
      <w:pPr>
        <w:pStyle w:val="155"/>
        <w:spacing w:line="480" w:lineRule="exact"/>
        <w:ind w:firstLine="0" w:firstLineChars="0"/>
        <w:jc w:val="center"/>
        <w:rPr>
          <w:b/>
          <w:sz w:val="21"/>
          <w:szCs w:val="21"/>
        </w:rPr>
      </w:pPr>
      <w:r>
        <w:rPr>
          <w:b/>
          <w:sz w:val="21"/>
          <w:szCs w:val="21"/>
        </w:rPr>
        <w:t>表1.4-4 与《危险废物和医疗废物处置设施建设项目环境影响评价技术原则》（试行）</w:t>
      </w:r>
    </w:p>
    <w:p>
      <w:pPr>
        <w:pStyle w:val="155"/>
        <w:spacing w:line="480" w:lineRule="exact"/>
        <w:ind w:firstLine="0" w:firstLineChars="0"/>
        <w:jc w:val="center"/>
        <w:rPr>
          <w:b/>
          <w:sz w:val="21"/>
          <w:szCs w:val="21"/>
        </w:rPr>
      </w:pPr>
      <w:r>
        <w:rPr>
          <w:b/>
          <w:sz w:val="21"/>
          <w:szCs w:val="21"/>
        </w:rPr>
        <w:t>符合性一览表</w:t>
      </w:r>
    </w:p>
    <w:tbl>
      <w:tblPr>
        <w:tblStyle w:val="7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77"/>
        <w:gridCol w:w="2714"/>
        <w:gridCol w:w="4072"/>
        <w:gridCol w:w="96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402" w:type="dxa"/>
            <w:gridSpan w:val="2"/>
            <w:vAlign w:val="center"/>
          </w:tcPr>
          <w:p>
            <w:pPr>
              <w:spacing w:line="280" w:lineRule="exact"/>
              <w:jc w:val="center"/>
              <w:rPr>
                <w:rFonts w:ascii="Times New Roman" w:hAnsi="Times New Roman"/>
                <w:b/>
              </w:rPr>
            </w:pPr>
            <w:r>
              <w:rPr>
                <w:rFonts w:ascii="Times New Roman" w:hAnsi="Times New Roman"/>
                <w:b/>
              </w:rPr>
              <w:t>《危险废物和医疗废物处置设施建设项目环境影响评价技术原则》（试行）</w:t>
            </w:r>
          </w:p>
        </w:tc>
        <w:tc>
          <w:tcPr>
            <w:tcW w:w="3969" w:type="dxa"/>
            <w:vAlign w:val="center"/>
          </w:tcPr>
          <w:p>
            <w:pPr>
              <w:spacing w:line="280" w:lineRule="exact"/>
              <w:jc w:val="center"/>
              <w:rPr>
                <w:rFonts w:ascii="Times New Roman" w:hAnsi="Times New Roman"/>
                <w:b/>
              </w:rPr>
            </w:pPr>
            <w:r>
              <w:rPr>
                <w:rFonts w:ascii="Times New Roman" w:hAnsi="Times New Roman"/>
                <w:b/>
              </w:rPr>
              <w:t>本项目情况</w:t>
            </w:r>
          </w:p>
        </w:tc>
        <w:tc>
          <w:tcPr>
            <w:tcW w:w="941" w:type="dxa"/>
            <w:vAlign w:val="center"/>
          </w:tcPr>
          <w:p>
            <w:pPr>
              <w:spacing w:line="280" w:lineRule="exact"/>
              <w:jc w:val="center"/>
              <w:rPr>
                <w:rFonts w:ascii="Times New Roman" w:hAnsi="Times New Roman"/>
                <w:b/>
              </w:rPr>
            </w:pPr>
            <w:r>
              <w:rPr>
                <w:rFonts w:ascii="Times New Roman" w:hAnsi="Times New Roman"/>
                <w:b/>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57" w:type="dxa"/>
            <w:vMerge w:val="restart"/>
            <w:vAlign w:val="center"/>
          </w:tcPr>
          <w:p>
            <w:pPr>
              <w:spacing w:line="280" w:lineRule="exact"/>
              <w:jc w:val="center"/>
              <w:rPr>
                <w:rFonts w:ascii="Times New Roman" w:hAnsi="Times New Roman"/>
                <w:bCs/>
              </w:rPr>
            </w:pPr>
            <w:r>
              <w:rPr>
                <w:rFonts w:ascii="Times New Roman" w:hAnsi="Times New Roman"/>
                <w:bCs/>
              </w:rPr>
              <w:t>社会环境</w:t>
            </w:r>
          </w:p>
        </w:tc>
        <w:tc>
          <w:tcPr>
            <w:tcW w:w="2645" w:type="dxa"/>
            <w:vAlign w:val="center"/>
          </w:tcPr>
          <w:p>
            <w:pPr>
              <w:spacing w:line="280" w:lineRule="exact"/>
              <w:rPr>
                <w:rFonts w:ascii="Times New Roman" w:hAnsi="Times New Roman"/>
                <w:bCs/>
              </w:rPr>
            </w:pPr>
            <w:r>
              <w:rPr>
                <w:rFonts w:ascii="Times New Roman" w:hAnsi="Times New Roman"/>
                <w:bCs/>
              </w:rPr>
              <w:t>符合当地发展规划、环境保护规划、环境功能区划</w:t>
            </w:r>
          </w:p>
        </w:tc>
        <w:tc>
          <w:tcPr>
            <w:tcW w:w="3969" w:type="dxa"/>
            <w:vAlign w:val="center"/>
          </w:tcPr>
          <w:p>
            <w:pPr>
              <w:spacing w:after="300" w:line="280" w:lineRule="exact"/>
              <w:rPr>
                <w:rFonts w:ascii="Times New Roman" w:hAnsi="Times New Roman"/>
              </w:rPr>
            </w:pPr>
            <w:r>
              <w:rPr>
                <w:rFonts w:ascii="Times New Roman" w:hAnsi="Times New Roman"/>
              </w:rPr>
              <w:t>本项目位于双鸭山市四方台梨花盖子沟垃圾处理场院内，不新增占地，符合</w:t>
            </w:r>
            <w:r>
              <w:rPr>
                <w:rFonts w:ascii="Times New Roman" w:hAnsi="Times New Roman"/>
                <w:bCs/>
              </w:rPr>
              <w:t>当地</w:t>
            </w:r>
            <w:r>
              <w:rPr>
                <w:rFonts w:hint="eastAsia" w:ascii="Times New Roman" w:hAnsi="Times New Roman"/>
              </w:rPr>
              <w:t>《双鸭山市国民经济和社会发展第十四个五年规划和二〇三五年远景目标纲要》</w:t>
            </w:r>
            <w:r>
              <w:rPr>
                <w:rFonts w:ascii="Times New Roman" w:hAnsi="Times New Roman"/>
              </w:rPr>
              <w:t>、</w:t>
            </w:r>
            <w:r>
              <w:rPr>
                <w:rFonts w:hint="eastAsia" w:ascii="Times New Roman" w:hAnsi="Times New Roman"/>
              </w:rPr>
              <w:t>《双鸭山市重点流域水生态环境保护“十四五”规划》及地表水、地下水、环境空气、噪声、土壤</w:t>
            </w:r>
            <w:r>
              <w:rPr>
                <w:rFonts w:ascii="Times New Roman" w:hAnsi="Times New Roman"/>
              </w:rPr>
              <w:t>环境</w:t>
            </w:r>
            <w:r>
              <w:rPr>
                <w:rFonts w:hint="eastAsia" w:ascii="Times New Roman" w:hAnsi="Times New Roman"/>
              </w:rPr>
              <w:t>功能区划</w:t>
            </w:r>
          </w:p>
        </w:tc>
        <w:tc>
          <w:tcPr>
            <w:tcW w:w="941" w:type="dxa"/>
            <w:vAlign w:val="center"/>
          </w:tcPr>
          <w:p>
            <w:pPr>
              <w:spacing w:line="280" w:lineRule="exact"/>
              <w:jc w:val="center"/>
              <w:rPr>
                <w:rFonts w:ascii="Times New Roman" w:hAnsi="Times New Roman"/>
                <w:bCs/>
              </w:rPr>
            </w:pPr>
            <w:r>
              <w:rPr>
                <w:rFonts w:ascii="Times New Roman" w:hAnsi="Times New Roman"/>
                <w:bCs/>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57" w:type="dxa"/>
            <w:vMerge w:val="continue"/>
            <w:vAlign w:val="center"/>
          </w:tcPr>
          <w:p>
            <w:pPr>
              <w:spacing w:line="280" w:lineRule="exact"/>
              <w:jc w:val="center"/>
              <w:rPr>
                <w:rFonts w:ascii="Times New Roman" w:hAnsi="Times New Roman"/>
                <w:bCs/>
              </w:rPr>
            </w:pPr>
          </w:p>
        </w:tc>
        <w:tc>
          <w:tcPr>
            <w:tcW w:w="2645" w:type="dxa"/>
            <w:vAlign w:val="center"/>
          </w:tcPr>
          <w:p>
            <w:pPr>
              <w:spacing w:line="280" w:lineRule="exact"/>
              <w:rPr>
                <w:rFonts w:ascii="Times New Roman" w:hAnsi="Times New Roman"/>
                <w:bCs/>
              </w:rPr>
            </w:pPr>
            <w:r>
              <w:rPr>
                <w:rFonts w:ascii="Times New Roman" w:hAnsi="Times New Roman"/>
                <w:bCs/>
              </w:rPr>
              <w:t>减少因缺乏联系而使公众产生过度担忧，得到公众支持</w:t>
            </w:r>
          </w:p>
        </w:tc>
        <w:tc>
          <w:tcPr>
            <w:tcW w:w="3969" w:type="dxa"/>
            <w:vAlign w:val="center"/>
          </w:tcPr>
          <w:p>
            <w:pPr>
              <w:spacing w:line="280" w:lineRule="exact"/>
              <w:rPr>
                <w:rFonts w:ascii="Times New Roman" w:hAnsi="Times New Roman"/>
                <w:bCs/>
              </w:rPr>
            </w:pPr>
            <w:r>
              <w:rPr>
                <w:rFonts w:ascii="Times New Roman" w:hAnsi="Times New Roman"/>
              </w:rPr>
              <w:t>本项目</w:t>
            </w:r>
            <w:r>
              <w:rPr>
                <w:rFonts w:ascii="Times New Roman" w:hAnsi="Times New Roman"/>
                <w:bCs/>
              </w:rPr>
              <w:t>建设单位已按照《环境影响评价公众参与办法》进行了本项目环境影响评价公众参与</w:t>
            </w:r>
            <w:r>
              <w:rPr>
                <w:rFonts w:hint="eastAsia" w:ascii="Times New Roman" w:hAnsi="Times New Roman"/>
                <w:bCs/>
              </w:rPr>
              <w:t>，本项目评价范围内敏感目标有距离厂界南侧2</w:t>
            </w:r>
            <w:r>
              <w:rPr>
                <w:rFonts w:ascii="Times New Roman" w:hAnsi="Times New Roman"/>
                <w:bCs/>
              </w:rPr>
              <w:t>674</w:t>
            </w:r>
            <w:r>
              <w:rPr>
                <w:rFonts w:hint="eastAsia" w:ascii="Times New Roman" w:hAnsi="Times New Roman"/>
                <w:bCs/>
              </w:rPr>
              <w:t>m的四新村和距离厂界东北侧2</w:t>
            </w:r>
            <w:r>
              <w:rPr>
                <w:rFonts w:ascii="Times New Roman" w:hAnsi="Times New Roman"/>
                <w:bCs/>
              </w:rPr>
              <w:t>099</w:t>
            </w:r>
            <w:r>
              <w:rPr>
                <w:rFonts w:hint="eastAsia" w:ascii="Times New Roman" w:hAnsi="Times New Roman"/>
                <w:bCs/>
              </w:rPr>
              <w:t>m的红星五队</w:t>
            </w:r>
          </w:p>
        </w:tc>
        <w:tc>
          <w:tcPr>
            <w:tcW w:w="941" w:type="dxa"/>
            <w:vAlign w:val="center"/>
          </w:tcPr>
          <w:p>
            <w:pPr>
              <w:spacing w:line="280" w:lineRule="exact"/>
              <w:jc w:val="center"/>
              <w:rPr>
                <w:rFonts w:ascii="Times New Roman" w:hAnsi="Times New Roman"/>
                <w:bCs/>
              </w:rPr>
            </w:pPr>
            <w:r>
              <w:rPr>
                <w:rFonts w:ascii="Times New Roman" w:hAnsi="Times New Roman"/>
                <w:bCs/>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57" w:type="dxa"/>
            <w:vMerge w:val="continue"/>
            <w:vAlign w:val="center"/>
          </w:tcPr>
          <w:p>
            <w:pPr>
              <w:spacing w:line="280" w:lineRule="exact"/>
              <w:jc w:val="center"/>
              <w:rPr>
                <w:rFonts w:ascii="Times New Roman" w:hAnsi="Times New Roman"/>
                <w:bCs/>
              </w:rPr>
            </w:pPr>
          </w:p>
        </w:tc>
        <w:tc>
          <w:tcPr>
            <w:tcW w:w="2645" w:type="dxa"/>
            <w:vAlign w:val="center"/>
          </w:tcPr>
          <w:p>
            <w:pPr>
              <w:spacing w:line="280" w:lineRule="exact"/>
              <w:rPr>
                <w:rFonts w:ascii="Times New Roman" w:hAnsi="Times New Roman"/>
                <w:bCs/>
              </w:rPr>
            </w:pPr>
            <w:r>
              <w:rPr>
                <w:rFonts w:ascii="Times New Roman" w:hAnsi="Times New Roman"/>
                <w:bCs/>
              </w:rPr>
              <w:t>确保城市市区和规划区边缘的安全距离，不得位于城市主导风向上风向</w:t>
            </w:r>
          </w:p>
        </w:tc>
        <w:tc>
          <w:tcPr>
            <w:tcW w:w="3969" w:type="dxa"/>
            <w:vAlign w:val="center"/>
          </w:tcPr>
          <w:p>
            <w:pPr>
              <w:spacing w:line="280" w:lineRule="exact"/>
              <w:rPr>
                <w:rFonts w:ascii="Times New Roman" w:hAnsi="Times New Roman"/>
                <w:bCs/>
              </w:rPr>
            </w:pPr>
            <w:r>
              <w:rPr>
                <w:rFonts w:ascii="Times New Roman" w:hAnsi="Times New Roman"/>
                <w:bCs/>
              </w:rPr>
              <w:t>本项目距离城市市区和规划区较远，</w:t>
            </w:r>
            <w:r>
              <w:rPr>
                <w:rFonts w:ascii="Times New Roman" w:hAnsi="Times New Roman"/>
              </w:rPr>
              <w:t>位于双鸭山市</w:t>
            </w:r>
            <w:r>
              <w:rPr>
                <w:rFonts w:hint="eastAsia" w:ascii="Times New Roman" w:hAnsi="Times New Roman"/>
              </w:rPr>
              <w:t>最近</w:t>
            </w:r>
            <w:r>
              <w:rPr>
                <w:rFonts w:ascii="Times New Roman" w:hAnsi="Times New Roman"/>
              </w:rPr>
              <w:t>主城区</w:t>
            </w:r>
            <w:r>
              <w:rPr>
                <w:rFonts w:hint="eastAsia" w:ascii="Times New Roman" w:hAnsi="Times New Roman"/>
              </w:rPr>
              <w:t>四方台区</w:t>
            </w:r>
            <w:r>
              <w:rPr>
                <w:rFonts w:ascii="Times New Roman" w:hAnsi="Times New Roman"/>
              </w:rPr>
              <w:t>北侧</w:t>
            </w:r>
            <w:r>
              <w:rPr>
                <w:rFonts w:hint="eastAsia" w:ascii="Times New Roman" w:hAnsi="Times New Roman"/>
              </w:rPr>
              <w:t>，距离为3.5km</w:t>
            </w:r>
            <w:r>
              <w:rPr>
                <w:rFonts w:ascii="Times New Roman" w:hAnsi="Times New Roman"/>
              </w:rPr>
              <w:t>，</w:t>
            </w:r>
            <w:r>
              <w:rPr>
                <w:rFonts w:ascii="Times New Roman" w:hAnsi="Times New Roman"/>
                <w:bCs/>
              </w:rPr>
              <w:t>并且位于城市主导风向下风向</w:t>
            </w:r>
          </w:p>
        </w:tc>
        <w:tc>
          <w:tcPr>
            <w:tcW w:w="941" w:type="dxa"/>
            <w:vAlign w:val="center"/>
          </w:tcPr>
          <w:p>
            <w:pPr>
              <w:spacing w:line="280" w:lineRule="exact"/>
              <w:jc w:val="center"/>
              <w:rPr>
                <w:rFonts w:ascii="Times New Roman" w:hAnsi="Times New Roman"/>
                <w:bCs/>
              </w:rPr>
            </w:pPr>
            <w:r>
              <w:rPr>
                <w:rFonts w:ascii="Times New Roman" w:hAnsi="Times New Roman"/>
                <w:bCs/>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57" w:type="dxa"/>
            <w:vMerge w:val="continue"/>
            <w:vAlign w:val="center"/>
          </w:tcPr>
          <w:p>
            <w:pPr>
              <w:spacing w:line="280" w:lineRule="exact"/>
              <w:jc w:val="center"/>
              <w:rPr>
                <w:rFonts w:ascii="Times New Roman" w:hAnsi="Times New Roman"/>
                <w:bCs/>
              </w:rPr>
            </w:pPr>
          </w:p>
        </w:tc>
        <w:tc>
          <w:tcPr>
            <w:tcW w:w="2645" w:type="dxa"/>
            <w:vAlign w:val="center"/>
          </w:tcPr>
          <w:p>
            <w:pPr>
              <w:spacing w:line="280" w:lineRule="exact"/>
              <w:rPr>
                <w:rFonts w:ascii="Times New Roman" w:hAnsi="Times New Roman"/>
                <w:bCs/>
              </w:rPr>
            </w:pPr>
            <w:r>
              <w:rPr>
                <w:rFonts w:ascii="Times New Roman" w:hAnsi="Times New Roman"/>
                <w:bCs/>
              </w:rPr>
              <w:t>确保与重要目标（包括重要的军事设施、大型水利电力设施、交通通讯主要干线、核电站、飞机场、重要桥梁、易燃易爆危险设施等）的安全距离</w:t>
            </w:r>
          </w:p>
        </w:tc>
        <w:tc>
          <w:tcPr>
            <w:tcW w:w="3969" w:type="dxa"/>
            <w:vAlign w:val="center"/>
          </w:tcPr>
          <w:p>
            <w:pPr>
              <w:spacing w:line="280" w:lineRule="exact"/>
              <w:rPr>
                <w:rFonts w:ascii="Times New Roman" w:hAnsi="Times New Roman"/>
                <w:bCs/>
              </w:rPr>
            </w:pPr>
            <w:r>
              <w:rPr>
                <w:rFonts w:ascii="Times New Roman" w:hAnsi="Times New Roman"/>
                <w:bCs/>
              </w:rPr>
              <w:t>本项目</w:t>
            </w:r>
            <w:r>
              <w:rPr>
                <w:rFonts w:hint="eastAsia" w:ascii="Times New Roman" w:hAnsi="Times New Roman"/>
                <w:bCs/>
              </w:rPr>
              <w:t>评价范围距离内</w:t>
            </w:r>
            <w:r>
              <w:rPr>
                <w:rFonts w:ascii="Times New Roman" w:hAnsi="Times New Roman"/>
                <w:bCs/>
              </w:rPr>
              <w:t>无重要的军事设施、大型水利电力设施、交通通讯主要干线、核电站、飞机场、重要桥梁、易燃易爆危险设施等</w:t>
            </w:r>
          </w:p>
        </w:tc>
        <w:tc>
          <w:tcPr>
            <w:tcW w:w="941" w:type="dxa"/>
            <w:vAlign w:val="center"/>
          </w:tcPr>
          <w:p>
            <w:pPr>
              <w:spacing w:line="280" w:lineRule="exact"/>
              <w:jc w:val="center"/>
              <w:rPr>
                <w:rFonts w:ascii="Times New Roman" w:hAnsi="Times New Roman"/>
                <w:bCs/>
              </w:rPr>
            </w:pPr>
            <w:r>
              <w:rPr>
                <w:rFonts w:ascii="Times New Roman" w:hAnsi="Times New Roman"/>
                <w:bCs/>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57" w:type="dxa"/>
            <w:vMerge w:val="continue"/>
            <w:vAlign w:val="center"/>
          </w:tcPr>
          <w:p>
            <w:pPr>
              <w:spacing w:line="280" w:lineRule="exact"/>
              <w:jc w:val="center"/>
              <w:rPr>
                <w:rFonts w:ascii="Times New Roman" w:hAnsi="Times New Roman"/>
                <w:bCs/>
              </w:rPr>
            </w:pPr>
          </w:p>
        </w:tc>
        <w:tc>
          <w:tcPr>
            <w:tcW w:w="2645" w:type="dxa"/>
            <w:vAlign w:val="center"/>
          </w:tcPr>
          <w:p>
            <w:pPr>
              <w:spacing w:line="280" w:lineRule="exact"/>
              <w:rPr>
                <w:rFonts w:ascii="Times New Roman" w:hAnsi="Times New Roman"/>
                <w:bCs/>
              </w:rPr>
            </w:pPr>
            <w:r>
              <w:rPr>
                <w:rFonts w:ascii="Times New Roman" w:hAnsi="Times New Roman"/>
                <w:bCs/>
              </w:rPr>
              <w:t>社会安定、治安良好地区，避开人口密集区、宗教圣地等敏感区</w:t>
            </w:r>
          </w:p>
        </w:tc>
        <w:tc>
          <w:tcPr>
            <w:tcW w:w="3969" w:type="dxa"/>
            <w:vAlign w:val="center"/>
          </w:tcPr>
          <w:p>
            <w:pPr>
              <w:spacing w:line="280" w:lineRule="exact"/>
              <w:rPr>
                <w:rFonts w:ascii="Times New Roman" w:hAnsi="Times New Roman"/>
                <w:bCs/>
              </w:rPr>
            </w:pPr>
            <w:r>
              <w:rPr>
                <w:rFonts w:ascii="Times New Roman" w:hAnsi="Times New Roman"/>
                <w:bCs/>
              </w:rPr>
              <w:t>双鸭山市社会安定、治安良好，本项目</w:t>
            </w:r>
            <w:r>
              <w:rPr>
                <w:rFonts w:hint="eastAsia" w:ascii="Times New Roman" w:hAnsi="Times New Roman"/>
                <w:bCs/>
              </w:rPr>
              <w:t>评价范围距离内</w:t>
            </w:r>
            <w:r>
              <w:rPr>
                <w:rFonts w:ascii="Times New Roman" w:hAnsi="Times New Roman"/>
                <w:bCs/>
              </w:rPr>
              <w:t>无人口密集区、宗教圣地等敏感区</w:t>
            </w:r>
          </w:p>
        </w:tc>
        <w:tc>
          <w:tcPr>
            <w:tcW w:w="941" w:type="dxa"/>
            <w:vAlign w:val="center"/>
          </w:tcPr>
          <w:p>
            <w:pPr>
              <w:spacing w:line="280" w:lineRule="exact"/>
              <w:jc w:val="center"/>
              <w:rPr>
                <w:rFonts w:ascii="Times New Roman" w:hAnsi="Times New Roman"/>
                <w:bCs/>
              </w:rPr>
            </w:pPr>
            <w:r>
              <w:rPr>
                <w:rFonts w:ascii="Times New Roman" w:hAnsi="Times New Roman"/>
                <w:bCs/>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57" w:type="dxa"/>
            <w:vMerge w:val="restart"/>
            <w:vAlign w:val="center"/>
          </w:tcPr>
          <w:p>
            <w:pPr>
              <w:spacing w:line="280" w:lineRule="exact"/>
              <w:jc w:val="center"/>
              <w:rPr>
                <w:rFonts w:ascii="Times New Roman" w:hAnsi="Times New Roman"/>
                <w:bCs/>
              </w:rPr>
            </w:pPr>
            <w:r>
              <w:rPr>
                <w:rFonts w:ascii="Times New Roman" w:hAnsi="Times New Roman"/>
                <w:bCs/>
              </w:rPr>
              <w:t>自然环境</w:t>
            </w:r>
          </w:p>
        </w:tc>
        <w:tc>
          <w:tcPr>
            <w:tcW w:w="2645" w:type="dxa"/>
            <w:vAlign w:val="center"/>
          </w:tcPr>
          <w:p>
            <w:pPr>
              <w:spacing w:line="280" w:lineRule="exact"/>
              <w:rPr>
                <w:rFonts w:ascii="Times New Roman" w:hAnsi="Times New Roman"/>
                <w:bCs/>
              </w:rPr>
            </w:pPr>
            <w:r>
              <w:rPr>
                <w:rFonts w:ascii="Times New Roman" w:hAnsi="Times New Roman"/>
                <w:bCs/>
              </w:rPr>
              <w:t>不属于河流溯源地、饮用水源保护区</w:t>
            </w:r>
          </w:p>
        </w:tc>
        <w:tc>
          <w:tcPr>
            <w:tcW w:w="3969" w:type="dxa"/>
            <w:vMerge w:val="restart"/>
            <w:vAlign w:val="center"/>
          </w:tcPr>
          <w:p>
            <w:pPr>
              <w:spacing w:line="280" w:lineRule="exact"/>
              <w:rPr>
                <w:rFonts w:ascii="Times New Roman" w:hAnsi="Times New Roman"/>
                <w:bCs/>
              </w:rPr>
            </w:pPr>
            <w:r>
              <w:rPr>
                <w:rFonts w:ascii="Times New Roman" w:hAnsi="Times New Roman"/>
                <w:bCs/>
              </w:rPr>
              <w:t>本项目厂址所在区域不属于河流溯源地、饮用水源保护区；不属于自然保护区、风景区、旅游度假区；不属于国家、省（自治区）、直辖市划定的文物保护区；</w:t>
            </w:r>
          </w:p>
          <w:p>
            <w:pPr>
              <w:spacing w:line="280" w:lineRule="exact"/>
              <w:rPr>
                <w:rFonts w:ascii="Times New Roman" w:hAnsi="Times New Roman"/>
                <w:bCs/>
              </w:rPr>
            </w:pPr>
            <w:r>
              <w:rPr>
                <w:rFonts w:ascii="Times New Roman" w:hAnsi="Times New Roman"/>
                <w:bCs/>
              </w:rPr>
              <w:t>不属于重要资源丰富区</w:t>
            </w:r>
          </w:p>
        </w:tc>
        <w:tc>
          <w:tcPr>
            <w:tcW w:w="941" w:type="dxa"/>
            <w:vAlign w:val="center"/>
          </w:tcPr>
          <w:p>
            <w:pPr>
              <w:spacing w:line="280" w:lineRule="exact"/>
              <w:jc w:val="center"/>
              <w:rPr>
                <w:rFonts w:ascii="Times New Roman" w:hAnsi="Times New Roman"/>
                <w:bCs/>
              </w:rPr>
            </w:pPr>
            <w:r>
              <w:rPr>
                <w:rFonts w:ascii="Times New Roman" w:hAnsi="Times New Roman"/>
                <w:bCs/>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57" w:type="dxa"/>
            <w:vMerge w:val="continue"/>
            <w:vAlign w:val="center"/>
          </w:tcPr>
          <w:p>
            <w:pPr>
              <w:spacing w:line="280" w:lineRule="exact"/>
              <w:jc w:val="center"/>
              <w:rPr>
                <w:rFonts w:ascii="Times New Roman" w:hAnsi="Times New Roman"/>
                <w:bCs/>
              </w:rPr>
            </w:pPr>
          </w:p>
        </w:tc>
        <w:tc>
          <w:tcPr>
            <w:tcW w:w="2645" w:type="dxa"/>
            <w:vAlign w:val="center"/>
          </w:tcPr>
          <w:p>
            <w:pPr>
              <w:spacing w:line="280" w:lineRule="exact"/>
              <w:rPr>
                <w:rFonts w:ascii="Times New Roman" w:hAnsi="Times New Roman"/>
                <w:bCs/>
              </w:rPr>
            </w:pPr>
            <w:r>
              <w:rPr>
                <w:rFonts w:ascii="Times New Roman" w:hAnsi="Times New Roman"/>
                <w:bCs/>
              </w:rPr>
              <w:t>不属于自然保护区、风景区、旅游度假区</w:t>
            </w:r>
          </w:p>
        </w:tc>
        <w:tc>
          <w:tcPr>
            <w:tcW w:w="3969" w:type="dxa"/>
            <w:vMerge w:val="continue"/>
            <w:vAlign w:val="center"/>
          </w:tcPr>
          <w:p>
            <w:pPr>
              <w:spacing w:line="280" w:lineRule="exact"/>
              <w:rPr>
                <w:rFonts w:ascii="Times New Roman" w:hAnsi="Times New Roman"/>
                <w:bCs/>
              </w:rPr>
            </w:pPr>
          </w:p>
        </w:tc>
        <w:tc>
          <w:tcPr>
            <w:tcW w:w="941" w:type="dxa"/>
            <w:vAlign w:val="center"/>
          </w:tcPr>
          <w:p>
            <w:pPr>
              <w:spacing w:line="280" w:lineRule="exact"/>
              <w:jc w:val="center"/>
              <w:rPr>
                <w:rFonts w:ascii="Times New Roman" w:hAnsi="Times New Roman"/>
                <w:bCs/>
              </w:rPr>
            </w:pPr>
            <w:r>
              <w:rPr>
                <w:rFonts w:ascii="Times New Roman" w:hAnsi="Times New Roman"/>
                <w:bCs/>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57" w:type="dxa"/>
            <w:vMerge w:val="continue"/>
            <w:vAlign w:val="center"/>
          </w:tcPr>
          <w:p>
            <w:pPr>
              <w:spacing w:line="280" w:lineRule="exact"/>
              <w:jc w:val="center"/>
              <w:rPr>
                <w:rFonts w:ascii="Times New Roman" w:hAnsi="Times New Roman"/>
                <w:bCs/>
              </w:rPr>
            </w:pPr>
          </w:p>
        </w:tc>
        <w:tc>
          <w:tcPr>
            <w:tcW w:w="2645" w:type="dxa"/>
            <w:vAlign w:val="center"/>
          </w:tcPr>
          <w:p>
            <w:pPr>
              <w:spacing w:line="280" w:lineRule="exact"/>
              <w:rPr>
                <w:rFonts w:ascii="Times New Roman" w:hAnsi="Times New Roman"/>
                <w:bCs/>
              </w:rPr>
            </w:pPr>
            <w:r>
              <w:rPr>
                <w:rFonts w:ascii="Times New Roman" w:hAnsi="Times New Roman"/>
                <w:bCs/>
              </w:rPr>
              <w:t>不属于国家、省(自治区)、直辖市划定的文物保护区</w:t>
            </w:r>
          </w:p>
        </w:tc>
        <w:tc>
          <w:tcPr>
            <w:tcW w:w="3969" w:type="dxa"/>
            <w:vMerge w:val="continue"/>
            <w:vAlign w:val="center"/>
          </w:tcPr>
          <w:p>
            <w:pPr>
              <w:spacing w:line="280" w:lineRule="exact"/>
              <w:rPr>
                <w:rFonts w:ascii="Times New Roman" w:hAnsi="Times New Roman"/>
                <w:bCs/>
              </w:rPr>
            </w:pPr>
          </w:p>
        </w:tc>
        <w:tc>
          <w:tcPr>
            <w:tcW w:w="941" w:type="dxa"/>
            <w:vAlign w:val="center"/>
          </w:tcPr>
          <w:p>
            <w:pPr>
              <w:spacing w:line="280" w:lineRule="exact"/>
              <w:jc w:val="center"/>
              <w:rPr>
                <w:rFonts w:ascii="Times New Roman" w:hAnsi="Times New Roman"/>
                <w:bCs/>
              </w:rPr>
            </w:pPr>
            <w:r>
              <w:rPr>
                <w:rFonts w:ascii="Times New Roman" w:hAnsi="Times New Roman"/>
                <w:bCs/>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57" w:type="dxa"/>
            <w:vMerge w:val="continue"/>
            <w:vAlign w:val="center"/>
          </w:tcPr>
          <w:p>
            <w:pPr>
              <w:spacing w:line="280" w:lineRule="exact"/>
              <w:jc w:val="center"/>
              <w:rPr>
                <w:rFonts w:ascii="Times New Roman" w:hAnsi="Times New Roman"/>
                <w:bCs/>
              </w:rPr>
            </w:pPr>
          </w:p>
        </w:tc>
        <w:tc>
          <w:tcPr>
            <w:tcW w:w="2645" w:type="dxa"/>
            <w:vAlign w:val="center"/>
          </w:tcPr>
          <w:p>
            <w:pPr>
              <w:spacing w:line="280" w:lineRule="exact"/>
              <w:rPr>
                <w:rFonts w:ascii="Times New Roman" w:hAnsi="Times New Roman"/>
                <w:bCs/>
              </w:rPr>
            </w:pPr>
            <w:r>
              <w:rPr>
                <w:rFonts w:ascii="Times New Roman" w:hAnsi="Times New Roman"/>
                <w:bCs/>
              </w:rPr>
              <w:t>不属于重要资源丰富区</w:t>
            </w:r>
          </w:p>
        </w:tc>
        <w:tc>
          <w:tcPr>
            <w:tcW w:w="3969" w:type="dxa"/>
            <w:vMerge w:val="continue"/>
            <w:vAlign w:val="center"/>
          </w:tcPr>
          <w:p>
            <w:pPr>
              <w:spacing w:line="280" w:lineRule="exact"/>
              <w:rPr>
                <w:rFonts w:ascii="Times New Roman" w:hAnsi="Times New Roman"/>
                <w:bCs/>
              </w:rPr>
            </w:pPr>
          </w:p>
        </w:tc>
        <w:tc>
          <w:tcPr>
            <w:tcW w:w="941" w:type="dxa"/>
            <w:vAlign w:val="center"/>
          </w:tcPr>
          <w:p>
            <w:pPr>
              <w:spacing w:line="280" w:lineRule="exact"/>
              <w:jc w:val="center"/>
              <w:rPr>
                <w:rFonts w:ascii="Times New Roman" w:hAnsi="Times New Roman"/>
                <w:bCs/>
              </w:rPr>
            </w:pPr>
            <w:r>
              <w:rPr>
                <w:rFonts w:ascii="Times New Roman" w:hAnsi="Times New Roman"/>
                <w:bCs/>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57" w:type="dxa"/>
            <w:vMerge w:val="restart"/>
            <w:vAlign w:val="center"/>
          </w:tcPr>
          <w:p>
            <w:pPr>
              <w:spacing w:line="280" w:lineRule="exact"/>
              <w:jc w:val="center"/>
              <w:rPr>
                <w:rFonts w:ascii="Times New Roman" w:hAnsi="Times New Roman"/>
                <w:bCs/>
              </w:rPr>
            </w:pPr>
            <w:r>
              <w:rPr>
                <w:rFonts w:ascii="Times New Roman" w:hAnsi="Times New Roman"/>
                <w:bCs/>
              </w:rPr>
              <w:t>场地环境</w:t>
            </w:r>
          </w:p>
        </w:tc>
        <w:tc>
          <w:tcPr>
            <w:tcW w:w="2645" w:type="dxa"/>
            <w:vAlign w:val="center"/>
          </w:tcPr>
          <w:p>
            <w:pPr>
              <w:spacing w:line="280" w:lineRule="exact"/>
              <w:rPr>
                <w:rFonts w:ascii="Times New Roman" w:hAnsi="Times New Roman"/>
                <w:bCs/>
              </w:rPr>
            </w:pPr>
            <w:r>
              <w:rPr>
                <w:rFonts w:ascii="Times New Roman" w:hAnsi="Times New Roman"/>
                <w:bCs/>
              </w:rPr>
              <w:t>避开现有和规划中的地下设施</w:t>
            </w:r>
          </w:p>
        </w:tc>
        <w:tc>
          <w:tcPr>
            <w:tcW w:w="3969" w:type="dxa"/>
            <w:vMerge w:val="restart"/>
            <w:vAlign w:val="center"/>
          </w:tcPr>
          <w:p>
            <w:pPr>
              <w:spacing w:line="280" w:lineRule="exact"/>
              <w:rPr>
                <w:rFonts w:ascii="Times New Roman" w:hAnsi="Times New Roman"/>
                <w:bCs/>
              </w:rPr>
            </w:pPr>
            <w:r>
              <w:rPr>
                <w:rFonts w:ascii="Times New Roman" w:hAnsi="Times New Roman"/>
                <w:bCs/>
              </w:rPr>
              <w:t>本项目</w:t>
            </w:r>
            <w:r>
              <w:rPr>
                <w:rFonts w:ascii="Times New Roman" w:hAnsi="Times New Roman"/>
              </w:rPr>
              <w:t>位于双鸭山市四方台梨花盖子沟垃圾处理场院内，不新增占地。</w:t>
            </w:r>
            <w:r>
              <w:rPr>
                <w:rFonts w:hint="eastAsia" w:ascii="Times New Roman" w:hAnsi="Times New Roman"/>
                <w:bCs/>
              </w:rPr>
              <w:t>不涉及</w:t>
            </w:r>
            <w:r>
              <w:rPr>
                <w:rFonts w:ascii="Times New Roman" w:hAnsi="Times New Roman"/>
                <w:bCs/>
              </w:rPr>
              <w:t>现有和规划中的地下设施；地形开阔，</w:t>
            </w:r>
            <w:r>
              <w:rPr>
                <w:rFonts w:hint="eastAsia" w:ascii="Times New Roman" w:hAnsi="Times New Roman"/>
                <w:bCs/>
              </w:rPr>
              <w:t>不存在</w:t>
            </w:r>
            <w:r>
              <w:rPr>
                <w:rFonts w:ascii="Times New Roman" w:hAnsi="Times New Roman"/>
                <w:bCs/>
              </w:rPr>
              <w:t>大规模平整土地、砍伐森林、占用基本保护农田；</w:t>
            </w:r>
            <w:r>
              <w:rPr>
                <w:rFonts w:hint="eastAsia" w:ascii="Times New Roman" w:hAnsi="Times New Roman"/>
                <w:bCs/>
              </w:rPr>
              <w:t>不涉及</w:t>
            </w:r>
            <w:r>
              <w:rPr>
                <w:rFonts w:ascii="Times New Roman" w:hAnsi="Times New Roman"/>
                <w:bCs/>
              </w:rPr>
              <w:t>公用设施或居民的大规模拆迁</w:t>
            </w:r>
          </w:p>
        </w:tc>
        <w:tc>
          <w:tcPr>
            <w:tcW w:w="941" w:type="dxa"/>
            <w:vAlign w:val="center"/>
          </w:tcPr>
          <w:p>
            <w:pPr>
              <w:spacing w:line="280" w:lineRule="exact"/>
              <w:jc w:val="center"/>
              <w:rPr>
                <w:rFonts w:ascii="Times New Roman" w:hAnsi="Times New Roman"/>
                <w:bCs/>
              </w:rPr>
            </w:pPr>
            <w:r>
              <w:rPr>
                <w:rFonts w:ascii="Times New Roman" w:hAnsi="Times New Roman"/>
                <w:bCs/>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57" w:type="dxa"/>
            <w:vMerge w:val="continue"/>
            <w:vAlign w:val="center"/>
          </w:tcPr>
          <w:p>
            <w:pPr>
              <w:spacing w:line="280" w:lineRule="exact"/>
              <w:jc w:val="center"/>
              <w:rPr>
                <w:rFonts w:ascii="Times New Roman" w:hAnsi="Times New Roman"/>
                <w:bCs/>
              </w:rPr>
            </w:pPr>
          </w:p>
        </w:tc>
        <w:tc>
          <w:tcPr>
            <w:tcW w:w="2645" w:type="dxa"/>
            <w:vAlign w:val="center"/>
          </w:tcPr>
          <w:p>
            <w:pPr>
              <w:spacing w:line="280" w:lineRule="exact"/>
              <w:rPr>
                <w:rFonts w:ascii="Times New Roman" w:hAnsi="Times New Roman"/>
                <w:bCs/>
              </w:rPr>
            </w:pPr>
            <w:r>
              <w:rPr>
                <w:rFonts w:ascii="Times New Roman" w:hAnsi="Times New Roman"/>
                <w:bCs/>
              </w:rPr>
              <w:t>地形开阔，避免大规模平整土地、砍伐森林、占用基本保护农田</w:t>
            </w:r>
          </w:p>
        </w:tc>
        <w:tc>
          <w:tcPr>
            <w:tcW w:w="3969" w:type="dxa"/>
            <w:vMerge w:val="continue"/>
            <w:vAlign w:val="center"/>
          </w:tcPr>
          <w:p>
            <w:pPr>
              <w:spacing w:line="280" w:lineRule="exact"/>
              <w:rPr>
                <w:rFonts w:ascii="Times New Roman" w:hAnsi="Times New Roman"/>
                <w:bCs/>
              </w:rPr>
            </w:pPr>
          </w:p>
        </w:tc>
        <w:tc>
          <w:tcPr>
            <w:tcW w:w="941" w:type="dxa"/>
            <w:vAlign w:val="center"/>
          </w:tcPr>
          <w:p>
            <w:pPr>
              <w:spacing w:line="280" w:lineRule="exact"/>
              <w:jc w:val="center"/>
              <w:rPr>
                <w:rFonts w:ascii="Times New Roman" w:hAnsi="Times New Roman"/>
                <w:bCs/>
              </w:rPr>
            </w:pPr>
            <w:r>
              <w:rPr>
                <w:rFonts w:ascii="Times New Roman" w:hAnsi="Times New Roman"/>
                <w:bCs/>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57" w:type="dxa"/>
            <w:vMerge w:val="continue"/>
            <w:vAlign w:val="center"/>
          </w:tcPr>
          <w:p>
            <w:pPr>
              <w:spacing w:line="280" w:lineRule="exact"/>
              <w:jc w:val="center"/>
              <w:rPr>
                <w:rFonts w:ascii="Times New Roman" w:hAnsi="Times New Roman"/>
                <w:bCs/>
              </w:rPr>
            </w:pPr>
          </w:p>
        </w:tc>
        <w:tc>
          <w:tcPr>
            <w:tcW w:w="2645" w:type="dxa"/>
            <w:vAlign w:val="center"/>
          </w:tcPr>
          <w:p>
            <w:pPr>
              <w:spacing w:line="280" w:lineRule="exact"/>
              <w:rPr>
                <w:rFonts w:ascii="Times New Roman" w:hAnsi="Times New Roman"/>
                <w:bCs/>
              </w:rPr>
            </w:pPr>
            <w:r>
              <w:rPr>
                <w:rFonts w:ascii="Times New Roman" w:hAnsi="Times New Roman"/>
                <w:bCs/>
              </w:rPr>
              <w:t>减少设施用地对周围环境的影响，避免公用设施或居民的大规模拆迁</w:t>
            </w:r>
          </w:p>
        </w:tc>
        <w:tc>
          <w:tcPr>
            <w:tcW w:w="3969" w:type="dxa"/>
            <w:vMerge w:val="continue"/>
            <w:vAlign w:val="center"/>
          </w:tcPr>
          <w:p>
            <w:pPr>
              <w:spacing w:line="280" w:lineRule="exact"/>
              <w:rPr>
                <w:rFonts w:ascii="Times New Roman" w:hAnsi="Times New Roman"/>
                <w:bCs/>
              </w:rPr>
            </w:pPr>
          </w:p>
        </w:tc>
        <w:tc>
          <w:tcPr>
            <w:tcW w:w="941" w:type="dxa"/>
            <w:vAlign w:val="center"/>
          </w:tcPr>
          <w:p>
            <w:pPr>
              <w:spacing w:line="280" w:lineRule="exact"/>
              <w:jc w:val="center"/>
              <w:rPr>
                <w:rFonts w:ascii="Times New Roman" w:hAnsi="Times New Roman"/>
                <w:bCs/>
              </w:rPr>
            </w:pPr>
            <w:r>
              <w:rPr>
                <w:rFonts w:ascii="Times New Roman" w:hAnsi="Times New Roman"/>
                <w:bCs/>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57" w:type="dxa"/>
            <w:vMerge w:val="continue"/>
            <w:vAlign w:val="center"/>
          </w:tcPr>
          <w:p>
            <w:pPr>
              <w:spacing w:line="280" w:lineRule="exact"/>
              <w:jc w:val="center"/>
              <w:rPr>
                <w:rFonts w:ascii="Times New Roman" w:hAnsi="Times New Roman"/>
                <w:bCs/>
              </w:rPr>
            </w:pPr>
          </w:p>
        </w:tc>
        <w:tc>
          <w:tcPr>
            <w:tcW w:w="2645" w:type="dxa"/>
            <w:vAlign w:val="center"/>
          </w:tcPr>
          <w:p>
            <w:pPr>
              <w:spacing w:line="280" w:lineRule="exact"/>
              <w:rPr>
                <w:rFonts w:ascii="Times New Roman" w:hAnsi="Times New Roman"/>
                <w:bCs/>
              </w:rPr>
            </w:pPr>
            <w:r>
              <w:rPr>
                <w:rFonts w:ascii="Times New Roman" w:hAnsi="Times New Roman"/>
                <w:bCs/>
              </w:rPr>
              <w:t>可以常年获得危险废物和医疗废物供应</w:t>
            </w:r>
          </w:p>
        </w:tc>
        <w:tc>
          <w:tcPr>
            <w:tcW w:w="3969" w:type="dxa"/>
            <w:vAlign w:val="center"/>
          </w:tcPr>
          <w:p>
            <w:pPr>
              <w:spacing w:line="280" w:lineRule="exact"/>
              <w:rPr>
                <w:rFonts w:ascii="Times New Roman" w:hAnsi="Times New Roman"/>
                <w:bCs/>
              </w:rPr>
            </w:pPr>
            <w:r>
              <w:rPr>
                <w:rFonts w:ascii="Times New Roman" w:hAnsi="Times New Roman"/>
                <w:bCs/>
              </w:rPr>
              <w:t>本次设备扩建工程位于双鸭山市四方台梨花盖子沟垃圾处理场院内，服务范围为双鸭山市现有大小医院共129所</w:t>
            </w:r>
            <w:r>
              <w:rPr>
                <w:rFonts w:hint="eastAsia" w:ascii="Times New Roman" w:hAnsi="Times New Roman"/>
                <w:bCs/>
              </w:rPr>
              <w:t>，</w:t>
            </w:r>
            <w:r>
              <w:rPr>
                <w:rFonts w:ascii="Times New Roman" w:hAnsi="Times New Roman"/>
                <w:bCs/>
              </w:rPr>
              <w:t>产医疗废物</w:t>
            </w:r>
            <w:r>
              <w:rPr>
                <w:rFonts w:hint="eastAsia" w:ascii="Times New Roman" w:hAnsi="Times New Roman"/>
                <w:bCs/>
              </w:rPr>
              <w:t>每天</w:t>
            </w:r>
            <w:r>
              <w:rPr>
                <w:rFonts w:ascii="Times New Roman" w:hAnsi="Times New Roman"/>
                <w:bCs/>
              </w:rPr>
              <w:t>约2.54吨</w:t>
            </w:r>
            <w:r>
              <w:rPr>
                <w:rFonts w:hint="eastAsia" w:ascii="Times New Roman" w:hAnsi="Times New Roman"/>
                <w:bCs/>
              </w:rPr>
              <w:t>。</w:t>
            </w:r>
          </w:p>
        </w:tc>
        <w:tc>
          <w:tcPr>
            <w:tcW w:w="941" w:type="dxa"/>
            <w:vAlign w:val="center"/>
          </w:tcPr>
          <w:p>
            <w:pPr>
              <w:spacing w:line="280" w:lineRule="exact"/>
              <w:jc w:val="center"/>
              <w:rPr>
                <w:rFonts w:ascii="Times New Roman" w:hAnsi="Times New Roman"/>
                <w:bCs/>
              </w:rPr>
            </w:pPr>
            <w:r>
              <w:rPr>
                <w:rFonts w:ascii="Times New Roman" w:hAnsi="Times New Roman"/>
                <w:bCs/>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57" w:type="dxa"/>
            <w:vMerge w:val="continue"/>
            <w:vAlign w:val="center"/>
          </w:tcPr>
          <w:p>
            <w:pPr>
              <w:spacing w:line="280" w:lineRule="exact"/>
              <w:jc w:val="center"/>
              <w:rPr>
                <w:rFonts w:ascii="Times New Roman" w:hAnsi="Times New Roman"/>
                <w:bCs/>
              </w:rPr>
            </w:pPr>
          </w:p>
        </w:tc>
        <w:tc>
          <w:tcPr>
            <w:tcW w:w="2645" w:type="dxa"/>
            <w:vAlign w:val="center"/>
          </w:tcPr>
          <w:p>
            <w:pPr>
              <w:spacing w:line="280" w:lineRule="exact"/>
              <w:rPr>
                <w:rFonts w:ascii="Times New Roman" w:hAnsi="Times New Roman"/>
                <w:bCs/>
              </w:rPr>
            </w:pPr>
            <w:r>
              <w:rPr>
                <w:rFonts w:ascii="Times New Roman" w:hAnsi="Times New Roman"/>
                <w:bCs/>
              </w:rPr>
              <w:t>危险废物和医疗废物运输风险</w:t>
            </w:r>
          </w:p>
        </w:tc>
        <w:tc>
          <w:tcPr>
            <w:tcW w:w="3969" w:type="dxa"/>
            <w:vAlign w:val="center"/>
          </w:tcPr>
          <w:p>
            <w:pPr>
              <w:spacing w:line="280" w:lineRule="exact"/>
              <w:rPr>
                <w:rFonts w:ascii="Times New Roman" w:hAnsi="Times New Roman"/>
                <w:bCs/>
              </w:rPr>
            </w:pPr>
            <w:r>
              <w:rPr>
                <w:rFonts w:ascii="Times New Roman" w:hAnsi="Times New Roman"/>
                <w:bCs/>
              </w:rPr>
              <w:t>防范措施：（1）运送路线尽量避开人口密集区域和交通拥堵道路。（2）医疗废物装卸载尽可能采用机械作业，将周转箱整齐地装入车内，尽量减少人工操作；如需手工操作应做好人员防护。（3）医疗废物运送前，处置单位必须对每辆运送车的车况进行检查，确保车况良好后方可出车。运送车辆负责人应对每辆运送车是否配备要求的辅助物品进行检查，确保完备。（4）医疗废物运送车辆不得搭乘其他无关人员，不得装载或混装其他货物和动植物。（5）车辆行驶时应锁闭车厢门，确保安全，不得丢失、遗撒和打开包装取出医疗废物。（6）医疗废物处置单位应对运送人员进行有关专业技能和职业卫生防护的培训，并达到如下要求：熟悉有关的环保法律法规，掌握环保部门制定的医疗废物管理的规章制度；熟知本岗位的职责和理解本规范的重要性；熟悉医疗废物分类与包装标识要求，装卸、搬运医疗废物容器（如包装袋、利器盒等）、周转箱（桶）的正确操作程序；在运送途中一旦发生医疗废物外溢、散落等应急情况时，知道如何采取应急措施，并及时报告；了解医疗废物对环境和健康的危害性，以及坚持使用个人卫生防护用品的重要性；运送人员在运送过程中须穿戴防护手套、口罩、工作服、靴等防护用品。</w:t>
            </w:r>
          </w:p>
          <w:p>
            <w:pPr>
              <w:spacing w:line="280" w:lineRule="exact"/>
              <w:rPr>
                <w:rFonts w:ascii="Times New Roman" w:hAnsi="Times New Roman"/>
                <w:bCs/>
              </w:rPr>
            </w:pPr>
            <w:r>
              <w:rPr>
                <w:rFonts w:ascii="Times New Roman" w:hAnsi="Times New Roman"/>
                <w:bCs/>
              </w:rPr>
              <w:t>应急措施：运送过程中当发生翻车、撞车导致医疗废物大量溢出、散落时，运送人员应立即向本单位应急事故小组取得联系，请求当地公安交警、环境保护或城市应急联动中心的支持。同时，运送人员应采取下述应急措施：（1）立即请求公安交通警察在受污染地区设立隔离区，禁止其他车辆和行人穿过，避免污染物扩散和对行人造成伤害；（2）对溢出、散落的医疗废物迅速进行收集、清理和消毒处理。对于液体溢出物采用吸附材料吸收处理；（3）清理人员在进行清理工作时须穿戴防护服、手套、口罩、靴等防护用品，清理工作结束后，用具和防护用品均须进行消毒处理；（4）如果在操作中，清理人员的身体（皮肤）不慎受到伤害，应及时采取处理措施，并到医院接受救治；（5）清洁人员还须对被污染的现场地面进行消毒和清洁处理。对发生的事故采取上述应急措施的同时，处置单位必须向当地环保和卫生部门报告事故发生情况。事故处理完毕后，处置单位要向上述两个部门写出书面报告，报告的内容包括：（1）事故发生的时间、地点、原因及其简要经过；（2）泄露、散落医疗废物的类型和数量、受污染的原因及医疗废物产生单位名称；（3）医疗废物泄露、散落已造成的危害和潜在影响；（4）已采取的应急处理措施和处理结果</w:t>
            </w:r>
          </w:p>
        </w:tc>
        <w:tc>
          <w:tcPr>
            <w:tcW w:w="941" w:type="dxa"/>
            <w:vAlign w:val="center"/>
          </w:tcPr>
          <w:p>
            <w:pPr>
              <w:spacing w:line="280" w:lineRule="exact"/>
              <w:jc w:val="center"/>
              <w:rPr>
                <w:rFonts w:ascii="Times New Roman" w:hAnsi="Times New Roman"/>
                <w:bCs/>
              </w:rPr>
            </w:pPr>
            <w:r>
              <w:rPr>
                <w:rFonts w:ascii="Times New Roman" w:hAnsi="Times New Roman"/>
                <w:bCs/>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0" w:hRule="atLeast"/>
          <w:jc w:val="center"/>
        </w:trPr>
        <w:tc>
          <w:tcPr>
            <w:tcW w:w="757" w:type="dxa"/>
            <w:vMerge w:val="restart"/>
            <w:vAlign w:val="center"/>
          </w:tcPr>
          <w:p>
            <w:pPr>
              <w:spacing w:line="280" w:lineRule="exact"/>
              <w:jc w:val="center"/>
              <w:rPr>
                <w:rFonts w:ascii="Times New Roman" w:hAnsi="Times New Roman"/>
                <w:bCs/>
              </w:rPr>
            </w:pPr>
            <w:r>
              <w:rPr>
                <w:rFonts w:ascii="Times New Roman" w:hAnsi="Times New Roman"/>
                <w:bCs/>
              </w:rPr>
              <w:t>工程地质/水文地质</w:t>
            </w:r>
          </w:p>
        </w:tc>
        <w:tc>
          <w:tcPr>
            <w:tcW w:w="2645" w:type="dxa"/>
            <w:vAlign w:val="center"/>
          </w:tcPr>
          <w:p>
            <w:pPr>
              <w:spacing w:line="280" w:lineRule="exact"/>
              <w:rPr>
                <w:rFonts w:ascii="Times New Roman" w:hAnsi="Times New Roman"/>
                <w:bCs/>
              </w:rPr>
            </w:pPr>
            <w:r>
              <w:rPr>
                <w:rFonts w:ascii="Times New Roman" w:hAnsi="Times New Roman"/>
                <w:bCs/>
              </w:rPr>
              <w:t>避免自然灾害多发区和地质条件不稳定地区（废弃矿区、塌陷区、崩塌、岩堆、滑坡区、泥石流多发区、活动断层、其他危及设施安全的地质不稳定区），设施选址应在百年一遇洪水位以上</w:t>
            </w:r>
          </w:p>
        </w:tc>
        <w:tc>
          <w:tcPr>
            <w:tcW w:w="3969" w:type="dxa"/>
            <w:vAlign w:val="center"/>
          </w:tcPr>
          <w:p>
            <w:pPr>
              <w:spacing w:line="280" w:lineRule="exact"/>
              <w:rPr>
                <w:rFonts w:ascii="Times New Roman" w:hAnsi="Times New Roman"/>
                <w:bCs/>
              </w:rPr>
            </w:pPr>
            <w:r>
              <w:rPr>
                <w:rFonts w:ascii="Times New Roman" w:hAnsi="Times New Roman"/>
                <w:bCs/>
              </w:rPr>
              <w:t>本项目厂址不在自然灾害多发区和地质条件不稳定地区。</w:t>
            </w:r>
            <w:r>
              <w:rPr>
                <w:rFonts w:ascii="Times New Roman" w:hAnsi="Times New Roman"/>
              </w:rPr>
              <w:t>本项目厂区内及周边的截排水沟设置情况，具有可靠的防洪、排涝措施</w:t>
            </w:r>
          </w:p>
        </w:tc>
        <w:tc>
          <w:tcPr>
            <w:tcW w:w="941" w:type="dxa"/>
            <w:vAlign w:val="center"/>
          </w:tcPr>
          <w:p>
            <w:pPr>
              <w:spacing w:line="280" w:lineRule="exact"/>
              <w:jc w:val="center"/>
              <w:rPr>
                <w:rFonts w:ascii="Times New Roman" w:hAnsi="Times New Roman"/>
                <w:bCs/>
              </w:rPr>
            </w:pPr>
            <w:r>
              <w:rPr>
                <w:rFonts w:ascii="Times New Roman" w:hAnsi="Times New Roman"/>
                <w:bCs/>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57" w:type="dxa"/>
            <w:vMerge w:val="continue"/>
            <w:vAlign w:val="center"/>
          </w:tcPr>
          <w:p>
            <w:pPr>
              <w:spacing w:line="280" w:lineRule="exact"/>
              <w:jc w:val="center"/>
              <w:rPr>
                <w:rFonts w:ascii="Times New Roman" w:hAnsi="Times New Roman"/>
                <w:bCs/>
              </w:rPr>
            </w:pPr>
          </w:p>
        </w:tc>
        <w:tc>
          <w:tcPr>
            <w:tcW w:w="2645" w:type="dxa"/>
            <w:vAlign w:val="center"/>
          </w:tcPr>
          <w:p>
            <w:pPr>
              <w:spacing w:line="280" w:lineRule="exact"/>
              <w:rPr>
                <w:rFonts w:ascii="Times New Roman" w:hAnsi="Times New Roman"/>
                <w:bCs/>
              </w:rPr>
            </w:pPr>
            <w:r>
              <w:rPr>
                <w:rFonts w:ascii="Times New Roman" w:hAnsi="Times New Roman"/>
                <w:bCs/>
              </w:rPr>
              <w:t>地震裂度在Ⅶ度以下</w:t>
            </w:r>
          </w:p>
        </w:tc>
        <w:tc>
          <w:tcPr>
            <w:tcW w:w="3969" w:type="dxa"/>
            <w:vAlign w:val="center"/>
          </w:tcPr>
          <w:p>
            <w:pPr>
              <w:spacing w:line="280" w:lineRule="exact"/>
              <w:rPr>
                <w:rFonts w:ascii="Times New Roman" w:hAnsi="Times New Roman"/>
                <w:bCs/>
              </w:rPr>
            </w:pPr>
            <w:r>
              <w:rPr>
                <w:rFonts w:ascii="Times New Roman" w:hAnsi="Times New Roman"/>
                <w:bCs/>
              </w:rPr>
              <w:t>本项目选址地质结构稳定，地震烈度6度</w:t>
            </w:r>
          </w:p>
        </w:tc>
        <w:tc>
          <w:tcPr>
            <w:tcW w:w="941" w:type="dxa"/>
            <w:vAlign w:val="center"/>
          </w:tcPr>
          <w:p>
            <w:pPr>
              <w:spacing w:line="280" w:lineRule="exact"/>
              <w:jc w:val="center"/>
              <w:rPr>
                <w:rFonts w:ascii="Times New Roman" w:hAnsi="Times New Roman"/>
                <w:bCs/>
              </w:rPr>
            </w:pPr>
            <w:r>
              <w:rPr>
                <w:rFonts w:ascii="Times New Roman" w:hAnsi="Times New Roman"/>
                <w:bCs/>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57" w:type="dxa"/>
            <w:vMerge w:val="continue"/>
            <w:vAlign w:val="center"/>
          </w:tcPr>
          <w:p>
            <w:pPr>
              <w:spacing w:line="280" w:lineRule="exact"/>
              <w:jc w:val="center"/>
              <w:rPr>
                <w:rFonts w:ascii="Times New Roman" w:hAnsi="Times New Roman"/>
                <w:bCs/>
              </w:rPr>
            </w:pPr>
          </w:p>
        </w:tc>
        <w:tc>
          <w:tcPr>
            <w:tcW w:w="2645" w:type="dxa"/>
            <w:vAlign w:val="center"/>
          </w:tcPr>
          <w:p>
            <w:pPr>
              <w:spacing w:line="280" w:lineRule="exact"/>
              <w:rPr>
                <w:rFonts w:ascii="Times New Roman" w:hAnsi="Times New Roman"/>
                <w:bCs/>
              </w:rPr>
            </w:pPr>
            <w:r>
              <w:rPr>
                <w:rFonts w:ascii="Times New Roman" w:hAnsi="Times New Roman"/>
                <w:bCs/>
              </w:rPr>
              <w:t>最高地下水位应在不透水层以下3.0米</w:t>
            </w:r>
          </w:p>
        </w:tc>
        <w:tc>
          <w:tcPr>
            <w:tcW w:w="3969" w:type="dxa"/>
            <w:vAlign w:val="center"/>
          </w:tcPr>
          <w:p>
            <w:pPr>
              <w:spacing w:line="280" w:lineRule="exact"/>
              <w:rPr>
                <w:rFonts w:ascii="Times New Roman" w:hAnsi="Times New Roman"/>
                <w:bCs/>
              </w:rPr>
            </w:pPr>
            <w:r>
              <w:rPr>
                <w:rFonts w:hint="eastAsia" w:ascii="Times New Roman" w:hAnsi="Times New Roman"/>
                <w:bCs/>
              </w:rPr>
              <w:t>区域</w:t>
            </w:r>
            <w:r>
              <w:rPr>
                <w:rFonts w:hint="eastAsia" w:ascii="Times New Roman" w:hAnsi="Times New Roman"/>
              </w:rPr>
              <w:t>地下水最高水位是213m，风化基岩裂隙水，距离上层弱透水层距离约为7m</w:t>
            </w:r>
          </w:p>
        </w:tc>
        <w:tc>
          <w:tcPr>
            <w:tcW w:w="941" w:type="dxa"/>
            <w:vAlign w:val="center"/>
          </w:tcPr>
          <w:p>
            <w:pPr>
              <w:spacing w:line="280" w:lineRule="exact"/>
              <w:jc w:val="center"/>
              <w:rPr>
                <w:rFonts w:ascii="Times New Roman" w:hAnsi="Times New Roman"/>
                <w:bCs/>
              </w:rPr>
            </w:pPr>
            <w:r>
              <w:rPr>
                <w:rFonts w:ascii="Times New Roman" w:hAnsi="Times New Roman"/>
                <w:bCs/>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57" w:type="dxa"/>
            <w:vMerge w:val="continue"/>
            <w:vAlign w:val="center"/>
          </w:tcPr>
          <w:p>
            <w:pPr>
              <w:spacing w:line="280" w:lineRule="exact"/>
              <w:jc w:val="center"/>
              <w:rPr>
                <w:rFonts w:ascii="Times New Roman" w:hAnsi="Times New Roman"/>
                <w:bCs/>
              </w:rPr>
            </w:pPr>
          </w:p>
        </w:tc>
        <w:tc>
          <w:tcPr>
            <w:tcW w:w="2645" w:type="dxa"/>
            <w:vAlign w:val="center"/>
          </w:tcPr>
          <w:p>
            <w:pPr>
              <w:spacing w:line="280" w:lineRule="exact"/>
              <w:rPr>
                <w:rFonts w:ascii="Times New Roman" w:hAnsi="Times New Roman"/>
                <w:bCs/>
              </w:rPr>
            </w:pPr>
            <w:r>
              <w:rPr>
                <w:rFonts w:ascii="Times New Roman" w:hAnsi="Times New Roman"/>
                <w:bCs/>
              </w:rPr>
              <w:t>土壤不具有强烈腐蚀性</w:t>
            </w:r>
          </w:p>
        </w:tc>
        <w:tc>
          <w:tcPr>
            <w:tcW w:w="3969" w:type="dxa"/>
            <w:vAlign w:val="center"/>
          </w:tcPr>
          <w:p>
            <w:pPr>
              <w:spacing w:line="280" w:lineRule="exact"/>
              <w:rPr>
                <w:rFonts w:ascii="Times New Roman" w:hAnsi="Times New Roman"/>
                <w:bCs/>
              </w:rPr>
            </w:pPr>
            <w:r>
              <w:rPr>
                <w:rFonts w:ascii="Times New Roman" w:hAnsi="Times New Roman"/>
                <w:bCs/>
              </w:rPr>
              <w:t>本项目厂址土壤</w:t>
            </w:r>
            <w:r>
              <w:rPr>
                <w:rFonts w:hint="eastAsia" w:ascii="Times New Roman" w:hAnsi="Times New Roman"/>
                <w:bCs/>
              </w:rPr>
              <w:t>为</w:t>
            </w:r>
            <w:r>
              <w:t>冷凉淋溶土</w:t>
            </w:r>
            <w:r>
              <w:rPr>
                <w:rFonts w:hint="eastAsia"/>
              </w:rPr>
              <w:t>和</w:t>
            </w:r>
            <w:r>
              <w:t>湿润均腐土，</w:t>
            </w:r>
            <w:r>
              <w:rPr>
                <w:rFonts w:ascii="Times New Roman" w:hAnsi="Times New Roman"/>
                <w:bCs/>
              </w:rPr>
              <w:t>不具有强烈腐蚀性</w:t>
            </w:r>
          </w:p>
        </w:tc>
        <w:tc>
          <w:tcPr>
            <w:tcW w:w="941" w:type="dxa"/>
            <w:vAlign w:val="center"/>
          </w:tcPr>
          <w:p>
            <w:pPr>
              <w:spacing w:line="280" w:lineRule="exact"/>
              <w:jc w:val="center"/>
              <w:rPr>
                <w:rFonts w:ascii="Times New Roman" w:hAnsi="Times New Roman"/>
                <w:bCs/>
              </w:rPr>
            </w:pPr>
            <w:r>
              <w:rPr>
                <w:rFonts w:ascii="Times New Roman" w:hAnsi="Times New Roman"/>
                <w:bCs/>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57" w:type="dxa"/>
            <w:vMerge w:val="restart"/>
            <w:vAlign w:val="center"/>
          </w:tcPr>
          <w:p>
            <w:pPr>
              <w:spacing w:line="280" w:lineRule="exact"/>
              <w:jc w:val="center"/>
              <w:rPr>
                <w:rFonts w:ascii="Times New Roman" w:hAnsi="Times New Roman"/>
                <w:bCs/>
              </w:rPr>
            </w:pPr>
            <w:r>
              <w:rPr>
                <w:rFonts w:ascii="Times New Roman" w:hAnsi="Times New Roman"/>
                <w:bCs/>
              </w:rPr>
              <w:t>气候</w:t>
            </w:r>
          </w:p>
        </w:tc>
        <w:tc>
          <w:tcPr>
            <w:tcW w:w="2645" w:type="dxa"/>
            <w:vAlign w:val="center"/>
          </w:tcPr>
          <w:p>
            <w:pPr>
              <w:spacing w:line="280" w:lineRule="exact"/>
              <w:rPr>
                <w:rFonts w:ascii="Times New Roman" w:hAnsi="Times New Roman"/>
                <w:bCs/>
              </w:rPr>
            </w:pPr>
            <w:r>
              <w:rPr>
                <w:rFonts w:ascii="Times New Roman" w:hAnsi="Times New Roman"/>
                <w:bCs/>
              </w:rPr>
              <w:t>有明显的主导风向，静风频率低</w:t>
            </w:r>
          </w:p>
        </w:tc>
        <w:tc>
          <w:tcPr>
            <w:tcW w:w="3969" w:type="dxa"/>
            <w:vAlign w:val="center"/>
          </w:tcPr>
          <w:p>
            <w:pPr>
              <w:spacing w:line="280" w:lineRule="exact"/>
              <w:rPr>
                <w:rFonts w:ascii="Times New Roman" w:hAnsi="Times New Roman"/>
                <w:bCs/>
              </w:rPr>
            </w:pPr>
            <w:r>
              <w:rPr>
                <w:rFonts w:ascii="Times New Roman" w:hAnsi="Times New Roman"/>
                <w:bCs/>
              </w:rPr>
              <w:t>本项目厂址所在区域有明显的主导风向（西南风SW），静风频率低</w:t>
            </w:r>
          </w:p>
        </w:tc>
        <w:tc>
          <w:tcPr>
            <w:tcW w:w="941" w:type="dxa"/>
            <w:vAlign w:val="center"/>
          </w:tcPr>
          <w:p>
            <w:pPr>
              <w:spacing w:line="280" w:lineRule="exact"/>
              <w:jc w:val="center"/>
              <w:rPr>
                <w:rFonts w:ascii="Times New Roman" w:hAnsi="Times New Roman"/>
                <w:bCs/>
              </w:rPr>
            </w:pPr>
            <w:r>
              <w:rPr>
                <w:rFonts w:ascii="Times New Roman" w:hAnsi="Times New Roman"/>
                <w:bCs/>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57" w:type="dxa"/>
            <w:vMerge w:val="continue"/>
            <w:vAlign w:val="center"/>
          </w:tcPr>
          <w:p>
            <w:pPr>
              <w:spacing w:line="280" w:lineRule="exact"/>
              <w:jc w:val="center"/>
              <w:rPr>
                <w:rFonts w:ascii="Times New Roman" w:hAnsi="Times New Roman"/>
                <w:bCs/>
              </w:rPr>
            </w:pPr>
          </w:p>
        </w:tc>
        <w:tc>
          <w:tcPr>
            <w:tcW w:w="2645" w:type="dxa"/>
            <w:vAlign w:val="center"/>
          </w:tcPr>
          <w:p>
            <w:pPr>
              <w:spacing w:line="280" w:lineRule="exact"/>
              <w:rPr>
                <w:rFonts w:ascii="Times New Roman" w:hAnsi="Times New Roman"/>
                <w:bCs/>
              </w:rPr>
            </w:pPr>
            <w:r>
              <w:rPr>
                <w:rFonts w:ascii="Times New Roman" w:hAnsi="Times New Roman"/>
                <w:bCs/>
              </w:rPr>
              <w:t>暴雨、暴雪、雷暴、尘暴、台风等灾害性天气出现几率小</w:t>
            </w:r>
          </w:p>
        </w:tc>
        <w:tc>
          <w:tcPr>
            <w:tcW w:w="3969" w:type="dxa"/>
            <w:vAlign w:val="center"/>
          </w:tcPr>
          <w:p>
            <w:pPr>
              <w:spacing w:line="280" w:lineRule="exact"/>
              <w:rPr>
                <w:rFonts w:ascii="Times New Roman" w:hAnsi="Times New Roman"/>
                <w:bCs/>
              </w:rPr>
            </w:pPr>
            <w:r>
              <w:rPr>
                <w:rFonts w:ascii="Times New Roman" w:hAnsi="Times New Roman"/>
                <w:bCs/>
              </w:rPr>
              <w:t>本项目厂址所在区域暴雨、暴雪、雷暴、尘暴、台风等灾害性天气出现几率小</w:t>
            </w:r>
          </w:p>
        </w:tc>
        <w:tc>
          <w:tcPr>
            <w:tcW w:w="941" w:type="dxa"/>
            <w:vAlign w:val="center"/>
          </w:tcPr>
          <w:p>
            <w:pPr>
              <w:spacing w:line="280" w:lineRule="exact"/>
              <w:jc w:val="center"/>
              <w:rPr>
                <w:rFonts w:ascii="Times New Roman" w:hAnsi="Times New Roman"/>
                <w:bCs/>
              </w:rPr>
            </w:pPr>
            <w:r>
              <w:rPr>
                <w:rFonts w:ascii="Times New Roman" w:hAnsi="Times New Roman"/>
                <w:bCs/>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0" w:hRule="atLeast"/>
          <w:jc w:val="center"/>
        </w:trPr>
        <w:tc>
          <w:tcPr>
            <w:tcW w:w="757" w:type="dxa"/>
            <w:vAlign w:val="center"/>
          </w:tcPr>
          <w:p>
            <w:pPr>
              <w:spacing w:line="280" w:lineRule="exact"/>
              <w:jc w:val="center"/>
              <w:rPr>
                <w:rFonts w:ascii="Times New Roman" w:hAnsi="Times New Roman"/>
                <w:bCs/>
              </w:rPr>
            </w:pPr>
            <w:r>
              <w:rPr>
                <w:rFonts w:ascii="Times New Roman" w:hAnsi="Times New Roman"/>
                <w:bCs/>
              </w:rPr>
              <w:t>应急救援</w:t>
            </w:r>
          </w:p>
        </w:tc>
        <w:tc>
          <w:tcPr>
            <w:tcW w:w="2645" w:type="dxa"/>
            <w:vAlign w:val="center"/>
          </w:tcPr>
          <w:p>
            <w:pPr>
              <w:spacing w:line="280" w:lineRule="exact"/>
              <w:rPr>
                <w:rFonts w:ascii="Times New Roman" w:hAnsi="Times New Roman"/>
                <w:bCs/>
              </w:rPr>
            </w:pPr>
            <w:r>
              <w:rPr>
                <w:rFonts w:ascii="Times New Roman" w:hAnsi="Times New Roman"/>
                <w:bCs/>
              </w:rPr>
              <w:t>有实施应急救援的水、电、通讯、交通、医疗条件</w:t>
            </w:r>
          </w:p>
        </w:tc>
        <w:tc>
          <w:tcPr>
            <w:tcW w:w="3969" w:type="dxa"/>
            <w:vAlign w:val="center"/>
          </w:tcPr>
          <w:p>
            <w:pPr>
              <w:pStyle w:val="27"/>
            </w:pPr>
            <w:r>
              <w:rPr>
                <w:rFonts w:hint="eastAsia"/>
              </w:rPr>
              <w:t>编制建设项目突发环境事件应急预案，落实应急救援相关内容</w:t>
            </w:r>
          </w:p>
        </w:tc>
        <w:tc>
          <w:tcPr>
            <w:tcW w:w="941" w:type="dxa"/>
            <w:vAlign w:val="center"/>
          </w:tcPr>
          <w:p>
            <w:pPr>
              <w:spacing w:line="280" w:lineRule="exact"/>
              <w:jc w:val="center"/>
              <w:rPr>
                <w:rFonts w:ascii="Times New Roman" w:hAnsi="Times New Roman"/>
                <w:bCs/>
              </w:rPr>
            </w:pPr>
            <w:r>
              <w:rPr>
                <w:rFonts w:ascii="Times New Roman" w:hAnsi="Times New Roman"/>
                <w:bCs/>
              </w:rPr>
              <w:t>符合</w:t>
            </w:r>
          </w:p>
        </w:tc>
      </w:tr>
    </w:tbl>
    <w:p>
      <w:pPr>
        <w:spacing w:line="500" w:lineRule="exact"/>
        <w:ind w:firstLine="480" w:firstLineChars="200"/>
        <w:rPr>
          <w:rFonts w:ascii="Times New Roman" w:hAnsi="Times New Roman"/>
        </w:rPr>
      </w:pPr>
      <w:r>
        <w:rPr>
          <w:rFonts w:ascii="Times New Roman" w:hAnsi="Times New Roman"/>
          <w:kern w:val="2"/>
          <w:sz w:val="24"/>
          <w:szCs w:val="24"/>
        </w:rPr>
        <w:t>综上，本项目符合《危险废物和医疗废物处置设施建设项目环境影响评价技术原则》（试行）要求。</w:t>
      </w:r>
    </w:p>
    <w:p>
      <w:pPr>
        <w:pStyle w:val="4"/>
        <w:spacing w:before="120" w:beforeLines="50" w:after="120" w:afterLines="50" w:line="480" w:lineRule="exact"/>
        <w:rPr>
          <w:rFonts w:ascii="Times New Roman" w:hAnsi="Times New Roman" w:eastAsia="黑体"/>
          <w:kern w:val="2"/>
          <w:sz w:val="28"/>
          <w:szCs w:val="32"/>
        </w:rPr>
      </w:pPr>
      <w:bookmarkStart w:id="69" w:name="_Toc12280"/>
      <w:r>
        <w:rPr>
          <w:rFonts w:ascii="Times New Roman" w:hAnsi="Times New Roman" w:eastAsia="黑体"/>
          <w:kern w:val="2"/>
          <w:sz w:val="28"/>
          <w:szCs w:val="32"/>
        </w:rPr>
        <w:t>“十</w:t>
      </w:r>
      <w:r>
        <w:rPr>
          <w:rFonts w:hint="eastAsia" w:ascii="Times New Roman" w:hAnsi="Times New Roman" w:eastAsia="黑体"/>
          <w:kern w:val="2"/>
          <w:sz w:val="28"/>
          <w:szCs w:val="32"/>
        </w:rPr>
        <w:t>四</w:t>
      </w:r>
      <w:r>
        <w:rPr>
          <w:rFonts w:ascii="Times New Roman" w:hAnsi="Times New Roman" w:eastAsia="黑体"/>
          <w:kern w:val="2"/>
          <w:sz w:val="28"/>
          <w:szCs w:val="32"/>
        </w:rPr>
        <w:t>五”生态环境保护规划（</w:t>
      </w:r>
      <w:r>
        <w:rPr>
          <w:rFonts w:hint="eastAsia" w:ascii="Times New Roman" w:hAnsi="Times New Roman" w:eastAsia="黑体"/>
          <w:kern w:val="2"/>
          <w:sz w:val="28"/>
          <w:szCs w:val="32"/>
        </w:rPr>
        <w:t>2</w:t>
      </w:r>
      <w:r>
        <w:rPr>
          <w:rFonts w:ascii="Times New Roman" w:hAnsi="Times New Roman" w:eastAsia="黑体"/>
          <w:kern w:val="2"/>
          <w:sz w:val="28"/>
          <w:szCs w:val="32"/>
        </w:rPr>
        <w:t>021.06.12）相关内容</w:t>
      </w:r>
      <w:bookmarkEnd w:id="69"/>
    </w:p>
    <w:p>
      <w:pPr>
        <w:spacing w:line="480" w:lineRule="exact"/>
        <w:ind w:firstLine="480" w:firstLineChars="200"/>
        <w:rPr>
          <w:rFonts w:ascii="Times New Roman" w:hAnsi="Times New Roman"/>
          <w:sz w:val="24"/>
          <w:szCs w:val="24"/>
        </w:rPr>
      </w:pPr>
      <w:r>
        <w:rPr>
          <w:rFonts w:ascii="Times New Roman" w:hAnsi="Times New Roman"/>
          <w:sz w:val="24"/>
          <w:szCs w:val="24"/>
        </w:rPr>
        <w:t>“十</w:t>
      </w:r>
      <w:r>
        <w:rPr>
          <w:rFonts w:hint="eastAsia" w:ascii="Times New Roman" w:hAnsi="Times New Roman"/>
          <w:sz w:val="24"/>
          <w:szCs w:val="24"/>
        </w:rPr>
        <w:t>四</w:t>
      </w:r>
      <w:r>
        <w:rPr>
          <w:rFonts w:ascii="Times New Roman" w:hAnsi="Times New Roman"/>
          <w:sz w:val="24"/>
          <w:szCs w:val="24"/>
        </w:rPr>
        <w:t>五”生态环境保护规划（</w:t>
      </w:r>
      <w:r>
        <w:rPr>
          <w:rFonts w:hint="eastAsia" w:ascii="Times New Roman" w:hAnsi="Times New Roman"/>
          <w:sz w:val="24"/>
          <w:szCs w:val="24"/>
        </w:rPr>
        <w:t>2</w:t>
      </w:r>
      <w:r>
        <w:rPr>
          <w:rFonts w:ascii="Times New Roman" w:hAnsi="Times New Roman"/>
          <w:sz w:val="24"/>
          <w:szCs w:val="24"/>
        </w:rPr>
        <w:t>021.06.12）中：“第</w:t>
      </w:r>
      <w:r>
        <w:rPr>
          <w:rFonts w:hint="eastAsia" w:ascii="Times New Roman" w:hAnsi="Times New Roman"/>
          <w:sz w:val="24"/>
          <w:szCs w:val="24"/>
        </w:rPr>
        <w:t>六</w:t>
      </w:r>
      <w:r>
        <w:rPr>
          <w:rFonts w:ascii="Times New Roman" w:hAnsi="Times New Roman"/>
          <w:sz w:val="24"/>
          <w:szCs w:val="24"/>
        </w:rPr>
        <w:t xml:space="preserve">节 </w:t>
      </w:r>
      <w:r>
        <w:rPr>
          <w:rFonts w:hint="eastAsia" w:ascii="Times New Roman" w:hAnsi="Times New Roman"/>
          <w:sz w:val="24"/>
          <w:szCs w:val="24"/>
        </w:rPr>
        <w:t>加强危险废物管控</w:t>
      </w:r>
      <w:r>
        <w:rPr>
          <w:rFonts w:ascii="Times New Roman" w:hAnsi="Times New Roman"/>
          <w:sz w:val="24"/>
          <w:szCs w:val="24"/>
        </w:rPr>
        <w:t xml:space="preserve"> </w:t>
      </w:r>
      <w:r>
        <w:rPr>
          <w:rFonts w:hint="eastAsia" w:ascii="Times New Roman" w:hAnsi="Times New Roman"/>
          <w:sz w:val="24"/>
          <w:szCs w:val="24"/>
        </w:rPr>
        <w:t>补强医疗废物处置能力</w:t>
      </w:r>
      <w:r>
        <w:rPr>
          <w:rFonts w:ascii="Times New Roman" w:hAnsi="Times New Roman"/>
          <w:sz w:val="24"/>
          <w:szCs w:val="24"/>
        </w:rPr>
        <w:t>。</w:t>
      </w:r>
      <w:r>
        <w:rPr>
          <w:rFonts w:hint="eastAsia" w:ascii="Times New Roman" w:hAnsi="Times New Roman"/>
          <w:sz w:val="24"/>
          <w:szCs w:val="24"/>
        </w:rPr>
        <w:t>鼓励现有医疗废物处置企业进行技术升级与提质扩能改造；强化医疗废物收集、贮存、处置的管理，加强已建设施的运行监管</w:t>
      </w:r>
      <w:r>
        <w:rPr>
          <w:rFonts w:ascii="Times New Roman" w:hAnsi="Times New Roman"/>
          <w:sz w:val="24"/>
          <w:szCs w:val="24"/>
        </w:rPr>
        <w:t>。</w:t>
      </w:r>
      <w:r>
        <w:rPr>
          <w:rFonts w:hint="eastAsia" w:ascii="Times New Roman" w:hAnsi="Times New Roman"/>
          <w:sz w:val="24"/>
          <w:szCs w:val="24"/>
        </w:rPr>
        <w:t>完善处置物资储备体系，保障重大疫情医疗废物协同应急处置机制建设。完善处置物资储备体系，保障重大疫情医疗应急处置能力</w:t>
      </w:r>
      <w:r>
        <w:rPr>
          <w:rFonts w:ascii="Times New Roman" w:hAnsi="Times New Roman"/>
          <w:sz w:val="24"/>
          <w:szCs w:val="24"/>
        </w:rPr>
        <w:t>”</w:t>
      </w:r>
    </w:p>
    <w:p>
      <w:pPr>
        <w:spacing w:line="480" w:lineRule="exact"/>
        <w:ind w:firstLine="480" w:firstLineChars="200"/>
        <w:rPr>
          <w:rFonts w:ascii="Times New Roman" w:hAnsi="Times New Roman"/>
          <w:sz w:val="24"/>
          <w:szCs w:val="24"/>
        </w:rPr>
      </w:pPr>
      <w:r>
        <w:rPr>
          <w:rFonts w:ascii="Times New Roman" w:hAnsi="Times New Roman"/>
          <w:kern w:val="2"/>
          <w:sz w:val="24"/>
          <w:szCs w:val="20"/>
        </w:rPr>
        <w:t>本项目为医疗废物（感染性和损伤性）集中处理项目，</w:t>
      </w:r>
      <w:r>
        <w:rPr>
          <w:rFonts w:ascii="Times New Roman" w:hAnsi="Times New Roman"/>
          <w:sz w:val="24"/>
          <w:szCs w:val="24"/>
        </w:rPr>
        <w:t>符合“十</w:t>
      </w:r>
      <w:r>
        <w:rPr>
          <w:rFonts w:hint="eastAsia" w:ascii="Times New Roman" w:hAnsi="Times New Roman"/>
          <w:sz w:val="24"/>
          <w:szCs w:val="24"/>
        </w:rPr>
        <w:t>四</w:t>
      </w:r>
      <w:r>
        <w:rPr>
          <w:rFonts w:ascii="Times New Roman" w:hAnsi="Times New Roman"/>
          <w:sz w:val="24"/>
          <w:szCs w:val="24"/>
        </w:rPr>
        <w:t>五”生态环境保护规划（</w:t>
      </w:r>
      <w:r>
        <w:rPr>
          <w:rFonts w:hint="eastAsia" w:ascii="Times New Roman" w:hAnsi="Times New Roman"/>
          <w:sz w:val="24"/>
          <w:szCs w:val="24"/>
        </w:rPr>
        <w:t>2</w:t>
      </w:r>
      <w:r>
        <w:rPr>
          <w:rFonts w:ascii="Times New Roman" w:hAnsi="Times New Roman"/>
          <w:sz w:val="24"/>
          <w:szCs w:val="24"/>
        </w:rPr>
        <w:t>021.06.12）的相关要求。</w:t>
      </w:r>
    </w:p>
    <w:p>
      <w:pPr>
        <w:pStyle w:val="4"/>
        <w:numPr>
          <w:ilvl w:val="0"/>
          <w:numId w:val="0"/>
        </w:numPr>
        <w:spacing w:before="120" w:beforeLines="50" w:after="120" w:afterLines="50" w:line="480" w:lineRule="exact"/>
        <w:rPr>
          <w:rFonts w:ascii="Times New Roman" w:hAnsi="Times New Roman" w:eastAsia="黑体"/>
          <w:kern w:val="2"/>
          <w:sz w:val="28"/>
          <w:szCs w:val="32"/>
        </w:rPr>
      </w:pPr>
      <w:r>
        <w:rPr>
          <w:rFonts w:ascii="Times New Roman" w:hAnsi="Times New Roman" w:eastAsia="黑体"/>
          <w:kern w:val="2"/>
          <w:sz w:val="28"/>
          <w:szCs w:val="32"/>
        </w:rPr>
        <w:t xml:space="preserve">1.4.8 </w:t>
      </w:r>
      <w:r>
        <w:rPr>
          <w:rFonts w:hint="eastAsia" w:ascii="Times New Roman" w:hAnsi="Times New Roman" w:eastAsia="黑体"/>
          <w:kern w:val="2"/>
          <w:sz w:val="28"/>
          <w:szCs w:val="32"/>
        </w:rPr>
        <w:t>与《医疗废物集中处置设施能力建设实施方案》符合性分析</w:t>
      </w:r>
    </w:p>
    <w:p>
      <w:pPr>
        <w:spacing w:line="480" w:lineRule="exact"/>
        <w:ind w:firstLine="480" w:firstLineChars="200"/>
        <w:rPr>
          <w:rFonts w:ascii="Times New Roman" w:hAnsi="Times New Roman"/>
          <w:sz w:val="24"/>
          <w:szCs w:val="24"/>
        </w:rPr>
      </w:pPr>
      <w:r>
        <w:rPr>
          <w:rFonts w:hint="eastAsia" w:ascii="Times New Roman" w:hAnsi="Times New Roman"/>
          <w:sz w:val="24"/>
          <w:szCs w:val="24"/>
        </w:rPr>
        <w:t>《关于印发</w:t>
      </w:r>
      <w:r>
        <w:rPr>
          <w:rFonts w:ascii="Times New Roman" w:hAnsi="Times New Roman"/>
          <w:sz w:val="24"/>
          <w:szCs w:val="24"/>
        </w:rPr>
        <w:t>&lt;医疗废物集中处置设施能力建设实施方案&gt;的通知》（发改环资[2020]696号）指出：争取1-2年内尽快实现大城市、特大城市具备充足应急处理能力；每个地级以上城市至少建成1个符合运行要求的医疗废物集中处置设施；每个县（市）都建成医疗废物收集转运处置体系，实现县级以上医疗废物全收集、全处理，并逐步覆盖到建制镇，争取农村地区医疗废物得到规范处置。直辖市、省会城市、计划单列市、东中部地区人口1000万以上城市、西部地区人口500万以上城市，对现有医疗废物处置能力进行评估，综合考虑未来医疗废物增长情况、应</w:t>
      </w:r>
      <w:r>
        <w:rPr>
          <w:rFonts w:hint="eastAsia" w:ascii="Times New Roman" w:hAnsi="Times New Roman"/>
          <w:sz w:val="24"/>
          <w:szCs w:val="24"/>
        </w:rPr>
        <w:t>急备用需求，适度超前谋划、设计、建设。各地区要按照医疗废物集中处置技术规范等要求，在对现有医疗废物集中处置设施进行符合性排查基础上，加快推动现有医疗废物集中处置设施扩能提质改造，确保处置设施满足处置要求，并符合环境保护、卫生等相关法律法规要求。医疗废物处置设施超负荷、高负荷的地市要进行医疗废物处置设施提标改造，提升处置能力。鼓励跨县（市）建设医疗废物集中处置设施，实现设施共享。</w:t>
      </w:r>
    </w:p>
    <w:p>
      <w:pPr>
        <w:spacing w:line="480" w:lineRule="exact"/>
        <w:ind w:firstLine="480" w:firstLineChars="200"/>
        <w:rPr>
          <w:rFonts w:ascii="Times New Roman" w:hAnsi="Times New Roman"/>
          <w:sz w:val="24"/>
          <w:szCs w:val="24"/>
        </w:rPr>
      </w:pPr>
      <w:r>
        <w:rPr>
          <w:rFonts w:hint="eastAsia" w:ascii="Times New Roman" w:hAnsi="Times New Roman"/>
          <w:sz w:val="24"/>
          <w:szCs w:val="24"/>
        </w:rPr>
        <w:t>近三年双鸭山市新冠病毒感染相关医疗废物有所增长，根据《</w:t>
      </w:r>
      <w:r>
        <w:rPr>
          <w:rFonts w:ascii="Times New Roman" w:hAnsi="Times New Roman"/>
          <w:sz w:val="24"/>
          <w:szCs w:val="24"/>
        </w:rPr>
        <w:t>2019年双鸭山市固体废物污染环境防治信息公告》，2019年双鸭山翁氏环保有限公司处置的HW01（841-001-01）感染性废物与HW01（841-002-01）损伤性废物的量为0.0591万吨/年，根据《2020、2021年双鸭山市固体废物污染环境防治信息公告》，2020、2021年双鸭山翁氏环保有限公司处置的HW01（841-001-01）感染性废物与HW01（841-002-01）损伤性废物的量分别为0.1095万吨/年，由此可见，疫情爆发后双鸭</w:t>
      </w:r>
      <w:r>
        <w:rPr>
          <w:rFonts w:hint="eastAsia" w:ascii="Times New Roman" w:hAnsi="Times New Roman"/>
          <w:sz w:val="24"/>
          <w:szCs w:val="24"/>
        </w:rPr>
        <w:t>山市医疗废物处置工作压力明显增大。</w:t>
      </w:r>
      <w:r>
        <w:rPr>
          <w:rFonts w:ascii="Times New Roman" w:hAnsi="Times New Roman"/>
          <w:sz w:val="24"/>
          <w:szCs w:val="24"/>
        </w:rPr>
        <w:t>因此，双鸭山翁氏环保有限公司拟</w:t>
      </w:r>
      <w:r>
        <w:rPr>
          <w:rFonts w:hint="eastAsia" w:ascii="Times New Roman" w:hAnsi="Times New Roman"/>
          <w:sz w:val="24"/>
          <w:szCs w:val="24"/>
        </w:rPr>
        <w:t>安装</w:t>
      </w:r>
      <w:r>
        <w:rPr>
          <w:rFonts w:ascii="Times New Roman" w:hAnsi="Times New Roman"/>
          <w:sz w:val="24"/>
          <w:szCs w:val="24"/>
        </w:rPr>
        <w:t>1套5t/d医疗废物</w:t>
      </w:r>
      <w:r>
        <w:rPr>
          <w:rFonts w:hint="eastAsia" w:ascii="Times New Roman" w:hAnsi="Times New Roman"/>
          <w:sz w:val="24"/>
          <w:szCs w:val="24"/>
        </w:rPr>
        <w:t>高温干热处理</w:t>
      </w:r>
      <w:r>
        <w:rPr>
          <w:rFonts w:ascii="Times New Roman" w:hAnsi="Times New Roman"/>
          <w:sz w:val="24"/>
          <w:szCs w:val="24"/>
        </w:rPr>
        <w:t>设备用于处理</w:t>
      </w:r>
      <w:r>
        <w:rPr>
          <w:rFonts w:hint="eastAsia" w:ascii="Times New Roman" w:hAnsi="Times New Roman"/>
          <w:sz w:val="24"/>
          <w:szCs w:val="24"/>
        </w:rPr>
        <w:t>医疗废物。</w:t>
      </w:r>
    </w:p>
    <w:p>
      <w:pPr>
        <w:spacing w:line="480" w:lineRule="exact"/>
        <w:ind w:firstLine="480" w:firstLineChars="200"/>
        <w:rPr>
          <w:rFonts w:ascii="Times New Roman" w:hAnsi="Times New Roman"/>
          <w:sz w:val="24"/>
          <w:szCs w:val="24"/>
        </w:rPr>
      </w:pPr>
      <w:r>
        <w:rPr>
          <w:rFonts w:hint="eastAsia" w:ascii="Times New Roman" w:hAnsi="Times New Roman"/>
          <w:sz w:val="24"/>
          <w:szCs w:val="24"/>
        </w:rPr>
        <w:t>综上所述，本项目符合《关于印发</w:t>
      </w:r>
      <w:r>
        <w:rPr>
          <w:rFonts w:ascii="Times New Roman" w:hAnsi="Times New Roman"/>
          <w:sz w:val="24"/>
          <w:szCs w:val="24"/>
        </w:rPr>
        <w:t>&lt;医疗废物集中处置设施能力建设实施方案&gt;的通知》。</w:t>
      </w:r>
    </w:p>
    <w:p>
      <w:pPr>
        <w:pStyle w:val="4"/>
        <w:numPr>
          <w:ilvl w:val="0"/>
          <w:numId w:val="0"/>
        </w:numPr>
        <w:spacing w:before="120" w:beforeLines="50" w:after="120" w:afterLines="50" w:line="480" w:lineRule="exact"/>
        <w:rPr>
          <w:rFonts w:ascii="Times New Roman" w:hAnsi="Times New Roman" w:eastAsia="黑体"/>
          <w:kern w:val="2"/>
          <w:sz w:val="28"/>
          <w:szCs w:val="32"/>
        </w:rPr>
      </w:pPr>
      <w:r>
        <w:rPr>
          <w:rFonts w:hint="eastAsia" w:ascii="Times New Roman" w:hAnsi="Times New Roman" w:eastAsia="黑体"/>
          <w:kern w:val="2"/>
          <w:sz w:val="28"/>
          <w:szCs w:val="32"/>
        </w:rPr>
        <w:t>1</w:t>
      </w:r>
      <w:r>
        <w:rPr>
          <w:rFonts w:ascii="Times New Roman" w:hAnsi="Times New Roman" w:eastAsia="黑体"/>
          <w:kern w:val="2"/>
          <w:sz w:val="28"/>
          <w:szCs w:val="32"/>
        </w:rPr>
        <w:t>.4.9与《</w:t>
      </w:r>
      <w:r>
        <w:rPr>
          <w:rFonts w:hint="eastAsia" w:ascii="Times New Roman" w:hAnsi="Times New Roman" w:eastAsia="黑体"/>
          <w:kern w:val="2"/>
          <w:sz w:val="28"/>
          <w:szCs w:val="32"/>
        </w:rPr>
        <w:t>黑龙江省城乡固体废物分类治理布局规划</w:t>
      </w:r>
      <w:r>
        <w:rPr>
          <w:rFonts w:ascii="Times New Roman" w:hAnsi="Times New Roman" w:eastAsia="黑体"/>
          <w:kern w:val="2"/>
          <w:sz w:val="28"/>
          <w:szCs w:val="32"/>
        </w:rPr>
        <w:t>》</w:t>
      </w:r>
      <w:r>
        <w:rPr>
          <w:rFonts w:hint="eastAsia" w:ascii="Times New Roman" w:hAnsi="Times New Roman" w:eastAsia="黑体"/>
          <w:kern w:val="2"/>
          <w:sz w:val="28"/>
          <w:szCs w:val="32"/>
        </w:rPr>
        <w:t>（2</w:t>
      </w:r>
      <w:r>
        <w:rPr>
          <w:rFonts w:ascii="Times New Roman" w:hAnsi="Times New Roman" w:eastAsia="黑体"/>
          <w:kern w:val="2"/>
          <w:sz w:val="28"/>
          <w:szCs w:val="32"/>
        </w:rPr>
        <w:t>019</w:t>
      </w:r>
      <w:r>
        <w:rPr>
          <w:rFonts w:hint="eastAsia" w:ascii="Times New Roman" w:hAnsi="Times New Roman" w:eastAsia="黑体"/>
          <w:kern w:val="2"/>
          <w:sz w:val="28"/>
          <w:szCs w:val="32"/>
        </w:rPr>
        <w:t>-</w:t>
      </w:r>
      <w:r>
        <w:rPr>
          <w:rFonts w:ascii="Times New Roman" w:hAnsi="Times New Roman" w:eastAsia="黑体"/>
          <w:kern w:val="2"/>
          <w:sz w:val="28"/>
          <w:szCs w:val="32"/>
        </w:rPr>
        <w:t>2035</w:t>
      </w:r>
      <w:r>
        <w:rPr>
          <w:rFonts w:hint="eastAsia" w:ascii="Times New Roman" w:hAnsi="Times New Roman" w:eastAsia="黑体"/>
          <w:kern w:val="2"/>
          <w:sz w:val="28"/>
          <w:szCs w:val="32"/>
        </w:rPr>
        <w:t>年）2</w:t>
      </w:r>
      <w:r>
        <w:rPr>
          <w:rFonts w:ascii="Times New Roman" w:hAnsi="Times New Roman" w:eastAsia="黑体"/>
          <w:kern w:val="2"/>
          <w:sz w:val="28"/>
          <w:szCs w:val="32"/>
        </w:rPr>
        <w:t>021</w:t>
      </w:r>
      <w:r>
        <w:rPr>
          <w:rFonts w:hint="eastAsia" w:ascii="Times New Roman" w:hAnsi="Times New Roman" w:eastAsia="黑体"/>
          <w:kern w:val="2"/>
          <w:sz w:val="28"/>
          <w:szCs w:val="32"/>
        </w:rPr>
        <w:t>年修订</w:t>
      </w:r>
      <w:r>
        <w:rPr>
          <w:rFonts w:ascii="Times New Roman" w:hAnsi="Times New Roman" w:eastAsia="黑体"/>
          <w:kern w:val="2"/>
          <w:sz w:val="28"/>
          <w:szCs w:val="32"/>
        </w:rPr>
        <w:t>相符性分析</w:t>
      </w:r>
    </w:p>
    <w:p>
      <w:p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w:t>
      </w:r>
      <w:r>
        <w:rPr>
          <w:rFonts w:hint="eastAsia" w:ascii="Times New Roman" w:hAnsi="Times New Roman"/>
          <w:kern w:val="2"/>
          <w:sz w:val="24"/>
          <w:szCs w:val="20"/>
        </w:rPr>
        <w:t>黑龙江省城乡固体废物分类治理布局规划</w:t>
      </w:r>
      <w:r>
        <w:rPr>
          <w:rFonts w:ascii="Times New Roman" w:hAnsi="Times New Roman"/>
          <w:kern w:val="2"/>
          <w:sz w:val="24"/>
          <w:szCs w:val="20"/>
        </w:rPr>
        <w:t>》</w:t>
      </w:r>
      <w:r>
        <w:rPr>
          <w:rFonts w:hint="eastAsia" w:ascii="Times New Roman" w:hAnsi="Times New Roman"/>
          <w:kern w:val="2"/>
          <w:sz w:val="24"/>
          <w:szCs w:val="20"/>
        </w:rPr>
        <w:t>（2</w:t>
      </w:r>
      <w:r>
        <w:rPr>
          <w:rFonts w:ascii="Times New Roman" w:hAnsi="Times New Roman"/>
          <w:kern w:val="2"/>
          <w:sz w:val="24"/>
          <w:szCs w:val="20"/>
        </w:rPr>
        <w:t>019</w:t>
      </w:r>
      <w:r>
        <w:rPr>
          <w:rFonts w:hint="eastAsia" w:ascii="Times New Roman" w:hAnsi="Times New Roman"/>
          <w:kern w:val="2"/>
          <w:sz w:val="24"/>
          <w:szCs w:val="20"/>
        </w:rPr>
        <w:t>-</w:t>
      </w:r>
      <w:r>
        <w:rPr>
          <w:rFonts w:ascii="Times New Roman" w:hAnsi="Times New Roman"/>
          <w:kern w:val="2"/>
          <w:sz w:val="24"/>
          <w:szCs w:val="20"/>
        </w:rPr>
        <w:t>2035</w:t>
      </w:r>
      <w:r>
        <w:rPr>
          <w:rFonts w:hint="eastAsia" w:ascii="Times New Roman" w:hAnsi="Times New Roman"/>
          <w:kern w:val="2"/>
          <w:sz w:val="24"/>
          <w:szCs w:val="20"/>
        </w:rPr>
        <w:t>年）2</w:t>
      </w:r>
      <w:r>
        <w:rPr>
          <w:rFonts w:ascii="Times New Roman" w:hAnsi="Times New Roman"/>
          <w:kern w:val="2"/>
          <w:sz w:val="24"/>
          <w:szCs w:val="20"/>
        </w:rPr>
        <w:t>021</w:t>
      </w:r>
      <w:r>
        <w:rPr>
          <w:rFonts w:hint="eastAsia" w:ascii="Times New Roman" w:hAnsi="Times New Roman"/>
          <w:kern w:val="2"/>
          <w:sz w:val="24"/>
          <w:szCs w:val="20"/>
        </w:rPr>
        <w:t>年修订中：由双鸭山翁氏环保有限公司经营的双鸭山市医疗废物集中处置中心接近满负荷运行，运行负荷为9</w:t>
      </w:r>
      <w:r>
        <w:rPr>
          <w:rFonts w:ascii="Times New Roman" w:hAnsi="Times New Roman"/>
          <w:kern w:val="2"/>
          <w:sz w:val="24"/>
          <w:szCs w:val="20"/>
        </w:rPr>
        <w:t>7.53</w:t>
      </w:r>
      <w:r>
        <w:rPr>
          <w:rFonts w:hint="eastAsia" w:ascii="Times New Roman" w:hAnsi="Times New Roman"/>
          <w:kern w:val="2"/>
          <w:sz w:val="24"/>
          <w:szCs w:val="20"/>
        </w:rPr>
        <w:t>%，为双鸭山市医疗废物处理现阶段所存在的问题，规划中提出应提高区域处置能力，而本项目是黑龙江省双鸭山市医疗废物集中处置中心设备扩建项目，扩建后日处理能力达到8吨，符合</w:t>
      </w:r>
      <w:r>
        <w:rPr>
          <w:rFonts w:ascii="Times New Roman" w:hAnsi="Times New Roman"/>
          <w:kern w:val="2"/>
          <w:sz w:val="24"/>
          <w:szCs w:val="20"/>
        </w:rPr>
        <w:t>《</w:t>
      </w:r>
      <w:r>
        <w:rPr>
          <w:rFonts w:hint="eastAsia" w:ascii="Times New Roman" w:hAnsi="Times New Roman"/>
          <w:kern w:val="2"/>
          <w:sz w:val="24"/>
          <w:szCs w:val="20"/>
        </w:rPr>
        <w:t>黑龙江省城乡固体废物分类治理布局规划</w:t>
      </w:r>
      <w:r>
        <w:rPr>
          <w:rFonts w:ascii="Times New Roman" w:hAnsi="Times New Roman"/>
          <w:kern w:val="2"/>
          <w:sz w:val="24"/>
          <w:szCs w:val="20"/>
        </w:rPr>
        <w:t>》</w:t>
      </w:r>
      <w:r>
        <w:rPr>
          <w:rFonts w:hint="eastAsia" w:ascii="Times New Roman" w:hAnsi="Times New Roman"/>
          <w:kern w:val="2"/>
          <w:sz w:val="24"/>
          <w:szCs w:val="20"/>
        </w:rPr>
        <w:t>（2</w:t>
      </w:r>
      <w:r>
        <w:rPr>
          <w:rFonts w:ascii="Times New Roman" w:hAnsi="Times New Roman"/>
          <w:kern w:val="2"/>
          <w:sz w:val="24"/>
          <w:szCs w:val="20"/>
        </w:rPr>
        <w:t>019</w:t>
      </w:r>
      <w:r>
        <w:rPr>
          <w:rFonts w:hint="eastAsia" w:ascii="Times New Roman" w:hAnsi="Times New Roman"/>
          <w:kern w:val="2"/>
          <w:sz w:val="24"/>
          <w:szCs w:val="20"/>
        </w:rPr>
        <w:t>-</w:t>
      </w:r>
      <w:r>
        <w:rPr>
          <w:rFonts w:ascii="Times New Roman" w:hAnsi="Times New Roman"/>
          <w:kern w:val="2"/>
          <w:sz w:val="24"/>
          <w:szCs w:val="20"/>
        </w:rPr>
        <w:t>2035</w:t>
      </w:r>
      <w:r>
        <w:rPr>
          <w:rFonts w:hint="eastAsia" w:ascii="Times New Roman" w:hAnsi="Times New Roman"/>
          <w:kern w:val="2"/>
          <w:sz w:val="24"/>
          <w:szCs w:val="20"/>
        </w:rPr>
        <w:t>年）中的相关要求。</w:t>
      </w:r>
    </w:p>
    <w:p>
      <w:pPr>
        <w:pStyle w:val="4"/>
        <w:numPr>
          <w:ilvl w:val="0"/>
          <w:numId w:val="0"/>
        </w:numPr>
        <w:spacing w:before="120" w:beforeLines="50" w:after="120" w:afterLines="50" w:line="480" w:lineRule="exact"/>
        <w:rPr>
          <w:rFonts w:ascii="Times New Roman" w:hAnsi="Times New Roman" w:eastAsia="黑体"/>
          <w:kern w:val="2"/>
          <w:sz w:val="28"/>
          <w:szCs w:val="32"/>
        </w:rPr>
      </w:pPr>
      <w:bookmarkStart w:id="70" w:name="_Toc25112"/>
      <w:r>
        <w:rPr>
          <w:rFonts w:hint="eastAsia" w:ascii="Times New Roman" w:hAnsi="Times New Roman" w:eastAsia="黑体"/>
          <w:kern w:val="2"/>
          <w:sz w:val="28"/>
          <w:szCs w:val="32"/>
        </w:rPr>
        <w:t>1</w:t>
      </w:r>
      <w:r>
        <w:rPr>
          <w:rFonts w:ascii="Times New Roman" w:hAnsi="Times New Roman" w:eastAsia="黑体"/>
          <w:kern w:val="2"/>
          <w:sz w:val="28"/>
          <w:szCs w:val="32"/>
        </w:rPr>
        <w:t>.4.10与《黑龙江省生态环境保护“十</w:t>
      </w:r>
      <w:r>
        <w:rPr>
          <w:rFonts w:hint="eastAsia" w:ascii="Times New Roman" w:hAnsi="Times New Roman" w:eastAsia="黑体"/>
          <w:kern w:val="2"/>
          <w:sz w:val="28"/>
          <w:szCs w:val="32"/>
        </w:rPr>
        <w:t>四</w:t>
      </w:r>
      <w:r>
        <w:rPr>
          <w:rFonts w:ascii="Times New Roman" w:hAnsi="Times New Roman" w:eastAsia="黑体"/>
          <w:kern w:val="2"/>
          <w:sz w:val="28"/>
          <w:szCs w:val="32"/>
        </w:rPr>
        <w:t>五”规划》符合性</w:t>
      </w:r>
      <w:bookmarkEnd w:id="70"/>
    </w:p>
    <w:p>
      <w:p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《黑龙江省生态环境保护“十</w:t>
      </w:r>
      <w:r>
        <w:rPr>
          <w:rFonts w:hint="eastAsia" w:ascii="Times New Roman" w:hAnsi="Times New Roman"/>
          <w:kern w:val="2"/>
          <w:sz w:val="24"/>
          <w:szCs w:val="20"/>
        </w:rPr>
        <w:t>四</w:t>
      </w:r>
      <w:r>
        <w:rPr>
          <w:rFonts w:ascii="Times New Roman" w:hAnsi="Times New Roman"/>
          <w:kern w:val="2"/>
          <w:sz w:val="24"/>
          <w:szCs w:val="20"/>
        </w:rPr>
        <w:t>五“规划》（黑政规〔2021〕18号）中：“</w:t>
      </w:r>
      <w:r>
        <w:rPr>
          <w:rFonts w:hint="eastAsia" w:ascii="Times New Roman" w:hAnsi="Times New Roman"/>
          <w:kern w:val="2"/>
          <w:sz w:val="24"/>
          <w:szCs w:val="20"/>
        </w:rPr>
        <w:t>（八）</w:t>
      </w:r>
      <w:r>
        <w:rPr>
          <w:rFonts w:ascii="Times New Roman" w:hAnsi="Times New Roman"/>
          <w:kern w:val="2"/>
          <w:sz w:val="24"/>
          <w:szCs w:val="20"/>
        </w:rPr>
        <w:t>、</w:t>
      </w:r>
      <w:r>
        <w:rPr>
          <w:rFonts w:hint="eastAsia" w:ascii="Times New Roman" w:hAnsi="Times New Roman"/>
          <w:kern w:val="2"/>
          <w:sz w:val="24"/>
          <w:szCs w:val="20"/>
        </w:rPr>
        <w:t>严密防控风险，守住生态环境底线。强化危险废物环境监管。建立危险废物重点监管清单，强化危险废物全过程监管。</w:t>
      </w:r>
      <w:r>
        <w:rPr>
          <w:rFonts w:ascii="Times New Roman" w:hAnsi="Times New Roman"/>
          <w:kern w:val="2"/>
          <w:sz w:val="24"/>
          <w:szCs w:val="20"/>
        </w:rPr>
        <w:t>”。</w:t>
      </w:r>
    </w:p>
    <w:p>
      <w:p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本项目为医疗废物（感染性和损伤性）集中处理项目，符合《黑龙江省生态环境保护“十</w:t>
      </w:r>
      <w:r>
        <w:rPr>
          <w:rFonts w:hint="eastAsia" w:ascii="Times New Roman" w:hAnsi="Times New Roman"/>
          <w:kern w:val="2"/>
          <w:sz w:val="24"/>
          <w:szCs w:val="20"/>
        </w:rPr>
        <w:t>四</w:t>
      </w:r>
      <w:r>
        <w:rPr>
          <w:rFonts w:ascii="Times New Roman" w:hAnsi="Times New Roman"/>
          <w:kern w:val="2"/>
          <w:sz w:val="24"/>
          <w:szCs w:val="20"/>
        </w:rPr>
        <w:t>五”规划》（黑政规〔2021〕18号）相关要求。</w:t>
      </w:r>
    </w:p>
    <w:p>
      <w:pPr>
        <w:pStyle w:val="4"/>
        <w:numPr>
          <w:ilvl w:val="0"/>
          <w:numId w:val="0"/>
        </w:numPr>
        <w:spacing w:before="120" w:beforeLines="50" w:after="120" w:afterLines="50" w:line="480" w:lineRule="exact"/>
        <w:rPr>
          <w:rFonts w:ascii="Times New Roman" w:hAnsi="Times New Roman" w:eastAsia="黑体"/>
          <w:kern w:val="2"/>
          <w:sz w:val="28"/>
          <w:szCs w:val="32"/>
        </w:rPr>
      </w:pPr>
      <w:r>
        <w:rPr>
          <w:rFonts w:hint="eastAsia" w:ascii="Times New Roman" w:hAnsi="Times New Roman" w:eastAsia="黑体"/>
          <w:kern w:val="2"/>
          <w:sz w:val="28"/>
          <w:szCs w:val="32"/>
        </w:rPr>
        <w:t>1</w:t>
      </w:r>
      <w:r>
        <w:rPr>
          <w:rFonts w:ascii="Times New Roman" w:hAnsi="Times New Roman" w:eastAsia="黑体"/>
          <w:kern w:val="2"/>
          <w:sz w:val="28"/>
          <w:szCs w:val="32"/>
        </w:rPr>
        <w:t>.4.11与《双鸭山市</w:t>
      </w:r>
      <w:r>
        <w:rPr>
          <w:rFonts w:hint="eastAsia" w:ascii="Times New Roman" w:hAnsi="Times New Roman" w:eastAsia="黑体"/>
          <w:kern w:val="2"/>
          <w:sz w:val="28"/>
          <w:szCs w:val="32"/>
        </w:rPr>
        <w:t>人民政府关于印发双鸭山市国民经济和社会发展第十四五个五年规划和二〇三五年远景目标纲要的通知</w:t>
      </w:r>
      <w:r>
        <w:rPr>
          <w:rFonts w:ascii="Times New Roman" w:hAnsi="Times New Roman" w:eastAsia="黑体"/>
          <w:kern w:val="2"/>
          <w:sz w:val="28"/>
          <w:szCs w:val="32"/>
        </w:rPr>
        <w:t>》符合性分析</w:t>
      </w:r>
    </w:p>
    <w:p>
      <w:p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《双鸭山市人民政府关于印发双鸭山市国民经济和社会发展第十四个五年规划和二○三五年远景目标纲要的通知》双政发〔2021〕3号中：“</w:t>
      </w:r>
      <w:r>
        <w:rPr>
          <w:rFonts w:hint="eastAsia" w:ascii="Times New Roman" w:hAnsi="Times New Roman"/>
          <w:kern w:val="2"/>
          <w:sz w:val="24"/>
          <w:szCs w:val="20"/>
        </w:rPr>
        <w:t xml:space="preserve">第九章 </w:t>
      </w:r>
      <w:r>
        <w:rPr>
          <w:rFonts w:ascii="Times New Roman" w:hAnsi="Times New Roman"/>
          <w:kern w:val="2"/>
          <w:sz w:val="24"/>
          <w:szCs w:val="20"/>
        </w:rPr>
        <w:t>加强生态文明建设，持续增强绿色发展优势</w:t>
      </w:r>
      <w:r>
        <w:rPr>
          <w:rFonts w:hint="eastAsia" w:ascii="Times New Roman" w:hAnsi="Times New Roman"/>
          <w:kern w:val="2"/>
          <w:sz w:val="24"/>
          <w:szCs w:val="20"/>
        </w:rPr>
        <w:t>，</w:t>
      </w:r>
      <w:r>
        <w:rPr>
          <w:rFonts w:ascii="Times New Roman" w:hAnsi="Times New Roman"/>
          <w:kern w:val="2"/>
          <w:sz w:val="24"/>
          <w:szCs w:val="20"/>
        </w:rPr>
        <w:t>第三节 强化污染防控治理</w:t>
      </w:r>
      <w:r>
        <w:rPr>
          <w:rFonts w:hint="eastAsia" w:ascii="Times New Roman" w:hAnsi="Times New Roman"/>
          <w:kern w:val="2"/>
          <w:sz w:val="24"/>
          <w:szCs w:val="20"/>
        </w:rPr>
        <w:t>，</w:t>
      </w:r>
      <w:r>
        <w:rPr>
          <w:rFonts w:ascii="Times New Roman" w:hAnsi="Times New Roman"/>
          <w:kern w:val="2"/>
          <w:sz w:val="24"/>
          <w:szCs w:val="20"/>
        </w:rPr>
        <w:t>强化固体废物污染防治。科学评估提升危险废物集中处置能力，完善法规制度，提升危险废物风险防范能力</w:t>
      </w:r>
      <w:r>
        <w:rPr>
          <w:rFonts w:hint="eastAsia" w:ascii="Times New Roman" w:hAnsi="Times New Roman"/>
          <w:kern w:val="2"/>
          <w:sz w:val="24"/>
          <w:szCs w:val="20"/>
        </w:rPr>
        <w:t>，</w:t>
      </w:r>
      <w:r>
        <w:rPr>
          <w:rFonts w:ascii="Times New Roman" w:hAnsi="Times New Roman"/>
          <w:kern w:val="2"/>
          <w:sz w:val="24"/>
          <w:szCs w:val="20"/>
        </w:rPr>
        <w:t>加快推动垃圾分类示范片区建设”。</w:t>
      </w:r>
    </w:p>
    <w:p>
      <w:p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本项目为医疗废物（感染性和损伤性）集中处理项目，符合《双鸭山市环境保护“十</w:t>
      </w:r>
      <w:r>
        <w:rPr>
          <w:rFonts w:hint="eastAsia" w:ascii="Times New Roman" w:hAnsi="Times New Roman"/>
          <w:kern w:val="2"/>
          <w:sz w:val="24"/>
          <w:szCs w:val="20"/>
        </w:rPr>
        <w:t>四</w:t>
      </w:r>
      <w:r>
        <w:rPr>
          <w:rFonts w:ascii="Times New Roman" w:hAnsi="Times New Roman"/>
          <w:kern w:val="2"/>
          <w:sz w:val="24"/>
          <w:szCs w:val="20"/>
        </w:rPr>
        <w:t>五”规划》相关要求。</w:t>
      </w:r>
    </w:p>
    <w:p>
      <w:pPr>
        <w:pStyle w:val="4"/>
        <w:numPr>
          <w:ilvl w:val="0"/>
          <w:numId w:val="0"/>
        </w:numPr>
        <w:spacing w:before="120" w:beforeLines="50" w:after="120" w:afterLines="50" w:line="480" w:lineRule="exact"/>
        <w:rPr>
          <w:rFonts w:ascii="Times New Roman" w:hAnsi="Times New Roman" w:eastAsia="黑体"/>
          <w:kern w:val="2"/>
          <w:sz w:val="28"/>
          <w:szCs w:val="32"/>
        </w:rPr>
      </w:pPr>
      <w:r>
        <w:rPr>
          <w:rFonts w:hint="eastAsia" w:ascii="Times New Roman" w:hAnsi="Times New Roman" w:eastAsia="黑体"/>
          <w:kern w:val="2"/>
          <w:sz w:val="28"/>
          <w:szCs w:val="32"/>
        </w:rPr>
        <w:t>1</w:t>
      </w:r>
      <w:r>
        <w:rPr>
          <w:rFonts w:ascii="Times New Roman" w:hAnsi="Times New Roman" w:eastAsia="黑体"/>
          <w:kern w:val="2"/>
          <w:sz w:val="28"/>
          <w:szCs w:val="32"/>
        </w:rPr>
        <w:t>.4.12与《双鸭山市城市总体规划（2010-2030）》符合性分析</w:t>
      </w:r>
    </w:p>
    <w:p>
      <w:p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双鸭山市城市总体规划（2010-2030）》中：“建设资源节约型和环境友好型城市。要按照促进生产空间集约高效、生活空间宜居适度、生态空间山清水秀的总体要求，形成合理的城市空间结构，促进经济建设、城乡建设和环境建设同步发展。要切实做好节能减排工作，加快淘汰落后产能，严格控制污染物排放总量。加强城市环境综合治理，提高污水处理率和垃圾无害化处理率，限期达到《总体规划》提出的各类环境保护目标”。</w:t>
      </w:r>
    </w:p>
    <w:p>
      <w:p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本项目为医疗废物（感染性和损伤性）</w:t>
      </w:r>
      <w:r>
        <w:rPr>
          <w:rFonts w:hint="eastAsia" w:ascii="Times New Roman" w:hAnsi="Times New Roman"/>
          <w:kern w:val="2"/>
          <w:sz w:val="24"/>
          <w:szCs w:val="20"/>
        </w:rPr>
        <w:t>无害化处理</w:t>
      </w:r>
      <w:r>
        <w:rPr>
          <w:rFonts w:ascii="Times New Roman" w:hAnsi="Times New Roman"/>
          <w:kern w:val="2"/>
          <w:sz w:val="24"/>
          <w:szCs w:val="20"/>
        </w:rPr>
        <w:t>项目，符合《双鸭山市城市总体规划（2010-2030）》相关要求。</w:t>
      </w:r>
    </w:p>
    <w:bookmarkEnd w:id="59"/>
    <w:bookmarkEnd w:id="60"/>
    <w:bookmarkEnd w:id="61"/>
    <w:bookmarkEnd w:id="62"/>
    <w:bookmarkEnd w:id="67"/>
    <w:bookmarkEnd w:id="68"/>
    <w:p>
      <w:pPr>
        <w:pStyle w:val="4"/>
        <w:numPr>
          <w:ilvl w:val="0"/>
          <w:numId w:val="0"/>
        </w:numPr>
        <w:spacing w:before="120" w:beforeLines="50" w:after="120" w:afterLines="50" w:line="480" w:lineRule="exact"/>
        <w:rPr>
          <w:rFonts w:ascii="Times New Roman" w:hAnsi="Times New Roman" w:eastAsia="黑体"/>
          <w:kern w:val="2"/>
          <w:sz w:val="28"/>
          <w:szCs w:val="32"/>
        </w:rPr>
      </w:pPr>
      <w:bookmarkStart w:id="71" w:name="_Toc9843764"/>
      <w:bookmarkStart w:id="72" w:name="_Toc24591"/>
      <w:bookmarkStart w:id="73" w:name="_Toc26187979"/>
      <w:bookmarkStart w:id="74" w:name="_Toc259"/>
      <w:bookmarkStart w:id="75" w:name="_Toc28538"/>
      <w:bookmarkStart w:id="76" w:name="_Toc27134255"/>
      <w:bookmarkStart w:id="77" w:name="_Toc11779"/>
      <w:bookmarkStart w:id="78" w:name="_Toc18280"/>
      <w:r>
        <w:rPr>
          <w:rFonts w:hint="eastAsia" w:ascii="Times New Roman" w:hAnsi="Times New Roman" w:eastAsia="黑体"/>
          <w:kern w:val="2"/>
          <w:sz w:val="28"/>
          <w:szCs w:val="32"/>
        </w:rPr>
        <w:t>1</w:t>
      </w:r>
      <w:r>
        <w:rPr>
          <w:rFonts w:ascii="Times New Roman" w:hAnsi="Times New Roman" w:eastAsia="黑体"/>
          <w:kern w:val="2"/>
          <w:sz w:val="28"/>
          <w:szCs w:val="32"/>
        </w:rPr>
        <w:t>.4.13与《双鸭山市环境卫生专项规划(2018-2030)》符合性分析</w:t>
      </w:r>
    </w:p>
    <w:p>
      <w:p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根据《双鸭山市环境卫生专项规划(2018-2030)》，本项目位于焚烧飞灰固化区西侧，位于双鸭山市环境卫生专项规划规划区域内，项目用地性质为</w:t>
      </w:r>
      <w:r>
        <w:rPr>
          <w:rFonts w:hint="eastAsia" w:ascii="Times New Roman" w:hAnsi="Times New Roman"/>
          <w:kern w:val="2"/>
          <w:sz w:val="24"/>
          <w:szCs w:val="20"/>
        </w:rPr>
        <w:t>工业用地</w:t>
      </w:r>
      <w:r>
        <w:rPr>
          <w:rFonts w:ascii="Times New Roman" w:hAnsi="Times New Roman"/>
          <w:kern w:val="2"/>
          <w:sz w:val="24"/>
          <w:szCs w:val="20"/>
        </w:rPr>
        <w:t>。 因此，本项目建设符合《双鸭山市环境卫生专项规划(2018-2030)》。具体详见图1.4-1。</w:t>
      </w:r>
      <w:r>
        <w:rPr>
          <w:rFonts w:hint="eastAsia" w:ascii="Times New Roman" w:hAnsi="Times New Roman"/>
          <w:kern w:val="2"/>
          <w:sz w:val="24"/>
          <w:szCs w:val="20"/>
        </w:rPr>
        <w:t>本项目为改扩建工程，在原有3t</w:t>
      </w:r>
      <w:r>
        <w:rPr>
          <w:rFonts w:ascii="Times New Roman" w:hAnsi="Times New Roman"/>
          <w:kern w:val="2"/>
          <w:sz w:val="24"/>
          <w:szCs w:val="20"/>
        </w:rPr>
        <w:t>/</w:t>
      </w:r>
      <w:r>
        <w:rPr>
          <w:rFonts w:hint="eastAsia" w:ascii="Times New Roman" w:hAnsi="Times New Roman"/>
          <w:kern w:val="2"/>
          <w:sz w:val="24"/>
          <w:szCs w:val="20"/>
        </w:rPr>
        <w:t>d的医疗废物处理设备不变的情况下，增加一套5t</w:t>
      </w:r>
      <w:r>
        <w:rPr>
          <w:rFonts w:ascii="Times New Roman" w:hAnsi="Times New Roman"/>
          <w:kern w:val="2"/>
          <w:sz w:val="24"/>
          <w:szCs w:val="20"/>
        </w:rPr>
        <w:t>/</w:t>
      </w:r>
      <w:r>
        <w:rPr>
          <w:rFonts w:hint="eastAsia" w:ascii="Times New Roman" w:hAnsi="Times New Roman"/>
          <w:kern w:val="2"/>
          <w:sz w:val="24"/>
          <w:szCs w:val="20"/>
        </w:rPr>
        <w:t>d的医疗废物处理设备，两台设备轮换处理，本项目处理规模符合《双鸭山市环境卫生专项规划</w:t>
      </w:r>
      <w:r>
        <w:rPr>
          <w:rFonts w:ascii="Times New Roman" w:hAnsi="Times New Roman"/>
          <w:kern w:val="2"/>
          <w:sz w:val="24"/>
          <w:szCs w:val="20"/>
        </w:rPr>
        <w:t>(2018-2030)》</w:t>
      </w:r>
      <w:r>
        <w:rPr>
          <w:rFonts w:hint="eastAsia" w:ascii="Times New Roman" w:hAnsi="Times New Roman"/>
          <w:kern w:val="2"/>
          <w:sz w:val="24"/>
          <w:szCs w:val="20"/>
        </w:rPr>
        <w:t>的要求。</w:t>
      </w:r>
    </w:p>
    <w:p>
      <w:pPr>
        <w:pStyle w:val="136"/>
        <w:ind w:firstLine="0" w:firstLineChars="0"/>
        <w:rPr>
          <w:rFonts w:ascii="Times New Roman" w:hAnsi="Times New Roman" w:cs="Times New Roman"/>
        </w:rPr>
      </w:pPr>
      <w:r>
        <w:rPr>
          <w:rFonts w:ascii="Times New Roman" w:hAnsi="Times New Roman" w:cs="Times New Roman"/>
        </w:rPr>
        <w:drawing>
          <wp:inline distT="0" distB="0" distL="114300" distR="114300">
            <wp:extent cx="5276215" cy="7600950"/>
            <wp:effectExtent l="0" t="0" r="635" b="0"/>
            <wp:docPr id="6"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12"/>
                    <pic:cNvPicPr>
                      <a:picLocks noChangeAspect="1"/>
                    </pic:cNvPicPr>
                  </pic:nvPicPr>
                  <pic:blipFill>
                    <a:blip r:embed="rId21"/>
                    <a:stretch>
                      <a:fillRect/>
                    </a:stretch>
                  </pic:blipFill>
                  <pic:spPr>
                    <a:xfrm>
                      <a:off x="0" y="0"/>
                      <a:ext cx="5308403" cy="7647090"/>
                    </a:xfrm>
                    <a:prstGeom prst="rect">
                      <a:avLst/>
                    </a:prstGeom>
                    <a:noFill/>
                    <a:ln>
                      <a:noFill/>
                    </a:ln>
                  </pic:spPr>
                </pic:pic>
              </a:graphicData>
            </a:graphic>
          </wp:inline>
        </w:drawing>
      </w:r>
    </w:p>
    <w:p>
      <w:pPr>
        <w:spacing w:line="480" w:lineRule="exact"/>
        <w:ind w:firstLine="422" w:firstLineChars="200"/>
        <w:jc w:val="center"/>
        <w:rPr>
          <w:rFonts w:ascii="Times New Roman" w:hAnsi="Times New Roman"/>
        </w:rPr>
      </w:pPr>
      <w:r>
        <w:rPr>
          <w:rFonts w:ascii="Times New Roman" w:hAnsi="Times New Roman"/>
          <w:b/>
          <w:kern w:val="2"/>
        </w:rPr>
        <w:t>图1.4-1 双鸭山市环境卫生专项规划图</w:t>
      </w:r>
    </w:p>
    <w:p>
      <w:pPr>
        <w:pStyle w:val="4"/>
        <w:numPr>
          <w:ilvl w:val="0"/>
          <w:numId w:val="0"/>
        </w:numPr>
        <w:spacing w:before="120" w:beforeLines="50" w:after="120" w:afterLines="50" w:line="480" w:lineRule="exact"/>
        <w:rPr>
          <w:rFonts w:ascii="Times New Roman" w:hAnsi="Times New Roman" w:eastAsia="黑体"/>
          <w:kern w:val="2"/>
          <w:sz w:val="28"/>
          <w:szCs w:val="32"/>
        </w:rPr>
      </w:pPr>
      <w:r>
        <w:rPr>
          <w:rFonts w:hint="eastAsia" w:ascii="Times New Roman" w:hAnsi="Times New Roman" w:eastAsia="黑体"/>
          <w:kern w:val="2"/>
          <w:sz w:val="28"/>
          <w:szCs w:val="32"/>
        </w:rPr>
        <w:t>1</w:t>
      </w:r>
      <w:r>
        <w:rPr>
          <w:rFonts w:ascii="Times New Roman" w:hAnsi="Times New Roman" w:eastAsia="黑体"/>
          <w:kern w:val="2"/>
          <w:sz w:val="28"/>
          <w:szCs w:val="32"/>
        </w:rPr>
        <w:t>.4.14与《双鸭山市环境卫生专项规划环境影响报告书》</w:t>
      </w:r>
      <w:r>
        <w:rPr>
          <w:rFonts w:hint="eastAsia" w:ascii="Times New Roman" w:hAnsi="Times New Roman" w:eastAsia="黑体"/>
          <w:kern w:val="2"/>
          <w:sz w:val="28"/>
          <w:szCs w:val="32"/>
        </w:rPr>
        <w:t>及其审查意见</w:t>
      </w:r>
      <w:r>
        <w:rPr>
          <w:rFonts w:ascii="Times New Roman" w:hAnsi="Times New Roman" w:eastAsia="黑体"/>
          <w:kern w:val="2"/>
          <w:sz w:val="28"/>
          <w:szCs w:val="32"/>
        </w:rPr>
        <w:t>相符性分析</w:t>
      </w:r>
    </w:p>
    <w:p>
      <w:pPr>
        <w:adjustRightInd w:val="0"/>
        <w:snapToGrid w:val="0"/>
        <w:spacing w:line="480" w:lineRule="exact"/>
        <w:ind w:firstLine="480" w:firstLineChars="200"/>
        <w:rPr>
          <w:rFonts w:ascii="Times New Roman" w:hAnsi="Times New Roman"/>
          <w:kern w:val="2"/>
          <w:sz w:val="24"/>
          <w:szCs w:val="20"/>
        </w:rPr>
      </w:pPr>
      <w:r>
        <w:rPr>
          <w:rFonts w:ascii="Times New Roman" w:hAnsi="Times New Roman"/>
          <w:kern w:val="2"/>
          <w:sz w:val="24"/>
          <w:szCs w:val="20"/>
        </w:rPr>
        <w:t>根据《双鸭山市环境卫生专项规划环境影响报告书》双鸭山市环境卫生专项规划垃圾综合处理基地位于双鸭山市四方台区四新村梨花沟内，本次规划范围北至双鸭山市城市生活垃圾填埋场厂界，东至 002 乡道，西至医疗废物处理厂厂界， 南至 002乡道以南650m占地面积约为80hm</w:t>
      </w:r>
      <w:r>
        <w:rPr>
          <w:rFonts w:ascii="Times New Roman" w:hAnsi="Times New Roman"/>
          <w:kern w:val="2"/>
          <w:sz w:val="24"/>
          <w:szCs w:val="20"/>
          <w:vertAlign w:val="superscript"/>
        </w:rPr>
        <w:t>2</w:t>
      </w:r>
      <w:r>
        <w:rPr>
          <w:rFonts w:ascii="Times New Roman" w:hAnsi="Times New Roman"/>
          <w:kern w:val="2"/>
          <w:sz w:val="24"/>
          <w:szCs w:val="20"/>
        </w:rPr>
        <w:t>， 包括现状生活垃圾填埋场， 生活垃圾焚烧发电厂、餐厨垃圾处置场厂、医疗废物处置厂（本项目）、焚烧飞灰固化填埋区。其中医疗废物处置中心占地面积 0.31hm</w:t>
      </w:r>
      <w:r>
        <w:rPr>
          <w:rFonts w:ascii="Times New Roman" w:hAnsi="Times New Roman"/>
          <w:kern w:val="2"/>
          <w:sz w:val="24"/>
          <w:szCs w:val="20"/>
          <w:vertAlign w:val="superscript"/>
        </w:rPr>
        <w:t>2</w:t>
      </w:r>
      <w:r>
        <w:rPr>
          <w:rFonts w:ascii="Times New Roman" w:hAnsi="Times New Roman"/>
          <w:kern w:val="2"/>
          <w:sz w:val="24"/>
          <w:szCs w:val="20"/>
        </w:rPr>
        <w:t>，废水经企业污水站处理后全部回用，废水不外排，废气全部处理达标后外排，项目产生的固体废物通过相应的处理措施后，处置效率可达到100%，实现了固体废物处理的无害化，减量化及资源化的目标。与规划环评中的要求相符。</w:t>
      </w:r>
      <w:r>
        <w:rPr>
          <w:rFonts w:hint="eastAsia" w:ascii="Times New Roman" w:hAnsi="Times New Roman"/>
          <w:kern w:val="2"/>
          <w:sz w:val="24"/>
          <w:szCs w:val="20"/>
        </w:rPr>
        <w:t>规划环评审查意见未对本规划环评中的规模、选址等提出调整建议，所以本项目符合审查意见。</w:t>
      </w:r>
    </w:p>
    <w:p>
      <w:pPr>
        <w:pStyle w:val="4"/>
        <w:numPr>
          <w:ilvl w:val="0"/>
          <w:numId w:val="0"/>
        </w:numPr>
        <w:spacing w:before="120" w:beforeLines="50" w:after="120" w:afterLines="50" w:line="480" w:lineRule="exact"/>
        <w:rPr>
          <w:rFonts w:ascii="Times New Roman" w:hAnsi="Times New Roman" w:eastAsia="黑体"/>
          <w:kern w:val="2"/>
          <w:sz w:val="28"/>
          <w:szCs w:val="32"/>
        </w:rPr>
      </w:pPr>
      <w:r>
        <w:rPr>
          <w:rFonts w:hint="eastAsia" w:ascii="Times New Roman" w:hAnsi="Times New Roman" w:eastAsia="黑体"/>
          <w:kern w:val="2"/>
          <w:sz w:val="28"/>
          <w:szCs w:val="32"/>
        </w:rPr>
        <w:t>1</w:t>
      </w:r>
      <w:r>
        <w:rPr>
          <w:rFonts w:ascii="Times New Roman" w:hAnsi="Times New Roman" w:eastAsia="黑体"/>
          <w:kern w:val="2"/>
          <w:sz w:val="28"/>
          <w:szCs w:val="32"/>
        </w:rPr>
        <w:t>.4.15</w:t>
      </w:r>
      <w:r>
        <w:rPr>
          <w:rFonts w:hint="eastAsia" w:ascii="Times New Roman" w:hAnsi="Times New Roman" w:eastAsia="黑体"/>
          <w:kern w:val="2"/>
          <w:sz w:val="28"/>
          <w:szCs w:val="32"/>
        </w:rPr>
        <w:t>与《黑龙江省人民政府办公厅关于印发</w:t>
      </w:r>
      <w:r>
        <w:rPr>
          <w:rFonts w:ascii="Times New Roman" w:hAnsi="Times New Roman" w:eastAsia="黑体"/>
          <w:kern w:val="2"/>
          <w:sz w:val="28"/>
          <w:szCs w:val="32"/>
        </w:rPr>
        <w:t>&lt;黑龙江省强化危险废物监管和利用处置能力改革工作方案&gt;的通知》符合性分析</w:t>
      </w:r>
    </w:p>
    <w:p>
      <w:pPr>
        <w:adjustRightInd w:val="0"/>
        <w:snapToGrid w:val="0"/>
        <w:spacing w:line="480" w:lineRule="exact"/>
        <w:ind w:firstLine="480" w:firstLineChars="200"/>
        <w:rPr>
          <w:rFonts w:ascii="Times New Roman" w:hAnsi="Times New Roman"/>
          <w:kern w:val="2"/>
          <w:sz w:val="24"/>
          <w:szCs w:val="20"/>
        </w:rPr>
      </w:pPr>
      <w:r>
        <w:rPr>
          <w:rFonts w:hint="eastAsia" w:ascii="Times New Roman" w:hAnsi="Times New Roman"/>
          <w:kern w:val="2"/>
          <w:sz w:val="24"/>
          <w:szCs w:val="20"/>
        </w:rPr>
        <w:t>《黑龙江省人民政府办公厅关于印发</w:t>
      </w:r>
      <w:r>
        <w:rPr>
          <w:rFonts w:ascii="Times New Roman" w:hAnsi="Times New Roman"/>
          <w:kern w:val="2"/>
          <w:sz w:val="24"/>
          <w:szCs w:val="20"/>
        </w:rPr>
        <w:t>&lt;黑龙江省强化危险废物监管和利用处置能力改革工作方案&gt;的通知》（黑政办规[2021]23号）指出：基本补齐医疗废物、危险废物收集处理设施方面短板，县级以上城市建成区医疗废物无害化处置率达到100%，全省危险废物处置能力基本满足省域内实际处置需求。保障重大疫情医疗废物应急处置能力，完善医疗废物集中处置设施及收集转运体系建设，补齐医疗废物集中处置能力短板，保障重大疫情医疗废物安全有效处置。</w:t>
      </w:r>
    </w:p>
    <w:p>
      <w:pPr>
        <w:adjustRightInd w:val="0"/>
        <w:snapToGrid w:val="0"/>
        <w:spacing w:line="480" w:lineRule="exact"/>
        <w:ind w:firstLine="480" w:firstLineChars="200"/>
        <w:rPr>
          <w:rFonts w:ascii="Times New Roman" w:hAnsi="Times New Roman"/>
          <w:kern w:val="2"/>
          <w:sz w:val="24"/>
          <w:szCs w:val="20"/>
        </w:rPr>
      </w:pPr>
      <w:r>
        <w:rPr>
          <w:rFonts w:hint="eastAsia" w:ascii="Times New Roman" w:hAnsi="Times New Roman"/>
          <w:kern w:val="2"/>
          <w:sz w:val="24"/>
          <w:szCs w:val="20"/>
        </w:rPr>
        <w:t>双鸭山市</w:t>
      </w:r>
      <w:r>
        <w:rPr>
          <w:rFonts w:ascii="Times New Roman" w:hAnsi="Times New Roman"/>
          <w:kern w:val="2"/>
          <w:sz w:val="24"/>
          <w:szCs w:val="20"/>
        </w:rPr>
        <w:t>2021年和2022年间歇爆发新冠肺炎疫情，医疗废物处置工作压力增大；因此，</w:t>
      </w:r>
      <w:r>
        <w:rPr>
          <w:rFonts w:ascii="Times New Roman" w:hAnsi="Times New Roman"/>
          <w:sz w:val="24"/>
          <w:szCs w:val="24"/>
        </w:rPr>
        <w:t>双鸭山翁氏环保有限公司拟</w:t>
      </w:r>
      <w:r>
        <w:rPr>
          <w:rFonts w:hint="eastAsia" w:ascii="Times New Roman" w:hAnsi="Times New Roman"/>
          <w:sz w:val="24"/>
          <w:szCs w:val="24"/>
        </w:rPr>
        <w:t>安装</w:t>
      </w:r>
      <w:r>
        <w:rPr>
          <w:rFonts w:ascii="Times New Roman" w:hAnsi="Times New Roman"/>
          <w:sz w:val="24"/>
          <w:szCs w:val="24"/>
        </w:rPr>
        <w:t>1套5t/d医疗废物</w:t>
      </w:r>
      <w:r>
        <w:rPr>
          <w:rFonts w:hint="eastAsia" w:ascii="Times New Roman" w:hAnsi="Times New Roman"/>
          <w:sz w:val="24"/>
          <w:szCs w:val="24"/>
        </w:rPr>
        <w:t>高温干热处理</w:t>
      </w:r>
      <w:r>
        <w:rPr>
          <w:rFonts w:ascii="Times New Roman" w:hAnsi="Times New Roman"/>
          <w:sz w:val="24"/>
          <w:szCs w:val="24"/>
        </w:rPr>
        <w:t>设备用于处理医疗废物。</w:t>
      </w:r>
      <w:r>
        <w:rPr>
          <w:rFonts w:ascii="Times New Roman" w:hAnsi="Times New Roman"/>
          <w:kern w:val="2"/>
          <w:sz w:val="24"/>
          <w:szCs w:val="20"/>
        </w:rPr>
        <w:t>是符合《黑龙江省人民政府办公厅关于印发&lt;黑龙江省强化危险废物监管和利用处置能力改革工作方案&gt;的通知》要求的。</w:t>
      </w:r>
    </w:p>
    <w:p>
      <w:pPr>
        <w:pStyle w:val="4"/>
        <w:numPr>
          <w:ilvl w:val="0"/>
          <w:numId w:val="0"/>
        </w:numPr>
        <w:spacing w:before="120" w:beforeLines="50" w:after="120" w:afterLines="50" w:line="480" w:lineRule="exact"/>
        <w:rPr>
          <w:rFonts w:ascii="Times New Roman" w:hAnsi="Times New Roman" w:eastAsia="黑体"/>
          <w:kern w:val="2"/>
          <w:sz w:val="28"/>
          <w:szCs w:val="32"/>
        </w:rPr>
      </w:pPr>
      <w:r>
        <w:rPr>
          <w:rFonts w:hint="eastAsia" w:ascii="Times New Roman" w:hAnsi="Times New Roman" w:eastAsia="黑体"/>
          <w:kern w:val="2"/>
          <w:sz w:val="28"/>
          <w:szCs w:val="32"/>
        </w:rPr>
        <w:t>1</w:t>
      </w:r>
      <w:r>
        <w:rPr>
          <w:rFonts w:ascii="Times New Roman" w:hAnsi="Times New Roman" w:eastAsia="黑体"/>
          <w:kern w:val="2"/>
          <w:sz w:val="28"/>
          <w:szCs w:val="32"/>
        </w:rPr>
        <w:t>.4.16</w:t>
      </w:r>
      <w:r>
        <w:rPr>
          <w:rFonts w:hint="eastAsia" w:ascii="Times New Roman" w:hAnsi="Times New Roman" w:eastAsia="黑体"/>
          <w:kern w:val="2"/>
          <w:sz w:val="28"/>
          <w:szCs w:val="32"/>
        </w:rPr>
        <w:t>与《医疗废物处理处置污染防治最佳可行技术指南（试行）》符合性分析</w:t>
      </w:r>
    </w:p>
    <w:p>
      <w:pPr>
        <w:adjustRightInd w:val="0"/>
        <w:snapToGrid w:val="0"/>
        <w:spacing w:line="480" w:lineRule="exact"/>
        <w:ind w:firstLine="480" w:firstLineChars="200"/>
        <w:rPr>
          <w:rFonts w:ascii="Times New Roman" w:hAnsi="Times New Roman"/>
          <w:kern w:val="2"/>
          <w:sz w:val="24"/>
          <w:szCs w:val="20"/>
        </w:rPr>
      </w:pPr>
      <w:r>
        <w:rPr>
          <w:rFonts w:hint="eastAsia" w:ascii="Times New Roman" w:hAnsi="Times New Roman"/>
          <w:kern w:val="2"/>
          <w:sz w:val="24"/>
          <w:szCs w:val="20"/>
        </w:rPr>
        <w:t>《医疗废物处理处置污染防治最佳可行技术指南（试行）》（</w:t>
      </w:r>
      <w:r>
        <w:rPr>
          <w:rFonts w:ascii="Times New Roman" w:hAnsi="Times New Roman"/>
          <w:kern w:val="2"/>
          <w:sz w:val="24"/>
          <w:szCs w:val="20"/>
        </w:rPr>
        <w:t>HJ-BAT-8，原环境保护部公告2012年第4号）提出了：（1）医疗废物处理处置技术包括</w:t>
      </w:r>
      <w:r>
        <w:rPr>
          <w:rFonts w:hint="eastAsia" w:ascii="Times New Roman" w:hAnsi="Times New Roman"/>
          <w:kern w:val="2"/>
          <w:sz w:val="24"/>
          <w:szCs w:val="20"/>
        </w:rPr>
        <w:t>高温蒸汽处理技术</w:t>
      </w:r>
      <w:r>
        <w:rPr>
          <w:rFonts w:ascii="Times New Roman" w:hAnsi="Times New Roman"/>
          <w:kern w:val="2"/>
          <w:sz w:val="24"/>
          <w:szCs w:val="20"/>
        </w:rPr>
        <w:t>，该技术适用于感染性</w:t>
      </w:r>
      <w:r>
        <w:rPr>
          <w:rFonts w:hint="eastAsia" w:ascii="Times New Roman" w:hAnsi="Times New Roman"/>
          <w:kern w:val="2"/>
          <w:sz w:val="24"/>
          <w:szCs w:val="20"/>
        </w:rPr>
        <w:t>和损伤性</w:t>
      </w:r>
      <w:r>
        <w:rPr>
          <w:rFonts w:ascii="Times New Roman" w:hAnsi="Times New Roman"/>
          <w:kern w:val="2"/>
          <w:sz w:val="24"/>
          <w:szCs w:val="20"/>
        </w:rPr>
        <w:t>医疗废物的处置。（2）</w:t>
      </w:r>
      <w:r>
        <w:rPr>
          <w:rFonts w:hint="eastAsia" w:ascii="Times New Roman" w:hAnsi="Times New Roman"/>
          <w:kern w:val="2"/>
          <w:sz w:val="24"/>
          <w:szCs w:val="20"/>
        </w:rPr>
        <w:t>高温蒸汽处理工艺适合日处理规模1</w:t>
      </w:r>
      <w:r>
        <w:rPr>
          <w:rFonts w:ascii="Times New Roman" w:hAnsi="Times New Roman"/>
          <w:kern w:val="2"/>
          <w:sz w:val="24"/>
          <w:szCs w:val="20"/>
        </w:rPr>
        <w:t>0</w:t>
      </w:r>
      <w:r>
        <w:rPr>
          <w:rFonts w:hint="eastAsia" w:ascii="Times New Roman" w:hAnsi="Times New Roman"/>
          <w:kern w:val="2"/>
          <w:sz w:val="24"/>
          <w:szCs w:val="20"/>
        </w:rPr>
        <w:t>吨以下的项目。</w:t>
      </w:r>
      <w:r>
        <w:rPr>
          <w:rFonts w:ascii="Times New Roman" w:hAnsi="Times New Roman"/>
          <w:kern w:val="2"/>
          <w:sz w:val="24"/>
          <w:szCs w:val="20"/>
        </w:rPr>
        <w:t>（3）</w:t>
      </w:r>
      <w:r>
        <w:rPr>
          <w:rFonts w:hint="eastAsia" w:ascii="Times New Roman" w:hAnsi="Times New Roman"/>
          <w:kern w:val="2"/>
          <w:sz w:val="24"/>
          <w:szCs w:val="20"/>
        </w:rPr>
        <w:t>高温蒸汽工艺运行费用低，适应性强、二次污染少、不产生二噁英等二次污染，易于操作管理，运行效果稳定</w:t>
      </w:r>
      <w:r>
        <w:rPr>
          <w:rFonts w:ascii="Times New Roman" w:hAnsi="Times New Roman"/>
          <w:kern w:val="2"/>
          <w:sz w:val="24"/>
          <w:szCs w:val="20"/>
        </w:rPr>
        <w:t>。</w:t>
      </w:r>
      <w:r>
        <w:rPr>
          <w:rFonts w:hint="eastAsia" w:ascii="Times New Roman" w:hAnsi="Times New Roman"/>
          <w:kern w:val="2"/>
          <w:sz w:val="24"/>
          <w:szCs w:val="20"/>
        </w:rPr>
        <w:t>（4）设备要求应密闭、保温、耐高温高压。</w:t>
      </w:r>
    </w:p>
    <w:p>
      <w:pPr>
        <w:adjustRightInd w:val="0"/>
        <w:snapToGrid w:val="0"/>
        <w:spacing w:line="480" w:lineRule="exact"/>
        <w:ind w:firstLine="480" w:firstLineChars="200"/>
        <w:rPr>
          <w:rFonts w:ascii="Times New Roman" w:hAnsi="Times New Roman"/>
          <w:kern w:val="2"/>
          <w:sz w:val="24"/>
          <w:szCs w:val="20"/>
        </w:rPr>
      </w:pPr>
      <w:r>
        <w:rPr>
          <w:rFonts w:hint="eastAsia" w:ascii="Times New Roman" w:hAnsi="Times New Roman"/>
          <w:kern w:val="2"/>
          <w:sz w:val="24"/>
          <w:szCs w:val="20"/>
        </w:rPr>
        <w:t>本项目拟购置</w:t>
      </w:r>
      <w:r>
        <w:rPr>
          <w:rFonts w:ascii="Times New Roman" w:hAnsi="Times New Roman"/>
          <w:kern w:val="2"/>
          <w:sz w:val="24"/>
          <w:szCs w:val="20"/>
        </w:rPr>
        <w:t>1套5t/d医疗废物</w:t>
      </w:r>
      <w:r>
        <w:rPr>
          <w:rFonts w:hint="eastAsia" w:ascii="Times New Roman" w:hAnsi="Times New Roman"/>
          <w:kern w:val="2"/>
          <w:sz w:val="24"/>
          <w:szCs w:val="20"/>
        </w:rPr>
        <w:t>高温干热处理</w:t>
      </w:r>
      <w:r>
        <w:rPr>
          <w:rFonts w:ascii="Times New Roman" w:hAnsi="Times New Roman"/>
          <w:kern w:val="2"/>
          <w:sz w:val="24"/>
          <w:szCs w:val="20"/>
        </w:rPr>
        <w:t>设备用于处理感染性</w:t>
      </w:r>
      <w:r>
        <w:rPr>
          <w:rFonts w:hint="eastAsia" w:ascii="Times New Roman" w:hAnsi="Times New Roman"/>
          <w:kern w:val="2"/>
          <w:sz w:val="24"/>
          <w:szCs w:val="20"/>
        </w:rPr>
        <w:t>和损伤性</w:t>
      </w:r>
      <w:r>
        <w:rPr>
          <w:rFonts w:ascii="Times New Roman" w:hAnsi="Times New Roman"/>
          <w:kern w:val="2"/>
          <w:sz w:val="24"/>
          <w:szCs w:val="20"/>
        </w:rPr>
        <w:t>医疗废物，</w:t>
      </w:r>
      <w:r>
        <w:rPr>
          <w:rFonts w:hint="eastAsia" w:ascii="Times New Roman" w:hAnsi="Times New Roman"/>
          <w:kern w:val="2"/>
          <w:sz w:val="24"/>
          <w:szCs w:val="20"/>
        </w:rPr>
        <w:t>设备密闭保温兵器耐高温高压。处理设备安装了</w:t>
      </w:r>
      <w:r>
        <w:rPr>
          <w:rFonts w:ascii="Times New Roman" w:hAnsi="Times New Roman"/>
          <w:kern w:val="2"/>
          <w:sz w:val="24"/>
          <w:szCs w:val="20"/>
        </w:rPr>
        <w:t>粉尘阻拦干燥器+低温等离子废气净化器可保证大气污染物达标排放；</w:t>
      </w:r>
      <w:r>
        <w:rPr>
          <w:rFonts w:hint="eastAsia" w:ascii="Times New Roman" w:hAnsi="Times New Roman"/>
          <w:kern w:val="2"/>
          <w:sz w:val="24"/>
          <w:szCs w:val="20"/>
        </w:rPr>
        <w:t>设备</w:t>
      </w:r>
      <w:r>
        <w:rPr>
          <w:rFonts w:ascii="Times New Roman" w:hAnsi="Times New Roman"/>
          <w:kern w:val="2"/>
          <w:sz w:val="24"/>
          <w:szCs w:val="20"/>
        </w:rPr>
        <w:t>配套1台</w:t>
      </w:r>
      <w:r>
        <w:rPr>
          <w:rFonts w:hint="eastAsia" w:ascii="Times New Roman" w:hAnsi="Times New Roman"/>
          <w:kern w:val="2"/>
          <w:sz w:val="24"/>
          <w:szCs w:val="20"/>
        </w:rPr>
        <w:t>导热油炉</w:t>
      </w:r>
      <w:r>
        <w:rPr>
          <w:rFonts w:ascii="Times New Roman" w:hAnsi="Times New Roman"/>
          <w:kern w:val="2"/>
          <w:sz w:val="24"/>
          <w:szCs w:val="20"/>
        </w:rPr>
        <w:t>，</w:t>
      </w:r>
      <w:r>
        <w:rPr>
          <w:rFonts w:hint="eastAsia" w:ascii="Times New Roman" w:hAnsi="Times New Roman"/>
          <w:kern w:val="2"/>
          <w:sz w:val="24"/>
          <w:szCs w:val="20"/>
        </w:rPr>
        <w:t>燃料为轻质柴油，废气可达标排放</w:t>
      </w:r>
      <w:r>
        <w:rPr>
          <w:rFonts w:ascii="Times New Roman" w:hAnsi="Times New Roman"/>
          <w:kern w:val="2"/>
          <w:sz w:val="24"/>
          <w:szCs w:val="20"/>
        </w:rPr>
        <w:t>；</w:t>
      </w:r>
      <w:r>
        <w:rPr>
          <w:rFonts w:hint="eastAsia" w:ascii="Times New Roman" w:hAnsi="Times New Roman"/>
          <w:kern w:val="2"/>
          <w:sz w:val="24"/>
          <w:szCs w:val="20"/>
        </w:rPr>
        <w:t>处理后的医疗废物</w:t>
      </w:r>
      <w:r>
        <w:rPr>
          <w:rFonts w:ascii="Times New Roman" w:hAnsi="Times New Roman"/>
          <w:kern w:val="2"/>
          <w:sz w:val="24"/>
          <w:szCs w:val="20"/>
        </w:rPr>
        <w:t>交由</w:t>
      </w:r>
      <w:r>
        <w:rPr>
          <w:rFonts w:hint="eastAsia" w:ascii="Times New Roman" w:hAnsi="Times New Roman"/>
          <w:kern w:val="2"/>
          <w:sz w:val="24"/>
          <w:szCs w:val="20"/>
        </w:rPr>
        <w:t>双鸭山市生活垃圾填埋场</w:t>
      </w:r>
      <w:r>
        <w:rPr>
          <w:rFonts w:ascii="Times New Roman" w:hAnsi="Times New Roman"/>
          <w:kern w:val="2"/>
          <w:sz w:val="24"/>
          <w:szCs w:val="20"/>
        </w:rPr>
        <w:t>进</w:t>
      </w:r>
      <w:r>
        <w:rPr>
          <w:rFonts w:hint="eastAsia" w:ascii="Times New Roman" w:hAnsi="Times New Roman"/>
          <w:kern w:val="2"/>
          <w:sz w:val="24"/>
          <w:szCs w:val="20"/>
        </w:rPr>
        <w:t>行处理，处理全过程不按危险废物管理。</w:t>
      </w:r>
    </w:p>
    <w:p>
      <w:pPr>
        <w:adjustRightInd w:val="0"/>
        <w:snapToGrid w:val="0"/>
        <w:spacing w:line="480" w:lineRule="exact"/>
        <w:ind w:firstLine="480" w:firstLineChars="200"/>
        <w:rPr>
          <w:rFonts w:ascii="Times New Roman" w:hAnsi="Times New Roman"/>
          <w:kern w:val="2"/>
          <w:sz w:val="24"/>
          <w:szCs w:val="20"/>
        </w:rPr>
      </w:pPr>
      <w:r>
        <w:rPr>
          <w:rFonts w:hint="eastAsia" w:ascii="Times New Roman" w:hAnsi="Times New Roman"/>
          <w:kern w:val="2"/>
          <w:sz w:val="24"/>
          <w:szCs w:val="20"/>
        </w:rPr>
        <w:t>综上，本项目符合《医疗废物处理处置污染防治最佳可行技术指南（试行）》。</w:t>
      </w:r>
    </w:p>
    <w:p>
      <w:pPr>
        <w:pStyle w:val="4"/>
        <w:numPr>
          <w:ilvl w:val="0"/>
          <w:numId w:val="0"/>
        </w:numPr>
        <w:spacing w:before="120" w:beforeLines="50" w:after="120" w:afterLines="50" w:line="480" w:lineRule="exact"/>
        <w:rPr>
          <w:rFonts w:ascii="Times New Roman" w:hAnsi="Times New Roman" w:eastAsia="黑体"/>
          <w:kern w:val="2"/>
          <w:sz w:val="28"/>
          <w:szCs w:val="32"/>
        </w:rPr>
      </w:pPr>
      <w:r>
        <w:rPr>
          <w:rFonts w:ascii="Times New Roman" w:hAnsi="Times New Roman" w:eastAsia="黑体"/>
          <w:kern w:val="2"/>
          <w:sz w:val="28"/>
          <w:szCs w:val="32"/>
        </w:rPr>
        <w:t>1.4.17与</w:t>
      </w:r>
      <w:r>
        <w:rPr>
          <w:rFonts w:hint="eastAsia" w:ascii="Times New Roman" w:hAnsi="Times New Roman" w:eastAsia="黑体"/>
          <w:kern w:val="2"/>
          <w:sz w:val="28"/>
          <w:szCs w:val="32"/>
        </w:rPr>
        <w:t>《新型冠状病毒感染的肺炎疫情医疗废物应急处置管理与技术指南</w:t>
      </w:r>
      <w:r>
        <w:rPr>
          <w:rFonts w:ascii="Times New Roman" w:hAnsi="Times New Roman" w:eastAsia="黑体"/>
          <w:kern w:val="2"/>
          <w:sz w:val="28"/>
          <w:szCs w:val="32"/>
        </w:rPr>
        <w:t>(试行）》（生态环境部于2020年1月28日印发）符合性分析</w:t>
      </w:r>
    </w:p>
    <w:p>
      <w:pPr>
        <w:spacing w:line="480" w:lineRule="exact"/>
        <w:ind w:firstLine="480" w:firstLineChars="200"/>
        <w:rPr>
          <w:rFonts w:ascii="Times New Roman" w:hAnsi="Times New Roman"/>
          <w:kern w:val="2"/>
          <w:sz w:val="24"/>
          <w:szCs w:val="20"/>
        </w:rPr>
      </w:pPr>
      <w:r>
        <w:rPr>
          <w:rFonts w:hint="eastAsia" w:ascii="Times New Roman" w:hAnsi="Times New Roman"/>
          <w:kern w:val="2"/>
          <w:sz w:val="24"/>
          <w:szCs w:val="20"/>
        </w:rPr>
        <w:t>根据《新型冠状病毒感染的肺炎疫情医疗废物应急处置管理与技术指南（试行）》，要求肺炎疫情防治过程中产生的感染性医疗废物，应严格按照《医疗废物专用包装袋、容器和警示标志标准》包装。医疗废物转运过程可根据当地实际情况运行电子转移联单或者纸质联单，应建立台账。医疗废物处置单位要优先收集和处置肺炎疫情防治过程产生的感染性医疗废物。本项目严格按照指南要求进行医疗废物的收集、包装和转运。本项目符合《新型冠状病毒感染的肺炎疫情医疗废物应急处置管理与技术指南（试行）》。</w:t>
      </w:r>
    </w:p>
    <w:p>
      <w:pPr>
        <w:pStyle w:val="4"/>
        <w:numPr>
          <w:ilvl w:val="0"/>
          <w:numId w:val="0"/>
        </w:numPr>
        <w:spacing w:before="120" w:beforeLines="50" w:after="120" w:afterLines="50" w:line="480" w:lineRule="exact"/>
        <w:rPr>
          <w:rFonts w:ascii="Times New Roman" w:hAnsi="Times New Roman" w:eastAsia="黑体"/>
          <w:kern w:val="2"/>
          <w:sz w:val="28"/>
          <w:szCs w:val="32"/>
        </w:rPr>
      </w:pPr>
      <w:r>
        <w:rPr>
          <w:rFonts w:ascii="Times New Roman" w:hAnsi="Times New Roman" w:eastAsia="黑体"/>
          <w:kern w:val="2"/>
          <w:sz w:val="28"/>
          <w:szCs w:val="32"/>
        </w:rPr>
        <w:t>1.4.18与</w:t>
      </w:r>
      <w:r>
        <w:rPr>
          <w:rFonts w:hint="eastAsia" w:ascii="Times New Roman" w:hAnsi="Times New Roman" w:eastAsia="黑体"/>
          <w:kern w:val="2"/>
          <w:sz w:val="28"/>
          <w:szCs w:val="32"/>
        </w:rPr>
        <w:t>《医疗废物高温蒸汽消毒集中处理工程技术规范》（</w:t>
      </w:r>
      <w:r>
        <w:rPr>
          <w:rFonts w:ascii="Times New Roman" w:hAnsi="Times New Roman" w:eastAsia="黑体"/>
          <w:kern w:val="2"/>
          <w:sz w:val="28"/>
          <w:szCs w:val="32"/>
        </w:rPr>
        <w:t>HJ276-2021）符合性分析</w:t>
      </w:r>
    </w:p>
    <w:p/>
    <w:p>
      <w:pPr>
        <w:spacing w:line="480" w:lineRule="exact"/>
        <w:ind w:firstLine="480" w:firstLineChars="200"/>
        <w:rPr>
          <w:rFonts w:ascii="Times New Roman" w:hAnsi="Times New Roman"/>
          <w:kern w:val="2"/>
          <w:sz w:val="24"/>
          <w:szCs w:val="20"/>
        </w:rPr>
      </w:pPr>
      <w:r>
        <w:rPr>
          <w:rFonts w:hint="eastAsia" w:ascii="Times New Roman" w:hAnsi="Times New Roman"/>
          <w:kern w:val="2"/>
          <w:sz w:val="24"/>
          <w:szCs w:val="20"/>
        </w:rPr>
        <w:t>根据《医疗废物高温蒸汽消毒集中处理工程技术规范》（</w:t>
      </w:r>
      <w:r>
        <w:rPr>
          <w:rFonts w:ascii="Times New Roman" w:hAnsi="Times New Roman"/>
          <w:kern w:val="2"/>
          <w:sz w:val="24"/>
          <w:szCs w:val="20"/>
        </w:rPr>
        <w:t>HJ276-2021）：经消毒处理的医疗废物如需厂内贮存，应单独存放于具备防雨、防风、防渗功能的库房。不得将经消毒处理的医疗废物与未处理的医疗废物一起存放。不得使用医疗废物周转箱/桶盛装经消毒处理的医疗废物。本项目</w:t>
      </w:r>
      <w:r>
        <w:rPr>
          <w:rFonts w:hint="eastAsia" w:ascii="Times New Roman" w:hAnsi="Times New Roman"/>
          <w:kern w:val="2"/>
          <w:sz w:val="24"/>
          <w:szCs w:val="20"/>
        </w:rPr>
        <w:t>对</w:t>
      </w:r>
      <w:r>
        <w:rPr>
          <w:rFonts w:ascii="Times New Roman" w:hAnsi="Times New Roman"/>
          <w:kern w:val="2"/>
          <w:sz w:val="24"/>
          <w:szCs w:val="20"/>
        </w:rPr>
        <w:t>处理后医疗废物的管理</w:t>
      </w:r>
      <w:r>
        <w:rPr>
          <w:rFonts w:hint="eastAsia" w:ascii="Times New Roman" w:hAnsi="Times New Roman"/>
          <w:kern w:val="2"/>
          <w:sz w:val="24"/>
          <w:szCs w:val="20"/>
        </w:rPr>
        <w:t>进行了深化加强</w:t>
      </w:r>
      <w:r>
        <w:rPr>
          <w:rFonts w:ascii="Times New Roman" w:hAnsi="Times New Roman"/>
          <w:kern w:val="2"/>
          <w:sz w:val="24"/>
          <w:szCs w:val="20"/>
        </w:rPr>
        <w:t>，避免以上情况发生。</w:t>
      </w:r>
    </w:p>
    <w:p>
      <w:pPr>
        <w:spacing w:line="480" w:lineRule="exact"/>
        <w:ind w:firstLine="480" w:firstLineChars="200"/>
        <w:rPr>
          <w:rFonts w:ascii="Times New Roman" w:hAnsi="Times New Roman"/>
          <w:kern w:val="2"/>
          <w:sz w:val="24"/>
          <w:szCs w:val="20"/>
        </w:rPr>
      </w:pPr>
      <w:r>
        <w:rPr>
          <w:rFonts w:hint="eastAsia" w:ascii="Times New Roman" w:hAnsi="Times New Roman"/>
          <w:kern w:val="2"/>
          <w:sz w:val="24"/>
          <w:szCs w:val="20"/>
        </w:rPr>
        <w:t>根据《医疗废物高温蒸汽消毒集中处理工程技术规范》（</w:t>
      </w:r>
      <w:r>
        <w:rPr>
          <w:rFonts w:ascii="Times New Roman" w:hAnsi="Times New Roman"/>
          <w:kern w:val="2"/>
          <w:sz w:val="24"/>
          <w:szCs w:val="20"/>
        </w:rPr>
        <w:t>HJ276-2021）和《医疗废物处理处置污染控制标准》（GB39707-2020）要求：“医疗废物处理处置单位应设置感染性、损伤性的贮存设施；贮存设施内应设置不同类别医疗废物的贮存区；贮存设施地面防渗应满足国家和地方有关重点污染源防渗要求。墙面应做防渗处理，感染性、损伤性废物贮存设施的地面、墙面材料应易于清晰和消毒；贮存设施应设置废水收集设施，收集的废水应导入废水处理设施；感染性、损伤性废物贮存设施应设置负压及通风装置、制冷系统和设备，排放口应设置废气净化</w:t>
      </w:r>
      <w:r>
        <w:rPr>
          <w:rFonts w:hint="eastAsia" w:ascii="Times New Roman" w:hAnsi="Times New Roman"/>
          <w:kern w:val="2"/>
          <w:sz w:val="24"/>
          <w:szCs w:val="20"/>
        </w:rPr>
        <w:t>装置；医疗废物不能及时处理处置时，应置于贮存设施内贮存。感染性、损伤性、病理性废物应盛装于医疗废物周转箱</w:t>
      </w:r>
      <w:r>
        <w:rPr>
          <w:rFonts w:ascii="Times New Roman" w:hAnsi="Times New Roman"/>
          <w:kern w:val="2"/>
          <w:sz w:val="24"/>
          <w:szCs w:val="20"/>
        </w:rPr>
        <w:t>/桶内一并置于贮存设施内暂时贮存”；处理处置单位对感染性、损伤性废物的贮存应符合以下要求：</w:t>
      </w:r>
    </w:p>
    <w:p>
      <w:pPr>
        <w:spacing w:line="480" w:lineRule="exact"/>
        <w:ind w:firstLine="480" w:firstLineChars="200"/>
        <w:rPr>
          <w:rFonts w:ascii="Times New Roman" w:hAnsi="Times New Roman"/>
          <w:kern w:val="2"/>
          <w:sz w:val="24"/>
          <w:szCs w:val="20"/>
        </w:rPr>
      </w:pPr>
      <w:r>
        <w:rPr>
          <w:rFonts w:hint="eastAsia" w:ascii="Times New Roman" w:hAnsi="Times New Roman"/>
          <w:kern w:val="2"/>
          <w:sz w:val="24"/>
          <w:szCs w:val="20"/>
        </w:rPr>
        <w:t>贮存温度≥</w:t>
      </w:r>
      <w:r>
        <w:rPr>
          <w:rFonts w:ascii="Times New Roman" w:hAnsi="Times New Roman"/>
          <w:kern w:val="2"/>
          <w:sz w:val="24"/>
          <w:szCs w:val="20"/>
        </w:rPr>
        <w:t>5℃，贮存时间不得超过24小时；</w:t>
      </w:r>
    </w:p>
    <w:p>
      <w:pPr>
        <w:spacing w:line="480" w:lineRule="exact"/>
        <w:ind w:firstLine="480" w:firstLineChars="200"/>
        <w:rPr>
          <w:rFonts w:ascii="Times New Roman" w:hAnsi="Times New Roman"/>
          <w:kern w:val="2"/>
          <w:sz w:val="24"/>
          <w:szCs w:val="20"/>
        </w:rPr>
      </w:pPr>
      <w:r>
        <w:rPr>
          <w:rFonts w:hint="eastAsia" w:ascii="Times New Roman" w:hAnsi="Times New Roman"/>
          <w:kern w:val="2"/>
          <w:sz w:val="24"/>
          <w:szCs w:val="20"/>
        </w:rPr>
        <w:t>贮存温度＜</w:t>
      </w:r>
      <w:r>
        <w:rPr>
          <w:rFonts w:ascii="Times New Roman" w:hAnsi="Times New Roman"/>
          <w:kern w:val="2"/>
          <w:sz w:val="24"/>
          <w:szCs w:val="20"/>
        </w:rPr>
        <w:t>5℃，贮存时间不得超过72小时；</w:t>
      </w:r>
    </w:p>
    <w:p>
      <w:pPr>
        <w:spacing w:line="480" w:lineRule="exact"/>
        <w:ind w:firstLine="480" w:firstLineChars="200"/>
        <w:rPr>
          <w:rFonts w:ascii="Times New Roman" w:hAnsi="Times New Roman"/>
          <w:kern w:val="2"/>
          <w:sz w:val="24"/>
          <w:szCs w:val="20"/>
        </w:rPr>
      </w:pPr>
      <w:r>
        <w:rPr>
          <w:rFonts w:hint="eastAsia" w:ascii="Times New Roman" w:hAnsi="Times New Roman"/>
          <w:kern w:val="2"/>
          <w:sz w:val="24"/>
          <w:szCs w:val="20"/>
        </w:rPr>
        <w:t>偏远地区贮存温度＜</w:t>
      </w:r>
      <w:r>
        <w:rPr>
          <w:rFonts w:ascii="Times New Roman" w:hAnsi="Times New Roman"/>
          <w:kern w:val="2"/>
          <w:sz w:val="24"/>
          <w:szCs w:val="20"/>
        </w:rPr>
        <w:t>5℃，并采取消毒措施时，可适当延长贮存时间，但不得超过168小时。</w:t>
      </w:r>
    </w:p>
    <w:p>
      <w:pPr>
        <w:spacing w:line="480" w:lineRule="exact"/>
        <w:ind w:firstLine="480" w:firstLineChars="200"/>
        <w:rPr>
          <w:rFonts w:ascii="Times New Roman" w:hAnsi="Times New Roman"/>
          <w:kern w:val="2"/>
          <w:sz w:val="24"/>
          <w:szCs w:val="20"/>
        </w:rPr>
      </w:pPr>
      <w:r>
        <w:rPr>
          <w:rFonts w:hint="eastAsia" w:ascii="Times New Roman" w:hAnsi="Times New Roman"/>
          <w:kern w:val="2"/>
          <w:sz w:val="24"/>
          <w:szCs w:val="20"/>
        </w:rPr>
        <w:t>本项目医疗废物暂存间设置了微负压收集装置，废气经过废气净化装置后有组织排放，设置了废水收集池，收集的废水直接导入污水处理站处理，本项目设置了不同医疗废物的不同分区。</w:t>
      </w:r>
    </w:p>
    <w:p>
      <w:pPr>
        <w:spacing w:line="480" w:lineRule="exact"/>
        <w:ind w:firstLine="480" w:firstLineChars="200"/>
        <w:rPr>
          <w:rFonts w:ascii="Times New Roman" w:hAnsi="Times New Roman"/>
          <w:kern w:val="2"/>
          <w:sz w:val="24"/>
          <w:szCs w:val="20"/>
        </w:rPr>
      </w:pPr>
      <w:r>
        <w:rPr>
          <w:rFonts w:hint="eastAsia" w:ascii="Times New Roman" w:hAnsi="Times New Roman"/>
          <w:kern w:val="2"/>
          <w:sz w:val="24"/>
          <w:szCs w:val="20"/>
        </w:rPr>
        <w:t>综上，本项目符合《医疗废物高温蒸汽消毒集中处理工程技术规范》（</w:t>
      </w:r>
      <w:r>
        <w:rPr>
          <w:rFonts w:ascii="Times New Roman" w:hAnsi="Times New Roman"/>
          <w:kern w:val="2"/>
          <w:sz w:val="24"/>
          <w:szCs w:val="20"/>
        </w:rPr>
        <w:t>HJ276-2021）</w:t>
      </w:r>
      <w:r>
        <w:rPr>
          <w:rFonts w:hint="eastAsia" w:ascii="Times New Roman" w:hAnsi="Times New Roman"/>
          <w:kern w:val="2"/>
          <w:sz w:val="24"/>
          <w:szCs w:val="20"/>
        </w:rPr>
        <w:t>。</w:t>
      </w:r>
    </w:p>
    <w:p>
      <w:pPr>
        <w:pStyle w:val="4"/>
        <w:numPr>
          <w:ilvl w:val="0"/>
          <w:numId w:val="0"/>
        </w:numPr>
        <w:spacing w:before="120" w:beforeLines="50" w:after="120" w:afterLines="50" w:line="480" w:lineRule="exact"/>
        <w:rPr>
          <w:rFonts w:ascii="Times New Roman" w:hAnsi="Times New Roman" w:eastAsia="黑体"/>
          <w:kern w:val="2"/>
          <w:sz w:val="28"/>
          <w:szCs w:val="32"/>
        </w:rPr>
      </w:pPr>
      <w:r>
        <w:rPr>
          <w:rFonts w:ascii="Times New Roman" w:hAnsi="Times New Roman" w:eastAsia="黑体"/>
          <w:kern w:val="2"/>
          <w:sz w:val="28"/>
          <w:szCs w:val="32"/>
        </w:rPr>
        <w:t>1.4.17三线一单”符合性分析</w:t>
      </w:r>
      <w:bookmarkEnd w:id="71"/>
      <w:bookmarkEnd w:id="72"/>
      <w:bookmarkEnd w:id="73"/>
      <w:bookmarkEnd w:id="74"/>
      <w:bookmarkEnd w:id="75"/>
      <w:bookmarkEnd w:id="76"/>
      <w:bookmarkEnd w:id="77"/>
      <w:bookmarkEnd w:id="78"/>
    </w:p>
    <w:p>
      <w:pPr>
        <w:spacing w:line="480" w:lineRule="exact"/>
        <w:ind w:firstLine="480" w:firstLineChars="200"/>
        <w:rPr>
          <w:rFonts w:ascii="Times New Roman" w:hAnsi="Times New Roman"/>
          <w:kern w:val="2"/>
          <w:sz w:val="24"/>
          <w:szCs w:val="20"/>
        </w:rPr>
      </w:pPr>
      <w:r>
        <w:rPr>
          <w:rFonts w:hint="eastAsia" w:ascii="Times New Roman" w:hAnsi="Times New Roman"/>
          <w:kern w:val="2"/>
          <w:sz w:val="24"/>
          <w:szCs w:val="20"/>
        </w:rPr>
        <w:t>根据《黑龙江省人民政府关于实施“三线一单”生态环境分区管控的意见》（黑政发〔2020〕14号）（以下简称意见），管控单元包括优先保护单元、重点管控单元和一般管控单元三类。双鸭山市涉及优先保护单元14个，重点管控单元35个，一般管控单元13个。本项目位于</w:t>
      </w:r>
      <w:r>
        <w:rPr>
          <w:rFonts w:ascii="Times New Roman" w:hAnsi="Times New Roman"/>
          <w:kern w:val="2"/>
          <w:sz w:val="24"/>
          <w:szCs w:val="20"/>
        </w:rPr>
        <w:t>双鸭山市四方台梨花盖子沟垃圾处理场院内内</w:t>
      </w:r>
      <w:r>
        <w:rPr>
          <w:rFonts w:hint="eastAsia" w:ascii="Times New Roman" w:hAnsi="Times New Roman"/>
          <w:kern w:val="2"/>
          <w:sz w:val="24"/>
          <w:szCs w:val="20"/>
        </w:rPr>
        <w:t>，根据意见要求及</w:t>
      </w:r>
      <w:bookmarkStart w:id="79" w:name="_Hlk112137927"/>
      <w:r>
        <w:rPr>
          <w:rFonts w:hint="eastAsia" w:ascii="Times New Roman" w:hAnsi="Times New Roman"/>
          <w:kern w:val="2"/>
          <w:sz w:val="24"/>
          <w:szCs w:val="20"/>
        </w:rPr>
        <w:t>《双鸭山市人民政府关于实施“三线一单”生态环境分区管控的意见》（双政规〔2021〕2号）</w:t>
      </w:r>
      <w:bookmarkEnd w:id="79"/>
      <w:r>
        <w:rPr>
          <w:rFonts w:hint="eastAsia" w:ascii="Times New Roman" w:hAnsi="Times New Roman"/>
          <w:kern w:val="2"/>
          <w:sz w:val="24"/>
          <w:szCs w:val="20"/>
        </w:rPr>
        <w:t>，本项目位于重点管控单元内。</w:t>
      </w:r>
      <w:r>
        <w:rPr>
          <w:rFonts w:ascii="Times New Roman" w:hAnsi="Times New Roman"/>
          <w:kern w:val="2"/>
          <w:sz w:val="24"/>
          <w:szCs w:val="20"/>
        </w:rPr>
        <w:t>双鸭山市环境管控单元分布见附图9。</w:t>
      </w:r>
    </w:p>
    <w:p>
      <w:pPr>
        <w:spacing w:line="480" w:lineRule="exact"/>
        <w:ind w:firstLine="480" w:firstLineChars="200"/>
        <w:rPr>
          <w:rFonts w:ascii="Times New Roman" w:hAnsi="Times New Roman"/>
          <w:kern w:val="2"/>
          <w:sz w:val="24"/>
          <w:szCs w:val="24"/>
        </w:rPr>
      </w:pPr>
      <w:r>
        <w:rPr>
          <w:rFonts w:hint="eastAsia"/>
          <w:kern w:val="2"/>
          <w:sz w:val="24"/>
          <w:szCs w:val="24"/>
        </w:rPr>
        <w:t>（</w:t>
      </w:r>
      <w:r>
        <w:rPr>
          <w:rFonts w:hint="eastAsia" w:ascii="Times New Roman" w:hAnsi="Times New Roman"/>
          <w:kern w:val="2"/>
          <w:sz w:val="24"/>
          <w:szCs w:val="24"/>
        </w:rPr>
        <w:t>1</w:t>
      </w:r>
      <w:r>
        <w:rPr>
          <w:rFonts w:hint="eastAsia"/>
          <w:kern w:val="2"/>
          <w:sz w:val="24"/>
          <w:szCs w:val="24"/>
        </w:rPr>
        <w:t>）</w:t>
      </w:r>
      <w:r>
        <w:rPr>
          <w:kern w:val="2"/>
          <w:sz w:val="24"/>
          <w:szCs w:val="24"/>
        </w:rPr>
        <w:t>生态保护红线符合性分析</w:t>
      </w:r>
    </w:p>
    <w:p>
      <w:p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本项目位于双鸭山市四方台梨花盖子沟垃圾处理场院内内，现有工程占地面积为3093m</w:t>
      </w:r>
      <w:r>
        <w:rPr>
          <w:rFonts w:ascii="Times New Roman" w:hAnsi="Times New Roman"/>
          <w:kern w:val="2"/>
          <w:sz w:val="24"/>
          <w:szCs w:val="20"/>
          <w:vertAlign w:val="superscript"/>
        </w:rPr>
        <w:t>2</w:t>
      </w:r>
      <w:r>
        <w:rPr>
          <w:rFonts w:ascii="Times New Roman" w:hAnsi="Times New Roman"/>
          <w:kern w:val="2"/>
          <w:sz w:val="24"/>
          <w:szCs w:val="20"/>
        </w:rPr>
        <w:t>，用地性质为工业用地。本次扩建项目不新增占地，不改变用地性质。</w:t>
      </w:r>
      <w:r>
        <w:rPr>
          <w:rFonts w:hint="eastAsia" w:ascii="Times New Roman" w:hAnsi="Times New Roman"/>
          <w:kern w:val="2"/>
          <w:sz w:val="24"/>
          <w:szCs w:val="20"/>
        </w:rPr>
        <w:t>根据《双鸭山市人民政府关于实施“三线一单”生态环境分区管控的意见》（双政规〔2021〕2号）、</w:t>
      </w:r>
      <w:r>
        <w:rPr>
          <w:rFonts w:ascii="Times New Roman" w:hAnsi="Times New Roman"/>
          <w:kern w:val="2"/>
          <w:sz w:val="24"/>
          <w:szCs w:val="20"/>
        </w:rPr>
        <w:t>《黑龙江省区域空间生态环境评价报告（双鸭山市部分）》</w:t>
      </w:r>
      <w:r>
        <w:rPr>
          <w:rFonts w:hint="eastAsia" w:ascii="Times New Roman" w:hAnsi="Times New Roman"/>
          <w:kern w:val="2"/>
          <w:sz w:val="24"/>
          <w:szCs w:val="20"/>
        </w:rPr>
        <w:t>及与黑龙江省三线一单数据应用平台对照，本项目未进入生态保护红线内，项目所在区域为重点管控单元。双鸭山市生态保护红线分布见附图</w:t>
      </w:r>
      <w:r>
        <w:rPr>
          <w:rFonts w:ascii="Times New Roman" w:hAnsi="Times New Roman"/>
          <w:kern w:val="2"/>
          <w:sz w:val="24"/>
          <w:szCs w:val="20"/>
        </w:rPr>
        <w:t>5</w:t>
      </w:r>
      <w:r>
        <w:rPr>
          <w:rFonts w:hint="eastAsia" w:ascii="Times New Roman" w:hAnsi="Times New Roman"/>
          <w:kern w:val="2"/>
          <w:sz w:val="24"/>
          <w:szCs w:val="20"/>
        </w:rPr>
        <w:t>。黑龙江省三线一单数据应用平台截图见附图1</w:t>
      </w:r>
      <w:r>
        <w:rPr>
          <w:rFonts w:ascii="Times New Roman" w:hAnsi="Times New Roman"/>
          <w:kern w:val="2"/>
          <w:sz w:val="24"/>
          <w:szCs w:val="20"/>
        </w:rPr>
        <w:t>0</w:t>
      </w:r>
      <w:r>
        <w:rPr>
          <w:rFonts w:hint="eastAsia" w:ascii="Times New Roman" w:hAnsi="Times New Roman"/>
          <w:kern w:val="2"/>
          <w:sz w:val="24"/>
          <w:szCs w:val="20"/>
        </w:rPr>
        <w:t>。</w:t>
      </w:r>
      <w:r>
        <w:rPr>
          <w:rFonts w:ascii="Times New Roman" w:hAnsi="Times New Roman"/>
          <w:kern w:val="2"/>
          <w:sz w:val="24"/>
          <w:szCs w:val="20"/>
        </w:rPr>
        <w:t>本项目选址符合“三线一单”中生态保护红线的相关要求。</w:t>
      </w:r>
    </w:p>
    <w:p>
      <w:pPr>
        <w:spacing w:line="480" w:lineRule="exact"/>
        <w:ind w:left="420" w:leftChars="200"/>
        <w:rPr>
          <w:rFonts w:ascii="Times New Roman" w:hAnsi="Times New Roman"/>
          <w:kern w:val="2"/>
          <w:sz w:val="24"/>
          <w:szCs w:val="24"/>
        </w:rPr>
      </w:pPr>
      <w:r>
        <w:rPr>
          <w:rFonts w:hint="eastAsia"/>
          <w:kern w:val="2"/>
          <w:sz w:val="24"/>
          <w:szCs w:val="24"/>
        </w:rPr>
        <w:t>（</w:t>
      </w:r>
      <w:r>
        <w:rPr>
          <w:rFonts w:hint="eastAsia" w:ascii="Times New Roman" w:hAnsi="Times New Roman"/>
          <w:kern w:val="2"/>
          <w:sz w:val="24"/>
          <w:szCs w:val="24"/>
        </w:rPr>
        <w:t>2</w:t>
      </w:r>
      <w:r>
        <w:rPr>
          <w:rFonts w:hint="eastAsia"/>
          <w:kern w:val="2"/>
          <w:sz w:val="24"/>
          <w:szCs w:val="24"/>
        </w:rPr>
        <w:t>）</w:t>
      </w:r>
      <w:r>
        <w:rPr>
          <w:kern w:val="2"/>
          <w:sz w:val="24"/>
          <w:szCs w:val="24"/>
        </w:rPr>
        <w:t>环境质量底线符合性分析</w:t>
      </w:r>
    </w:p>
    <w:p>
      <w:pPr>
        <w:autoSpaceDE w:val="0"/>
        <w:autoSpaceDN w:val="0"/>
        <w:spacing w:line="480" w:lineRule="exact"/>
        <w:ind w:firstLine="480" w:firstLineChars="200"/>
        <w:rPr>
          <w:rFonts w:ascii="Times New Roman" w:hAnsi="Times New Roman"/>
          <w:bCs/>
          <w:kern w:val="2"/>
          <w:sz w:val="24"/>
          <w:szCs w:val="24"/>
        </w:rPr>
      </w:pPr>
      <w:r>
        <w:rPr>
          <w:rFonts w:ascii="Times New Roman" w:hAnsi="Times New Roman"/>
          <w:bCs/>
          <w:kern w:val="2"/>
          <w:sz w:val="24"/>
          <w:szCs w:val="24"/>
        </w:rPr>
        <w:t>1</w:t>
      </w:r>
      <w:r>
        <w:rPr>
          <w:bCs/>
          <w:kern w:val="2"/>
          <w:sz w:val="24"/>
          <w:szCs w:val="24"/>
        </w:rPr>
        <w:t>）水环境</w:t>
      </w:r>
    </w:p>
    <w:p>
      <w:pPr>
        <w:autoSpaceDE w:val="0"/>
        <w:autoSpaceDN w:val="0"/>
        <w:spacing w:line="360" w:lineRule="auto"/>
        <w:ind w:firstLine="480" w:firstLineChars="200"/>
        <w:rPr>
          <w:rFonts w:ascii="Times New Roman" w:hAnsi="Times New Roman"/>
          <w:kern w:val="2"/>
          <w:sz w:val="24"/>
          <w:szCs w:val="24"/>
        </w:rPr>
      </w:pPr>
      <w:r>
        <w:rPr>
          <w:kern w:val="2"/>
          <w:sz w:val="24"/>
          <w:szCs w:val="24"/>
        </w:rPr>
        <w:t>根据《黑龙江省区域空间生态环境评价报告（双鸭山市部分）》</w:t>
      </w:r>
      <w:r>
        <w:rPr>
          <w:rFonts w:hint="eastAsia"/>
          <w:kern w:val="2"/>
          <w:sz w:val="24"/>
          <w:szCs w:val="24"/>
        </w:rPr>
        <w:t>，</w:t>
      </w:r>
      <w:r>
        <w:rPr>
          <w:kern w:val="2"/>
          <w:sz w:val="24"/>
          <w:szCs w:val="24"/>
        </w:rPr>
        <w:t>本项目位于</w:t>
      </w:r>
      <w:r>
        <w:rPr>
          <w:rFonts w:hint="eastAsia"/>
          <w:kern w:val="2"/>
          <w:sz w:val="24"/>
          <w:szCs w:val="24"/>
        </w:rPr>
        <w:t>水环境一般管控</w:t>
      </w:r>
      <w:r>
        <w:rPr>
          <w:kern w:val="2"/>
          <w:sz w:val="24"/>
          <w:szCs w:val="24"/>
        </w:rPr>
        <w:t>区，本项目符合性分析见</w:t>
      </w:r>
      <w:r>
        <w:rPr>
          <w:rFonts w:hint="eastAsia"/>
          <w:kern w:val="2"/>
          <w:sz w:val="24"/>
          <w:szCs w:val="24"/>
        </w:rPr>
        <w:t>下表，双鸭山市水环境分区管控见附图</w:t>
      </w:r>
      <w:r>
        <w:rPr>
          <w:rFonts w:ascii="Times New Roman" w:hAnsi="Times New Roman"/>
          <w:kern w:val="2"/>
          <w:sz w:val="24"/>
          <w:szCs w:val="24"/>
        </w:rPr>
        <w:t>7</w:t>
      </w:r>
      <w:r>
        <w:rPr>
          <w:kern w:val="2"/>
          <w:sz w:val="24"/>
          <w:szCs w:val="24"/>
        </w:rPr>
        <w:t>。</w:t>
      </w:r>
    </w:p>
    <w:p>
      <w:pPr>
        <w:overflowPunct w:val="0"/>
        <w:autoSpaceDE w:val="0"/>
        <w:spacing w:line="360" w:lineRule="auto"/>
        <w:jc w:val="center"/>
        <w:rPr>
          <w:rFonts w:ascii="Times New Roman" w:hAnsi="Times New Roman"/>
          <w:b/>
          <w:sz w:val="24"/>
          <w:szCs w:val="24"/>
        </w:rPr>
      </w:pPr>
      <w:r>
        <w:rPr>
          <w:rFonts w:ascii="黑体" w:hAnsi="黑体" w:eastAsia="黑体"/>
          <w:bCs/>
          <w:sz w:val="24"/>
          <w:szCs w:val="24"/>
        </w:rPr>
        <w:t>表</w:t>
      </w:r>
      <w:r>
        <w:rPr>
          <w:rFonts w:ascii="Times New Roman" w:hAnsi="Times New Roman" w:eastAsia="黑体"/>
          <w:bCs/>
          <w:sz w:val="24"/>
          <w:szCs w:val="24"/>
        </w:rPr>
        <w:t xml:space="preserve">1.4-6  </w:t>
      </w:r>
      <w:r>
        <w:rPr>
          <w:rFonts w:ascii="黑体" w:hAnsi="黑体" w:eastAsia="黑体"/>
          <w:bCs/>
          <w:sz w:val="24"/>
          <w:szCs w:val="24"/>
        </w:rPr>
        <w:t>水环境分流域管控要求表</w:t>
      </w:r>
    </w:p>
    <w:tbl>
      <w:tblPr>
        <w:tblStyle w:val="7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78"/>
        <w:gridCol w:w="1010"/>
        <w:gridCol w:w="1842"/>
        <w:gridCol w:w="3617"/>
        <w:gridCol w:w="97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62" w:type="dxa"/>
            <w:tcBorders>
              <w:top w:val="single" w:color="auto" w:sz="12" w:space="0"/>
              <w:left w:val="nil"/>
              <w:bottom w:val="single" w:color="auto" w:sz="4" w:space="0"/>
              <w:right w:val="single" w:color="auto" w:sz="4" w:space="0"/>
            </w:tcBorders>
            <w:vAlign w:val="center"/>
          </w:tcPr>
          <w:p>
            <w:pPr>
              <w:autoSpaceDE w:val="0"/>
              <w:jc w:val="center"/>
              <w:rPr>
                <w:rFonts w:ascii="Times New Roman" w:hAnsi="Times New Roman" w:eastAsia="黑体"/>
              </w:rPr>
            </w:pPr>
            <w:r>
              <w:rPr>
                <w:rFonts w:hint="eastAsia" w:ascii="黑体" w:hAnsi="黑体" w:eastAsia="黑体"/>
                <w:kern w:val="2"/>
              </w:rPr>
              <w:t>管控区分类</w:t>
            </w:r>
          </w:p>
        </w:tc>
        <w:tc>
          <w:tcPr>
            <w:tcW w:w="2545" w:type="dxa"/>
            <w:gridSpan w:val="2"/>
            <w:tcBorders>
              <w:top w:val="single" w:color="auto" w:sz="12" w:space="0"/>
              <w:left w:val="single" w:color="auto" w:sz="4" w:space="0"/>
              <w:bottom w:val="single" w:color="auto" w:sz="4" w:space="0"/>
              <w:right w:val="single" w:color="auto" w:sz="4" w:space="0"/>
            </w:tcBorders>
            <w:vAlign w:val="center"/>
          </w:tcPr>
          <w:p>
            <w:pPr>
              <w:autoSpaceDE w:val="0"/>
              <w:jc w:val="center"/>
              <w:rPr>
                <w:rFonts w:ascii="Times New Roman" w:hAnsi="Times New Roman" w:eastAsia="黑体"/>
              </w:rPr>
            </w:pPr>
            <w:r>
              <w:rPr>
                <w:rFonts w:ascii="黑体" w:hAnsi="黑体" w:eastAsia="黑体"/>
              </w:rPr>
              <w:t>管控要求</w:t>
            </w:r>
          </w:p>
        </w:tc>
        <w:tc>
          <w:tcPr>
            <w:tcW w:w="3228" w:type="dxa"/>
            <w:tcBorders>
              <w:top w:val="single" w:color="auto" w:sz="12" w:space="0"/>
              <w:left w:val="single" w:color="auto" w:sz="4" w:space="0"/>
              <w:bottom w:val="single" w:color="auto" w:sz="4" w:space="0"/>
              <w:right w:val="single" w:color="auto" w:sz="4" w:space="0"/>
            </w:tcBorders>
            <w:vAlign w:val="center"/>
          </w:tcPr>
          <w:p>
            <w:pPr>
              <w:autoSpaceDE w:val="0"/>
              <w:jc w:val="center"/>
              <w:rPr>
                <w:rFonts w:ascii="Times New Roman" w:hAnsi="Times New Roman" w:eastAsia="黑体"/>
              </w:rPr>
            </w:pPr>
            <w:r>
              <w:rPr>
                <w:rFonts w:ascii="黑体" w:hAnsi="黑体" w:eastAsia="黑体"/>
              </w:rPr>
              <w:t>拟建项目情况</w:t>
            </w:r>
          </w:p>
        </w:tc>
        <w:tc>
          <w:tcPr>
            <w:tcW w:w="874" w:type="dxa"/>
            <w:tcBorders>
              <w:top w:val="single" w:color="auto" w:sz="12" w:space="0"/>
              <w:left w:val="single" w:color="auto" w:sz="4" w:space="0"/>
              <w:bottom w:val="single" w:color="auto" w:sz="4" w:space="0"/>
              <w:right w:val="nil"/>
            </w:tcBorders>
            <w:vAlign w:val="center"/>
          </w:tcPr>
          <w:p>
            <w:pPr>
              <w:autoSpaceDE w:val="0"/>
              <w:jc w:val="center"/>
              <w:rPr>
                <w:rFonts w:ascii="Times New Roman" w:hAnsi="Times New Roman" w:eastAsia="黑体"/>
                <w:kern w:val="2"/>
              </w:rPr>
            </w:pPr>
            <w:r>
              <w:rPr>
                <w:rFonts w:ascii="黑体" w:hAnsi="黑体" w:eastAsia="黑体"/>
                <w:kern w:val="2"/>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62" w:type="dxa"/>
            <w:vMerge w:val="restart"/>
            <w:tcBorders>
              <w:top w:val="single" w:color="auto" w:sz="4" w:space="0"/>
              <w:left w:val="nil"/>
              <w:bottom w:val="single" w:color="auto" w:sz="4" w:space="0"/>
              <w:right w:val="single" w:color="auto" w:sz="4" w:space="0"/>
            </w:tcBorders>
            <w:vAlign w:val="center"/>
          </w:tcPr>
          <w:p>
            <w:pPr>
              <w:autoSpaceDE w:val="0"/>
              <w:jc w:val="center"/>
              <w:rPr>
                <w:rFonts w:ascii="Times New Roman" w:hAnsi="Times New Roman"/>
                <w:kern w:val="2"/>
              </w:rPr>
            </w:pPr>
            <w:r>
              <w:rPr>
                <w:rFonts w:hint="eastAsia"/>
                <w:kern w:val="2"/>
              </w:rPr>
              <w:t>一般管控区</w:t>
            </w:r>
          </w:p>
        </w:tc>
        <w:tc>
          <w:tcPr>
            <w:tcW w:w="901" w:type="dxa"/>
            <w:tcBorders>
              <w:top w:val="single" w:color="auto" w:sz="4" w:space="0"/>
              <w:left w:val="single" w:color="auto" w:sz="4" w:space="0"/>
              <w:bottom w:val="single" w:color="auto" w:sz="4" w:space="0"/>
              <w:right w:val="single" w:color="auto" w:sz="4" w:space="0"/>
            </w:tcBorders>
            <w:vAlign w:val="center"/>
          </w:tcPr>
          <w:p>
            <w:pPr>
              <w:widowControl/>
              <w:spacing w:line="280" w:lineRule="exact"/>
              <w:jc w:val="center"/>
              <w:rPr>
                <w:rFonts w:ascii="Times New Roman" w:hAnsi="Times New Roman"/>
                <w:kern w:val="2"/>
              </w:rPr>
            </w:pPr>
            <w:r>
              <w:rPr>
                <w:kern w:val="2"/>
              </w:rPr>
              <w:t>空间布局约束</w:t>
            </w:r>
          </w:p>
        </w:tc>
        <w:tc>
          <w:tcPr>
            <w:tcW w:w="1644" w:type="dxa"/>
            <w:tcBorders>
              <w:top w:val="single" w:color="auto" w:sz="4" w:space="0"/>
              <w:left w:val="single" w:color="auto" w:sz="4" w:space="0"/>
              <w:bottom w:val="single" w:color="auto" w:sz="4" w:space="0"/>
              <w:right w:val="single" w:color="auto" w:sz="4" w:space="0"/>
            </w:tcBorders>
            <w:vAlign w:val="center"/>
          </w:tcPr>
          <w:p>
            <w:pPr>
              <w:widowControl/>
              <w:jc w:val="left"/>
              <w:rPr>
                <w:kern w:val="2"/>
              </w:rPr>
            </w:pPr>
            <w:r>
              <w:rPr>
                <w:rFonts w:hint="eastAsia"/>
                <w:kern w:val="2"/>
              </w:rPr>
              <w:t>严格依法管控，严禁不符合主体功 能定位的各类开发活动。加快市域 内各城镇污水处理厂的建设。严格 依法管控畜禽养殖企业，提高规模 化养殖占比，优化种植业结构，坚 持适区种植。坚持市场需求导向。</w:t>
            </w:r>
          </w:p>
        </w:tc>
        <w:tc>
          <w:tcPr>
            <w:tcW w:w="3228" w:type="dxa"/>
            <w:tcBorders>
              <w:top w:val="single" w:color="auto" w:sz="4" w:space="0"/>
              <w:left w:val="single" w:color="auto" w:sz="4" w:space="0"/>
              <w:bottom w:val="single" w:color="auto" w:sz="4" w:space="0"/>
              <w:right w:val="single" w:color="auto" w:sz="4" w:space="0"/>
            </w:tcBorders>
            <w:vAlign w:val="center"/>
          </w:tcPr>
          <w:p>
            <w:pPr>
              <w:autoSpaceDE w:val="0"/>
              <w:rPr>
                <w:rFonts w:ascii="Times New Roman" w:hAnsi="Times New Roman"/>
                <w:kern w:val="2"/>
              </w:rPr>
            </w:pPr>
            <w:r>
              <w:rPr>
                <w:rFonts w:hint="eastAsia"/>
                <w:kern w:val="2"/>
              </w:rPr>
              <w:t>本项目为医疗废物集中处置项目，</w:t>
            </w:r>
            <w:r>
              <w:rPr>
                <w:kern w:val="2"/>
              </w:rPr>
              <w:t>生产废水经企业</w:t>
            </w:r>
            <w:r>
              <w:rPr>
                <w:rFonts w:hint="eastAsia"/>
                <w:kern w:val="2"/>
              </w:rPr>
              <w:t>现有</w:t>
            </w:r>
            <w:r>
              <w:rPr>
                <w:kern w:val="2"/>
              </w:rPr>
              <w:t>污水处理站（工艺流程：格栅→调节池→一体化污水处理设备（水解酸化池→接触氧化池 →二沉池 →MBR 池) →二氧化氯发生器→回用水池）处理后满足《城市污水再生利用城市杂用水水质》( GB/T18920-2002 ) 中“车辆冲洗标准”，厂内全部回用（回用于车间地面消毒清洗用水、转运车消毒清洗用水和周转箱消毒清洗用水），不外排。</w:t>
            </w:r>
            <w:r>
              <w:rPr>
                <w:rFonts w:hint="eastAsia"/>
                <w:kern w:val="2"/>
              </w:rPr>
              <w:t>扩建后污水量增加</w:t>
            </w:r>
            <w:r>
              <w:rPr>
                <w:kern w:val="2"/>
              </w:rPr>
              <w:t>8.32</w:t>
            </w:r>
            <w:r>
              <w:rPr>
                <w:rFonts w:hint="eastAsia"/>
                <w:kern w:val="2"/>
              </w:rPr>
              <w:t>t</w:t>
            </w:r>
            <w:r>
              <w:rPr>
                <w:kern w:val="2"/>
              </w:rPr>
              <w:t>/</w:t>
            </w:r>
            <w:r>
              <w:rPr>
                <w:rFonts w:hint="eastAsia"/>
                <w:kern w:val="2"/>
              </w:rPr>
              <w:t>d，总排污量为</w:t>
            </w:r>
            <w:r>
              <w:rPr>
                <w:kern w:val="2"/>
              </w:rPr>
              <w:t>11.13</w:t>
            </w:r>
            <w:r>
              <w:rPr>
                <w:rFonts w:hint="eastAsia"/>
                <w:kern w:val="2"/>
              </w:rPr>
              <w:t>t</w:t>
            </w:r>
            <w:r>
              <w:rPr>
                <w:kern w:val="2"/>
              </w:rPr>
              <w:t>/d,</w:t>
            </w:r>
            <w:r>
              <w:rPr>
                <w:rFonts w:hint="eastAsia"/>
                <w:kern w:val="2"/>
              </w:rPr>
              <w:t>少于设计处理量1</w:t>
            </w:r>
            <w:r>
              <w:rPr>
                <w:kern w:val="2"/>
              </w:rPr>
              <w:t>5</w:t>
            </w:r>
            <w:r>
              <w:rPr>
                <w:rFonts w:hint="eastAsia"/>
                <w:kern w:val="2"/>
              </w:rPr>
              <w:t>t</w:t>
            </w:r>
            <w:r>
              <w:rPr>
                <w:kern w:val="2"/>
              </w:rPr>
              <w:t>/</w:t>
            </w:r>
            <w:r>
              <w:rPr>
                <w:rFonts w:hint="eastAsia"/>
                <w:kern w:val="2"/>
              </w:rPr>
              <w:t>d。生活污水通过罐车运至双鸭山市城市污水处理厂处理后达到《城镇污水处理厂污染物排放标准》（GB18918-2002）一级A标准后排放。</w:t>
            </w:r>
          </w:p>
        </w:tc>
        <w:tc>
          <w:tcPr>
            <w:tcW w:w="874" w:type="dxa"/>
            <w:tcBorders>
              <w:top w:val="single" w:color="auto" w:sz="4" w:space="0"/>
              <w:left w:val="single" w:color="auto" w:sz="4" w:space="0"/>
              <w:bottom w:val="single" w:color="auto" w:sz="4" w:space="0"/>
              <w:right w:val="nil"/>
            </w:tcBorders>
            <w:vAlign w:val="center"/>
          </w:tcPr>
          <w:p>
            <w:pPr>
              <w:autoSpaceDE w:val="0"/>
              <w:jc w:val="center"/>
              <w:rPr>
                <w:rFonts w:ascii="Times New Roman" w:hAnsi="Times New Roman"/>
                <w:kern w:val="2"/>
              </w:rPr>
            </w:pPr>
            <w:r>
              <w:rPr>
                <w:kern w:val="2"/>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62" w:type="dxa"/>
            <w:vMerge w:val="continue"/>
            <w:tcBorders>
              <w:top w:val="single" w:color="auto" w:sz="4" w:space="0"/>
              <w:left w:val="nil"/>
              <w:bottom w:val="single" w:color="auto" w:sz="4" w:space="0"/>
              <w:right w:val="single" w:color="auto" w:sz="4" w:space="0"/>
            </w:tcBorders>
            <w:vAlign w:val="center"/>
          </w:tcPr>
          <w:p>
            <w:pPr>
              <w:widowControl/>
              <w:jc w:val="left"/>
              <w:rPr>
                <w:rFonts w:ascii="Times New Roman" w:hAnsi="Times New Roman"/>
                <w:kern w:val="2"/>
              </w:rPr>
            </w:pPr>
          </w:p>
        </w:tc>
        <w:tc>
          <w:tcPr>
            <w:tcW w:w="901" w:type="dxa"/>
            <w:tcBorders>
              <w:top w:val="single" w:color="auto" w:sz="4" w:space="0"/>
              <w:left w:val="single" w:color="auto" w:sz="4" w:space="0"/>
              <w:bottom w:val="single" w:color="auto" w:sz="4" w:space="0"/>
              <w:right w:val="single" w:color="auto" w:sz="4" w:space="0"/>
            </w:tcBorders>
            <w:vAlign w:val="center"/>
          </w:tcPr>
          <w:p>
            <w:pPr>
              <w:widowControl/>
              <w:spacing w:line="280" w:lineRule="exact"/>
              <w:jc w:val="center"/>
              <w:rPr>
                <w:rFonts w:ascii="Times New Roman" w:hAnsi="Times New Roman"/>
                <w:kern w:val="2"/>
              </w:rPr>
            </w:pPr>
            <w:r>
              <w:rPr>
                <w:kern w:val="2"/>
              </w:rPr>
              <w:t>污染物排放管控</w:t>
            </w:r>
          </w:p>
        </w:tc>
        <w:tc>
          <w:tcPr>
            <w:tcW w:w="1644" w:type="dxa"/>
            <w:tcBorders>
              <w:top w:val="single" w:color="auto" w:sz="4" w:space="0"/>
              <w:left w:val="single" w:color="auto" w:sz="4" w:space="0"/>
              <w:bottom w:val="single" w:color="auto" w:sz="4" w:space="0"/>
              <w:right w:val="single" w:color="auto" w:sz="4" w:space="0"/>
            </w:tcBorders>
            <w:vAlign w:val="center"/>
          </w:tcPr>
          <w:p>
            <w:pPr>
              <w:widowControl/>
              <w:jc w:val="left"/>
              <w:rPr>
                <w:kern w:val="2"/>
              </w:rPr>
            </w:pPr>
            <w:r>
              <w:rPr>
                <w:rFonts w:hint="eastAsia"/>
                <w:kern w:val="2"/>
              </w:rPr>
              <w:t>加强污水厂日常监管，确保达标排放。加强畜 禽养殖、农业种植、农村生活污染管控。加强 畜禽养殖企业环境管理；实施农村环境综合整 治，减少农村污水、垃圾等面源污染物排放； 加强农灌水排放管理。</w:t>
            </w:r>
          </w:p>
        </w:tc>
        <w:tc>
          <w:tcPr>
            <w:tcW w:w="3228" w:type="dxa"/>
            <w:tcBorders>
              <w:top w:val="single" w:color="auto" w:sz="4" w:space="0"/>
              <w:left w:val="single" w:color="auto" w:sz="4" w:space="0"/>
              <w:bottom w:val="single" w:color="auto" w:sz="4" w:space="0"/>
              <w:right w:val="single" w:color="auto" w:sz="4" w:space="0"/>
            </w:tcBorders>
            <w:vAlign w:val="center"/>
          </w:tcPr>
          <w:p>
            <w:pPr>
              <w:autoSpaceDE w:val="0"/>
              <w:rPr>
                <w:rFonts w:ascii="Times New Roman" w:hAnsi="Times New Roman"/>
                <w:kern w:val="2"/>
              </w:rPr>
            </w:pPr>
            <w:r>
              <w:rPr>
                <w:rFonts w:hint="eastAsia"/>
                <w:kern w:val="2"/>
              </w:rPr>
              <w:t>本项目不属于畜禽养殖、农村种植项目，故无农村生活污染排放。</w:t>
            </w:r>
          </w:p>
        </w:tc>
        <w:tc>
          <w:tcPr>
            <w:tcW w:w="874" w:type="dxa"/>
            <w:tcBorders>
              <w:top w:val="single" w:color="auto" w:sz="4" w:space="0"/>
              <w:left w:val="single" w:color="auto" w:sz="4" w:space="0"/>
              <w:bottom w:val="single" w:color="auto" w:sz="4" w:space="0"/>
              <w:right w:val="nil"/>
            </w:tcBorders>
            <w:vAlign w:val="center"/>
          </w:tcPr>
          <w:p>
            <w:pPr>
              <w:autoSpaceDE w:val="0"/>
              <w:jc w:val="center"/>
              <w:rPr>
                <w:rFonts w:ascii="Times New Roman" w:hAnsi="Times New Roman"/>
                <w:kern w:val="2"/>
              </w:rPr>
            </w:pPr>
            <w:r>
              <w:rPr>
                <w:rFonts w:hint="eastAsia"/>
                <w:kern w:val="2"/>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62" w:type="dxa"/>
            <w:vMerge w:val="continue"/>
            <w:tcBorders>
              <w:top w:val="single" w:color="auto" w:sz="4" w:space="0"/>
              <w:left w:val="nil"/>
              <w:bottom w:val="single" w:color="auto" w:sz="4" w:space="0"/>
              <w:right w:val="single" w:color="auto" w:sz="4" w:space="0"/>
            </w:tcBorders>
            <w:vAlign w:val="center"/>
          </w:tcPr>
          <w:p>
            <w:pPr>
              <w:widowControl/>
              <w:jc w:val="left"/>
              <w:rPr>
                <w:rFonts w:ascii="Times New Roman" w:hAnsi="Times New Roman"/>
                <w:kern w:val="2"/>
              </w:rPr>
            </w:pPr>
          </w:p>
        </w:tc>
        <w:tc>
          <w:tcPr>
            <w:tcW w:w="901" w:type="dxa"/>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kern w:val="2"/>
              </w:rPr>
            </w:pPr>
            <w:r>
              <w:rPr>
                <w:kern w:val="2"/>
              </w:rPr>
              <w:t>环境风险防控</w:t>
            </w:r>
          </w:p>
        </w:tc>
        <w:tc>
          <w:tcPr>
            <w:tcW w:w="1644" w:type="dxa"/>
            <w:tcBorders>
              <w:top w:val="single" w:color="auto" w:sz="4" w:space="0"/>
              <w:left w:val="single" w:color="auto" w:sz="4" w:space="0"/>
              <w:bottom w:val="single" w:color="auto" w:sz="4" w:space="0"/>
              <w:right w:val="single" w:color="auto" w:sz="4" w:space="0"/>
            </w:tcBorders>
            <w:vAlign w:val="center"/>
          </w:tcPr>
          <w:p>
            <w:pPr>
              <w:widowControl/>
              <w:jc w:val="left"/>
              <w:rPr>
                <w:kern w:val="2"/>
              </w:rPr>
            </w:pPr>
            <w:r>
              <w:rPr>
                <w:rFonts w:hint="eastAsia"/>
                <w:kern w:val="2"/>
              </w:rPr>
              <w:t>加强污水厂事故排放 管控。对化肥、农药、 除草剂及包装物等处 理、处置加强风险防控。</w:t>
            </w:r>
          </w:p>
        </w:tc>
        <w:tc>
          <w:tcPr>
            <w:tcW w:w="3228" w:type="dxa"/>
            <w:tcBorders>
              <w:top w:val="single" w:color="auto" w:sz="4" w:space="0"/>
              <w:left w:val="single" w:color="auto" w:sz="4" w:space="0"/>
              <w:bottom w:val="single" w:color="auto" w:sz="4" w:space="0"/>
              <w:right w:val="single" w:color="auto" w:sz="4" w:space="0"/>
            </w:tcBorders>
            <w:vAlign w:val="center"/>
          </w:tcPr>
          <w:p>
            <w:pPr>
              <w:autoSpaceDE w:val="0"/>
              <w:rPr>
                <w:rFonts w:ascii="Times New Roman" w:hAnsi="Times New Roman"/>
                <w:kern w:val="2"/>
              </w:rPr>
            </w:pPr>
            <w:r>
              <w:rPr>
                <w:rFonts w:hint="eastAsia"/>
                <w:kern w:val="2"/>
              </w:rPr>
              <w:t>本项目不使用化肥、农药、除草剂及包装物等。</w:t>
            </w:r>
          </w:p>
        </w:tc>
        <w:tc>
          <w:tcPr>
            <w:tcW w:w="874" w:type="dxa"/>
            <w:tcBorders>
              <w:top w:val="single" w:color="auto" w:sz="4" w:space="0"/>
              <w:left w:val="single" w:color="auto" w:sz="4" w:space="0"/>
              <w:bottom w:val="single" w:color="auto" w:sz="4" w:space="0"/>
              <w:right w:val="nil"/>
            </w:tcBorders>
            <w:vAlign w:val="center"/>
          </w:tcPr>
          <w:p>
            <w:pPr>
              <w:autoSpaceDE w:val="0"/>
              <w:jc w:val="center"/>
              <w:rPr>
                <w:rFonts w:ascii="Times New Roman" w:hAnsi="Times New Roman"/>
                <w:kern w:val="2"/>
              </w:rPr>
            </w:pPr>
            <w:r>
              <w:rPr>
                <w:rFonts w:hint="eastAsia"/>
                <w:kern w:val="2"/>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62" w:type="dxa"/>
            <w:vMerge w:val="continue"/>
            <w:tcBorders>
              <w:top w:val="single" w:color="auto" w:sz="4" w:space="0"/>
              <w:left w:val="nil"/>
              <w:bottom w:val="single" w:color="auto" w:sz="4" w:space="0"/>
              <w:right w:val="single" w:color="auto" w:sz="4" w:space="0"/>
            </w:tcBorders>
            <w:vAlign w:val="center"/>
          </w:tcPr>
          <w:p>
            <w:pPr>
              <w:widowControl/>
              <w:jc w:val="left"/>
              <w:rPr>
                <w:rFonts w:ascii="Times New Roman" w:hAnsi="Times New Roman"/>
                <w:kern w:val="2"/>
              </w:rPr>
            </w:pPr>
          </w:p>
        </w:tc>
        <w:tc>
          <w:tcPr>
            <w:tcW w:w="901" w:type="dxa"/>
            <w:tcBorders>
              <w:top w:val="single" w:color="auto" w:sz="4" w:space="0"/>
              <w:left w:val="single" w:color="auto" w:sz="4" w:space="0"/>
              <w:bottom w:val="single" w:color="auto" w:sz="12" w:space="0"/>
              <w:right w:val="single" w:color="auto" w:sz="4" w:space="0"/>
            </w:tcBorders>
            <w:vAlign w:val="center"/>
          </w:tcPr>
          <w:p>
            <w:pPr>
              <w:spacing w:line="280" w:lineRule="exact"/>
              <w:jc w:val="center"/>
              <w:rPr>
                <w:rFonts w:ascii="Times New Roman" w:hAnsi="Times New Roman"/>
                <w:kern w:val="2"/>
              </w:rPr>
            </w:pPr>
            <w:r>
              <w:rPr>
                <w:rFonts w:hint="eastAsia"/>
                <w:kern w:val="2"/>
              </w:rPr>
              <w:t>资源利用开发效率</w:t>
            </w:r>
          </w:p>
        </w:tc>
        <w:tc>
          <w:tcPr>
            <w:tcW w:w="1644" w:type="dxa"/>
            <w:tcBorders>
              <w:top w:val="single" w:color="auto" w:sz="4" w:space="0"/>
              <w:left w:val="single" w:color="auto" w:sz="4" w:space="0"/>
              <w:bottom w:val="single" w:color="auto" w:sz="12" w:space="0"/>
              <w:right w:val="single" w:color="auto" w:sz="4" w:space="0"/>
            </w:tcBorders>
            <w:vAlign w:val="center"/>
          </w:tcPr>
          <w:p>
            <w:pPr>
              <w:widowControl/>
              <w:jc w:val="left"/>
              <w:rPr>
                <w:kern w:val="2"/>
              </w:rPr>
            </w:pPr>
            <w:r>
              <w:rPr>
                <w:rFonts w:hint="eastAsia"/>
                <w:kern w:val="2"/>
              </w:rPr>
              <w:t>建议实施清洁生产、中水回用、循环利用。提高化肥、农药、除草剂 及农业生产废弃物、畜 禽粪便等资源综合利用水平。</w:t>
            </w:r>
          </w:p>
        </w:tc>
        <w:tc>
          <w:tcPr>
            <w:tcW w:w="3228" w:type="dxa"/>
            <w:tcBorders>
              <w:top w:val="single" w:color="auto" w:sz="4" w:space="0"/>
              <w:left w:val="single" w:color="auto" w:sz="4" w:space="0"/>
              <w:bottom w:val="single" w:color="auto" w:sz="12" w:space="0"/>
              <w:right w:val="single" w:color="auto" w:sz="4" w:space="0"/>
            </w:tcBorders>
            <w:vAlign w:val="center"/>
          </w:tcPr>
          <w:p>
            <w:pPr>
              <w:autoSpaceDE w:val="0"/>
              <w:rPr>
                <w:rFonts w:ascii="Times New Roman" w:hAnsi="Times New Roman"/>
                <w:kern w:val="2"/>
              </w:rPr>
            </w:pPr>
            <w:r>
              <w:rPr>
                <w:rFonts w:hint="eastAsia"/>
                <w:kern w:val="2"/>
              </w:rPr>
              <w:t>冷却水循环使用。</w:t>
            </w:r>
          </w:p>
        </w:tc>
        <w:tc>
          <w:tcPr>
            <w:tcW w:w="874" w:type="dxa"/>
            <w:tcBorders>
              <w:top w:val="single" w:color="auto" w:sz="4" w:space="0"/>
              <w:left w:val="single" w:color="auto" w:sz="4" w:space="0"/>
              <w:bottom w:val="single" w:color="auto" w:sz="12" w:space="0"/>
              <w:right w:val="nil"/>
            </w:tcBorders>
            <w:vAlign w:val="center"/>
          </w:tcPr>
          <w:p>
            <w:pPr>
              <w:autoSpaceDE w:val="0"/>
              <w:jc w:val="center"/>
              <w:rPr>
                <w:rFonts w:ascii="Times New Roman" w:hAnsi="Times New Roman"/>
                <w:kern w:val="2"/>
              </w:rPr>
            </w:pPr>
            <w:r>
              <w:rPr>
                <w:rFonts w:hint="eastAsia"/>
                <w:kern w:val="2"/>
              </w:rPr>
              <w:t>符合</w:t>
            </w:r>
          </w:p>
        </w:tc>
      </w:tr>
    </w:tbl>
    <w:p>
      <w:pPr>
        <w:autoSpaceDE w:val="0"/>
        <w:autoSpaceDN w:val="0"/>
        <w:adjustRightInd w:val="0"/>
        <w:spacing w:line="360" w:lineRule="auto"/>
        <w:ind w:firstLine="480" w:firstLineChars="200"/>
        <w:rPr>
          <w:rFonts w:ascii="Times New Roman" w:hAnsi="Times New Roman"/>
          <w:kern w:val="2"/>
          <w:sz w:val="24"/>
          <w:szCs w:val="24"/>
        </w:rPr>
      </w:pPr>
      <w:r>
        <w:rPr>
          <w:rFonts w:ascii="Times New Roman" w:hAnsi="Times New Roman"/>
          <w:kern w:val="2"/>
          <w:sz w:val="24"/>
          <w:szCs w:val="24"/>
        </w:rPr>
        <w:t>2</w:t>
      </w:r>
      <w:r>
        <w:rPr>
          <w:rFonts w:hint="eastAsia"/>
          <w:kern w:val="2"/>
          <w:sz w:val="24"/>
          <w:szCs w:val="24"/>
        </w:rPr>
        <w:t>）土壤环境</w:t>
      </w:r>
    </w:p>
    <w:p>
      <w:pPr>
        <w:autoSpaceDE w:val="0"/>
        <w:autoSpaceDN w:val="0"/>
        <w:adjustRightInd w:val="0"/>
        <w:spacing w:line="360" w:lineRule="auto"/>
        <w:ind w:firstLine="480" w:firstLineChars="200"/>
        <w:rPr>
          <w:rFonts w:ascii="Times New Roman" w:hAnsi="Times New Roman"/>
          <w:kern w:val="2"/>
          <w:sz w:val="24"/>
          <w:szCs w:val="24"/>
        </w:rPr>
      </w:pPr>
      <w:r>
        <w:rPr>
          <w:kern w:val="2"/>
          <w:sz w:val="24"/>
          <w:szCs w:val="24"/>
        </w:rPr>
        <w:t>根据《黑龙江省区域空间生态环境评价报告（双鸭山市部分）》</w:t>
      </w:r>
      <w:r>
        <w:rPr>
          <w:rFonts w:hint="eastAsia"/>
          <w:kern w:val="2"/>
          <w:sz w:val="24"/>
          <w:szCs w:val="24"/>
        </w:rPr>
        <w:t>，</w:t>
      </w:r>
      <w:r>
        <w:rPr>
          <w:kern w:val="2"/>
          <w:sz w:val="24"/>
          <w:szCs w:val="24"/>
        </w:rPr>
        <w:t>本项目位于</w:t>
      </w:r>
      <w:r>
        <w:rPr>
          <w:rFonts w:hint="eastAsia"/>
          <w:kern w:val="2"/>
          <w:sz w:val="24"/>
          <w:szCs w:val="24"/>
        </w:rPr>
        <w:t>土壤环境一般管控区</w:t>
      </w:r>
      <w:r>
        <w:rPr>
          <w:kern w:val="2"/>
          <w:sz w:val="24"/>
          <w:szCs w:val="24"/>
        </w:rPr>
        <w:t>，本项目符合性分析见下表，</w:t>
      </w:r>
      <w:r>
        <w:rPr>
          <w:rFonts w:hint="eastAsia"/>
          <w:kern w:val="2"/>
          <w:sz w:val="24"/>
          <w:szCs w:val="24"/>
        </w:rPr>
        <w:t>双鸭山市土壤污染风险重点管控分区</w:t>
      </w:r>
      <w:r>
        <w:rPr>
          <w:kern w:val="2"/>
          <w:sz w:val="24"/>
          <w:szCs w:val="24"/>
        </w:rPr>
        <w:t>见附图</w:t>
      </w:r>
      <w:r>
        <w:rPr>
          <w:rFonts w:ascii="Times New Roman" w:hAnsi="Times New Roman"/>
          <w:kern w:val="2"/>
          <w:sz w:val="24"/>
          <w:szCs w:val="24"/>
        </w:rPr>
        <w:t>8</w:t>
      </w:r>
      <w:r>
        <w:rPr>
          <w:kern w:val="2"/>
          <w:sz w:val="24"/>
          <w:szCs w:val="24"/>
        </w:rPr>
        <w:t>。</w:t>
      </w:r>
    </w:p>
    <w:p>
      <w:pPr>
        <w:overflowPunct w:val="0"/>
        <w:autoSpaceDE w:val="0"/>
        <w:spacing w:line="360" w:lineRule="auto"/>
        <w:jc w:val="center"/>
        <w:rPr>
          <w:rFonts w:ascii="Times New Roman" w:hAnsi="Times New Roman" w:eastAsia="黑体"/>
          <w:bCs/>
          <w:sz w:val="24"/>
          <w:szCs w:val="24"/>
        </w:rPr>
      </w:pPr>
      <w:r>
        <w:rPr>
          <w:rFonts w:ascii="黑体" w:hAnsi="黑体" w:eastAsia="黑体"/>
          <w:bCs/>
          <w:sz w:val="24"/>
          <w:szCs w:val="24"/>
        </w:rPr>
        <w:t>表</w:t>
      </w:r>
      <w:r>
        <w:rPr>
          <w:rFonts w:hint="eastAsia" w:ascii="Times New Roman" w:hAnsi="Times New Roman" w:eastAsia="黑体"/>
          <w:bCs/>
          <w:sz w:val="24"/>
          <w:szCs w:val="24"/>
        </w:rPr>
        <w:t>1</w:t>
      </w:r>
      <w:r>
        <w:rPr>
          <w:rFonts w:ascii="Times New Roman" w:hAnsi="Times New Roman" w:eastAsia="黑体"/>
          <w:bCs/>
          <w:sz w:val="24"/>
          <w:szCs w:val="24"/>
        </w:rPr>
        <w:t xml:space="preserve">.4-7  </w:t>
      </w:r>
      <w:r>
        <w:rPr>
          <w:rFonts w:ascii="黑体" w:hAnsi="黑体" w:eastAsia="黑体"/>
          <w:bCs/>
          <w:sz w:val="24"/>
          <w:szCs w:val="24"/>
        </w:rPr>
        <w:t>土壤环境分区管控要求符合性分析</w:t>
      </w:r>
    </w:p>
    <w:tbl>
      <w:tblPr>
        <w:tblStyle w:val="7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39"/>
        <w:gridCol w:w="1019"/>
        <w:gridCol w:w="3248"/>
        <w:gridCol w:w="2720"/>
        <w:gridCol w:w="89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6" w:hRule="atLeast"/>
          <w:jc w:val="center"/>
        </w:trPr>
        <w:tc>
          <w:tcPr>
            <w:tcW w:w="571" w:type="dxa"/>
            <w:tcBorders>
              <w:top w:val="single" w:color="auto" w:sz="12" w:space="0"/>
              <w:left w:val="nil"/>
              <w:bottom w:val="single" w:color="auto" w:sz="4" w:space="0"/>
              <w:right w:val="single" w:color="auto" w:sz="4" w:space="0"/>
            </w:tcBorders>
            <w:vAlign w:val="center"/>
          </w:tcPr>
          <w:p>
            <w:pPr>
              <w:widowControl/>
              <w:autoSpaceDE w:val="0"/>
              <w:adjustRightInd w:val="0"/>
              <w:jc w:val="center"/>
              <w:rPr>
                <w:rFonts w:ascii="Times New Roman" w:hAnsi="Times New Roman" w:eastAsia="黑体"/>
                <w:kern w:val="2"/>
              </w:rPr>
            </w:pPr>
            <w:r>
              <w:rPr>
                <w:rFonts w:ascii="黑体" w:hAnsi="黑体" w:eastAsia="黑体"/>
                <w:kern w:val="2"/>
              </w:rPr>
              <w:t>分区管控</w:t>
            </w:r>
          </w:p>
        </w:tc>
        <w:tc>
          <w:tcPr>
            <w:tcW w:w="909" w:type="dxa"/>
            <w:tcBorders>
              <w:top w:val="single" w:color="auto" w:sz="12" w:space="0"/>
              <w:left w:val="single" w:color="auto" w:sz="4" w:space="0"/>
              <w:bottom w:val="single" w:color="auto" w:sz="4" w:space="0"/>
              <w:right w:val="single" w:color="auto" w:sz="4" w:space="0"/>
            </w:tcBorders>
            <w:vAlign w:val="center"/>
          </w:tcPr>
          <w:p>
            <w:pPr>
              <w:autoSpaceDE w:val="0"/>
              <w:adjustRightInd w:val="0"/>
              <w:jc w:val="center"/>
              <w:rPr>
                <w:rFonts w:ascii="Times New Roman" w:hAnsi="Times New Roman"/>
                <w:bCs/>
                <w:kern w:val="2"/>
              </w:rPr>
            </w:pPr>
            <w:r>
              <w:rPr>
                <w:rFonts w:hint="eastAsia" w:ascii="黑体" w:hAnsi="黑体" w:eastAsia="黑体"/>
                <w:bCs/>
                <w:kern w:val="2"/>
              </w:rPr>
              <w:t>管控类型</w:t>
            </w:r>
          </w:p>
        </w:tc>
        <w:tc>
          <w:tcPr>
            <w:tcW w:w="2899" w:type="dxa"/>
            <w:tcBorders>
              <w:top w:val="single" w:color="auto" w:sz="12" w:space="0"/>
              <w:left w:val="single" w:color="auto" w:sz="4" w:space="0"/>
              <w:bottom w:val="single" w:color="auto" w:sz="4" w:space="0"/>
              <w:right w:val="single" w:color="auto" w:sz="4" w:space="0"/>
            </w:tcBorders>
            <w:vAlign w:val="center"/>
          </w:tcPr>
          <w:p>
            <w:pPr>
              <w:autoSpaceDE w:val="0"/>
              <w:adjustRightInd w:val="0"/>
              <w:jc w:val="center"/>
              <w:rPr>
                <w:rFonts w:ascii="Times New Roman" w:hAnsi="Times New Roman" w:eastAsia="黑体"/>
                <w:kern w:val="2"/>
              </w:rPr>
            </w:pPr>
            <w:r>
              <w:rPr>
                <w:rFonts w:ascii="黑体" w:hAnsi="黑体" w:eastAsia="黑体"/>
                <w:kern w:val="2"/>
              </w:rPr>
              <w:t>管控</w:t>
            </w:r>
            <w:r>
              <w:rPr>
                <w:rFonts w:hint="eastAsia" w:ascii="黑体" w:hAnsi="黑体" w:eastAsia="黑体"/>
                <w:kern w:val="2"/>
              </w:rPr>
              <w:t>要求</w:t>
            </w:r>
          </w:p>
        </w:tc>
        <w:tc>
          <w:tcPr>
            <w:tcW w:w="2428" w:type="dxa"/>
            <w:tcBorders>
              <w:top w:val="single" w:color="auto" w:sz="12" w:space="0"/>
              <w:left w:val="single" w:color="auto" w:sz="4" w:space="0"/>
              <w:bottom w:val="single" w:color="auto" w:sz="4" w:space="0"/>
              <w:right w:val="single" w:color="auto" w:sz="4" w:space="0"/>
            </w:tcBorders>
            <w:vAlign w:val="center"/>
          </w:tcPr>
          <w:p>
            <w:pPr>
              <w:autoSpaceDE w:val="0"/>
              <w:adjustRightInd w:val="0"/>
              <w:jc w:val="center"/>
              <w:rPr>
                <w:rFonts w:ascii="Times New Roman" w:hAnsi="Times New Roman" w:eastAsia="黑体"/>
                <w:kern w:val="2"/>
              </w:rPr>
            </w:pPr>
            <w:r>
              <w:rPr>
                <w:rFonts w:hint="eastAsia" w:ascii="黑体" w:hAnsi="黑体" w:eastAsia="黑体"/>
                <w:kern w:val="2"/>
              </w:rPr>
              <w:t>拟建项目情况</w:t>
            </w:r>
          </w:p>
        </w:tc>
        <w:tc>
          <w:tcPr>
            <w:tcW w:w="802" w:type="dxa"/>
            <w:tcBorders>
              <w:top w:val="single" w:color="auto" w:sz="12" w:space="0"/>
              <w:left w:val="single" w:color="auto" w:sz="4" w:space="0"/>
              <w:bottom w:val="single" w:color="auto" w:sz="4" w:space="0"/>
              <w:right w:val="nil"/>
            </w:tcBorders>
            <w:vAlign w:val="center"/>
          </w:tcPr>
          <w:p>
            <w:pPr>
              <w:autoSpaceDE w:val="0"/>
              <w:adjustRightInd w:val="0"/>
              <w:jc w:val="center"/>
              <w:rPr>
                <w:rFonts w:ascii="Times New Roman" w:hAnsi="Times New Roman" w:eastAsia="黑体"/>
                <w:kern w:val="2"/>
              </w:rPr>
            </w:pPr>
            <w:r>
              <w:rPr>
                <w:rFonts w:ascii="黑体" w:hAnsi="黑体" w:eastAsia="黑体"/>
                <w:kern w:val="2"/>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71" w:type="dxa"/>
            <w:vMerge w:val="restart"/>
            <w:tcBorders>
              <w:top w:val="single" w:color="auto" w:sz="4" w:space="0"/>
              <w:left w:val="nil"/>
              <w:bottom w:val="single" w:color="auto" w:sz="4" w:space="0"/>
              <w:right w:val="single" w:color="auto" w:sz="4" w:space="0"/>
            </w:tcBorders>
            <w:vAlign w:val="center"/>
          </w:tcPr>
          <w:p>
            <w:pPr>
              <w:autoSpaceDE w:val="0"/>
              <w:adjustRightInd w:val="0"/>
              <w:jc w:val="center"/>
              <w:rPr>
                <w:rFonts w:ascii="Times New Roman" w:hAnsi="Times New Roman"/>
                <w:kern w:val="2"/>
              </w:rPr>
            </w:pPr>
            <w:r>
              <w:rPr>
                <w:rFonts w:hint="eastAsia"/>
                <w:kern w:val="2"/>
              </w:rPr>
              <w:t>一般管控区</w:t>
            </w:r>
          </w:p>
        </w:tc>
        <w:tc>
          <w:tcPr>
            <w:tcW w:w="909" w:type="dxa"/>
            <w:tcBorders>
              <w:top w:val="single" w:color="auto" w:sz="4" w:space="0"/>
              <w:left w:val="single" w:color="auto" w:sz="4" w:space="0"/>
              <w:bottom w:val="single" w:color="auto" w:sz="4" w:space="0"/>
              <w:right w:val="single" w:color="auto" w:sz="4" w:space="0"/>
            </w:tcBorders>
            <w:vAlign w:val="center"/>
          </w:tcPr>
          <w:p>
            <w:pPr>
              <w:autoSpaceDE w:val="0"/>
              <w:adjustRightInd w:val="0"/>
              <w:jc w:val="center"/>
              <w:rPr>
                <w:rFonts w:ascii="Times New Roman" w:hAnsi="Times New Roman"/>
                <w:bCs/>
                <w:kern w:val="2"/>
              </w:rPr>
            </w:pPr>
            <w:r>
              <w:rPr>
                <w:bCs/>
                <w:kern w:val="2"/>
              </w:rPr>
              <w:t>空间布局约束</w:t>
            </w:r>
          </w:p>
        </w:tc>
        <w:tc>
          <w:tcPr>
            <w:tcW w:w="2899"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80" w:lineRule="atLeast"/>
              <w:rPr>
                <w:rFonts w:ascii="Times New Roman" w:hAnsi="Times New Roman"/>
                <w:bCs/>
                <w:kern w:val="2"/>
              </w:rPr>
            </w:pPr>
            <w:r>
              <w:rPr>
                <w:rFonts w:ascii="Times New Roman" w:hAnsi="Times New Roman"/>
                <w:bCs/>
                <w:kern w:val="2"/>
              </w:rPr>
              <w:t>1.</w:t>
            </w:r>
            <w:r>
              <w:rPr>
                <w:bCs/>
                <w:kern w:val="2"/>
              </w:rPr>
              <w:t>严格建设项目环境准入。在规划和建设项目环评中，强化土壤环境调查，增加对土壤环境影响评价内容，明确防范土壤污染具体措施，纳入环保</w:t>
            </w:r>
            <w:r>
              <w:rPr>
                <w:rFonts w:ascii="Times New Roman" w:hAnsi="Times New Roman"/>
                <w:bCs/>
                <w:kern w:val="2"/>
              </w:rPr>
              <w:t>“</w:t>
            </w:r>
            <w:r>
              <w:rPr>
                <w:bCs/>
                <w:kern w:val="2"/>
              </w:rPr>
              <w:t>三同时</w:t>
            </w:r>
            <w:r>
              <w:rPr>
                <w:rFonts w:ascii="Times New Roman" w:hAnsi="Times New Roman"/>
                <w:bCs/>
                <w:kern w:val="2"/>
              </w:rPr>
              <w:t>”</w:t>
            </w:r>
            <w:r>
              <w:rPr>
                <w:bCs/>
                <w:kern w:val="2"/>
              </w:rPr>
              <w:t>管理。</w:t>
            </w:r>
          </w:p>
          <w:p>
            <w:pPr>
              <w:adjustRightInd w:val="0"/>
              <w:snapToGrid w:val="0"/>
              <w:spacing w:line="280" w:lineRule="atLeast"/>
              <w:rPr>
                <w:rFonts w:ascii="Times New Roman" w:hAnsi="Times New Roman"/>
                <w:bCs/>
                <w:kern w:val="2"/>
              </w:rPr>
            </w:pPr>
            <w:r>
              <w:rPr>
                <w:rFonts w:ascii="Times New Roman" w:hAnsi="Times New Roman"/>
                <w:bCs/>
                <w:kern w:val="2"/>
              </w:rPr>
              <w:t>2.</w:t>
            </w:r>
            <w:r>
              <w:rPr>
                <w:bCs/>
                <w:kern w:val="2"/>
              </w:rPr>
              <w:t>加强未利用地环境管理。未利用地的开发应符合土地整治规划，经科学论证与评估，依法批准后方可进行。拟开发为农用地的，有关县（市、区）政府要组织开展土壤环境质量状况评估，达不到相关标准的，不得种植食用农产品和饲草。拟开发为建设用地的未利用地，符合土壤环境质量要求的地块，方可进入用地程序。</w:t>
            </w:r>
          </w:p>
          <w:p>
            <w:pPr>
              <w:adjustRightInd w:val="0"/>
              <w:snapToGrid w:val="0"/>
              <w:spacing w:line="280" w:lineRule="atLeast"/>
              <w:rPr>
                <w:rFonts w:ascii="Times New Roman" w:hAnsi="Times New Roman"/>
                <w:kern w:val="2"/>
              </w:rPr>
            </w:pPr>
            <w:r>
              <w:rPr>
                <w:rFonts w:ascii="Times New Roman" w:hAnsi="Times New Roman"/>
                <w:bCs/>
                <w:kern w:val="2"/>
              </w:rPr>
              <w:t>3.</w:t>
            </w:r>
            <w:r>
              <w:rPr>
                <w:bCs/>
                <w:kern w:val="2"/>
              </w:rPr>
              <w:t>结合区域功能定位和土壤污染防治需要，科学布局城乡生活垃圾处理、危险废物处置、废旧资源再生利用等设施和场所，合理确定畜禽养殖布局和规模。</w:t>
            </w:r>
          </w:p>
        </w:tc>
        <w:tc>
          <w:tcPr>
            <w:tcW w:w="2428" w:type="dxa"/>
            <w:tcBorders>
              <w:top w:val="single" w:color="auto" w:sz="4" w:space="0"/>
              <w:left w:val="single" w:color="auto" w:sz="4" w:space="0"/>
              <w:bottom w:val="single" w:color="auto" w:sz="4" w:space="0"/>
              <w:right w:val="single" w:color="auto" w:sz="4" w:space="0"/>
            </w:tcBorders>
            <w:vAlign w:val="center"/>
          </w:tcPr>
          <w:p>
            <w:pPr>
              <w:widowControl/>
              <w:autoSpaceDE w:val="0"/>
              <w:adjustRightInd w:val="0"/>
              <w:rPr>
                <w:rFonts w:ascii="Times New Roman" w:hAnsi="Times New Roman"/>
                <w:kern w:val="2"/>
              </w:rPr>
            </w:pPr>
            <w:r>
              <w:rPr>
                <w:rFonts w:hint="eastAsia"/>
                <w:kern w:val="2"/>
              </w:rPr>
              <w:t>本项目为医疗废物集中处置项目，占地为工业用地，不占用基本农田。本项目产生的废水主要为生活污水和生产废水，生产废水不外排，生活污水通过罐车运至污水处理厂处理后排放。地面全部进行地面硬化，不存在对土壤环境影响途径，不会对区域土壤造成污染。</w:t>
            </w:r>
          </w:p>
          <w:p>
            <w:pPr>
              <w:widowControl/>
              <w:autoSpaceDE w:val="0"/>
              <w:adjustRightInd w:val="0"/>
              <w:jc w:val="center"/>
              <w:rPr>
                <w:rFonts w:ascii="Times New Roman" w:hAnsi="Times New Roman"/>
                <w:kern w:val="2"/>
              </w:rPr>
            </w:pPr>
          </w:p>
        </w:tc>
        <w:tc>
          <w:tcPr>
            <w:tcW w:w="802" w:type="dxa"/>
            <w:tcBorders>
              <w:top w:val="single" w:color="auto" w:sz="4" w:space="0"/>
              <w:left w:val="single" w:color="auto" w:sz="4" w:space="0"/>
              <w:bottom w:val="single" w:color="auto" w:sz="4" w:space="0"/>
              <w:right w:val="nil"/>
            </w:tcBorders>
            <w:vAlign w:val="center"/>
          </w:tcPr>
          <w:p>
            <w:pPr>
              <w:widowControl/>
              <w:autoSpaceDE w:val="0"/>
              <w:adjustRightInd w:val="0"/>
              <w:jc w:val="center"/>
              <w:rPr>
                <w:rFonts w:ascii="Times New Roman" w:hAnsi="Times New Roman"/>
                <w:kern w:val="2"/>
              </w:rPr>
            </w:pPr>
            <w:r>
              <w:rPr>
                <w:rFonts w:hint="eastAsia"/>
                <w:kern w:val="2"/>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71" w:type="dxa"/>
            <w:vMerge w:val="continue"/>
            <w:tcBorders>
              <w:top w:val="single" w:color="auto" w:sz="4" w:space="0"/>
              <w:left w:val="nil"/>
              <w:bottom w:val="single" w:color="auto" w:sz="4" w:space="0"/>
              <w:right w:val="single" w:color="auto" w:sz="4" w:space="0"/>
            </w:tcBorders>
            <w:vAlign w:val="center"/>
          </w:tcPr>
          <w:p>
            <w:pPr>
              <w:widowControl/>
              <w:jc w:val="left"/>
              <w:rPr>
                <w:rFonts w:ascii="Times New Roman" w:hAnsi="Times New Roman"/>
                <w:kern w:val="2"/>
              </w:rPr>
            </w:pPr>
          </w:p>
        </w:tc>
        <w:tc>
          <w:tcPr>
            <w:tcW w:w="909" w:type="dxa"/>
            <w:tcBorders>
              <w:top w:val="single" w:color="auto" w:sz="4" w:space="0"/>
              <w:left w:val="single" w:color="auto" w:sz="4" w:space="0"/>
              <w:bottom w:val="single" w:color="auto" w:sz="12" w:space="0"/>
              <w:right w:val="single" w:color="auto" w:sz="4" w:space="0"/>
            </w:tcBorders>
            <w:vAlign w:val="center"/>
          </w:tcPr>
          <w:p>
            <w:pPr>
              <w:autoSpaceDE w:val="0"/>
              <w:adjustRightInd w:val="0"/>
              <w:jc w:val="center"/>
              <w:rPr>
                <w:rFonts w:ascii="Times New Roman" w:hAnsi="Times New Roman"/>
                <w:bCs/>
                <w:kern w:val="2"/>
              </w:rPr>
            </w:pPr>
            <w:r>
              <w:rPr>
                <w:bCs/>
                <w:kern w:val="2"/>
              </w:rPr>
              <w:t>环境风险防控</w:t>
            </w:r>
          </w:p>
        </w:tc>
        <w:tc>
          <w:tcPr>
            <w:tcW w:w="2899" w:type="dxa"/>
            <w:tcBorders>
              <w:top w:val="single" w:color="auto" w:sz="4" w:space="0"/>
              <w:left w:val="single" w:color="auto" w:sz="4" w:space="0"/>
              <w:bottom w:val="single" w:color="auto" w:sz="12" w:space="0"/>
              <w:right w:val="single" w:color="auto" w:sz="4" w:space="0"/>
            </w:tcBorders>
            <w:vAlign w:val="center"/>
          </w:tcPr>
          <w:p>
            <w:pPr>
              <w:adjustRightInd w:val="0"/>
              <w:snapToGrid w:val="0"/>
              <w:spacing w:line="280" w:lineRule="atLeast"/>
              <w:rPr>
                <w:rFonts w:ascii="Times New Roman" w:hAnsi="Times New Roman"/>
                <w:bCs/>
                <w:kern w:val="2"/>
              </w:rPr>
            </w:pPr>
            <w:r>
              <w:rPr>
                <w:rFonts w:ascii="Times New Roman" w:hAnsi="Times New Roman"/>
                <w:bCs/>
                <w:kern w:val="2"/>
              </w:rPr>
              <w:t>1.</w:t>
            </w:r>
            <w:r>
              <w:rPr>
                <w:bCs/>
                <w:kern w:val="2"/>
              </w:rPr>
              <w:t>各类涉及土地利用的规划和可能造成土壤污染的建设项目，应当依法进行环评。环评文件应当包括对土壤可能造成的不良影响及应当采取的相应预防措施等内容。</w:t>
            </w:r>
          </w:p>
          <w:p>
            <w:pPr>
              <w:adjustRightInd w:val="0"/>
              <w:snapToGrid w:val="0"/>
              <w:spacing w:line="280" w:lineRule="atLeast"/>
              <w:rPr>
                <w:rFonts w:ascii="Times New Roman" w:hAnsi="Times New Roman"/>
                <w:bCs/>
                <w:kern w:val="2"/>
              </w:rPr>
            </w:pPr>
            <w:r>
              <w:rPr>
                <w:rFonts w:ascii="Times New Roman" w:hAnsi="Times New Roman"/>
                <w:bCs/>
                <w:kern w:val="2"/>
              </w:rPr>
              <w:t>2.</w:t>
            </w:r>
            <w:r>
              <w:rPr>
                <w:bCs/>
                <w:kern w:val="2"/>
              </w:rPr>
              <w:t>生产、使用、贮存、运输、回收、处置、排放有毒有害物质的单位和个人，应当采取有效措施，防止有毒有害物质渗漏、流失、扬散，避免土壤受到污染。</w:t>
            </w:r>
          </w:p>
          <w:p>
            <w:pPr>
              <w:adjustRightInd w:val="0"/>
              <w:snapToGrid w:val="0"/>
              <w:spacing w:line="280" w:lineRule="atLeast"/>
              <w:rPr>
                <w:rFonts w:ascii="Times New Roman" w:hAnsi="Times New Roman"/>
                <w:bCs/>
                <w:kern w:val="2"/>
              </w:rPr>
            </w:pPr>
            <w:r>
              <w:rPr>
                <w:rFonts w:ascii="Times New Roman" w:hAnsi="Times New Roman"/>
                <w:bCs/>
                <w:kern w:val="2"/>
              </w:rPr>
              <w:t>3.</w:t>
            </w:r>
            <w:r>
              <w:rPr>
                <w:bCs/>
                <w:kern w:val="2"/>
              </w:rPr>
              <w:t>开展建设用地调查评估。对已搬迁、关闭企业原址场地土壤污染状况进行排查，建立已搬迁、关闭企业原址场地的潜在污染地块清单，并及时更新。</w:t>
            </w:r>
          </w:p>
          <w:p>
            <w:pPr>
              <w:adjustRightInd w:val="0"/>
              <w:snapToGrid w:val="0"/>
              <w:spacing w:line="280" w:lineRule="atLeast"/>
              <w:rPr>
                <w:rFonts w:ascii="Times New Roman" w:hAnsi="Times New Roman"/>
                <w:bCs/>
                <w:kern w:val="2"/>
              </w:rPr>
            </w:pPr>
            <w:r>
              <w:rPr>
                <w:rFonts w:ascii="Times New Roman" w:hAnsi="Times New Roman"/>
                <w:bCs/>
                <w:kern w:val="2"/>
              </w:rPr>
              <w:t>4.</w:t>
            </w:r>
            <w:r>
              <w:rPr>
                <w:bCs/>
                <w:kern w:val="2"/>
              </w:rPr>
              <w:t>健全垃圾处理处置体系。</w:t>
            </w:r>
          </w:p>
          <w:p>
            <w:pPr>
              <w:adjustRightInd w:val="0"/>
              <w:snapToGrid w:val="0"/>
              <w:spacing w:line="280" w:lineRule="atLeast"/>
              <w:rPr>
                <w:rFonts w:ascii="Times New Roman" w:hAnsi="Times New Roman"/>
                <w:kern w:val="2"/>
              </w:rPr>
            </w:pPr>
            <w:r>
              <w:rPr>
                <w:rFonts w:ascii="Times New Roman" w:hAnsi="Times New Roman"/>
                <w:bCs/>
                <w:kern w:val="2"/>
              </w:rPr>
              <w:t>5.</w:t>
            </w:r>
            <w:r>
              <w:rPr>
                <w:bCs/>
                <w:kern w:val="2"/>
              </w:rPr>
              <w:t>加强对尾矿坝安全监控及对其周边地下水水质监测。</w:t>
            </w:r>
          </w:p>
        </w:tc>
        <w:tc>
          <w:tcPr>
            <w:tcW w:w="2428" w:type="dxa"/>
            <w:tcBorders>
              <w:top w:val="single" w:color="auto" w:sz="4" w:space="0"/>
              <w:left w:val="single" w:color="auto" w:sz="4" w:space="0"/>
              <w:bottom w:val="single" w:color="auto" w:sz="12" w:space="0"/>
              <w:right w:val="single" w:color="auto" w:sz="4" w:space="0"/>
            </w:tcBorders>
            <w:vAlign w:val="center"/>
          </w:tcPr>
          <w:p>
            <w:pPr>
              <w:widowControl/>
              <w:autoSpaceDE w:val="0"/>
              <w:adjustRightInd w:val="0"/>
              <w:rPr>
                <w:rFonts w:ascii="Times New Roman" w:hAnsi="Times New Roman"/>
                <w:kern w:val="2"/>
              </w:rPr>
            </w:pPr>
            <w:r>
              <w:rPr>
                <w:rFonts w:hint="eastAsia"/>
                <w:kern w:val="2"/>
              </w:rPr>
              <w:t>项目分为重点污染防治区和一般污染防治区，重点污染防治区包括危废暂存间地面、事故池等。危废暂存间按照《危险废物贮存污染控制标准》（</w:t>
            </w:r>
            <w:r>
              <w:rPr>
                <w:rFonts w:hint="eastAsia" w:ascii="Times New Roman" w:hAnsi="Times New Roman"/>
                <w:kern w:val="2"/>
              </w:rPr>
              <w:t>GB18597-2001</w:t>
            </w:r>
            <w:r>
              <w:rPr>
                <w:rFonts w:hint="eastAsia"/>
                <w:kern w:val="2"/>
              </w:rPr>
              <w:t>）要求执行，废水输送全部采用管道输送，管道材料应视输送介质的不同选择合适材质并作表面防腐、防锈蚀处理，减轻管道腐蚀造成的渗漏，并定期检查，确保消除跑、冒、漏、滴现象发生。一般污染防治区包括办公区、生产车间地面等。地面采取粘土铺底，再在上层铺</w:t>
            </w:r>
            <w:r>
              <w:rPr>
                <w:rFonts w:hint="eastAsia" w:ascii="Times New Roman" w:hAnsi="Times New Roman"/>
                <w:kern w:val="2"/>
              </w:rPr>
              <w:t>10~15cm</w:t>
            </w:r>
            <w:r>
              <w:rPr>
                <w:rFonts w:hint="eastAsia"/>
                <w:kern w:val="2"/>
              </w:rPr>
              <w:t>的水泥进行硬化，采取该措施可使一般污染防治区各单元防渗层渗透系数≤</w:t>
            </w:r>
            <w:r>
              <w:rPr>
                <w:rFonts w:hint="eastAsia" w:ascii="Times New Roman" w:hAnsi="Times New Roman"/>
                <w:kern w:val="2"/>
              </w:rPr>
              <w:t>10</w:t>
            </w:r>
            <w:r>
              <w:rPr>
                <w:rFonts w:hint="eastAsia" w:ascii="Times New Roman" w:hAnsi="Times New Roman"/>
                <w:kern w:val="2"/>
                <w:vertAlign w:val="superscript"/>
              </w:rPr>
              <w:t>-7</w:t>
            </w:r>
            <w:r>
              <w:rPr>
                <w:rFonts w:hint="eastAsia" w:ascii="Times New Roman" w:hAnsi="Times New Roman"/>
                <w:kern w:val="2"/>
              </w:rPr>
              <w:t>cm/s</w:t>
            </w:r>
            <w:r>
              <w:rPr>
                <w:rFonts w:hint="eastAsia"/>
                <w:kern w:val="2"/>
              </w:rPr>
              <w:t>。项目不存在对土壤污染的途径，项目对周围土壤环境影响可被接受。</w:t>
            </w:r>
          </w:p>
        </w:tc>
        <w:tc>
          <w:tcPr>
            <w:tcW w:w="802" w:type="dxa"/>
            <w:tcBorders>
              <w:top w:val="single" w:color="auto" w:sz="4" w:space="0"/>
              <w:left w:val="single" w:color="auto" w:sz="4" w:space="0"/>
              <w:bottom w:val="single" w:color="auto" w:sz="12" w:space="0"/>
              <w:right w:val="nil"/>
            </w:tcBorders>
            <w:vAlign w:val="center"/>
          </w:tcPr>
          <w:p>
            <w:pPr>
              <w:widowControl/>
              <w:autoSpaceDE w:val="0"/>
              <w:adjustRightInd w:val="0"/>
              <w:jc w:val="center"/>
              <w:rPr>
                <w:rFonts w:ascii="Times New Roman" w:hAnsi="Times New Roman"/>
                <w:kern w:val="2"/>
              </w:rPr>
            </w:pPr>
            <w:r>
              <w:rPr>
                <w:rFonts w:hint="eastAsia"/>
                <w:kern w:val="2"/>
              </w:rPr>
              <w:t>符合</w:t>
            </w:r>
          </w:p>
        </w:tc>
      </w:tr>
    </w:tbl>
    <w:p>
      <w:pPr>
        <w:numPr>
          <w:ilvl w:val="0"/>
          <w:numId w:val="4"/>
        </w:numPr>
        <w:autoSpaceDE w:val="0"/>
        <w:spacing w:line="360" w:lineRule="auto"/>
        <w:ind w:firstLine="480" w:firstLineChars="200"/>
        <w:rPr>
          <w:rFonts w:ascii="Times New Roman" w:hAnsi="Times New Roman"/>
          <w:kern w:val="2"/>
          <w:sz w:val="24"/>
          <w:szCs w:val="24"/>
        </w:rPr>
      </w:pPr>
      <w:r>
        <w:rPr>
          <w:kern w:val="2"/>
          <w:sz w:val="24"/>
          <w:szCs w:val="24"/>
        </w:rPr>
        <w:t>资源利用上线符合性分析</w:t>
      </w:r>
    </w:p>
    <w:p>
      <w:pPr>
        <w:autoSpaceDE w:val="0"/>
        <w:spacing w:line="360" w:lineRule="auto"/>
        <w:ind w:firstLine="480" w:firstLineChars="200"/>
        <w:rPr>
          <w:rFonts w:ascii="Times New Roman" w:hAnsi="Times New Roman"/>
          <w:kern w:val="2"/>
          <w:sz w:val="24"/>
          <w:szCs w:val="24"/>
        </w:rPr>
      </w:pPr>
      <w:r>
        <w:rPr>
          <w:kern w:val="2"/>
          <w:sz w:val="24"/>
          <w:szCs w:val="24"/>
        </w:rPr>
        <w:t>项目位于双鸭山市四方台区，</w:t>
      </w:r>
      <w:r>
        <w:rPr>
          <w:rFonts w:hint="eastAsia"/>
          <w:kern w:val="2"/>
          <w:sz w:val="24"/>
          <w:szCs w:val="24"/>
        </w:rPr>
        <w:t>水资源为</w:t>
      </w:r>
      <w:r>
        <w:rPr>
          <w:kern w:val="2"/>
          <w:sz w:val="24"/>
          <w:szCs w:val="24"/>
        </w:rPr>
        <w:t>一般管控区</w:t>
      </w:r>
      <w:r>
        <w:rPr>
          <w:rFonts w:hint="eastAsia"/>
          <w:kern w:val="2"/>
          <w:sz w:val="24"/>
          <w:szCs w:val="24"/>
        </w:rPr>
        <w:t>，土地资源为一般管控区，详见下表。</w:t>
      </w:r>
    </w:p>
    <w:p>
      <w:pPr>
        <w:autoSpaceDE w:val="0"/>
        <w:autoSpaceDN w:val="0"/>
        <w:adjustRightInd w:val="0"/>
        <w:spacing w:line="360" w:lineRule="auto"/>
        <w:jc w:val="center"/>
        <w:rPr>
          <w:rFonts w:ascii="Times New Roman" w:hAnsi="Times New Roman" w:eastAsia="黑体"/>
          <w:kern w:val="2"/>
          <w:sz w:val="24"/>
          <w:szCs w:val="24"/>
        </w:rPr>
      </w:pPr>
      <w:r>
        <w:rPr>
          <w:rFonts w:ascii="黑体" w:hAnsi="黑体" w:eastAsia="黑体"/>
          <w:kern w:val="2"/>
          <w:sz w:val="24"/>
          <w:szCs w:val="24"/>
        </w:rPr>
        <w:t>表</w:t>
      </w:r>
      <w:r>
        <w:rPr>
          <w:rFonts w:hint="eastAsia" w:ascii="Times New Roman" w:hAnsi="Times New Roman" w:eastAsia="黑体"/>
          <w:kern w:val="2"/>
          <w:sz w:val="24"/>
          <w:szCs w:val="24"/>
        </w:rPr>
        <w:t>1</w:t>
      </w:r>
      <w:r>
        <w:rPr>
          <w:rFonts w:ascii="Times New Roman" w:hAnsi="Times New Roman" w:eastAsia="黑体"/>
          <w:kern w:val="2"/>
          <w:sz w:val="24"/>
          <w:szCs w:val="24"/>
        </w:rPr>
        <w:t>.4-8</w:t>
      </w:r>
      <w:r>
        <w:rPr>
          <w:rFonts w:hint="eastAsia" w:ascii="Times New Roman" w:hAnsi="Times New Roman" w:eastAsia="黑体"/>
          <w:kern w:val="2"/>
          <w:sz w:val="24"/>
          <w:szCs w:val="24"/>
        </w:rPr>
        <w:t xml:space="preserve"> </w:t>
      </w:r>
      <w:r>
        <w:rPr>
          <w:rFonts w:ascii="Times New Roman" w:hAnsi="Times New Roman" w:eastAsia="黑体"/>
          <w:kern w:val="2"/>
          <w:sz w:val="24"/>
          <w:szCs w:val="24"/>
        </w:rPr>
        <w:t xml:space="preserve"> </w:t>
      </w:r>
      <w:r>
        <w:rPr>
          <w:rFonts w:hint="eastAsia" w:ascii="黑体" w:hAnsi="黑体" w:eastAsia="黑体"/>
          <w:kern w:val="2"/>
          <w:sz w:val="24"/>
          <w:szCs w:val="24"/>
        </w:rPr>
        <w:t>双鸭山市</w:t>
      </w:r>
      <w:r>
        <w:rPr>
          <w:rFonts w:ascii="黑体" w:hAnsi="黑体" w:eastAsia="黑体"/>
          <w:kern w:val="2"/>
          <w:sz w:val="24"/>
          <w:szCs w:val="24"/>
        </w:rPr>
        <w:t>资源分区管控要求符合性分析</w:t>
      </w:r>
    </w:p>
    <w:tbl>
      <w:tblPr>
        <w:tblStyle w:val="77"/>
        <w:tblW w:w="4998" w:type="pct"/>
        <w:tblInd w:w="108"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9"/>
        <w:gridCol w:w="5162"/>
        <w:gridCol w:w="1554"/>
        <w:gridCol w:w="110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5" w:hRule="atLeast"/>
        </w:trPr>
        <w:tc>
          <w:tcPr>
            <w:tcW w:w="633" w:type="dxa"/>
            <w:tcBorders>
              <w:top w:val="single" w:color="auto" w:sz="12" w:space="0"/>
              <w:left w:val="nil"/>
              <w:bottom w:val="single" w:color="auto" w:sz="4" w:space="0"/>
              <w:right w:val="single" w:color="auto" w:sz="4" w:space="0"/>
            </w:tcBorders>
            <w:vAlign w:val="center"/>
          </w:tcPr>
          <w:p>
            <w:pPr>
              <w:adjustRightInd w:val="0"/>
              <w:snapToGrid w:val="0"/>
              <w:jc w:val="center"/>
              <w:rPr>
                <w:rFonts w:ascii="Times New Roman" w:hAnsi="Times New Roman" w:eastAsia="黑体"/>
              </w:rPr>
            </w:pPr>
            <w:r>
              <w:rPr>
                <w:rFonts w:ascii="黑体" w:hAnsi="黑体" w:eastAsia="黑体"/>
              </w:rPr>
              <w:t>类型</w:t>
            </w:r>
          </w:p>
        </w:tc>
        <w:tc>
          <w:tcPr>
            <w:tcW w:w="4607" w:type="dxa"/>
            <w:tcBorders>
              <w:top w:val="single" w:color="auto" w:sz="12"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eastAsia="黑体"/>
              </w:rPr>
            </w:pPr>
            <w:r>
              <w:rPr>
                <w:rFonts w:ascii="黑体" w:hAnsi="黑体" w:eastAsia="黑体"/>
              </w:rPr>
              <w:t>管控要求</w:t>
            </w:r>
          </w:p>
        </w:tc>
        <w:tc>
          <w:tcPr>
            <w:tcW w:w="1387" w:type="dxa"/>
            <w:tcBorders>
              <w:top w:val="single" w:color="auto" w:sz="12"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eastAsia="黑体"/>
              </w:rPr>
            </w:pPr>
            <w:r>
              <w:rPr>
                <w:rFonts w:hint="eastAsia" w:ascii="黑体" w:hAnsi="黑体" w:eastAsia="黑体"/>
              </w:rPr>
              <w:t>本项目</w:t>
            </w:r>
          </w:p>
        </w:tc>
        <w:tc>
          <w:tcPr>
            <w:tcW w:w="982" w:type="dxa"/>
            <w:tcBorders>
              <w:top w:val="single" w:color="auto" w:sz="12" w:space="0"/>
              <w:left w:val="single" w:color="auto" w:sz="4" w:space="0"/>
              <w:bottom w:val="single" w:color="auto" w:sz="4" w:space="0"/>
              <w:right w:val="nil"/>
            </w:tcBorders>
            <w:vAlign w:val="center"/>
          </w:tcPr>
          <w:p>
            <w:pPr>
              <w:adjustRightInd w:val="0"/>
              <w:snapToGrid w:val="0"/>
              <w:jc w:val="center"/>
              <w:rPr>
                <w:rFonts w:ascii="Times New Roman" w:hAnsi="Times New Roman" w:eastAsia="黑体"/>
              </w:rPr>
            </w:pPr>
            <w:r>
              <w:rPr>
                <w:rFonts w:ascii="黑体" w:hAnsi="黑体" w:eastAsia="黑体"/>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5" w:hRule="atLeast"/>
        </w:trPr>
        <w:tc>
          <w:tcPr>
            <w:tcW w:w="633" w:type="dxa"/>
            <w:tcBorders>
              <w:top w:val="single" w:color="auto" w:sz="4" w:space="0"/>
              <w:left w:val="nil"/>
              <w:bottom w:val="single" w:color="auto" w:sz="4" w:space="0"/>
              <w:right w:val="single" w:color="auto" w:sz="4" w:space="0"/>
            </w:tcBorders>
            <w:vAlign w:val="center"/>
          </w:tcPr>
          <w:p>
            <w:pPr>
              <w:adjustRightInd w:val="0"/>
              <w:snapToGrid w:val="0"/>
              <w:jc w:val="center"/>
              <w:rPr>
                <w:rFonts w:ascii="Times New Roman" w:hAnsi="Times New Roman"/>
              </w:rPr>
            </w:pPr>
            <w:r>
              <w:rPr>
                <w:kern w:val="2"/>
              </w:rPr>
              <w:t>水资源（</w:t>
            </w:r>
            <w:r>
              <w:rPr>
                <w:rFonts w:hint="eastAsia"/>
                <w:kern w:val="2"/>
              </w:rPr>
              <w:t>一般管控区</w:t>
            </w:r>
            <w:r>
              <w:rPr>
                <w:kern w:val="2"/>
              </w:rPr>
              <w:t>）</w:t>
            </w:r>
          </w:p>
        </w:tc>
        <w:tc>
          <w:tcPr>
            <w:tcW w:w="4607"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Times New Roman" w:hAnsi="Times New Roman"/>
                <w:kern w:val="2"/>
              </w:rPr>
            </w:pPr>
            <w:r>
              <w:rPr>
                <w:kern w:val="2"/>
              </w:rPr>
              <w:t>（</w:t>
            </w:r>
            <w:r>
              <w:rPr>
                <w:rFonts w:ascii="Times New Roman" w:hAnsi="Times New Roman"/>
                <w:kern w:val="2"/>
              </w:rPr>
              <w:t>1</w:t>
            </w:r>
            <w:r>
              <w:rPr>
                <w:kern w:val="2"/>
              </w:rPr>
              <w:t>）严格控制水资源消耗总量和强度，加快完成江河流域水量分配、生态流量保障实施方案工作，推进水权确权。</w:t>
            </w:r>
          </w:p>
          <w:p>
            <w:pPr>
              <w:adjustRightInd w:val="0"/>
              <w:snapToGrid w:val="0"/>
              <w:rPr>
                <w:rFonts w:ascii="Times New Roman" w:hAnsi="Times New Roman"/>
                <w:kern w:val="2"/>
              </w:rPr>
            </w:pPr>
            <w:r>
              <w:rPr>
                <w:kern w:val="2"/>
              </w:rPr>
              <w:t>（</w:t>
            </w:r>
            <w:r>
              <w:rPr>
                <w:rFonts w:ascii="Times New Roman" w:hAnsi="Times New Roman"/>
                <w:kern w:val="2"/>
              </w:rPr>
              <w:t>2</w:t>
            </w:r>
            <w:r>
              <w:rPr>
                <w:kern w:val="2"/>
              </w:rPr>
              <w:t>）积极推进节水型社会达标建设，限制高耗水工业项目建设和高耗水服务业发展，遏制农业粗放用水，强化用水定额管理，加大农业节水力度，加大工业节水技术改造。</w:t>
            </w:r>
          </w:p>
          <w:p>
            <w:pPr>
              <w:adjustRightInd w:val="0"/>
              <w:snapToGrid w:val="0"/>
              <w:rPr>
                <w:rFonts w:ascii="Times New Roman" w:hAnsi="Times New Roman"/>
                <w:kern w:val="2"/>
              </w:rPr>
            </w:pPr>
            <w:r>
              <w:rPr>
                <w:kern w:val="2"/>
              </w:rPr>
              <w:t>（</w:t>
            </w:r>
            <w:r>
              <w:rPr>
                <w:rFonts w:ascii="Times New Roman" w:hAnsi="Times New Roman"/>
                <w:kern w:val="2"/>
              </w:rPr>
              <w:t>3</w:t>
            </w:r>
            <w:r>
              <w:rPr>
                <w:kern w:val="2"/>
              </w:rPr>
              <w:t>）各级水行政主管部门要按照确定的地下水水位控制指标，加强水位动态监控。</w:t>
            </w:r>
          </w:p>
          <w:p>
            <w:pPr>
              <w:adjustRightInd w:val="0"/>
              <w:snapToGrid w:val="0"/>
              <w:rPr>
                <w:rFonts w:ascii="Times New Roman" w:hAnsi="Times New Roman"/>
                <w:kern w:val="2"/>
              </w:rPr>
            </w:pPr>
            <w:r>
              <w:rPr>
                <w:kern w:val="2"/>
              </w:rPr>
              <w:t>（</w:t>
            </w:r>
            <w:r>
              <w:rPr>
                <w:rFonts w:ascii="Times New Roman" w:hAnsi="Times New Roman"/>
                <w:kern w:val="2"/>
              </w:rPr>
              <w:t>4</w:t>
            </w:r>
            <w:r>
              <w:rPr>
                <w:kern w:val="2"/>
              </w:rPr>
              <w:t>）建立用水单位重点监控名录，实施计划用水管理。</w:t>
            </w:r>
          </w:p>
          <w:p>
            <w:pPr>
              <w:adjustRightInd w:val="0"/>
              <w:snapToGrid w:val="0"/>
              <w:rPr>
                <w:rFonts w:ascii="Times New Roman" w:hAnsi="Times New Roman"/>
              </w:rPr>
            </w:pPr>
            <w:r>
              <w:rPr>
                <w:kern w:val="2"/>
              </w:rPr>
              <w:t>（</w:t>
            </w:r>
            <w:r>
              <w:rPr>
                <w:rFonts w:ascii="Times New Roman" w:hAnsi="Times New Roman"/>
                <w:kern w:val="2"/>
              </w:rPr>
              <w:t>5</w:t>
            </w:r>
            <w:r>
              <w:rPr>
                <w:kern w:val="2"/>
              </w:rPr>
              <w:t>）建立健全规划和建设项目水资源论证制度，完善规划水资源论证相关政策措施。市县重点推进重大产业布局和各类开发区规划水资源论证，严格建设项目水资源论证，对未依法完成水资源论证工作的建设项目，建设单位不得擅自开工建设和投产使用。</w:t>
            </w:r>
          </w:p>
        </w:tc>
        <w:tc>
          <w:tcPr>
            <w:tcW w:w="1387"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ascii="Times New Roman" w:hAnsi="Times New Roman"/>
                <w:kern w:val="2"/>
              </w:rPr>
            </w:pPr>
            <w:r>
              <w:rPr>
                <w:kern w:val="2"/>
              </w:rPr>
              <w:t>本项目</w:t>
            </w:r>
            <w:r>
              <w:rPr>
                <w:rFonts w:hint="eastAsia"/>
                <w:kern w:val="2"/>
              </w:rPr>
              <w:t>冷却水循环利用，生产废水不外排，生活污水通过罐车运至污水处理厂处理后排放</w:t>
            </w:r>
            <w:r>
              <w:rPr>
                <w:kern w:val="2"/>
              </w:rPr>
              <w:t>。</w:t>
            </w:r>
            <w:r>
              <w:rPr>
                <w:rFonts w:hint="eastAsia"/>
                <w:kern w:val="2"/>
              </w:rPr>
              <w:t>项目会利用一定量的水资源，对该区域整体水资源来说很小，对周围环境影响较小。</w:t>
            </w:r>
          </w:p>
        </w:tc>
        <w:tc>
          <w:tcPr>
            <w:tcW w:w="982" w:type="dxa"/>
            <w:tcBorders>
              <w:top w:val="single" w:color="auto" w:sz="4" w:space="0"/>
              <w:left w:val="single" w:color="auto" w:sz="4" w:space="0"/>
              <w:bottom w:val="single" w:color="auto" w:sz="4" w:space="0"/>
              <w:right w:val="nil"/>
            </w:tcBorders>
            <w:vAlign w:val="center"/>
          </w:tcPr>
          <w:p>
            <w:pPr>
              <w:adjustRightInd w:val="0"/>
              <w:snapToGrid w:val="0"/>
              <w:jc w:val="center"/>
              <w:rPr>
                <w:rFonts w:ascii="Times New Roman" w:hAnsi="Times New Roman"/>
              </w:rPr>
            </w:pPr>
            <w:r>
              <w:rPr>
                <w:rFonts w:hint="eastAsi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3" w:type="dxa"/>
            <w:tcBorders>
              <w:top w:val="single" w:color="auto" w:sz="4" w:space="0"/>
              <w:left w:val="nil"/>
              <w:bottom w:val="single" w:color="auto" w:sz="12" w:space="0"/>
              <w:right w:val="single" w:color="auto" w:sz="4" w:space="0"/>
            </w:tcBorders>
            <w:vAlign w:val="center"/>
          </w:tcPr>
          <w:p>
            <w:pPr>
              <w:adjustRightInd w:val="0"/>
              <w:snapToGrid w:val="0"/>
              <w:jc w:val="center"/>
              <w:rPr>
                <w:rFonts w:ascii="Times New Roman" w:hAnsi="Times New Roman"/>
              </w:rPr>
            </w:pPr>
            <w:r>
              <w:rPr>
                <w:kern w:val="2"/>
              </w:rPr>
              <w:t>土地资源（一般管控区）</w:t>
            </w:r>
          </w:p>
        </w:tc>
        <w:tc>
          <w:tcPr>
            <w:tcW w:w="4607" w:type="dxa"/>
            <w:tcBorders>
              <w:top w:val="single" w:color="auto" w:sz="4" w:space="0"/>
              <w:left w:val="single" w:color="auto" w:sz="4" w:space="0"/>
              <w:bottom w:val="single" w:color="auto" w:sz="12" w:space="0"/>
              <w:right w:val="single" w:color="auto" w:sz="4" w:space="0"/>
            </w:tcBorders>
            <w:vAlign w:val="center"/>
          </w:tcPr>
          <w:p>
            <w:pPr>
              <w:adjustRightInd w:val="0"/>
              <w:snapToGrid w:val="0"/>
              <w:rPr>
                <w:rFonts w:ascii="Times New Roman" w:hAnsi="Times New Roman"/>
              </w:rPr>
            </w:pPr>
            <w:r>
              <w:t>对土地资源一般管控区，坚持最严格的节约用地制度，提高土地利用节约集约水平。优化建设用地布局，严格划定城市开发边界，统筹区域发展、统筹城乡发展，统筹安排生产、生活、生态用地，引导形成合理的空间开发格局。</w:t>
            </w:r>
          </w:p>
        </w:tc>
        <w:tc>
          <w:tcPr>
            <w:tcW w:w="1387" w:type="dxa"/>
            <w:tcBorders>
              <w:top w:val="single" w:color="auto" w:sz="4" w:space="0"/>
              <w:left w:val="single" w:color="auto" w:sz="4" w:space="0"/>
              <w:bottom w:val="single" w:color="auto" w:sz="12" w:space="0"/>
              <w:right w:val="single" w:color="auto" w:sz="4" w:space="0"/>
            </w:tcBorders>
            <w:vAlign w:val="center"/>
          </w:tcPr>
          <w:p>
            <w:pPr>
              <w:adjustRightInd w:val="0"/>
              <w:snapToGrid w:val="0"/>
              <w:rPr>
                <w:rFonts w:ascii="Times New Roman" w:hAnsi="Times New Roman"/>
              </w:rPr>
            </w:pPr>
            <w:r>
              <w:rPr>
                <w:rFonts w:hint="eastAsia"/>
              </w:rPr>
              <w:t>本项目为改扩建项目，土地利用类型为工业用地，符合用地性质</w:t>
            </w:r>
            <w:r>
              <w:t>。不新增占地面积，符合一般管控区要求。</w:t>
            </w:r>
          </w:p>
        </w:tc>
        <w:tc>
          <w:tcPr>
            <w:tcW w:w="982" w:type="dxa"/>
            <w:tcBorders>
              <w:top w:val="single" w:color="auto" w:sz="4" w:space="0"/>
              <w:left w:val="single" w:color="auto" w:sz="4" w:space="0"/>
              <w:bottom w:val="single" w:color="auto" w:sz="12" w:space="0"/>
              <w:right w:val="nil"/>
            </w:tcBorders>
            <w:vAlign w:val="center"/>
          </w:tcPr>
          <w:p>
            <w:pPr>
              <w:adjustRightInd w:val="0"/>
              <w:snapToGrid w:val="0"/>
              <w:jc w:val="center"/>
              <w:rPr>
                <w:rFonts w:ascii="Times New Roman" w:hAnsi="Times New Roman"/>
              </w:rPr>
            </w:pPr>
            <w:r>
              <w:rPr>
                <w:rFonts w:hint="eastAsia"/>
              </w:rPr>
              <w:t>符合</w:t>
            </w:r>
          </w:p>
        </w:tc>
      </w:tr>
    </w:tbl>
    <w:p>
      <w:pPr>
        <w:spacing w:line="360" w:lineRule="auto"/>
        <w:ind w:firstLine="480" w:firstLineChars="200"/>
        <w:rPr>
          <w:rFonts w:ascii="Times New Roman" w:hAnsi="Times New Roman"/>
          <w:kern w:val="2"/>
          <w:sz w:val="24"/>
          <w:szCs w:val="24"/>
        </w:rPr>
      </w:pPr>
      <w:r>
        <w:rPr>
          <w:rFonts w:hint="eastAsia"/>
          <w:kern w:val="2"/>
          <w:sz w:val="24"/>
          <w:szCs w:val="24"/>
        </w:rPr>
        <w:t>（</w:t>
      </w:r>
      <w:r>
        <w:rPr>
          <w:rFonts w:hint="eastAsia" w:ascii="Times New Roman" w:hAnsi="Times New Roman"/>
          <w:kern w:val="2"/>
          <w:sz w:val="24"/>
          <w:szCs w:val="24"/>
        </w:rPr>
        <w:t>4</w:t>
      </w:r>
      <w:r>
        <w:rPr>
          <w:rFonts w:hint="eastAsia"/>
          <w:kern w:val="2"/>
          <w:sz w:val="24"/>
          <w:szCs w:val="24"/>
        </w:rPr>
        <w:t>）生态环境准入清单</w:t>
      </w:r>
    </w:p>
    <w:p>
      <w:pPr>
        <w:spacing w:line="480" w:lineRule="exact"/>
        <w:ind w:firstLine="480" w:firstLineChars="200"/>
        <w:rPr>
          <w:rFonts w:ascii="Times New Roman" w:hAnsi="Times New Roman"/>
          <w:kern w:val="2"/>
          <w:sz w:val="24"/>
          <w:szCs w:val="20"/>
        </w:rPr>
      </w:pPr>
      <w:r>
        <w:rPr>
          <w:rFonts w:hint="eastAsia" w:ascii="Times New Roman" w:hAnsi="Times New Roman"/>
          <w:kern w:val="2"/>
          <w:sz w:val="24"/>
          <w:szCs w:val="20"/>
        </w:rPr>
        <w:t>本项目位于</w:t>
      </w:r>
      <w:r>
        <w:rPr>
          <w:rFonts w:ascii="Times New Roman" w:hAnsi="Times New Roman"/>
          <w:kern w:val="2"/>
          <w:sz w:val="24"/>
          <w:szCs w:val="20"/>
        </w:rPr>
        <w:t>双鸭山市四方台梨花盖子沟垃圾处理场院内。</w:t>
      </w:r>
      <w:r>
        <w:rPr>
          <w:rFonts w:hint="eastAsia" w:ascii="Times New Roman" w:hAnsi="Times New Roman"/>
          <w:kern w:val="2"/>
          <w:sz w:val="24"/>
          <w:szCs w:val="20"/>
        </w:rPr>
        <w:t>根据</w:t>
      </w:r>
      <w:r>
        <w:rPr>
          <w:rFonts w:ascii="Times New Roman" w:hAnsi="Times New Roman"/>
          <w:kern w:val="2"/>
          <w:sz w:val="24"/>
          <w:szCs w:val="20"/>
        </w:rPr>
        <w:t>《双鸭山市人民政府关于实施“三线一单”生态环境分区管控的意见》（双政规〔2021〕2号</w:t>
      </w:r>
      <w:r>
        <w:rPr>
          <w:rFonts w:hint="eastAsia" w:ascii="Times New Roman" w:hAnsi="Times New Roman"/>
          <w:kern w:val="2"/>
          <w:sz w:val="24"/>
          <w:szCs w:val="20"/>
        </w:rPr>
        <w:t>），属于四方台行政管理区域，该区域纳入</w:t>
      </w:r>
      <w:r>
        <w:rPr>
          <w:rFonts w:ascii="Times New Roman" w:hAnsi="Times New Roman"/>
          <w:kern w:val="2"/>
          <w:sz w:val="24"/>
          <w:szCs w:val="20"/>
        </w:rPr>
        <w:t>四方台区大气环境布局敏感重点管控区</w:t>
      </w:r>
      <w:r>
        <w:rPr>
          <w:rFonts w:hint="eastAsia" w:ascii="Times New Roman" w:hAnsi="Times New Roman"/>
          <w:kern w:val="2"/>
          <w:sz w:val="24"/>
          <w:szCs w:val="20"/>
        </w:rPr>
        <w:t>，故参照此区域准入要求执行，环境管控单元名称为</w:t>
      </w:r>
      <w:r>
        <w:rPr>
          <w:rFonts w:ascii="Times New Roman" w:hAnsi="Times New Roman"/>
          <w:kern w:val="2"/>
          <w:sz w:val="24"/>
          <w:szCs w:val="20"/>
        </w:rPr>
        <w:t>四方台区大气环境布局敏感重点管控区</w:t>
      </w:r>
      <w:r>
        <w:rPr>
          <w:rFonts w:hint="eastAsia" w:ascii="Times New Roman" w:hAnsi="Times New Roman"/>
          <w:kern w:val="2"/>
          <w:sz w:val="24"/>
          <w:szCs w:val="20"/>
        </w:rPr>
        <w:t>，环境管控单元编码为</w:t>
      </w:r>
      <w:r>
        <w:rPr>
          <w:rFonts w:ascii="Times New Roman" w:hAnsi="Times New Roman"/>
          <w:kern w:val="2"/>
          <w:sz w:val="24"/>
          <w:szCs w:val="20"/>
        </w:rPr>
        <w:t>ZH23050520004</w:t>
      </w:r>
      <w:r>
        <w:rPr>
          <w:rFonts w:hint="eastAsia" w:ascii="Times New Roman" w:hAnsi="Times New Roman"/>
          <w:kern w:val="2"/>
          <w:sz w:val="24"/>
          <w:szCs w:val="20"/>
        </w:rPr>
        <w:t>，环境管控单元为重点管控单元，管控要求如下：</w:t>
      </w:r>
    </w:p>
    <w:p>
      <w:pPr>
        <w:overflowPunct w:val="0"/>
        <w:spacing w:line="360" w:lineRule="auto"/>
        <w:ind w:firstLine="480" w:firstLineChars="200"/>
        <w:jc w:val="center"/>
        <w:rPr>
          <w:rFonts w:ascii="Times New Roman" w:hAnsi="Times New Roman"/>
          <w:b/>
          <w:sz w:val="24"/>
          <w:szCs w:val="24"/>
        </w:rPr>
      </w:pPr>
      <w:r>
        <w:rPr>
          <w:rFonts w:ascii="黑体" w:hAnsi="黑体" w:eastAsia="黑体"/>
          <w:bCs/>
          <w:sz w:val="24"/>
          <w:szCs w:val="24"/>
        </w:rPr>
        <w:t>表</w:t>
      </w:r>
      <w:r>
        <w:rPr>
          <w:rFonts w:ascii="Times New Roman" w:hAnsi="Times New Roman" w:eastAsia="黑体"/>
          <w:bCs/>
          <w:sz w:val="24"/>
          <w:szCs w:val="24"/>
        </w:rPr>
        <w:t xml:space="preserve">1.4-9  </w:t>
      </w:r>
      <w:r>
        <w:rPr>
          <w:rFonts w:ascii="黑体" w:hAnsi="黑体" w:eastAsia="黑体"/>
          <w:bCs/>
          <w:sz w:val="24"/>
          <w:szCs w:val="24"/>
        </w:rPr>
        <w:t>生态环境准入清单管控要求表</w:t>
      </w:r>
    </w:p>
    <w:tbl>
      <w:tblPr>
        <w:tblStyle w:val="77"/>
        <w:tblW w:w="484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50"/>
        <w:gridCol w:w="817"/>
        <w:gridCol w:w="3983"/>
        <w:gridCol w:w="1602"/>
        <w:gridCol w:w="81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23" w:type="dxa"/>
            <w:tcBorders>
              <w:top w:val="single" w:color="auto" w:sz="12" w:space="0"/>
              <w:left w:val="nil"/>
              <w:bottom w:val="single" w:color="auto" w:sz="4" w:space="0"/>
              <w:right w:val="single" w:color="auto" w:sz="4" w:space="0"/>
            </w:tcBorders>
            <w:vAlign w:val="center"/>
          </w:tcPr>
          <w:p>
            <w:pPr>
              <w:snapToGrid w:val="0"/>
              <w:jc w:val="center"/>
              <w:rPr>
                <w:rFonts w:ascii="Times New Roman" w:hAnsi="Times New Roman" w:eastAsia="黑体"/>
              </w:rPr>
            </w:pPr>
            <w:r>
              <w:rPr>
                <w:rFonts w:ascii="黑体" w:hAnsi="黑体" w:eastAsia="黑体"/>
              </w:rPr>
              <w:t>管控单元类别</w:t>
            </w:r>
          </w:p>
        </w:tc>
        <w:tc>
          <w:tcPr>
            <w:tcW w:w="4678" w:type="dxa"/>
            <w:gridSpan w:val="2"/>
            <w:tcBorders>
              <w:top w:val="single" w:color="auto" w:sz="12" w:space="0"/>
              <w:left w:val="single" w:color="auto" w:sz="4" w:space="0"/>
              <w:bottom w:val="single" w:color="auto" w:sz="4" w:space="0"/>
              <w:right w:val="single" w:color="auto" w:sz="4" w:space="0"/>
            </w:tcBorders>
            <w:vAlign w:val="center"/>
          </w:tcPr>
          <w:p>
            <w:pPr>
              <w:snapToGrid w:val="0"/>
              <w:jc w:val="center"/>
              <w:rPr>
                <w:rFonts w:ascii="Times New Roman" w:hAnsi="Times New Roman" w:eastAsia="黑体"/>
              </w:rPr>
            </w:pPr>
            <w:r>
              <w:rPr>
                <w:rFonts w:ascii="黑体" w:hAnsi="黑体" w:eastAsia="黑体"/>
              </w:rPr>
              <w:t>管控要求</w:t>
            </w:r>
          </w:p>
        </w:tc>
        <w:tc>
          <w:tcPr>
            <w:tcW w:w="1561" w:type="dxa"/>
            <w:tcBorders>
              <w:top w:val="single" w:color="auto" w:sz="12" w:space="0"/>
              <w:left w:val="single" w:color="auto" w:sz="4" w:space="0"/>
              <w:bottom w:val="single" w:color="auto" w:sz="4" w:space="0"/>
              <w:right w:val="single" w:color="auto" w:sz="4" w:space="0"/>
            </w:tcBorders>
            <w:vAlign w:val="center"/>
          </w:tcPr>
          <w:p>
            <w:pPr>
              <w:snapToGrid w:val="0"/>
              <w:jc w:val="center"/>
              <w:rPr>
                <w:rFonts w:ascii="Times New Roman" w:hAnsi="Times New Roman" w:eastAsia="黑体"/>
              </w:rPr>
            </w:pPr>
            <w:r>
              <w:rPr>
                <w:rFonts w:ascii="黑体" w:hAnsi="黑体" w:eastAsia="黑体"/>
              </w:rPr>
              <w:t>本项目</w:t>
            </w:r>
          </w:p>
        </w:tc>
        <w:tc>
          <w:tcPr>
            <w:tcW w:w="797" w:type="dxa"/>
            <w:tcBorders>
              <w:top w:val="single" w:color="auto" w:sz="12" w:space="0"/>
              <w:left w:val="single" w:color="auto" w:sz="4" w:space="0"/>
              <w:bottom w:val="single" w:color="auto" w:sz="4" w:space="0"/>
              <w:right w:val="nil"/>
            </w:tcBorders>
            <w:vAlign w:val="center"/>
          </w:tcPr>
          <w:p>
            <w:pPr>
              <w:snapToGrid w:val="0"/>
              <w:jc w:val="center"/>
              <w:rPr>
                <w:rFonts w:ascii="Times New Roman" w:hAnsi="Times New Roman" w:eastAsia="黑体"/>
                <w:kern w:val="2"/>
              </w:rPr>
            </w:pPr>
            <w:r>
              <w:rPr>
                <w:rFonts w:ascii="黑体" w:hAnsi="黑体" w:eastAsia="黑体"/>
                <w:kern w:val="2"/>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23" w:type="dxa"/>
            <w:vMerge w:val="restart"/>
            <w:tcBorders>
              <w:top w:val="single" w:color="auto" w:sz="4" w:space="0"/>
              <w:left w:val="nil"/>
              <w:right w:val="single" w:color="auto" w:sz="4" w:space="0"/>
            </w:tcBorders>
            <w:vAlign w:val="center"/>
          </w:tcPr>
          <w:p>
            <w:pPr>
              <w:snapToGrid w:val="0"/>
              <w:jc w:val="center"/>
              <w:rPr>
                <w:rFonts w:ascii="Times New Roman" w:hAnsi="Times New Roman"/>
                <w:kern w:val="2"/>
              </w:rPr>
            </w:pPr>
            <w:r>
              <w:rPr>
                <w:rFonts w:hint="eastAsia" w:ascii="Times New Roman" w:hAnsi="Times New Roman"/>
                <w:kern w:val="2"/>
              </w:rPr>
              <w:t>重点管控单元（</w:t>
            </w:r>
            <w:r>
              <w:rPr>
                <w:rFonts w:ascii="Times New Roman" w:hAnsi="Times New Roman"/>
                <w:kern w:val="2"/>
              </w:rPr>
              <w:t>四方台区大气环境布局敏感重点管控区</w:t>
            </w:r>
            <w:r>
              <w:rPr>
                <w:rFonts w:hint="eastAsia" w:ascii="Times New Roman" w:hAnsi="Times New Roman"/>
                <w:kern w:val="2"/>
              </w:rPr>
              <w:t>）</w:t>
            </w:r>
          </w:p>
        </w:tc>
        <w:tc>
          <w:tcPr>
            <w:tcW w:w="796" w:type="dxa"/>
            <w:tcBorders>
              <w:top w:val="single" w:color="auto" w:sz="4" w:space="0"/>
              <w:left w:val="single" w:color="auto" w:sz="4" w:space="0"/>
              <w:bottom w:val="single" w:color="auto" w:sz="4" w:space="0"/>
              <w:right w:val="single" w:color="auto" w:sz="4" w:space="0"/>
            </w:tcBorders>
            <w:vAlign w:val="center"/>
          </w:tcPr>
          <w:p>
            <w:pPr>
              <w:kinsoku w:val="0"/>
              <w:snapToGrid w:val="0"/>
              <w:jc w:val="center"/>
              <w:rPr>
                <w:rFonts w:ascii="Times New Roman" w:hAnsi="Times New Roman"/>
                <w:kern w:val="2"/>
              </w:rPr>
            </w:pPr>
            <w:r>
              <w:rPr>
                <w:kern w:val="2"/>
              </w:rPr>
              <w:t>空间布局约束</w:t>
            </w:r>
          </w:p>
        </w:tc>
        <w:tc>
          <w:tcPr>
            <w:tcW w:w="3882" w:type="dxa"/>
            <w:tcBorders>
              <w:top w:val="single" w:color="auto" w:sz="4" w:space="0"/>
              <w:left w:val="single" w:color="auto" w:sz="4" w:space="0"/>
              <w:bottom w:val="single" w:color="auto" w:sz="4" w:space="0"/>
              <w:right w:val="single" w:color="auto" w:sz="4" w:space="0"/>
            </w:tcBorders>
            <w:vAlign w:val="center"/>
          </w:tcPr>
          <w:p>
            <w:pPr>
              <w:kinsoku w:val="0"/>
              <w:snapToGrid w:val="0"/>
              <w:jc w:val="left"/>
              <w:rPr>
                <w:kern w:val="2"/>
              </w:rPr>
            </w:pPr>
            <w:r>
              <w:rPr>
                <w:kern w:val="2"/>
              </w:rPr>
              <w:t>一、区域内原则上禁止布局高污染项目。严控“两高”行业产能。严格执行钢铁、水泥、平板玻璃等行业产能置换实施办法。</w:t>
            </w:r>
          </w:p>
          <w:p>
            <w:pPr>
              <w:kinsoku w:val="0"/>
              <w:snapToGrid w:val="0"/>
              <w:jc w:val="left"/>
              <w:rPr>
                <w:kern w:val="2"/>
              </w:rPr>
            </w:pPr>
            <w:r>
              <w:rPr>
                <w:kern w:val="2"/>
              </w:rPr>
              <w:t>二、利用水泥窑协同处置城市生活垃圾、危险废弃物、电石渣等固废伴生水泥项目，必须依托现有新型干法水泥熟料生产线进行不扩产能改造。</w:t>
            </w:r>
          </w:p>
        </w:tc>
        <w:tc>
          <w:tcPr>
            <w:tcW w:w="1561" w:type="dxa"/>
            <w:tcBorders>
              <w:top w:val="single" w:color="auto" w:sz="4" w:space="0"/>
              <w:left w:val="single" w:color="auto" w:sz="4" w:space="0"/>
              <w:bottom w:val="single" w:color="auto" w:sz="4" w:space="0"/>
              <w:right w:val="single" w:color="auto" w:sz="4" w:space="0"/>
            </w:tcBorders>
            <w:vAlign w:val="center"/>
          </w:tcPr>
          <w:p>
            <w:pPr>
              <w:snapToGrid w:val="0"/>
              <w:rPr>
                <w:rFonts w:ascii="Times New Roman" w:hAnsi="Times New Roman"/>
                <w:kern w:val="2"/>
              </w:rPr>
            </w:pPr>
            <w:r>
              <w:rPr>
                <w:rFonts w:hint="eastAsia"/>
              </w:rPr>
              <w:t>本项目为医疗废物集中处置项目，本项目位于</w:t>
            </w:r>
            <w:r>
              <w:t>双鸭山市环境卫生专项规划规划区域内</w:t>
            </w:r>
            <w:r>
              <w:rPr>
                <w:rFonts w:hint="eastAsia"/>
              </w:rPr>
              <w:t>，并且符合《黑龙江省城乡固体废物分类治理布局规划》（2</w:t>
            </w:r>
            <w:r>
              <w:t>019</w:t>
            </w:r>
            <w:r>
              <w:rPr>
                <w:rFonts w:hint="eastAsia"/>
              </w:rPr>
              <w:t>-</w:t>
            </w:r>
            <w:r>
              <w:t>2035</w:t>
            </w:r>
            <w:r>
              <w:rPr>
                <w:rFonts w:hint="eastAsia"/>
              </w:rPr>
              <w:t>年）2</w:t>
            </w:r>
            <w:r>
              <w:t>021</w:t>
            </w:r>
            <w:r>
              <w:rPr>
                <w:rFonts w:hint="eastAsia"/>
              </w:rPr>
              <w:t>年修订</w:t>
            </w:r>
          </w:p>
        </w:tc>
        <w:tc>
          <w:tcPr>
            <w:tcW w:w="797" w:type="dxa"/>
            <w:tcBorders>
              <w:top w:val="single" w:color="auto" w:sz="4" w:space="0"/>
              <w:left w:val="single" w:color="auto" w:sz="4" w:space="0"/>
              <w:bottom w:val="single" w:color="auto" w:sz="4" w:space="0"/>
              <w:right w:val="nil"/>
            </w:tcBorders>
            <w:vAlign w:val="center"/>
          </w:tcPr>
          <w:p>
            <w:pPr>
              <w:snapToGrid w:val="0"/>
              <w:jc w:val="center"/>
              <w:rPr>
                <w:rFonts w:ascii="Times New Roman" w:hAnsi="Times New Roman"/>
                <w:kern w:val="2"/>
              </w:rPr>
            </w:pPr>
            <w:r>
              <w:rPr>
                <w:kern w:val="2"/>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23" w:type="dxa"/>
            <w:vMerge w:val="continue"/>
            <w:tcBorders>
              <w:left w:val="nil"/>
              <w:right w:val="single" w:color="auto" w:sz="4" w:space="0"/>
            </w:tcBorders>
            <w:vAlign w:val="center"/>
          </w:tcPr>
          <w:p>
            <w:pPr>
              <w:snapToGrid w:val="0"/>
              <w:jc w:val="center"/>
              <w:rPr>
                <w:rFonts w:ascii="Times New Roman" w:hAnsi="Times New Roman"/>
                <w:kern w:val="2"/>
              </w:rPr>
            </w:pPr>
          </w:p>
        </w:tc>
        <w:tc>
          <w:tcPr>
            <w:tcW w:w="796" w:type="dxa"/>
            <w:tcBorders>
              <w:top w:val="single" w:color="auto" w:sz="4" w:space="0"/>
              <w:left w:val="single" w:color="auto" w:sz="4" w:space="0"/>
              <w:bottom w:val="single" w:color="auto" w:sz="4" w:space="0"/>
              <w:right w:val="single" w:color="auto" w:sz="4" w:space="0"/>
            </w:tcBorders>
            <w:vAlign w:val="center"/>
          </w:tcPr>
          <w:p>
            <w:pPr>
              <w:kinsoku w:val="0"/>
              <w:snapToGrid w:val="0"/>
              <w:jc w:val="center"/>
              <w:rPr>
                <w:kern w:val="2"/>
              </w:rPr>
            </w:pPr>
            <w:r>
              <w:rPr>
                <w:kern w:val="2"/>
              </w:rPr>
              <w:t>污染物排放管控</w:t>
            </w:r>
          </w:p>
          <w:p>
            <w:pPr>
              <w:kinsoku w:val="0"/>
              <w:snapToGrid w:val="0"/>
              <w:jc w:val="center"/>
              <w:rPr>
                <w:kern w:val="2"/>
              </w:rPr>
            </w:pPr>
          </w:p>
        </w:tc>
        <w:tc>
          <w:tcPr>
            <w:tcW w:w="3882" w:type="dxa"/>
            <w:tcBorders>
              <w:top w:val="single" w:color="auto" w:sz="4" w:space="0"/>
              <w:left w:val="single" w:color="auto" w:sz="4" w:space="0"/>
              <w:bottom w:val="single" w:color="auto" w:sz="4" w:space="0"/>
              <w:right w:val="single" w:color="auto" w:sz="4" w:space="0"/>
            </w:tcBorders>
            <w:vAlign w:val="center"/>
          </w:tcPr>
          <w:p>
            <w:pPr>
              <w:kinsoku w:val="0"/>
              <w:snapToGrid w:val="0"/>
              <w:jc w:val="left"/>
              <w:rPr>
                <w:kern w:val="2"/>
              </w:rPr>
            </w:pPr>
            <w:r>
              <w:rPr>
                <w:kern w:val="2"/>
              </w:rPr>
              <w:t>一、推广使用电、天然气等清洁能源。</w:t>
            </w:r>
          </w:p>
          <w:p>
            <w:pPr>
              <w:kinsoku w:val="0"/>
              <w:snapToGrid w:val="0"/>
              <w:jc w:val="left"/>
              <w:rPr>
                <w:kern w:val="2"/>
              </w:rPr>
            </w:pPr>
            <w:r>
              <w:rPr>
                <w:kern w:val="2"/>
              </w:rPr>
              <w:t>二、提升环境管理水平，减少污染物排放。</w:t>
            </w:r>
          </w:p>
          <w:p>
            <w:pPr>
              <w:kinsoku w:val="0"/>
              <w:snapToGrid w:val="0"/>
              <w:jc w:val="left"/>
              <w:rPr>
                <w:kern w:val="2"/>
              </w:rPr>
            </w:pPr>
            <w:r>
              <w:rPr>
                <w:kern w:val="2"/>
              </w:rPr>
              <w:t>三、支持企业开展能效提升、清洁生产、工业节水等绿色化升级改造，实施重点行业和企业循环化改造，推动资源循环再生利用，降低能源消耗和污染物排放量。</w:t>
            </w:r>
          </w:p>
        </w:tc>
        <w:tc>
          <w:tcPr>
            <w:tcW w:w="1561" w:type="dxa"/>
            <w:tcBorders>
              <w:top w:val="single" w:color="auto" w:sz="4" w:space="0"/>
              <w:left w:val="single" w:color="auto" w:sz="4" w:space="0"/>
              <w:bottom w:val="single" w:color="auto" w:sz="4" w:space="0"/>
              <w:right w:val="single" w:color="auto" w:sz="4" w:space="0"/>
            </w:tcBorders>
            <w:vAlign w:val="center"/>
          </w:tcPr>
          <w:p>
            <w:pPr>
              <w:snapToGrid w:val="0"/>
            </w:pPr>
            <w:r>
              <w:rPr>
                <w:rFonts w:hint="eastAsia"/>
              </w:rPr>
              <w:t>本项目员工供暖使用现有电锅炉，生产线热源来自导热油炉，燃料为轻质柴油</w:t>
            </w:r>
          </w:p>
        </w:tc>
        <w:tc>
          <w:tcPr>
            <w:tcW w:w="797" w:type="dxa"/>
            <w:tcBorders>
              <w:top w:val="single" w:color="auto" w:sz="4" w:space="0"/>
              <w:left w:val="single" w:color="auto" w:sz="4" w:space="0"/>
              <w:bottom w:val="single" w:color="auto" w:sz="4" w:space="0"/>
              <w:right w:val="nil"/>
            </w:tcBorders>
            <w:vAlign w:val="center"/>
          </w:tcPr>
          <w:p>
            <w:pPr>
              <w:snapToGrid w:val="0"/>
              <w:jc w:val="center"/>
              <w:rPr>
                <w:kern w:val="2"/>
              </w:rPr>
            </w:pPr>
            <w:r>
              <w:rPr>
                <w:rFonts w:hint="eastAsia"/>
                <w:kern w:val="2"/>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23" w:type="dxa"/>
            <w:vMerge w:val="continue"/>
            <w:tcBorders>
              <w:left w:val="nil"/>
              <w:bottom w:val="single" w:color="auto" w:sz="4" w:space="0"/>
              <w:right w:val="single" w:color="auto" w:sz="4" w:space="0"/>
            </w:tcBorders>
            <w:vAlign w:val="center"/>
          </w:tcPr>
          <w:p>
            <w:pPr>
              <w:snapToGrid w:val="0"/>
              <w:jc w:val="center"/>
              <w:rPr>
                <w:rFonts w:ascii="Times New Roman" w:hAnsi="Times New Roman"/>
                <w:kern w:val="2"/>
              </w:rPr>
            </w:pPr>
          </w:p>
        </w:tc>
        <w:tc>
          <w:tcPr>
            <w:tcW w:w="796" w:type="dxa"/>
            <w:tcBorders>
              <w:top w:val="single" w:color="auto" w:sz="4" w:space="0"/>
              <w:left w:val="single" w:color="auto" w:sz="4" w:space="0"/>
              <w:bottom w:val="single" w:color="auto" w:sz="4" w:space="0"/>
              <w:right w:val="single" w:color="auto" w:sz="4" w:space="0"/>
            </w:tcBorders>
            <w:vAlign w:val="center"/>
          </w:tcPr>
          <w:p>
            <w:pPr>
              <w:kinsoku w:val="0"/>
              <w:snapToGrid w:val="0"/>
              <w:jc w:val="center"/>
              <w:rPr>
                <w:kern w:val="2"/>
              </w:rPr>
            </w:pPr>
            <w:r>
              <w:rPr>
                <w:kern w:val="2"/>
              </w:rPr>
              <w:t>环境风险防控</w:t>
            </w:r>
          </w:p>
          <w:p>
            <w:pPr>
              <w:kinsoku w:val="0"/>
              <w:snapToGrid w:val="0"/>
              <w:jc w:val="center"/>
              <w:rPr>
                <w:kern w:val="2"/>
              </w:rPr>
            </w:pPr>
          </w:p>
        </w:tc>
        <w:tc>
          <w:tcPr>
            <w:tcW w:w="3882" w:type="dxa"/>
            <w:tcBorders>
              <w:top w:val="single" w:color="auto" w:sz="4" w:space="0"/>
              <w:left w:val="single" w:color="auto" w:sz="4" w:space="0"/>
              <w:bottom w:val="single" w:color="auto" w:sz="4" w:space="0"/>
              <w:right w:val="single" w:color="auto" w:sz="4" w:space="0"/>
            </w:tcBorders>
            <w:vAlign w:val="center"/>
          </w:tcPr>
          <w:p>
            <w:pPr>
              <w:kinsoku w:val="0"/>
              <w:snapToGrid w:val="0"/>
              <w:jc w:val="left"/>
              <w:rPr>
                <w:kern w:val="2"/>
              </w:rPr>
            </w:pPr>
            <w:r>
              <w:rPr>
                <w:kern w:val="2"/>
              </w:rPr>
              <w:t>禁止在居民区、学校、医疗和养老机构等周边新建有色金属冶炼、焦化等行业企业。</w:t>
            </w:r>
          </w:p>
        </w:tc>
        <w:tc>
          <w:tcPr>
            <w:tcW w:w="1561" w:type="dxa"/>
            <w:tcBorders>
              <w:top w:val="single" w:color="auto" w:sz="4" w:space="0"/>
              <w:left w:val="single" w:color="auto" w:sz="4" w:space="0"/>
              <w:bottom w:val="single" w:color="auto" w:sz="4" w:space="0"/>
              <w:right w:val="single" w:color="auto" w:sz="4" w:space="0"/>
            </w:tcBorders>
            <w:vAlign w:val="center"/>
          </w:tcPr>
          <w:p>
            <w:pPr>
              <w:snapToGrid w:val="0"/>
            </w:pPr>
            <w:r>
              <w:rPr>
                <w:rFonts w:hint="eastAsia"/>
              </w:rPr>
              <w:t>本项目为医疗废物集中处置项目，周边无居民区、学校、医疗和养老机构等</w:t>
            </w:r>
          </w:p>
        </w:tc>
        <w:tc>
          <w:tcPr>
            <w:tcW w:w="797" w:type="dxa"/>
            <w:tcBorders>
              <w:top w:val="single" w:color="auto" w:sz="4" w:space="0"/>
              <w:left w:val="single" w:color="auto" w:sz="4" w:space="0"/>
              <w:bottom w:val="single" w:color="auto" w:sz="4" w:space="0"/>
              <w:right w:val="nil"/>
            </w:tcBorders>
            <w:vAlign w:val="center"/>
          </w:tcPr>
          <w:p>
            <w:pPr>
              <w:snapToGrid w:val="0"/>
              <w:jc w:val="center"/>
              <w:rPr>
                <w:kern w:val="2"/>
              </w:rPr>
            </w:pPr>
            <w:r>
              <w:rPr>
                <w:rFonts w:hint="eastAsia"/>
                <w:kern w:val="2"/>
              </w:rPr>
              <w:t>符合</w:t>
            </w:r>
          </w:p>
        </w:tc>
      </w:tr>
    </w:tbl>
    <w:p>
      <w:pPr>
        <w:ind w:firstLine="480" w:firstLineChars="200"/>
        <w:rPr>
          <w:rFonts w:ascii="Times New Roman" w:hAnsi="Times New Roman"/>
          <w:kern w:val="2"/>
        </w:rPr>
      </w:pPr>
      <w:r>
        <w:rPr>
          <w:kern w:val="2"/>
          <w:sz w:val="24"/>
          <w:szCs w:val="24"/>
        </w:rPr>
        <w:t>综上所述，本项目符合</w:t>
      </w:r>
      <w:r>
        <w:rPr>
          <w:rFonts w:hint="eastAsia"/>
          <w:kern w:val="2"/>
          <w:sz w:val="24"/>
          <w:szCs w:val="24"/>
        </w:rPr>
        <w:t>“三线一单”要求。</w:t>
      </w:r>
    </w:p>
    <w:p>
      <w:pPr>
        <w:pStyle w:val="3"/>
        <w:spacing w:before="120" w:beforeLines="50" w:after="120" w:afterLines="50" w:line="480" w:lineRule="exact"/>
        <w:ind w:left="-11"/>
        <w:rPr>
          <w:rFonts w:ascii="Times New Roman" w:hAnsi="Times New Roman" w:eastAsia="黑体"/>
          <w:sz w:val="30"/>
          <w:szCs w:val="30"/>
        </w:rPr>
      </w:pPr>
      <w:bookmarkStart w:id="80" w:name="_Toc116379693"/>
      <w:r>
        <w:rPr>
          <w:rFonts w:ascii="Times New Roman" w:hAnsi="Times New Roman" w:eastAsia="黑体"/>
          <w:sz w:val="30"/>
          <w:szCs w:val="30"/>
        </w:rPr>
        <w:t>主要环境问题及环境影响</w:t>
      </w:r>
      <w:bookmarkEnd w:id="80"/>
    </w:p>
    <w:p>
      <w:pPr>
        <w:pStyle w:val="155"/>
        <w:spacing w:line="480" w:lineRule="exact"/>
        <w:ind w:firstLine="480"/>
      </w:pPr>
      <w:r>
        <w:t>本项目施工期仅为设备安装，对环境影响较小。项目对环境的影响主要在运营期，主要环境问题是在生产过程中会产生一定的废水、废气、噪声和固体废物，并在生产和医疗废物贮存过程中存在着一定的环境风险。</w:t>
      </w:r>
    </w:p>
    <w:p>
      <w:pPr>
        <w:pStyle w:val="4"/>
        <w:spacing w:before="120" w:beforeLines="50" w:after="120" w:afterLines="50" w:line="480" w:lineRule="exact"/>
        <w:rPr>
          <w:rFonts w:ascii="Times New Roman" w:hAnsi="Times New Roman" w:eastAsia="黑体"/>
          <w:kern w:val="2"/>
          <w:sz w:val="28"/>
          <w:szCs w:val="32"/>
        </w:rPr>
      </w:pPr>
      <w:bookmarkStart w:id="81" w:name="_Toc26156"/>
      <w:r>
        <w:rPr>
          <w:rFonts w:ascii="Times New Roman" w:hAnsi="Times New Roman" w:eastAsia="黑体"/>
          <w:kern w:val="2"/>
          <w:sz w:val="28"/>
          <w:szCs w:val="32"/>
        </w:rPr>
        <w:t>废水</w:t>
      </w:r>
      <w:bookmarkEnd w:id="81"/>
    </w:p>
    <w:p>
      <w:pPr>
        <w:widowControl/>
        <w:spacing w:line="480" w:lineRule="exact"/>
        <w:ind w:firstLine="480" w:firstLineChars="200"/>
        <w:rPr>
          <w:rFonts w:ascii="Times New Roman" w:hAnsi="Times New Roman"/>
          <w:sz w:val="24"/>
          <w:szCs w:val="24"/>
        </w:rPr>
      </w:pPr>
      <w:bookmarkStart w:id="82" w:name="_Toc6807"/>
      <w:bookmarkStart w:id="83" w:name="_Toc19340"/>
      <w:r>
        <w:rPr>
          <w:rFonts w:ascii="Times New Roman" w:hAnsi="Times New Roman"/>
          <w:sz w:val="24"/>
          <w:szCs w:val="24"/>
        </w:rPr>
        <w:t>本项目生产废水包括车间地面消毒清洗废水、转运车消毒清洗废水和周转箱消毒清洗废水，生产废水经企业</w:t>
      </w:r>
      <w:r>
        <w:rPr>
          <w:rFonts w:hint="eastAsia" w:ascii="Times New Roman" w:hAnsi="Times New Roman"/>
          <w:sz w:val="24"/>
          <w:szCs w:val="24"/>
        </w:rPr>
        <w:t>现有</w:t>
      </w:r>
      <w:r>
        <w:rPr>
          <w:rFonts w:ascii="Times New Roman" w:hAnsi="Times New Roman"/>
          <w:sz w:val="24"/>
          <w:szCs w:val="24"/>
        </w:rPr>
        <w:t>污水处理站（工艺流程：格栅→调节池→一体化污水处理设备（水解酸化池→接触氧化池 →二沉池 →MBR 池) →二氧化氯发生器→回用水池）处理后满足《城市污水再生利用城市杂用水水质》( GB/T18920-2002 ) 中“车辆冲洗标准”，厂内全部回用（回用于车间地面消毒清洗用水、转运车消毒清洗用水和周转箱消毒清洗用水），不外排。</w:t>
      </w:r>
      <w:r>
        <w:rPr>
          <w:rFonts w:hint="eastAsia" w:ascii="Times New Roman" w:hAnsi="Times New Roman"/>
          <w:sz w:val="24"/>
          <w:szCs w:val="24"/>
        </w:rPr>
        <w:t>扩建后污水量增加</w:t>
      </w:r>
      <w:r>
        <w:rPr>
          <w:rFonts w:ascii="Times New Roman" w:hAnsi="Times New Roman"/>
          <w:sz w:val="24"/>
          <w:szCs w:val="24"/>
        </w:rPr>
        <w:t>8.32</w:t>
      </w:r>
      <w:r>
        <w:rPr>
          <w:rFonts w:hint="eastAsia" w:ascii="Times New Roman" w:hAnsi="Times New Roman"/>
          <w:sz w:val="24"/>
          <w:szCs w:val="24"/>
        </w:rPr>
        <w:t>t</w:t>
      </w:r>
      <w:r>
        <w:rPr>
          <w:rFonts w:ascii="Times New Roman" w:hAnsi="Times New Roman"/>
          <w:sz w:val="24"/>
          <w:szCs w:val="24"/>
        </w:rPr>
        <w:t>/</w:t>
      </w:r>
      <w:r>
        <w:rPr>
          <w:rFonts w:hint="eastAsia" w:ascii="Times New Roman" w:hAnsi="Times New Roman"/>
          <w:sz w:val="24"/>
          <w:szCs w:val="24"/>
        </w:rPr>
        <w:t>d，总排污量为</w:t>
      </w:r>
      <w:r>
        <w:rPr>
          <w:rFonts w:ascii="Times New Roman" w:hAnsi="Times New Roman"/>
          <w:sz w:val="24"/>
          <w:szCs w:val="24"/>
        </w:rPr>
        <w:t>11.13</w:t>
      </w:r>
      <w:r>
        <w:rPr>
          <w:rFonts w:hint="eastAsia" w:ascii="Times New Roman" w:hAnsi="Times New Roman"/>
          <w:sz w:val="24"/>
          <w:szCs w:val="24"/>
        </w:rPr>
        <w:t>t</w:t>
      </w:r>
      <w:r>
        <w:rPr>
          <w:rFonts w:ascii="Times New Roman" w:hAnsi="Times New Roman"/>
          <w:sz w:val="24"/>
          <w:szCs w:val="24"/>
        </w:rPr>
        <w:t>/d</w:t>
      </w:r>
      <w:r>
        <w:rPr>
          <w:rFonts w:hint="eastAsia" w:ascii="Times New Roman" w:hAnsi="Times New Roman"/>
          <w:sz w:val="24"/>
          <w:szCs w:val="24"/>
        </w:rPr>
        <w:t>，少于设计处理量1</w:t>
      </w:r>
      <w:r>
        <w:rPr>
          <w:rFonts w:ascii="Times New Roman" w:hAnsi="Times New Roman"/>
          <w:sz w:val="24"/>
          <w:szCs w:val="24"/>
        </w:rPr>
        <w:t>5</w:t>
      </w:r>
      <w:r>
        <w:rPr>
          <w:rFonts w:hint="eastAsia" w:ascii="Times New Roman" w:hAnsi="Times New Roman"/>
          <w:sz w:val="24"/>
          <w:szCs w:val="24"/>
        </w:rPr>
        <w:t>t</w:t>
      </w:r>
      <w:r>
        <w:rPr>
          <w:rFonts w:ascii="Times New Roman" w:hAnsi="Times New Roman"/>
          <w:sz w:val="24"/>
          <w:szCs w:val="24"/>
        </w:rPr>
        <w:t>/</w:t>
      </w:r>
      <w:r>
        <w:rPr>
          <w:rFonts w:hint="eastAsia" w:ascii="Times New Roman" w:hAnsi="Times New Roman"/>
          <w:sz w:val="24"/>
          <w:szCs w:val="24"/>
        </w:rPr>
        <w:t>d。生活污水通过罐车运至双鸭山市城市污水处理厂处理后达到《城镇污水处理厂污染物排放标准》（GB18918-2002）一级A标准后排放。</w:t>
      </w:r>
    </w:p>
    <w:p>
      <w:pPr>
        <w:widowControl/>
        <w:spacing w:line="480" w:lineRule="exact"/>
        <w:ind w:firstLine="480" w:firstLineChars="200"/>
        <w:rPr>
          <w:rFonts w:ascii="Times New Roman" w:hAnsi="Times New Roman"/>
          <w:sz w:val="24"/>
          <w:szCs w:val="24"/>
        </w:rPr>
      </w:pPr>
      <w:r>
        <w:rPr>
          <w:rFonts w:ascii="Times New Roman" w:hAnsi="Times New Roman"/>
          <w:sz w:val="24"/>
          <w:szCs w:val="24"/>
        </w:rPr>
        <w:t>本项目废水、固废泄露可能会对地下水造成不利影响，本次评价重点分析地下水污染防治措施的可行性及对周边地下水环境的影响。</w:t>
      </w:r>
    </w:p>
    <w:p>
      <w:pPr>
        <w:pStyle w:val="4"/>
        <w:spacing w:before="120" w:beforeLines="50" w:after="120" w:afterLines="50" w:line="480" w:lineRule="exact"/>
        <w:rPr>
          <w:rFonts w:ascii="Times New Roman" w:hAnsi="Times New Roman" w:eastAsia="黑体"/>
          <w:kern w:val="2"/>
          <w:sz w:val="28"/>
          <w:szCs w:val="32"/>
        </w:rPr>
      </w:pPr>
      <w:bookmarkStart w:id="84" w:name="_Toc20112"/>
      <w:r>
        <w:rPr>
          <w:rFonts w:ascii="Times New Roman" w:hAnsi="Times New Roman" w:eastAsia="黑体"/>
          <w:kern w:val="2"/>
          <w:sz w:val="28"/>
          <w:szCs w:val="32"/>
        </w:rPr>
        <w:t>废气</w:t>
      </w:r>
      <w:bookmarkEnd w:id="82"/>
      <w:bookmarkEnd w:id="83"/>
      <w:bookmarkEnd w:id="84"/>
    </w:p>
    <w:p>
      <w:pPr>
        <w:widowControl/>
        <w:spacing w:line="480" w:lineRule="exact"/>
        <w:ind w:firstLine="480" w:firstLineChars="200"/>
        <w:rPr>
          <w:rFonts w:ascii="Times New Roman" w:hAnsi="Times New Roman"/>
          <w:sz w:val="24"/>
          <w:szCs w:val="24"/>
        </w:rPr>
      </w:pPr>
      <w:r>
        <w:rPr>
          <w:rFonts w:ascii="Times New Roman" w:hAnsi="Times New Roman"/>
          <w:sz w:val="24"/>
          <w:szCs w:val="24"/>
        </w:rPr>
        <w:t>医疗废物无害化处置设备产生的废气经粉尘阻拦干燥器+低温等离子废气净化器处理后通过 15m 高排气筒</w:t>
      </w:r>
      <w:r>
        <w:rPr>
          <w:rFonts w:hint="eastAsia" w:ascii="Times New Roman" w:hAnsi="Times New Roman"/>
          <w:sz w:val="24"/>
          <w:szCs w:val="24"/>
        </w:rPr>
        <w:t>（D</w:t>
      </w:r>
      <w:r>
        <w:rPr>
          <w:rFonts w:ascii="Times New Roman" w:hAnsi="Times New Roman"/>
          <w:sz w:val="24"/>
          <w:szCs w:val="24"/>
        </w:rPr>
        <w:t>A002</w:t>
      </w:r>
      <w:r>
        <w:rPr>
          <w:rFonts w:hint="eastAsia" w:ascii="Times New Roman" w:hAnsi="Times New Roman"/>
          <w:sz w:val="24"/>
          <w:szCs w:val="24"/>
        </w:rPr>
        <w:t>）</w:t>
      </w:r>
      <w:r>
        <w:rPr>
          <w:rFonts w:ascii="Times New Roman" w:hAnsi="Times New Roman"/>
          <w:sz w:val="24"/>
          <w:szCs w:val="24"/>
        </w:rPr>
        <w:t>排放。医疗废物处置间、医疗废物暂存间(冷库) 、转运车消毒间和周转箱消毒间封闭、微负压设计，室内换出的空气经活性炭吸附装置处理后通过15m高排气筒</w:t>
      </w:r>
      <w:r>
        <w:rPr>
          <w:rFonts w:hint="eastAsia" w:ascii="Times New Roman" w:hAnsi="Times New Roman"/>
          <w:sz w:val="24"/>
          <w:szCs w:val="24"/>
        </w:rPr>
        <w:t>（D</w:t>
      </w:r>
      <w:r>
        <w:rPr>
          <w:rFonts w:ascii="Times New Roman" w:hAnsi="Times New Roman"/>
          <w:sz w:val="24"/>
          <w:szCs w:val="24"/>
        </w:rPr>
        <w:t>A001</w:t>
      </w:r>
      <w:r>
        <w:rPr>
          <w:rFonts w:hint="eastAsia" w:ascii="Times New Roman" w:hAnsi="Times New Roman"/>
          <w:sz w:val="24"/>
          <w:szCs w:val="24"/>
        </w:rPr>
        <w:t>）</w:t>
      </w:r>
      <w:r>
        <w:rPr>
          <w:rFonts w:ascii="Times New Roman" w:hAnsi="Times New Roman"/>
          <w:sz w:val="24"/>
          <w:szCs w:val="24"/>
        </w:rPr>
        <w:t>排放。</w:t>
      </w:r>
      <w:r>
        <w:rPr>
          <w:rFonts w:hint="eastAsia" w:ascii="Times New Roman" w:hAnsi="Times New Roman"/>
          <w:sz w:val="24"/>
          <w:szCs w:val="24"/>
          <w:highlight w:val="yellow"/>
        </w:rPr>
        <w:t>污水处理站废气经除臭塔吸附处理后通过1</w:t>
      </w:r>
      <w:r>
        <w:rPr>
          <w:rFonts w:ascii="Times New Roman" w:hAnsi="Times New Roman"/>
          <w:sz w:val="24"/>
          <w:szCs w:val="24"/>
          <w:highlight w:val="yellow"/>
        </w:rPr>
        <w:t>5</w:t>
      </w:r>
      <w:r>
        <w:rPr>
          <w:rFonts w:hint="eastAsia" w:ascii="Times New Roman" w:hAnsi="Times New Roman"/>
          <w:sz w:val="24"/>
          <w:szCs w:val="24"/>
          <w:highlight w:val="yellow"/>
        </w:rPr>
        <w:t>m高排气筒（D</w:t>
      </w:r>
      <w:r>
        <w:rPr>
          <w:rFonts w:ascii="Times New Roman" w:hAnsi="Times New Roman"/>
          <w:sz w:val="24"/>
          <w:szCs w:val="24"/>
          <w:highlight w:val="yellow"/>
        </w:rPr>
        <w:t>A003</w:t>
      </w:r>
      <w:r>
        <w:rPr>
          <w:rFonts w:hint="eastAsia" w:ascii="Times New Roman" w:hAnsi="Times New Roman"/>
          <w:sz w:val="24"/>
          <w:szCs w:val="24"/>
          <w:highlight w:val="yellow"/>
        </w:rPr>
        <w:t>）排放。</w:t>
      </w:r>
      <w:bookmarkStart w:id="85" w:name="_Hlk118287923"/>
      <w:r>
        <w:rPr>
          <w:rFonts w:ascii="Times New Roman" w:hAnsi="Times New Roman"/>
          <w:sz w:val="24"/>
          <w:szCs w:val="24"/>
        </w:rPr>
        <w:t>硫化氢、氨气、臭气浓度满足《恶臭污染物排放标准》（GB14554-93）标准要求，非甲烷总烃、颗粒物、满足《大气污染物综合排放标准》（GB16297-1996）表2中二级标准。消毒处理设施15m高排气筒排放的非甲烷总烃满足《医疗废物处理处置污染控制标准》（GB39707-2020）中20 mg/m</w:t>
      </w:r>
      <w:r>
        <w:rPr>
          <w:rFonts w:ascii="Times New Roman" w:hAnsi="Times New Roman"/>
          <w:sz w:val="24"/>
          <w:szCs w:val="24"/>
          <w:vertAlign w:val="superscript"/>
        </w:rPr>
        <w:t>3</w:t>
      </w:r>
      <w:r>
        <w:rPr>
          <w:rFonts w:ascii="Times New Roman" w:hAnsi="Times New Roman"/>
          <w:sz w:val="24"/>
          <w:szCs w:val="24"/>
        </w:rPr>
        <w:t>限值要求。本项目导热油炉燃料为轻质柴油，为清洁燃料，经工程分析可知， SO</w:t>
      </w:r>
      <w:r>
        <w:rPr>
          <w:rFonts w:ascii="Times New Roman" w:hAnsi="Times New Roman"/>
          <w:sz w:val="24"/>
          <w:szCs w:val="24"/>
          <w:vertAlign w:val="subscript"/>
        </w:rPr>
        <w:t>2</w:t>
      </w:r>
      <w:r>
        <w:rPr>
          <w:rFonts w:ascii="Times New Roman" w:hAnsi="Times New Roman"/>
          <w:sz w:val="24"/>
          <w:szCs w:val="24"/>
        </w:rPr>
        <w:t>、烟尘、NO</w:t>
      </w:r>
      <w:r>
        <w:rPr>
          <w:rFonts w:ascii="Times New Roman" w:hAnsi="Times New Roman"/>
          <w:sz w:val="24"/>
          <w:szCs w:val="24"/>
          <w:vertAlign w:val="subscript"/>
        </w:rPr>
        <w:t>X</w:t>
      </w:r>
      <w:r>
        <w:rPr>
          <w:rFonts w:ascii="Times New Roman" w:hAnsi="Times New Roman"/>
          <w:sz w:val="24"/>
          <w:szCs w:val="24"/>
        </w:rPr>
        <w:t xml:space="preserve"> </w:t>
      </w:r>
      <w:r>
        <w:rPr>
          <w:rFonts w:hint="eastAsia" w:ascii="Times New Roman" w:hAnsi="Times New Roman"/>
          <w:sz w:val="24"/>
          <w:szCs w:val="24"/>
        </w:rPr>
        <w:t>、林格曼黑度</w:t>
      </w:r>
      <w:r>
        <w:rPr>
          <w:rFonts w:ascii="Times New Roman" w:hAnsi="Times New Roman"/>
          <w:sz w:val="24"/>
          <w:szCs w:val="24"/>
        </w:rPr>
        <w:t>产生量满足《锅炉大气污染物排放标准》(GB13271-2014)表2中燃油锅炉排放标准限值。</w:t>
      </w:r>
    </w:p>
    <w:bookmarkEnd w:id="85"/>
    <w:p>
      <w:pPr>
        <w:widowControl/>
        <w:spacing w:line="480" w:lineRule="exact"/>
        <w:ind w:firstLine="480" w:firstLineChars="200"/>
        <w:rPr>
          <w:rFonts w:ascii="Times New Roman" w:hAnsi="Times New Roman"/>
          <w:sz w:val="24"/>
          <w:szCs w:val="24"/>
        </w:rPr>
      </w:pPr>
      <w:r>
        <w:rPr>
          <w:rFonts w:ascii="Times New Roman" w:hAnsi="Times New Roman"/>
          <w:sz w:val="24"/>
          <w:szCs w:val="24"/>
        </w:rPr>
        <w:t>本次评价重点分析废气源强、治理措施的可行性及对周边大气环境的影响。</w:t>
      </w:r>
    </w:p>
    <w:p>
      <w:pPr>
        <w:pStyle w:val="4"/>
        <w:spacing w:before="120" w:beforeLines="50" w:after="120" w:afterLines="50" w:line="480" w:lineRule="exact"/>
        <w:rPr>
          <w:rFonts w:ascii="Times New Roman" w:hAnsi="Times New Roman" w:eastAsia="黑体"/>
          <w:kern w:val="2"/>
          <w:sz w:val="28"/>
          <w:szCs w:val="32"/>
        </w:rPr>
      </w:pPr>
      <w:bookmarkStart w:id="86" w:name="_Toc6424"/>
      <w:bookmarkStart w:id="87" w:name="_Toc9306"/>
      <w:bookmarkStart w:id="88" w:name="_Toc23800"/>
      <w:r>
        <w:rPr>
          <w:rFonts w:ascii="Times New Roman" w:hAnsi="Times New Roman" w:eastAsia="黑体"/>
          <w:kern w:val="2"/>
          <w:sz w:val="28"/>
          <w:szCs w:val="32"/>
        </w:rPr>
        <w:t>噪声</w:t>
      </w:r>
      <w:bookmarkEnd w:id="86"/>
      <w:bookmarkEnd w:id="87"/>
      <w:bookmarkEnd w:id="88"/>
    </w:p>
    <w:p>
      <w:pPr>
        <w:pStyle w:val="155"/>
        <w:spacing w:line="480" w:lineRule="exact"/>
        <w:ind w:firstLine="480"/>
      </w:pPr>
      <w:r>
        <w:t>本项目运营期噪声源主要为高温干热灭菌设备、水泵、风机等设备，对高噪声设备采取隔声、消声、减振等控制措施，其噪声强度在70~95dB（A）的范围内。选用低噪声设备，采用基础减震等措施，可使厂界噪声满足《工业企业厂界噪声排放标准》（GB12348-2008）2类标准要求。</w:t>
      </w:r>
      <w:bookmarkStart w:id="89" w:name="_Toc3014"/>
      <w:bookmarkStart w:id="90" w:name="_Toc21878"/>
      <w:r>
        <w:t>本次评价重点分析噪声控制措施的可行性及厂界的达标可行性。</w:t>
      </w:r>
    </w:p>
    <w:p>
      <w:pPr>
        <w:pStyle w:val="4"/>
        <w:spacing w:before="120" w:beforeLines="50" w:after="120" w:afterLines="50" w:line="480" w:lineRule="exact"/>
        <w:rPr>
          <w:rFonts w:ascii="Times New Roman" w:hAnsi="Times New Roman" w:eastAsia="黑体"/>
          <w:kern w:val="2"/>
          <w:sz w:val="28"/>
          <w:szCs w:val="32"/>
        </w:rPr>
      </w:pPr>
      <w:bookmarkStart w:id="91" w:name="_Toc3916"/>
      <w:r>
        <w:rPr>
          <w:rFonts w:ascii="Times New Roman" w:hAnsi="Times New Roman" w:eastAsia="黑体"/>
          <w:kern w:val="2"/>
          <w:sz w:val="28"/>
          <w:szCs w:val="32"/>
        </w:rPr>
        <w:t>固体废物</w:t>
      </w:r>
      <w:bookmarkEnd w:id="89"/>
      <w:bookmarkEnd w:id="90"/>
      <w:bookmarkEnd w:id="91"/>
    </w:p>
    <w:p>
      <w:pPr>
        <w:spacing w:before="242" w:line="343" w:lineRule="auto"/>
        <w:ind w:left="37" w:firstLine="561"/>
        <w:rPr>
          <w:rFonts w:ascii="Times New Roman" w:hAnsi="Times New Roman"/>
          <w:kern w:val="2"/>
          <w:sz w:val="24"/>
          <w:szCs w:val="20"/>
        </w:rPr>
      </w:pPr>
      <w:bookmarkStart w:id="92" w:name="_Toc1988"/>
      <w:bookmarkStart w:id="93" w:name="_Toc24634"/>
      <w:r>
        <w:rPr>
          <w:rFonts w:ascii="Times New Roman" w:hAnsi="Times New Roman"/>
          <w:kern w:val="2"/>
          <w:sz w:val="24"/>
          <w:szCs w:val="20"/>
        </w:rPr>
        <w:t>本项目固体废物包括处理后的医疗废物、生活垃圾、污水处理站栅渣和污泥、废活性炭</w:t>
      </w:r>
      <w:r>
        <w:rPr>
          <w:rFonts w:hint="eastAsia" w:ascii="Times New Roman" w:hAnsi="Times New Roman"/>
          <w:kern w:val="2"/>
          <w:sz w:val="24"/>
          <w:szCs w:val="20"/>
        </w:rPr>
        <w:t>和</w:t>
      </w:r>
      <w:r>
        <w:rPr>
          <w:rFonts w:ascii="Times New Roman" w:hAnsi="Times New Roman"/>
          <w:kern w:val="2"/>
          <w:sz w:val="24"/>
          <w:szCs w:val="20"/>
        </w:rPr>
        <w:t>废导热油，其中，生活垃圾</w:t>
      </w:r>
      <w:r>
        <w:rPr>
          <w:rFonts w:hint="eastAsia" w:ascii="Times New Roman" w:hAnsi="Times New Roman"/>
          <w:kern w:val="2"/>
          <w:sz w:val="24"/>
          <w:szCs w:val="20"/>
        </w:rPr>
        <w:t>属</w:t>
      </w:r>
      <w:r>
        <w:rPr>
          <w:rFonts w:ascii="Times New Roman" w:hAnsi="Times New Roman"/>
          <w:kern w:val="2"/>
          <w:sz w:val="24"/>
          <w:szCs w:val="20"/>
        </w:rPr>
        <w:t>于一般固体废物，生活垃圾交由双鸭山市生活垃圾</w:t>
      </w:r>
      <w:r>
        <w:rPr>
          <w:rFonts w:hint="eastAsia" w:ascii="Times New Roman" w:hAnsi="Times New Roman"/>
          <w:kern w:val="2"/>
          <w:sz w:val="24"/>
          <w:szCs w:val="20"/>
        </w:rPr>
        <w:t>填埋场进行处理</w:t>
      </w:r>
      <w:r>
        <w:rPr>
          <w:rFonts w:ascii="Times New Roman" w:hAnsi="Times New Roman"/>
          <w:kern w:val="2"/>
          <w:sz w:val="24"/>
          <w:szCs w:val="20"/>
        </w:rPr>
        <w:t>；</w:t>
      </w:r>
      <w:r>
        <w:rPr>
          <w:rFonts w:hint="eastAsia" w:ascii="Times New Roman" w:hAnsi="Times New Roman"/>
          <w:kern w:val="2"/>
          <w:sz w:val="24"/>
          <w:szCs w:val="20"/>
        </w:rPr>
        <w:t>处理后的医疗废物、</w:t>
      </w:r>
      <w:r>
        <w:rPr>
          <w:rFonts w:ascii="Times New Roman" w:hAnsi="Times New Roman"/>
          <w:kern w:val="2"/>
          <w:sz w:val="24"/>
          <w:szCs w:val="20"/>
        </w:rPr>
        <w:t>污水处理站栅渣和污泥、废活性炭</w:t>
      </w:r>
      <w:r>
        <w:rPr>
          <w:rFonts w:hint="eastAsia" w:ascii="Times New Roman" w:hAnsi="Times New Roman"/>
          <w:kern w:val="2"/>
          <w:sz w:val="24"/>
          <w:szCs w:val="20"/>
        </w:rPr>
        <w:t>和</w:t>
      </w:r>
      <w:r>
        <w:rPr>
          <w:rFonts w:ascii="Times New Roman" w:hAnsi="Times New Roman"/>
          <w:kern w:val="2"/>
          <w:sz w:val="24"/>
          <w:szCs w:val="20"/>
        </w:rPr>
        <w:t>废导热油属于危险废物，</w:t>
      </w:r>
      <w:r>
        <w:rPr>
          <w:rFonts w:hint="eastAsia" w:ascii="Times New Roman" w:hAnsi="Times New Roman"/>
          <w:kern w:val="2"/>
          <w:sz w:val="24"/>
          <w:szCs w:val="20"/>
        </w:rPr>
        <w:t>依据《关于感染性和损伤性废物豁免认定有关事项的复函》（环办固体函【2</w:t>
      </w:r>
      <w:r>
        <w:rPr>
          <w:rFonts w:ascii="Times New Roman" w:hAnsi="Times New Roman"/>
          <w:kern w:val="2"/>
          <w:sz w:val="24"/>
          <w:szCs w:val="20"/>
        </w:rPr>
        <w:t>019</w:t>
      </w:r>
      <w:r>
        <w:rPr>
          <w:rFonts w:hint="eastAsia" w:ascii="Times New Roman" w:hAnsi="Times New Roman"/>
          <w:kern w:val="2"/>
          <w:sz w:val="24"/>
          <w:szCs w:val="20"/>
        </w:rPr>
        <w:t>】1</w:t>
      </w:r>
      <w:r>
        <w:rPr>
          <w:rFonts w:ascii="Times New Roman" w:hAnsi="Times New Roman"/>
          <w:kern w:val="2"/>
          <w:sz w:val="24"/>
          <w:szCs w:val="20"/>
        </w:rPr>
        <w:t>05</w:t>
      </w:r>
      <w:r>
        <w:rPr>
          <w:rFonts w:hint="eastAsia" w:ascii="Times New Roman" w:hAnsi="Times New Roman"/>
          <w:kern w:val="2"/>
          <w:sz w:val="24"/>
          <w:szCs w:val="20"/>
        </w:rPr>
        <w:t>号），感染性废物（废物代码为</w:t>
      </w:r>
      <w:r>
        <w:rPr>
          <w:rFonts w:ascii="Times New Roman" w:hAnsi="Times New Roman"/>
          <w:kern w:val="2"/>
          <w:sz w:val="24"/>
          <w:szCs w:val="20"/>
        </w:rPr>
        <w:t>831-001-01）和损伤性废物（废物代码为831-002-01）按照《医疗废物高温蒸汽集中处理工程技术规范（试行）》（HJ/T 276-2006）、《医疗废物化学消毒集中处理工程技术规范（试行）》（HJ/T 228-2006）或《医疗废物微波消毒集中处理工程技术规范（试行）》（HJ/T 229-2006）进行处理后，仍属于危险废物；处理后的废物进入生活垃圾填埋场填埋处置或进入生活垃圾填埋场焚烧处置，处置过程不按危险废物管理。</w:t>
      </w:r>
      <w:r>
        <w:rPr>
          <w:rFonts w:hint="eastAsia" w:ascii="Times New Roman" w:hAnsi="Times New Roman"/>
          <w:kern w:val="2"/>
          <w:sz w:val="24"/>
          <w:szCs w:val="20"/>
        </w:rPr>
        <w:t>本项目处理后的医疗废物与生活垃圾一起交由双鸭山市生活垃圾填埋场进行处理。</w:t>
      </w:r>
      <w:r>
        <w:rPr>
          <w:rFonts w:ascii="Times New Roman" w:hAnsi="Times New Roman"/>
          <w:kern w:val="2"/>
          <w:sz w:val="24"/>
          <w:szCs w:val="20"/>
        </w:rPr>
        <w:t>污水处理站栅渣(石灰消毒后)、 废活性炭</w:t>
      </w:r>
      <w:r>
        <w:rPr>
          <w:rFonts w:hint="eastAsia" w:ascii="Times New Roman" w:hAnsi="Times New Roman"/>
          <w:kern w:val="2"/>
          <w:sz w:val="24"/>
          <w:szCs w:val="20"/>
        </w:rPr>
        <w:t>和</w:t>
      </w:r>
      <w:r>
        <w:rPr>
          <w:rFonts w:ascii="Times New Roman" w:hAnsi="Times New Roman"/>
          <w:kern w:val="2"/>
          <w:sz w:val="24"/>
          <w:szCs w:val="20"/>
        </w:rPr>
        <w:t>废导热油，在企业原有 1 座危险废物暂存间内暂存，交由黑龙江京盛华环保科技有限公司进行处置，污水处理站污泥在污泥池暂存，石灰消毒后交由有黑龙江京盛华环保科技有限公司处置。</w:t>
      </w:r>
    </w:p>
    <w:p>
      <w:pPr>
        <w:pStyle w:val="4"/>
        <w:spacing w:before="120" w:beforeLines="50" w:after="120" w:afterLines="50" w:line="480" w:lineRule="exact"/>
        <w:rPr>
          <w:rFonts w:ascii="Times New Roman" w:hAnsi="Times New Roman" w:eastAsia="黑体"/>
          <w:kern w:val="2"/>
          <w:sz w:val="28"/>
          <w:szCs w:val="32"/>
        </w:rPr>
      </w:pPr>
      <w:r>
        <w:rPr>
          <w:rFonts w:ascii="Times New Roman" w:hAnsi="Times New Roman" w:eastAsia="黑体"/>
          <w:kern w:val="2"/>
          <w:sz w:val="28"/>
          <w:szCs w:val="32"/>
        </w:rPr>
        <w:t>土壤</w:t>
      </w:r>
      <w:bookmarkEnd w:id="92"/>
      <w:bookmarkEnd w:id="93"/>
    </w:p>
    <w:p>
      <w:pPr>
        <w:pStyle w:val="155"/>
        <w:spacing w:line="480" w:lineRule="exact"/>
        <w:ind w:firstLine="480"/>
        <w:rPr>
          <w:szCs w:val="24"/>
        </w:rPr>
      </w:pPr>
      <w:r>
        <w:t>本项目建设地点位于</w:t>
      </w:r>
      <w:r>
        <w:rPr>
          <w:szCs w:val="24"/>
        </w:rPr>
        <w:t>双鸭山市四方台梨花盖子沟垃圾处理场院内</w:t>
      </w:r>
      <w:r>
        <w:t>，现有工程用地性质为工业用地。本次扩建项目不新增占地，不改变用地性质。项目垂直入渗可能会对土壤环境造成不利影响，本次评价重点分析土壤污染防治措施的可行性及对周边土壤环境的影响。</w:t>
      </w:r>
    </w:p>
    <w:p>
      <w:pPr>
        <w:pStyle w:val="4"/>
        <w:spacing w:before="120" w:beforeLines="50" w:after="120" w:afterLines="50" w:line="480" w:lineRule="exact"/>
        <w:rPr>
          <w:rFonts w:ascii="Times New Roman" w:hAnsi="Times New Roman" w:eastAsia="黑体"/>
          <w:kern w:val="2"/>
          <w:sz w:val="28"/>
          <w:szCs w:val="32"/>
        </w:rPr>
      </w:pPr>
      <w:bookmarkStart w:id="94" w:name="_Toc14390"/>
      <w:bookmarkStart w:id="95" w:name="_Toc30549"/>
      <w:bookmarkStart w:id="96" w:name="_Toc32240"/>
      <w:r>
        <w:rPr>
          <w:rFonts w:ascii="Times New Roman" w:hAnsi="Times New Roman" w:eastAsia="黑体"/>
          <w:kern w:val="2"/>
          <w:sz w:val="28"/>
          <w:szCs w:val="32"/>
        </w:rPr>
        <w:t>环境风险</w:t>
      </w:r>
      <w:bookmarkEnd w:id="94"/>
      <w:bookmarkEnd w:id="95"/>
      <w:bookmarkEnd w:id="96"/>
    </w:p>
    <w:p>
      <w:pPr>
        <w:pStyle w:val="155"/>
        <w:spacing w:line="480" w:lineRule="exact"/>
        <w:ind w:firstLine="480"/>
      </w:pPr>
      <w:r>
        <w:t>针对本项目涉及的危险物质的化学性质，结合生产设备、物料性质及其潜在的危险性，分析本项目各单元的安全监督重点部位、易发生事故环节和可能引发的事故后果及对保护目标的影响程度，并提出防范措施和对策。</w:t>
      </w:r>
    </w:p>
    <w:p>
      <w:pPr>
        <w:pStyle w:val="3"/>
        <w:spacing w:before="120" w:beforeLines="50" w:after="120" w:afterLines="50" w:line="480" w:lineRule="exact"/>
        <w:ind w:left="-11"/>
        <w:rPr>
          <w:rFonts w:ascii="Times New Roman" w:hAnsi="Times New Roman" w:eastAsia="黑体"/>
          <w:sz w:val="30"/>
          <w:szCs w:val="30"/>
        </w:rPr>
      </w:pPr>
      <w:bookmarkStart w:id="97" w:name="_Toc116379694"/>
      <w:r>
        <w:rPr>
          <w:rFonts w:ascii="Times New Roman" w:hAnsi="Times New Roman" w:eastAsia="黑体"/>
          <w:sz w:val="30"/>
          <w:szCs w:val="30"/>
        </w:rPr>
        <w:t>环境影响评价的主要结论</w:t>
      </w:r>
      <w:bookmarkEnd w:id="97"/>
    </w:p>
    <w:p>
      <w:pPr>
        <w:pStyle w:val="155"/>
        <w:spacing w:line="480" w:lineRule="exact"/>
        <w:ind w:firstLine="480"/>
      </w:pPr>
      <w:r>
        <w:t>本项目建设符合国家产业政策，符合选址要求。本项目采取了清洁生产及节能减排，以及源头削减、过程控制和末端治理等各种环保措施，排放的废气、废水等均满足排放限值要求，固体废物的处理处置符合“减量化、资源化、无害化”原则，污染物排放满足总量控制要求，项目实施后多项指标达国际国内先进水平，经济效益、社会效益和环境效益明显。项目的建设对周围环境敏感目标的影响较小；采取合理可行的防渗措施对地下水影响较小；在采取相应的环境风险防范和应急管理措施后，环境风险和健康风险处于可接受水平。</w:t>
      </w:r>
    </w:p>
    <w:p>
      <w:pPr>
        <w:pStyle w:val="155"/>
        <w:spacing w:line="480" w:lineRule="exact"/>
        <w:ind w:firstLine="480"/>
      </w:pPr>
      <w:r>
        <w:t>综上，本项目落实报告书提出的环境保护、环境风险防范及应急管理措施后，工程建设对环境的不利影响可以得到控制。项目建设可行。</w:t>
      </w:r>
    </w:p>
    <w:p>
      <w:pPr>
        <w:pStyle w:val="155"/>
        <w:spacing w:line="480" w:lineRule="exact"/>
        <w:ind w:firstLine="0" w:firstLineChars="0"/>
        <w:rPr>
          <w:shd w:val="clear" w:color="FFFFFF" w:fill="D9D9D9"/>
        </w:rPr>
        <w:sectPr>
          <w:pgSz w:w="11906" w:h="16838"/>
          <w:pgMar w:top="1440" w:right="1797" w:bottom="1440" w:left="1797" w:header="851" w:footer="850" w:gutter="0"/>
          <w:pgNumType w:start="1"/>
          <w:cols w:space="720" w:num="1"/>
          <w:docGrid w:linePitch="312" w:charSpace="0"/>
        </w:sectPr>
      </w:pPr>
    </w:p>
    <w:bookmarkEnd w:id="21"/>
    <w:p>
      <w:pPr>
        <w:pStyle w:val="2"/>
        <w:numPr>
          <w:ilvl w:val="0"/>
          <w:numId w:val="2"/>
        </w:numPr>
        <w:ind w:left="0"/>
        <w:jc w:val="both"/>
        <w:rPr>
          <w:color w:val="auto"/>
        </w:rPr>
      </w:pPr>
      <w:bookmarkStart w:id="98" w:name="_Toc267993600"/>
      <w:bookmarkStart w:id="99" w:name="_Toc116379695"/>
      <w:bookmarkStart w:id="100" w:name="_Toc267908722"/>
      <w:bookmarkStart w:id="101" w:name="_Toc265485530"/>
      <w:r>
        <w:rPr>
          <w:color w:val="auto"/>
        </w:rPr>
        <w:t>总</w:t>
      </w:r>
      <w:bookmarkEnd w:id="98"/>
      <w:r>
        <w:rPr>
          <w:color w:val="auto"/>
        </w:rPr>
        <w:t>则</w:t>
      </w:r>
      <w:bookmarkEnd w:id="99"/>
    </w:p>
    <w:p>
      <w:pPr>
        <w:pStyle w:val="3"/>
        <w:spacing w:before="120" w:beforeLines="50" w:after="120" w:afterLines="50" w:line="480" w:lineRule="exact"/>
        <w:ind w:left="-11"/>
        <w:rPr>
          <w:rFonts w:ascii="Times New Roman" w:hAnsi="Times New Roman" w:eastAsia="黑体"/>
          <w:sz w:val="30"/>
          <w:szCs w:val="30"/>
        </w:rPr>
      </w:pPr>
      <w:bookmarkStart w:id="102" w:name="_Toc291021128"/>
      <w:bookmarkStart w:id="103" w:name="_Toc116379696"/>
      <w:r>
        <w:rPr>
          <w:rFonts w:ascii="Times New Roman" w:hAnsi="Times New Roman" w:eastAsia="黑体"/>
          <w:sz w:val="30"/>
          <w:szCs w:val="30"/>
        </w:rPr>
        <w:t>评价目的</w:t>
      </w:r>
      <w:bookmarkEnd w:id="102"/>
      <w:r>
        <w:rPr>
          <w:rFonts w:ascii="Times New Roman" w:hAnsi="Times New Roman" w:eastAsia="黑体"/>
          <w:sz w:val="30"/>
          <w:szCs w:val="30"/>
        </w:rPr>
        <w:t>与原则</w:t>
      </w:r>
      <w:bookmarkEnd w:id="103"/>
    </w:p>
    <w:p>
      <w:pPr>
        <w:pStyle w:val="4"/>
        <w:spacing w:before="120" w:beforeLines="50" w:after="120" w:afterLines="50" w:line="480" w:lineRule="exact"/>
        <w:rPr>
          <w:rFonts w:ascii="Times New Roman" w:hAnsi="Times New Roman" w:eastAsia="黑体"/>
          <w:kern w:val="2"/>
          <w:sz w:val="28"/>
          <w:szCs w:val="32"/>
        </w:rPr>
      </w:pPr>
      <w:bookmarkStart w:id="104" w:name="_Toc532556564"/>
      <w:bookmarkStart w:id="105" w:name="_Toc480190413"/>
      <w:bookmarkStart w:id="106" w:name="_Toc26187986"/>
      <w:bookmarkStart w:id="107" w:name="_Toc486970335"/>
      <w:bookmarkStart w:id="108" w:name="_Toc29995"/>
      <w:bookmarkStart w:id="109" w:name="_Toc480983794"/>
      <w:bookmarkStart w:id="110" w:name="_Toc534537579"/>
      <w:bookmarkStart w:id="111" w:name="_Toc527205691"/>
      <w:bookmarkStart w:id="112" w:name="_Toc1236"/>
      <w:bookmarkStart w:id="113" w:name="_Toc28507"/>
      <w:bookmarkStart w:id="114" w:name="_Toc14709"/>
      <w:bookmarkStart w:id="115" w:name="_Toc535348418"/>
      <w:bookmarkStart w:id="116" w:name="_Toc27134262"/>
      <w:bookmarkStart w:id="117" w:name="_Toc9843772"/>
      <w:bookmarkStart w:id="118" w:name="_Toc14171"/>
      <w:bookmarkStart w:id="119" w:name="_Toc535168864"/>
      <w:bookmarkStart w:id="120" w:name="_Toc497228789"/>
      <w:bookmarkStart w:id="121" w:name="_Toc482020576"/>
      <w:bookmarkStart w:id="122" w:name="_Toc530655924"/>
      <w:bookmarkStart w:id="123" w:name="_Toc487111462"/>
      <w:r>
        <w:rPr>
          <w:rFonts w:ascii="Times New Roman" w:hAnsi="Times New Roman" w:eastAsia="黑体"/>
          <w:kern w:val="2"/>
          <w:sz w:val="28"/>
          <w:szCs w:val="32"/>
        </w:rPr>
        <w:t>评价目的</w:t>
      </w:r>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p>
    <w:p>
      <w:pPr>
        <w:autoSpaceDE w:val="0"/>
        <w:autoSpaceDN w:val="0"/>
        <w:adjustRightInd w:val="0"/>
        <w:snapToGrid w:val="0"/>
        <w:spacing w:line="480" w:lineRule="exact"/>
        <w:ind w:firstLine="480" w:firstLineChars="200"/>
        <w:rPr>
          <w:rFonts w:ascii="Times New Roman" w:hAnsi="Times New Roman"/>
          <w:sz w:val="24"/>
          <w:lang w:val="zh-CN"/>
        </w:rPr>
      </w:pPr>
      <w:r>
        <w:rPr>
          <w:rFonts w:ascii="Times New Roman" w:hAnsi="Times New Roman"/>
          <w:sz w:val="24"/>
          <w:lang w:val="zh-CN"/>
        </w:rPr>
        <w:t>通过对项目生产工艺、污染因素及治理措施的分析，确定本项目主要污染物的产生环节、产生量及工程应采取的污染防治措施；在环境现状监测的基础上，分析本项目对环境的影响范围和程度，论证项目建设与国家产业政策的符合性及厂址选择的环境可行性，提出污染物总量控制措施及减轻或防治污染的建议，为决策部门提供管理与决策的科学依据。</w:t>
      </w:r>
    </w:p>
    <w:p>
      <w:pPr>
        <w:pStyle w:val="4"/>
        <w:spacing w:before="120" w:beforeLines="50" w:after="120" w:afterLines="50" w:line="480" w:lineRule="exact"/>
        <w:rPr>
          <w:rFonts w:ascii="Times New Roman" w:hAnsi="Times New Roman" w:eastAsia="黑体"/>
          <w:kern w:val="2"/>
          <w:sz w:val="28"/>
          <w:szCs w:val="32"/>
        </w:rPr>
      </w:pPr>
      <w:bookmarkStart w:id="124" w:name="_Toc312"/>
      <w:bookmarkStart w:id="125" w:name="_Toc9843773"/>
      <w:bookmarkStart w:id="126" w:name="_Toc487111463"/>
      <w:bookmarkStart w:id="127" w:name="_Toc535348419"/>
      <w:bookmarkStart w:id="128" w:name="_Toc527205692"/>
      <w:bookmarkStart w:id="129" w:name="_Toc480190414"/>
      <w:bookmarkStart w:id="130" w:name="_Toc535168865"/>
      <w:bookmarkStart w:id="131" w:name="_Toc10242"/>
      <w:bookmarkStart w:id="132" w:name="_Toc28828"/>
      <w:bookmarkStart w:id="133" w:name="_Toc15124"/>
      <w:bookmarkStart w:id="134" w:name="_Toc16040"/>
      <w:bookmarkStart w:id="135" w:name="_Toc27134263"/>
      <w:bookmarkStart w:id="136" w:name="_Toc482020577"/>
      <w:bookmarkStart w:id="137" w:name="_Toc530655925"/>
      <w:bookmarkStart w:id="138" w:name="_Toc532556565"/>
      <w:bookmarkStart w:id="139" w:name="_Toc26187987"/>
      <w:bookmarkStart w:id="140" w:name="_Toc534537580"/>
      <w:bookmarkStart w:id="141" w:name="_Toc486970336"/>
      <w:bookmarkStart w:id="142" w:name="_Toc497228790"/>
      <w:bookmarkStart w:id="143" w:name="_Toc480983795"/>
      <w:r>
        <w:rPr>
          <w:rFonts w:ascii="Times New Roman" w:hAnsi="Times New Roman" w:eastAsia="黑体"/>
          <w:kern w:val="2"/>
          <w:sz w:val="28"/>
          <w:szCs w:val="32"/>
        </w:rPr>
        <w:t>评价原则</w:t>
      </w:r>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p>
    <w:p>
      <w:pPr>
        <w:autoSpaceDE w:val="0"/>
        <w:autoSpaceDN w:val="0"/>
        <w:adjustRightInd w:val="0"/>
        <w:snapToGrid w:val="0"/>
        <w:spacing w:line="480" w:lineRule="exact"/>
        <w:ind w:firstLine="480" w:firstLineChars="200"/>
        <w:rPr>
          <w:rFonts w:ascii="Times New Roman" w:hAnsi="Times New Roman"/>
          <w:sz w:val="24"/>
          <w:lang w:val="zh-CN"/>
        </w:rPr>
      </w:pPr>
      <w:r>
        <w:rPr>
          <w:rFonts w:ascii="Times New Roman" w:hAnsi="Times New Roman"/>
          <w:sz w:val="24"/>
          <w:lang w:val="zh-CN"/>
        </w:rPr>
        <w:t>（1）依法评价：贯彻执行我国环境保护相关法律法规、标准、政策和规划等，优化项目建设，服务环境管理。</w:t>
      </w:r>
    </w:p>
    <w:p>
      <w:pPr>
        <w:autoSpaceDE w:val="0"/>
        <w:autoSpaceDN w:val="0"/>
        <w:adjustRightInd w:val="0"/>
        <w:snapToGrid w:val="0"/>
        <w:spacing w:line="480" w:lineRule="exact"/>
        <w:ind w:firstLine="480" w:firstLineChars="200"/>
        <w:rPr>
          <w:rFonts w:ascii="Times New Roman" w:hAnsi="Times New Roman"/>
          <w:sz w:val="24"/>
          <w:lang w:val="zh-CN"/>
        </w:rPr>
      </w:pPr>
      <w:r>
        <w:rPr>
          <w:rFonts w:ascii="Times New Roman" w:hAnsi="Times New Roman"/>
          <w:sz w:val="24"/>
          <w:lang w:val="zh-CN"/>
        </w:rPr>
        <w:t>（2）科学评价：规范环境影响评价方法，科学分析项目建设对环境质量的影响。</w:t>
      </w:r>
    </w:p>
    <w:p>
      <w:pPr>
        <w:autoSpaceDE w:val="0"/>
        <w:autoSpaceDN w:val="0"/>
        <w:adjustRightInd w:val="0"/>
        <w:snapToGrid w:val="0"/>
        <w:spacing w:line="480" w:lineRule="exact"/>
        <w:ind w:firstLine="480" w:firstLineChars="200"/>
        <w:rPr>
          <w:rFonts w:ascii="Times New Roman" w:hAnsi="Times New Roman"/>
          <w:sz w:val="24"/>
          <w:lang w:val="zh-CN"/>
        </w:rPr>
      </w:pPr>
      <w:r>
        <w:rPr>
          <w:rFonts w:ascii="Times New Roman" w:hAnsi="Times New Roman"/>
          <w:sz w:val="24"/>
          <w:lang w:val="zh-CN"/>
        </w:rPr>
        <w:t>（3）突出重点：根据建设项目的工程内容及其特点，明确与环境要素间的作用效应关系，根据规划环境影响评价结论和审查意见，充分利用符合时效的数据资料及成果，对建设项目主要环境影响予以重点分析和评价。</w:t>
      </w:r>
    </w:p>
    <w:bookmarkEnd w:id="100"/>
    <w:bookmarkEnd w:id="101"/>
    <w:p>
      <w:pPr>
        <w:pStyle w:val="3"/>
        <w:spacing w:before="120" w:beforeLines="50" w:after="120" w:afterLines="50" w:line="480" w:lineRule="exact"/>
        <w:ind w:left="-11"/>
        <w:rPr>
          <w:rFonts w:ascii="Times New Roman" w:hAnsi="Times New Roman" w:eastAsia="黑体"/>
          <w:sz w:val="30"/>
          <w:szCs w:val="30"/>
        </w:rPr>
      </w:pPr>
      <w:bookmarkStart w:id="144" w:name="_Toc116379697"/>
      <w:bookmarkStart w:id="145" w:name="_Toc267908723"/>
      <w:bookmarkStart w:id="146" w:name="_Toc265485532"/>
      <w:bookmarkStart w:id="147" w:name="_Toc267993601"/>
      <w:bookmarkStart w:id="148" w:name="_Toc265485531"/>
      <w:r>
        <w:rPr>
          <w:rFonts w:ascii="Times New Roman" w:hAnsi="Times New Roman" w:eastAsia="黑体"/>
          <w:sz w:val="30"/>
          <w:szCs w:val="30"/>
        </w:rPr>
        <w:t>编制依据</w:t>
      </w:r>
      <w:bookmarkEnd w:id="144"/>
      <w:bookmarkEnd w:id="145"/>
      <w:bookmarkEnd w:id="146"/>
    </w:p>
    <w:bookmarkEnd w:id="147"/>
    <w:bookmarkEnd w:id="148"/>
    <w:p>
      <w:pPr>
        <w:pStyle w:val="4"/>
        <w:spacing w:before="120" w:beforeLines="50" w:after="120" w:afterLines="50" w:line="480" w:lineRule="exact"/>
        <w:rPr>
          <w:rFonts w:ascii="Times New Roman" w:hAnsi="Times New Roman" w:eastAsia="黑体"/>
          <w:kern w:val="2"/>
          <w:sz w:val="28"/>
          <w:szCs w:val="32"/>
        </w:rPr>
      </w:pPr>
      <w:bookmarkStart w:id="149" w:name="_Toc27134265"/>
      <w:bookmarkStart w:id="150" w:name="_Toc466271336"/>
      <w:bookmarkStart w:id="151" w:name="_Toc480190416"/>
      <w:bookmarkStart w:id="152" w:name="_Toc26187989"/>
      <w:bookmarkStart w:id="153" w:name="_Toc409529899"/>
      <w:bookmarkStart w:id="154" w:name="_Toc486970338"/>
      <w:bookmarkStart w:id="155" w:name="_Toc409529699"/>
      <w:bookmarkStart w:id="156" w:name="_Toc1545"/>
      <w:bookmarkStart w:id="157" w:name="_Toc406771977"/>
      <w:bookmarkStart w:id="158" w:name="_Toc458063806"/>
      <w:bookmarkStart w:id="159" w:name="_Toc453708900"/>
      <w:bookmarkStart w:id="160" w:name="_Toc464036638"/>
      <w:bookmarkStart w:id="161" w:name="_Toc347586094"/>
      <w:bookmarkStart w:id="162" w:name="_Toc530655927"/>
      <w:bookmarkStart w:id="163" w:name="_Toc535168867"/>
      <w:bookmarkStart w:id="164" w:name="_Toc480983797"/>
      <w:bookmarkStart w:id="165" w:name="_Toc347495221"/>
      <w:bookmarkStart w:id="166" w:name="_Toc406572435"/>
      <w:bookmarkStart w:id="167" w:name="_Toc497228792"/>
      <w:bookmarkStart w:id="168" w:name="_Toc532556567"/>
      <w:bookmarkStart w:id="169" w:name="_Toc416966842"/>
      <w:bookmarkStart w:id="170" w:name="_Toc482020579"/>
      <w:bookmarkStart w:id="171" w:name="_Toc527205694"/>
      <w:bookmarkStart w:id="172" w:name="_Toc534537582"/>
      <w:bookmarkStart w:id="173" w:name="_Toc9843775"/>
      <w:bookmarkStart w:id="174" w:name="_Toc1297"/>
      <w:bookmarkStart w:id="175" w:name="_Toc407350212"/>
      <w:bookmarkStart w:id="176" w:name="_Toc5772"/>
      <w:bookmarkStart w:id="177" w:name="_Toc32045"/>
      <w:bookmarkStart w:id="178" w:name="_Toc9260"/>
      <w:bookmarkStart w:id="179" w:name="_Toc487111465"/>
      <w:bookmarkStart w:id="180" w:name="_Toc535348421"/>
      <w:bookmarkStart w:id="181" w:name="_Toc458063595"/>
      <w:r>
        <w:rPr>
          <w:rFonts w:ascii="Times New Roman" w:hAnsi="Times New Roman" w:eastAsia="黑体"/>
          <w:kern w:val="2"/>
          <w:sz w:val="28"/>
          <w:szCs w:val="32"/>
        </w:rPr>
        <w:t>法律法规</w:t>
      </w:r>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p>
    <w:p>
      <w:pPr>
        <w:tabs>
          <w:tab w:val="left" w:pos="1080"/>
        </w:tabs>
        <w:spacing w:line="480" w:lineRule="exact"/>
        <w:ind w:firstLine="480" w:firstLineChars="200"/>
        <w:rPr>
          <w:rFonts w:ascii="Times New Roman" w:hAnsi="Times New Roman"/>
          <w:sz w:val="24"/>
          <w:szCs w:val="24"/>
        </w:rPr>
      </w:pPr>
      <w:r>
        <w:rPr>
          <w:rFonts w:ascii="Times New Roman" w:hAnsi="Times New Roman"/>
          <w:sz w:val="24"/>
          <w:szCs w:val="24"/>
        </w:rPr>
        <w:t>（1）《中华人民共和国环境影响评价法》，国家主席令第48号，2018年修订，2018.12.29施行；</w:t>
      </w:r>
    </w:p>
    <w:p>
      <w:pPr>
        <w:tabs>
          <w:tab w:val="left" w:pos="1080"/>
        </w:tabs>
        <w:spacing w:line="480" w:lineRule="exact"/>
        <w:ind w:firstLine="480" w:firstLineChars="200"/>
        <w:rPr>
          <w:rFonts w:ascii="Times New Roman" w:hAnsi="Times New Roman"/>
          <w:sz w:val="24"/>
          <w:szCs w:val="24"/>
        </w:rPr>
      </w:pPr>
      <w:r>
        <w:rPr>
          <w:rFonts w:ascii="Times New Roman" w:hAnsi="Times New Roman"/>
          <w:sz w:val="24"/>
          <w:szCs w:val="24"/>
        </w:rPr>
        <w:t>（2）《中华人民共和国环境保护法》，国家主席令第9号，2014.04.24修订通过，2015.01.01施行；</w:t>
      </w:r>
    </w:p>
    <w:p>
      <w:pPr>
        <w:tabs>
          <w:tab w:val="left" w:pos="1080"/>
        </w:tabs>
        <w:spacing w:line="480" w:lineRule="exact"/>
        <w:ind w:firstLine="480" w:firstLineChars="200"/>
        <w:rPr>
          <w:rFonts w:ascii="Times New Roman" w:hAnsi="Times New Roman"/>
          <w:sz w:val="24"/>
          <w:szCs w:val="24"/>
        </w:rPr>
      </w:pPr>
      <w:r>
        <w:rPr>
          <w:rFonts w:ascii="Times New Roman" w:hAnsi="Times New Roman"/>
          <w:sz w:val="24"/>
          <w:szCs w:val="24"/>
        </w:rPr>
        <w:t>（3）《中华人民共和国水污染防治法》，国家主席令第70号，2017.06.27修订，2018.01.01施行；</w:t>
      </w:r>
    </w:p>
    <w:p>
      <w:pPr>
        <w:tabs>
          <w:tab w:val="left" w:pos="1080"/>
        </w:tabs>
        <w:spacing w:line="480" w:lineRule="exact"/>
        <w:ind w:firstLine="480" w:firstLineChars="200"/>
        <w:rPr>
          <w:rFonts w:ascii="Times New Roman" w:hAnsi="Times New Roman"/>
          <w:sz w:val="24"/>
          <w:szCs w:val="24"/>
        </w:rPr>
      </w:pPr>
      <w:r>
        <w:rPr>
          <w:rFonts w:ascii="Times New Roman" w:hAnsi="Times New Roman"/>
          <w:sz w:val="24"/>
          <w:szCs w:val="24"/>
        </w:rPr>
        <w:t>（4）《中华人民共和国大气污染防治法》，国家主席令第16号，2018.10.26修订，2018.10.26施行；</w:t>
      </w:r>
    </w:p>
    <w:p>
      <w:pPr>
        <w:tabs>
          <w:tab w:val="left" w:pos="1080"/>
        </w:tabs>
        <w:spacing w:line="480" w:lineRule="exact"/>
        <w:ind w:firstLine="480" w:firstLineChars="200"/>
        <w:rPr>
          <w:rFonts w:ascii="Times New Roman" w:hAnsi="Times New Roman"/>
          <w:sz w:val="24"/>
          <w:szCs w:val="24"/>
        </w:rPr>
      </w:pPr>
      <w:r>
        <w:rPr>
          <w:rFonts w:ascii="Times New Roman" w:hAnsi="Times New Roman"/>
          <w:sz w:val="24"/>
          <w:szCs w:val="24"/>
        </w:rPr>
        <w:t>（5）《中华人民共和国噪声污染防治法》，</w:t>
      </w:r>
      <w:r>
        <w:rPr>
          <w:rFonts w:hint="eastAsia" w:ascii="Times New Roman" w:hAnsi="Times New Roman"/>
          <w:sz w:val="24"/>
          <w:szCs w:val="24"/>
        </w:rPr>
        <w:t>2</w:t>
      </w:r>
      <w:r>
        <w:rPr>
          <w:rFonts w:ascii="Times New Roman" w:hAnsi="Times New Roman"/>
          <w:sz w:val="24"/>
          <w:szCs w:val="24"/>
        </w:rPr>
        <w:t>022</w:t>
      </w:r>
      <w:r>
        <w:rPr>
          <w:rFonts w:hint="eastAsia" w:ascii="Times New Roman" w:hAnsi="Times New Roman"/>
          <w:sz w:val="24"/>
          <w:szCs w:val="24"/>
        </w:rPr>
        <w:t>年6月5日</w:t>
      </w:r>
      <w:r>
        <w:rPr>
          <w:rFonts w:ascii="Times New Roman" w:hAnsi="Times New Roman"/>
          <w:sz w:val="24"/>
          <w:szCs w:val="24"/>
        </w:rPr>
        <w:t>施行；</w:t>
      </w:r>
    </w:p>
    <w:p>
      <w:pPr>
        <w:tabs>
          <w:tab w:val="left" w:pos="1080"/>
        </w:tabs>
        <w:spacing w:line="500" w:lineRule="exact"/>
        <w:ind w:firstLine="480" w:firstLineChars="200"/>
        <w:rPr>
          <w:rFonts w:ascii="Times New Roman" w:hAnsi="Times New Roman"/>
          <w:sz w:val="24"/>
          <w:szCs w:val="24"/>
        </w:rPr>
      </w:pPr>
      <w:r>
        <w:rPr>
          <w:rFonts w:ascii="Times New Roman" w:hAnsi="Times New Roman"/>
          <w:sz w:val="24"/>
          <w:szCs w:val="24"/>
        </w:rPr>
        <w:t>（6）《中华人民共和国固体废物污染环境防治法》，</w:t>
      </w:r>
      <w:r>
        <w:rPr>
          <w:rFonts w:ascii="Times New Roman" w:hAnsi="Times New Roman"/>
          <w:kern w:val="2"/>
          <w:sz w:val="24"/>
          <w:szCs w:val="20"/>
        </w:rPr>
        <w:t>全国人大代表大会常务委员会</w:t>
      </w:r>
      <w:r>
        <w:rPr>
          <w:rFonts w:ascii="Times New Roman" w:hAnsi="Times New Roman"/>
          <w:sz w:val="24"/>
          <w:szCs w:val="24"/>
        </w:rPr>
        <w:t>，2020.09.01施行；</w:t>
      </w:r>
    </w:p>
    <w:p>
      <w:pPr>
        <w:spacing w:line="500" w:lineRule="exact"/>
        <w:ind w:firstLine="480" w:firstLineChars="200"/>
        <w:rPr>
          <w:rFonts w:ascii="Times New Roman" w:hAnsi="Times New Roman"/>
          <w:kern w:val="2"/>
          <w:sz w:val="24"/>
          <w:szCs w:val="20"/>
        </w:rPr>
      </w:pPr>
      <w:r>
        <w:rPr>
          <w:rFonts w:ascii="Times New Roman" w:hAnsi="Times New Roman"/>
          <w:kern w:val="2"/>
          <w:sz w:val="24"/>
          <w:szCs w:val="20"/>
        </w:rPr>
        <w:t>（7）《中华人民共和国土壤污染防治法》，全国人大代表大会常务委员会，2019.01.01施行）；</w:t>
      </w:r>
    </w:p>
    <w:p>
      <w:pPr>
        <w:pStyle w:val="155"/>
        <w:spacing w:line="500" w:lineRule="exact"/>
        <w:ind w:firstLine="480"/>
      </w:pPr>
      <w:r>
        <w:t>（8）《中华人民共和国节约能源法》，</w:t>
      </w:r>
      <w:r>
        <w:rPr>
          <w:szCs w:val="24"/>
        </w:rPr>
        <w:t>国家主席令第48号，2018.10.26修订，2018.10.26施行</w:t>
      </w:r>
      <w:r>
        <w:t>；</w:t>
      </w:r>
    </w:p>
    <w:p>
      <w:pPr>
        <w:pStyle w:val="155"/>
        <w:spacing w:line="480" w:lineRule="exact"/>
        <w:ind w:firstLine="480"/>
      </w:pPr>
      <w:r>
        <w:t>（9）《中华人民共和国水法》，</w:t>
      </w:r>
      <w:r>
        <w:rPr>
          <w:szCs w:val="24"/>
        </w:rPr>
        <w:t>国家主席令第48号，2016.07.02修订，2016.07.02施行</w:t>
      </w:r>
      <w:r>
        <w:t>；</w:t>
      </w:r>
    </w:p>
    <w:p>
      <w:pPr>
        <w:pStyle w:val="155"/>
        <w:spacing w:line="480" w:lineRule="exact"/>
        <w:ind w:firstLine="480"/>
      </w:pPr>
      <w:r>
        <w:t>（10）《中华人民共和国环境保护税法》，中华人民共和国国务院令第693号</w:t>
      </w:r>
      <w:r>
        <w:rPr>
          <w:szCs w:val="24"/>
        </w:rPr>
        <w:t>，2018.01.01施行</w:t>
      </w:r>
      <w:r>
        <w:t>；</w:t>
      </w:r>
    </w:p>
    <w:p>
      <w:pPr>
        <w:pStyle w:val="155"/>
        <w:spacing w:line="480" w:lineRule="exact"/>
        <w:ind w:firstLine="480"/>
        <w:rPr>
          <w:szCs w:val="24"/>
        </w:rPr>
      </w:pPr>
      <w:r>
        <w:t>（11）《中华人民共和国清洁生产促进法》</w:t>
      </w:r>
      <w:r>
        <w:rPr>
          <w:szCs w:val="24"/>
        </w:rPr>
        <w:t>，2019.04.28修正；</w:t>
      </w:r>
    </w:p>
    <w:p>
      <w:pPr>
        <w:pStyle w:val="155"/>
        <w:spacing w:line="480" w:lineRule="exact"/>
        <w:ind w:firstLine="480"/>
        <w:rPr>
          <w:szCs w:val="24"/>
        </w:rPr>
      </w:pPr>
      <w:r>
        <w:rPr>
          <w:szCs w:val="24"/>
        </w:rPr>
        <w:t>（12）《中华人民共和国循环经济促进法》，2018.10.26修正；</w:t>
      </w:r>
    </w:p>
    <w:p>
      <w:pPr>
        <w:pStyle w:val="155"/>
        <w:spacing w:line="480" w:lineRule="exact"/>
        <w:ind w:firstLine="480"/>
        <w:rPr>
          <w:szCs w:val="24"/>
        </w:rPr>
      </w:pPr>
      <w:r>
        <w:rPr>
          <w:szCs w:val="24"/>
        </w:rPr>
        <w:t>（13）《医疗废物管理条例》，中华人民共和国国务院令第380号，2011.01.08修正版。</w:t>
      </w:r>
    </w:p>
    <w:p>
      <w:pPr>
        <w:pStyle w:val="155"/>
        <w:spacing w:line="480" w:lineRule="exact"/>
        <w:ind w:firstLine="480"/>
        <w:rPr>
          <w:szCs w:val="24"/>
        </w:rPr>
      </w:pPr>
      <w:r>
        <w:rPr>
          <w:szCs w:val="24"/>
        </w:rPr>
        <w:t>（13）</w:t>
      </w:r>
      <w:r>
        <w:rPr>
          <w:rFonts w:hint="eastAsia"/>
          <w:szCs w:val="24"/>
        </w:rPr>
        <w:t>《危险废物经营许可证管理办法》（</w:t>
      </w:r>
      <w:r>
        <w:rPr>
          <w:szCs w:val="24"/>
        </w:rPr>
        <w:t>2004年5月30日中华人民共和国国务院令第408号公布，2016年2月6日修订）</w:t>
      </w:r>
      <w:r>
        <w:rPr>
          <w:rFonts w:hint="eastAsia"/>
          <w:szCs w:val="24"/>
        </w:rPr>
        <w:t>；</w:t>
      </w:r>
    </w:p>
    <w:p>
      <w:pPr>
        <w:pStyle w:val="155"/>
        <w:spacing w:line="480" w:lineRule="exact"/>
        <w:ind w:firstLine="480"/>
        <w:rPr>
          <w:szCs w:val="24"/>
        </w:rPr>
      </w:pPr>
      <w:r>
        <w:rPr>
          <w:szCs w:val="24"/>
        </w:rPr>
        <w:t>（14）</w:t>
      </w:r>
      <w:r>
        <w:rPr>
          <w:rFonts w:hint="eastAsia"/>
          <w:szCs w:val="24"/>
        </w:rPr>
        <w:t>《排污许可管理条例》（国务院令第</w:t>
      </w:r>
      <w:r>
        <w:rPr>
          <w:szCs w:val="24"/>
        </w:rPr>
        <w:t>736号，2021年3月1日）</w:t>
      </w:r>
      <w:r>
        <w:rPr>
          <w:rFonts w:hint="eastAsia"/>
          <w:szCs w:val="24"/>
        </w:rPr>
        <w:t>；</w:t>
      </w:r>
    </w:p>
    <w:p>
      <w:pPr>
        <w:pStyle w:val="155"/>
        <w:spacing w:line="480" w:lineRule="exact"/>
        <w:ind w:firstLine="480"/>
        <w:rPr>
          <w:szCs w:val="24"/>
        </w:rPr>
      </w:pPr>
      <w:r>
        <w:rPr>
          <w:szCs w:val="24"/>
        </w:rPr>
        <w:t>（15）</w:t>
      </w:r>
      <w:r>
        <w:rPr>
          <w:rFonts w:hint="eastAsia"/>
          <w:szCs w:val="24"/>
        </w:rPr>
        <w:t>《地下水管理条例》（国务院令第</w:t>
      </w:r>
      <w:r>
        <w:rPr>
          <w:szCs w:val="24"/>
        </w:rPr>
        <w:t>748号，2021年12月1日）；</w:t>
      </w:r>
    </w:p>
    <w:p>
      <w:pPr>
        <w:pStyle w:val="155"/>
        <w:spacing w:line="480" w:lineRule="exact"/>
        <w:ind w:firstLine="480"/>
        <w:rPr>
          <w:szCs w:val="24"/>
        </w:rPr>
      </w:pPr>
      <w:r>
        <w:rPr>
          <w:szCs w:val="24"/>
        </w:rPr>
        <w:t>（16）</w:t>
      </w:r>
      <w:r>
        <w:rPr>
          <w:rFonts w:hint="eastAsia"/>
          <w:szCs w:val="24"/>
        </w:rPr>
        <w:t>《黑龙江省环境保护条例》（</w:t>
      </w:r>
      <w:r>
        <w:rPr>
          <w:szCs w:val="24"/>
        </w:rPr>
        <w:t>1994年12月3日黑龙江省第八届人民代表大会常务委员会第十二次会议通过，2018年4月26日黑龙江省第十三届人民代表大会常务委员会第三次会议通过修改）</w:t>
      </w:r>
    </w:p>
    <w:p>
      <w:pPr>
        <w:pStyle w:val="155"/>
        <w:spacing w:line="480" w:lineRule="exact"/>
        <w:ind w:firstLine="480"/>
        <w:rPr>
          <w:szCs w:val="24"/>
        </w:rPr>
      </w:pPr>
      <w:r>
        <w:rPr>
          <w:rFonts w:hint="eastAsia"/>
          <w:szCs w:val="24"/>
        </w:rPr>
        <w:t>（1</w:t>
      </w:r>
      <w:r>
        <w:rPr>
          <w:szCs w:val="24"/>
        </w:rPr>
        <w:t>7</w:t>
      </w:r>
      <w:r>
        <w:rPr>
          <w:rFonts w:hint="eastAsia"/>
          <w:szCs w:val="24"/>
        </w:rPr>
        <w:t>）《黑龙江省大气污染防治动条例》（</w:t>
      </w:r>
      <w:r>
        <w:rPr>
          <w:szCs w:val="24"/>
        </w:rPr>
        <w:t>2017年1月20日黑龙江省第十二届人民代表大会第六次会议通过，2018年12月27日黑龙江省第十三届人民代表大会常务委员会第八次会议通过修正）</w:t>
      </w:r>
    </w:p>
    <w:p>
      <w:pPr>
        <w:pStyle w:val="4"/>
        <w:spacing w:before="120" w:beforeLines="50" w:after="120" w:afterLines="50" w:line="480" w:lineRule="exact"/>
        <w:rPr>
          <w:rFonts w:ascii="Times New Roman" w:hAnsi="Times New Roman" w:eastAsia="黑体"/>
          <w:kern w:val="2"/>
          <w:sz w:val="28"/>
          <w:szCs w:val="32"/>
        </w:rPr>
      </w:pPr>
      <w:bookmarkStart w:id="182" w:name="_Toc482020581"/>
      <w:bookmarkStart w:id="183" w:name="_Toc532556569"/>
      <w:bookmarkStart w:id="184" w:name="_Toc409529701"/>
      <w:bookmarkStart w:id="185" w:name="_Toc143898823"/>
      <w:bookmarkStart w:id="186" w:name="_Toc486970340"/>
      <w:bookmarkStart w:id="187" w:name="_Toc407350214"/>
      <w:bookmarkStart w:id="188" w:name="_Toc409529901"/>
      <w:bookmarkStart w:id="189" w:name="_Toc527205696"/>
      <w:bookmarkStart w:id="190" w:name="_Toc453708902"/>
      <w:bookmarkStart w:id="191" w:name="_Toc416966844"/>
      <w:bookmarkStart w:id="192" w:name="_Toc535348423"/>
      <w:bookmarkStart w:id="193" w:name="_Toc534537584"/>
      <w:bookmarkStart w:id="194" w:name="_Toc464036640"/>
      <w:bookmarkStart w:id="195" w:name="_Toc487111466"/>
      <w:bookmarkStart w:id="196" w:name="_Toc406572437"/>
      <w:bookmarkStart w:id="197" w:name="_Toc347586096"/>
      <w:bookmarkStart w:id="198" w:name="_Toc480983799"/>
      <w:bookmarkStart w:id="199" w:name="_Toc406771979"/>
      <w:bookmarkStart w:id="200" w:name="_Toc497228794"/>
      <w:bookmarkStart w:id="201" w:name="_Toc458063808"/>
      <w:bookmarkStart w:id="202" w:name="_Toc535168869"/>
      <w:bookmarkStart w:id="203" w:name="_Toc466271338"/>
      <w:bookmarkStart w:id="204" w:name="_Toc480190418"/>
      <w:bookmarkStart w:id="205" w:name="_Toc530655929"/>
      <w:bookmarkStart w:id="206" w:name="_Toc347495223"/>
      <w:bookmarkStart w:id="207" w:name="_Toc458063597"/>
      <w:bookmarkStart w:id="208" w:name="_Toc18669"/>
      <w:bookmarkStart w:id="209" w:name="_Toc27134266"/>
      <w:bookmarkStart w:id="210" w:name="_Toc10939"/>
      <w:bookmarkStart w:id="211" w:name="_Toc28346"/>
      <w:bookmarkStart w:id="212" w:name="_Toc26187990"/>
      <w:bookmarkStart w:id="213" w:name="_Toc4800"/>
      <w:bookmarkStart w:id="214" w:name="_Toc29577"/>
      <w:bookmarkStart w:id="215" w:name="_Toc9843776"/>
      <w:r>
        <w:rPr>
          <w:rFonts w:ascii="Times New Roman" w:hAnsi="Times New Roman" w:eastAsia="黑体"/>
          <w:kern w:val="2"/>
          <w:sz w:val="28"/>
          <w:szCs w:val="32"/>
        </w:rPr>
        <w:t>技术</w:t>
      </w:r>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r>
        <w:rPr>
          <w:rFonts w:ascii="Times New Roman" w:hAnsi="Times New Roman" w:eastAsia="黑体"/>
          <w:kern w:val="2"/>
          <w:sz w:val="28"/>
          <w:szCs w:val="32"/>
        </w:rPr>
        <w:t>依据</w:t>
      </w:r>
      <w:bookmarkEnd w:id="208"/>
      <w:bookmarkEnd w:id="209"/>
      <w:bookmarkEnd w:id="210"/>
      <w:bookmarkEnd w:id="211"/>
      <w:bookmarkEnd w:id="212"/>
      <w:bookmarkEnd w:id="213"/>
      <w:bookmarkEnd w:id="214"/>
      <w:bookmarkEnd w:id="215"/>
    </w:p>
    <w:p>
      <w:pPr>
        <w:spacing w:line="480" w:lineRule="exact"/>
        <w:ind w:firstLine="480" w:firstLineChars="200"/>
        <w:rPr>
          <w:rFonts w:ascii="Times New Roman" w:hAnsi="Times New Roman"/>
          <w:sz w:val="24"/>
        </w:rPr>
      </w:pPr>
      <w:r>
        <w:rPr>
          <w:rFonts w:ascii="Times New Roman" w:hAnsi="Times New Roman"/>
          <w:sz w:val="24"/>
        </w:rPr>
        <w:t>（1）《建设项目环境影响评价技术导则 总纲》（HJ2.1-2016）；</w:t>
      </w:r>
    </w:p>
    <w:p>
      <w:pPr>
        <w:spacing w:line="480" w:lineRule="exact"/>
        <w:ind w:firstLine="480" w:firstLineChars="200"/>
        <w:rPr>
          <w:rFonts w:ascii="Times New Roman" w:hAnsi="Times New Roman"/>
          <w:sz w:val="24"/>
        </w:rPr>
      </w:pPr>
      <w:r>
        <w:rPr>
          <w:rFonts w:ascii="Times New Roman" w:hAnsi="Times New Roman"/>
          <w:sz w:val="24"/>
        </w:rPr>
        <w:t>（2）《环境影响评价技术导则 大气环境》（HJ2.2-2018）；</w:t>
      </w:r>
    </w:p>
    <w:p>
      <w:pPr>
        <w:spacing w:line="480" w:lineRule="exact"/>
        <w:ind w:firstLine="480" w:firstLineChars="200"/>
        <w:rPr>
          <w:rFonts w:ascii="Times New Roman" w:hAnsi="Times New Roman"/>
          <w:sz w:val="24"/>
        </w:rPr>
      </w:pPr>
      <w:r>
        <w:rPr>
          <w:rFonts w:ascii="Times New Roman" w:hAnsi="Times New Roman"/>
          <w:sz w:val="24"/>
        </w:rPr>
        <w:t>（3）《环境影响评价技术导则 地表水环境》（HJ2.3-2018）；</w:t>
      </w:r>
    </w:p>
    <w:p>
      <w:pPr>
        <w:spacing w:line="480" w:lineRule="exact"/>
        <w:ind w:firstLine="480" w:firstLineChars="200"/>
        <w:rPr>
          <w:rFonts w:ascii="Times New Roman" w:hAnsi="Times New Roman"/>
          <w:sz w:val="24"/>
        </w:rPr>
      </w:pPr>
      <w:r>
        <w:rPr>
          <w:rFonts w:ascii="Times New Roman" w:hAnsi="Times New Roman"/>
          <w:sz w:val="24"/>
        </w:rPr>
        <w:t>（4）《环境影响评价技术导则 地下水环境》（HJ610-2016）；</w:t>
      </w:r>
    </w:p>
    <w:p>
      <w:pPr>
        <w:spacing w:line="480" w:lineRule="exact"/>
        <w:ind w:firstLine="480" w:firstLineChars="200"/>
        <w:rPr>
          <w:rFonts w:ascii="Times New Roman" w:hAnsi="Times New Roman"/>
          <w:sz w:val="24"/>
        </w:rPr>
      </w:pPr>
      <w:r>
        <w:rPr>
          <w:rFonts w:ascii="Times New Roman" w:hAnsi="Times New Roman"/>
          <w:sz w:val="24"/>
        </w:rPr>
        <w:t>（5）《环境影响评价技术导则 声环境》（HJ2.4-20</w:t>
      </w:r>
      <w:r>
        <w:rPr>
          <w:rFonts w:hint="eastAsia" w:ascii="Times New Roman" w:hAnsi="Times New Roman"/>
          <w:sz w:val="24"/>
        </w:rPr>
        <w:t>21</w:t>
      </w:r>
      <w:r>
        <w:rPr>
          <w:rFonts w:ascii="Times New Roman" w:hAnsi="Times New Roman"/>
          <w:sz w:val="24"/>
        </w:rPr>
        <w:t>）；</w:t>
      </w:r>
    </w:p>
    <w:p>
      <w:pPr>
        <w:pStyle w:val="155"/>
        <w:spacing w:line="480" w:lineRule="exact"/>
        <w:ind w:firstLine="480"/>
      </w:pPr>
      <w:r>
        <w:t>（6）《环境影响评价技术导则 生态影响》（HJ19-20</w:t>
      </w:r>
      <w:r>
        <w:rPr>
          <w:rFonts w:hint="eastAsia"/>
        </w:rPr>
        <w:t>22</w:t>
      </w:r>
      <w:r>
        <w:t>）；</w:t>
      </w:r>
    </w:p>
    <w:p>
      <w:pPr>
        <w:pStyle w:val="155"/>
        <w:spacing w:line="480" w:lineRule="exact"/>
        <w:ind w:firstLine="480"/>
      </w:pPr>
      <w:r>
        <w:t>（7）《环境影响评价技术导则 土壤环境（试行）》（HJ964-2018）；</w:t>
      </w:r>
    </w:p>
    <w:p>
      <w:pPr>
        <w:spacing w:line="480" w:lineRule="exact"/>
        <w:ind w:firstLine="480" w:firstLineChars="200"/>
        <w:rPr>
          <w:rFonts w:ascii="Times New Roman" w:hAnsi="Times New Roman"/>
          <w:sz w:val="24"/>
        </w:rPr>
      </w:pPr>
      <w:r>
        <w:rPr>
          <w:rFonts w:ascii="Times New Roman" w:hAnsi="Times New Roman"/>
          <w:sz w:val="24"/>
        </w:rPr>
        <w:t>（8）《建设项目环境风险评价技术导则》（HJ/169-2018）；</w:t>
      </w:r>
    </w:p>
    <w:p>
      <w:pPr>
        <w:spacing w:line="480" w:lineRule="exact"/>
        <w:ind w:firstLine="480" w:firstLineChars="200"/>
        <w:rPr>
          <w:rFonts w:ascii="Times New Roman" w:hAnsi="Times New Roman"/>
          <w:sz w:val="24"/>
        </w:rPr>
      </w:pPr>
      <w:r>
        <w:rPr>
          <w:rFonts w:ascii="Times New Roman" w:hAnsi="Times New Roman"/>
          <w:sz w:val="24"/>
        </w:rPr>
        <w:t>（9）《污染源源强核算技术指南 准则》（HJ884-2018）；</w:t>
      </w:r>
    </w:p>
    <w:p>
      <w:pPr>
        <w:spacing w:line="480" w:lineRule="exact"/>
        <w:ind w:firstLine="480" w:firstLineChars="200"/>
        <w:rPr>
          <w:rFonts w:ascii="Times New Roman" w:hAnsi="Times New Roman"/>
          <w:sz w:val="24"/>
        </w:rPr>
      </w:pPr>
      <w:r>
        <w:rPr>
          <w:rFonts w:ascii="Times New Roman" w:hAnsi="Times New Roman"/>
          <w:sz w:val="24"/>
        </w:rPr>
        <w:t>（10）《排污单位自行监测技术指南总则》（HJ819-2017）；</w:t>
      </w:r>
    </w:p>
    <w:p>
      <w:pPr>
        <w:spacing w:line="480" w:lineRule="exact"/>
        <w:ind w:firstLine="480" w:firstLineChars="200"/>
        <w:rPr>
          <w:rFonts w:ascii="Times New Roman" w:hAnsi="Times New Roman"/>
          <w:sz w:val="24"/>
        </w:rPr>
      </w:pPr>
      <w:r>
        <w:rPr>
          <w:rFonts w:hint="eastAsia" w:ascii="Times New Roman" w:hAnsi="Times New Roman"/>
          <w:sz w:val="24"/>
        </w:rPr>
        <w:t>（1</w:t>
      </w:r>
      <w:r>
        <w:rPr>
          <w:rFonts w:ascii="Times New Roman" w:hAnsi="Times New Roman"/>
          <w:sz w:val="24"/>
        </w:rPr>
        <w:t>1</w:t>
      </w:r>
      <w:r>
        <w:rPr>
          <w:rFonts w:hint="eastAsia" w:ascii="Times New Roman" w:hAnsi="Times New Roman"/>
          <w:sz w:val="24"/>
        </w:rPr>
        <w:t>）《排污许可证申请与核发技术规范 工业固体废物和危险废物治理》（H</w:t>
      </w:r>
      <w:r>
        <w:rPr>
          <w:rFonts w:ascii="Times New Roman" w:hAnsi="Times New Roman"/>
          <w:sz w:val="24"/>
        </w:rPr>
        <w:t>J1033</w:t>
      </w:r>
      <w:r>
        <w:rPr>
          <w:rFonts w:hint="eastAsia" w:ascii="Times New Roman" w:hAnsi="Times New Roman"/>
          <w:sz w:val="24"/>
        </w:rPr>
        <w:t>-</w:t>
      </w:r>
      <w:r>
        <w:rPr>
          <w:rFonts w:ascii="Times New Roman" w:hAnsi="Times New Roman"/>
          <w:sz w:val="24"/>
        </w:rPr>
        <w:t>2019</w:t>
      </w:r>
      <w:r>
        <w:rPr>
          <w:rFonts w:hint="eastAsia" w:ascii="Times New Roman" w:hAnsi="Times New Roman"/>
          <w:sz w:val="24"/>
        </w:rPr>
        <w:t>）</w:t>
      </w:r>
    </w:p>
    <w:p>
      <w:pPr>
        <w:pStyle w:val="155"/>
        <w:spacing w:line="480" w:lineRule="exact"/>
        <w:ind w:firstLine="480"/>
      </w:pPr>
      <w:r>
        <w:t>（12）《固体废物处理处置工程技术导则》（HJ2035-2013）；</w:t>
      </w:r>
    </w:p>
    <w:p>
      <w:pPr>
        <w:pStyle w:val="155"/>
        <w:spacing w:line="480" w:lineRule="exact"/>
        <w:ind w:firstLine="480"/>
      </w:pPr>
      <w:r>
        <w:t>（13）《</w:t>
      </w:r>
      <w:r>
        <w:rPr>
          <w:rFonts w:hint="eastAsia"/>
        </w:rPr>
        <w:t>一般工业固体废物贮存和填埋污染控制标准</w:t>
      </w:r>
      <w:r>
        <w:t>》（GB18599-2020）；</w:t>
      </w:r>
    </w:p>
    <w:p>
      <w:pPr>
        <w:pStyle w:val="155"/>
        <w:spacing w:line="480" w:lineRule="exact"/>
        <w:ind w:firstLine="480"/>
      </w:pPr>
      <w:r>
        <w:t>（14）《危险废物贮存污染控制标准》（GB18597-2001）及其修改单；</w:t>
      </w:r>
    </w:p>
    <w:p>
      <w:pPr>
        <w:pStyle w:val="155"/>
        <w:spacing w:line="480" w:lineRule="exact"/>
        <w:ind w:firstLine="480"/>
      </w:pPr>
      <w:r>
        <w:t>（15）《危险废物处置工程技术导则》（HJ2042-2014）；</w:t>
      </w:r>
    </w:p>
    <w:p>
      <w:pPr>
        <w:pStyle w:val="155"/>
        <w:spacing w:line="480" w:lineRule="exact"/>
        <w:ind w:firstLine="480"/>
      </w:pPr>
      <w:r>
        <w:t>（16）《危险废物收集、贮存、运输技术规范》（HJ2025-2012）；</w:t>
      </w:r>
    </w:p>
    <w:p>
      <w:pPr>
        <w:pStyle w:val="155"/>
        <w:spacing w:line="480" w:lineRule="exact"/>
        <w:ind w:firstLine="480"/>
      </w:pPr>
      <w:r>
        <w:t>（17）《医疗废物转运车技术要求（试行）》（GB19217-2003）；</w:t>
      </w:r>
    </w:p>
    <w:p>
      <w:pPr>
        <w:pStyle w:val="155"/>
        <w:spacing w:line="480" w:lineRule="exact"/>
        <w:ind w:firstLine="480"/>
      </w:pPr>
      <w:r>
        <w:t>（18）《医疗废物专用包装袋、容器和警示标志标准》（HJ421-2008）；</w:t>
      </w:r>
    </w:p>
    <w:p>
      <w:pPr>
        <w:pStyle w:val="155"/>
        <w:spacing w:line="480" w:lineRule="exact"/>
        <w:ind w:firstLine="480"/>
      </w:pPr>
      <w:r>
        <w:t>（19）《医疗废物处理处置污染控制标准》（GB39707-2020）。</w:t>
      </w:r>
    </w:p>
    <w:p>
      <w:pPr>
        <w:pStyle w:val="155"/>
        <w:spacing w:line="480" w:lineRule="exact"/>
        <w:ind w:firstLine="480"/>
      </w:pPr>
      <w:r>
        <w:t>（20）</w:t>
      </w:r>
      <w:r>
        <w:rPr>
          <w:rFonts w:hint="eastAsia"/>
        </w:rPr>
        <w:t>《危险废物和医疗废物处置设施建设项目环境影响评价技术原则》（试行）</w:t>
      </w:r>
    </w:p>
    <w:p>
      <w:pPr>
        <w:pStyle w:val="155"/>
        <w:spacing w:line="480" w:lineRule="exact"/>
        <w:ind w:firstLine="480"/>
      </w:pPr>
      <w:r>
        <w:rPr>
          <w:rFonts w:hint="eastAsia"/>
        </w:rPr>
        <w:t>（</w:t>
      </w:r>
      <w:r>
        <w:t>21）《建设项目环境影响评价分类管理名录》（环境保护部令第44号，2017年9月1日）和《关于修改&lt;建设项目环境影响评价分类管理名录&gt;部分内容地决定》（生态环境部令第1号，2018年4月28日）；</w:t>
      </w:r>
    </w:p>
    <w:p>
      <w:pPr>
        <w:pStyle w:val="155"/>
        <w:spacing w:line="480" w:lineRule="exact"/>
        <w:ind w:firstLine="480"/>
      </w:pPr>
      <w:r>
        <w:rPr>
          <w:rFonts w:hint="eastAsia"/>
        </w:rPr>
        <w:t>（</w:t>
      </w:r>
      <w:r>
        <w:t>22）《固定污染源排污许可分类管理名录（2019年版）》（生态环境部令第11号，2019年12月20日）；</w:t>
      </w:r>
    </w:p>
    <w:p>
      <w:pPr>
        <w:pStyle w:val="155"/>
        <w:spacing w:line="480" w:lineRule="exact"/>
        <w:ind w:firstLine="480"/>
      </w:pPr>
      <w:r>
        <w:rPr>
          <w:rFonts w:hint="eastAsia"/>
        </w:rPr>
        <w:t>（</w:t>
      </w:r>
      <w:r>
        <w:t>23）《关于实施三线一单生态环境分区管控的指导意见（试行）》（环环评[2021]108号，2021年11月19日）</w:t>
      </w:r>
      <w:r>
        <w:rPr>
          <w:rFonts w:hint="eastAsia"/>
        </w:rPr>
        <w:t>；</w:t>
      </w:r>
    </w:p>
    <w:p>
      <w:pPr>
        <w:pStyle w:val="155"/>
        <w:spacing w:line="480" w:lineRule="exact"/>
        <w:ind w:firstLine="480"/>
      </w:pPr>
      <w:r>
        <w:rPr>
          <w:rFonts w:hint="eastAsia"/>
        </w:rPr>
        <w:t>（2</w:t>
      </w:r>
      <w:r>
        <w:t>4</w:t>
      </w:r>
      <w:r>
        <w:rPr>
          <w:rFonts w:hint="eastAsia"/>
        </w:rPr>
        <w:t>）《医疗废物分类目录（</w:t>
      </w:r>
      <w:r>
        <w:t>2021年版）》（国卫医函[2021]238号，国家卫生健康委员、生态环境部）</w:t>
      </w:r>
      <w:r>
        <w:rPr>
          <w:rFonts w:hint="eastAsia"/>
        </w:rPr>
        <w:t>；</w:t>
      </w:r>
    </w:p>
    <w:p>
      <w:pPr>
        <w:pStyle w:val="155"/>
        <w:spacing w:line="480" w:lineRule="exact"/>
        <w:ind w:firstLine="480"/>
      </w:pPr>
      <w:r>
        <w:rPr>
          <w:rFonts w:hint="eastAsia"/>
        </w:rPr>
        <w:t>（2</w:t>
      </w:r>
      <w:r>
        <w:t>5</w:t>
      </w:r>
      <w:r>
        <w:rPr>
          <w:rFonts w:hint="eastAsia"/>
        </w:rPr>
        <w:t>）《医疗废物处理处置污染控制标准》（</w:t>
      </w:r>
      <w:r>
        <w:t>GB39707-2020）</w:t>
      </w:r>
      <w:r>
        <w:rPr>
          <w:rFonts w:hint="eastAsia"/>
        </w:rPr>
        <w:t>；</w:t>
      </w:r>
    </w:p>
    <w:p>
      <w:pPr>
        <w:pStyle w:val="155"/>
        <w:spacing w:line="480" w:lineRule="exact"/>
        <w:ind w:firstLine="480"/>
      </w:pPr>
      <w:r>
        <w:rPr>
          <w:rFonts w:hint="eastAsia"/>
        </w:rPr>
        <w:t>（2</w:t>
      </w:r>
      <w:r>
        <w:t>6</w:t>
      </w:r>
      <w:r>
        <w:rPr>
          <w:rFonts w:hint="eastAsia"/>
        </w:rPr>
        <w:t>）《医疗废物处理处置污染防治最佳可行技术指南（试行）》（</w:t>
      </w:r>
      <w:r>
        <w:t>HJ-BAT-8，原环境保护部公告2012年第4号）</w:t>
      </w:r>
      <w:r>
        <w:rPr>
          <w:rFonts w:hint="eastAsia"/>
        </w:rPr>
        <w:t>；</w:t>
      </w:r>
    </w:p>
    <w:p>
      <w:pPr>
        <w:pStyle w:val="155"/>
        <w:spacing w:line="480" w:lineRule="exact"/>
        <w:ind w:firstLine="480"/>
      </w:pPr>
      <w:r>
        <w:rPr>
          <w:rFonts w:hint="eastAsia"/>
        </w:rPr>
        <w:t>（2</w:t>
      </w:r>
      <w:r>
        <w:t>7</w:t>
      </w:r>
      <w:r>
        <w:rPr>
          <w:rFonts w:hint="eastAsia"/>
        </w:rPr>
        <w:t>）《污染源源强核算技术指南</w:t>
      </w:r>
      <w:r>
        <w:t xml:space="preserve"> 准则》（HJ884-2018）</w:t>
      </w:r>
      <w:r>
        <w:rPr>
          <w:rFonts w:hint="eastAsia"/>
        </w:rPr>
        <w:t>；</w:t>
      </w:r>
    </w:p>
    <w:p>
      <w:pPr>
        <w:pStyle w:val="155"/>
        <w:spacing w:line="480" w:lineRule="exact"/>
        <w:ind w:firstLine="480"/>
      </w:pPr>
      <w:r>
        <w:rPr>
          <w:rFonts w:hint="eastAsia"/>
        </w:rPr>
        <w:t>（2</w:t>
      </w:r>
      <w:r>
        <w:t>8</w:t>
      </w:r>
      <w:r>
        <w:rPr>
          <w:rFonts w:hint="eastAsia"/>
        </w:rPr>
        <w:t>）《排污许可证申请与核发技术规范</w:t>
      </w:r>
      <w:r>
        <w:t xml:space="preserve"> 工业固体废物和危险废物治理》（HJ1033-2019）</w:t>
      </w:r>
      <w:r>
        <w:rPr>
          <w:rFonts w:hint="eastAsia"/>
        </w:rPr>
        <w:t>；</w:t>
      </w:r>
    </w:p>
    <w:p>
      <w:pPr>
        <w:pStyle w:val="155"/>
        <w:spacing w:line="480" w:lineRule="exact"/>
        <w:ind w:firstLine="480"/>
      </w:pPr>
      <w:r>
        <w:rPr>
          <w:rFonts w:hint="eastAsia"/>
        </w:rPr>
        <w:t>（</w:t>
      </w:r>
      <w:r>
        <w:t>29</w:t>
      </w:r>
      <w:r>
        <w:rPr>
          <w:rFonts w:hint="eastAsia"/>
        </w:rPr>
        <w:t>）《排污单位自行监测技术指南</w:t>
      </w:r>
      <w:r>
        <w:t xml:space="preserve"> 总则》（HJ819-2017）</w:t>
      </w:r>
      <w:r>
        <w:rPr>
          <w:rFonts w:hint="eastAsia"/>
        </w:rPr>
        <w:t>；</w:t>
      </w:r>
    </w:p>
    <w:p>
      <w:pPr>
        <w:pStyle w:val="155"/>
        <w:spacing w:line="480" w:lineRule="exact"/>
        <w:ind w:firstLine="480"/>
      </w:pPr>
      <w:r>
        <w:rPr>
          <w:rFonts w:hint="eastAsia"/>
        </w:rPr>
        <w:t>（3</w:t>
      </w:r>
      <w:r>
        <w:t>0</w:t>
      </w:r>
      <w:r>
        <w:rPr>
          <w:rFonts w:hint="eastAsia"/>
        </w:rPr>
        <w:t>）《排污单位自行监测技术指南</w:t>
      </w:r>
      <w:r>
        <w:t xml:space="preserve"> 工业固体废物和危险废物治理》（HJ1250-2022）</w:t>
      </w:r>
      <w:r>
        <w:rPr>
          <w:rFonts w:hint="eastAsia"/>
        </w:rPr>
        <w:t>；</w:t>
      </w:r>
    </w:p>
    <w:p>
      <w:pPr>
        <w:pStyle w:val="155"/>
        <w:spacing w:line="480" w:lineRule="exact"/>
        <w:ind w:firstLine="480"/>
      </w:pPr>
      <w:r>
        <w:rPr>
          <w:rFonts w:hint="eastAsia"/>
        </w:rPr>
        <w:t>（3</w:t>
      </w:r>
      <w:r>
        <w:t>1</w:t>
      </w:r>
      <w:r>
        <w:rPr>
          <w:rFonts w:hint="eastAsia"/>
        </w:rPr>
        <w:t>）《新型冠状病毒感染的肺炎疫情医疗废物应急处置管理与技术指南</w:t>
      </w:r>
      <w:r>
        <w:t>(试行）》（生态环境部于2020年1月28日印发）</w:t>
      </w:r>
      <w:r>
        <w:rPr>
          <w:rFonts w:hint="eastAsia"/>
        </w:rPr>
        <w:t>；</w:t>
      </w:r>
    </w:p>
    <w:p>
      <w:pPr>
        <w:pStyle w:val="155"/>
        <w:spacing w:line="480" w:lineRule="exact"/>
        <w:ind w:firstLine="480"/>
      </w:pPr>
      <w:r>
        <w:rPr>
          <w:rFonts w:hint="eastAsia"/>
        </w:rPr>
        <w:t>（3</w:t>
      </w:r>
      <w:r>
        <w:t>2</w:t>
      </w:r>
      <w:r>
        <w:rPr>
          <w:rFonts w:hint="eastAsia"/>
        </w:rPr>
        <w:t>）《医疗废物高温蒸汽消毒集中处理工程技术规范》（</w:t>
      </w:r>
      <w:r>
        <w:t>HJ276-2021）</w:t>
      </w:r>
      <w:r>
        <w:rPr>
          <w:rFonts w:hint="eastAsia"/>
        </w:rPr>
        <w:t>；</w:t>
      </w:r>
    </w:p>
    <w:p>
      <w:pPr>
        <w:pStyle w:val="155"/>
        <w:spacing w:line="480" w:lineRule="exact"/>
        <w:ind w:firstLine="480"/>
      </w:pPr>
      <w:r>
        <w:rPr>
          <w:rFonts w:hint="eastAsia"/>
        </w:rPr>
        <w:t>（3</w:t>
      </w:r>
      <w:r>
        <w:t>3</w:t>
      </w:r>
      <w:r>
        <w:rPr>
          <w:rFonts w:hint="eastAsia"/>
        </w:rPr>
        <w:t>）《医疗废物微波消毒集中处理工程技术规范》（</w:t>
      </w:r>
      <w:r>
        <w:t>HJ229-2021）</w:t>
      </w:r>
      <w:r>
        <w:rPr>
          <w:rFonts w:hint="eastAsia"/>
        </w:rPr>
        <w:t>；</w:t>
      </w:r>
    </w:p>
    <w:p>
      <w:pPr>
        <w:pStyle w:val="155"/>
        <w:spacing w:line="480" w:lineRule="exact"/>
        <w:ind w:firstLine="480"/>
      </w:pPr>
      <w:r>
        <w:rPr>
          <w:rFonts w:hint="eastAsia"/>
        </w:rPr>
        <w:t>（3</w:t>
      </w:r>
      <w:r>
        <w:t>4</w:t>
      </w:r>
      <w:r>
        <w:rPr>
          <w:rFonts w:hint="eastAsia"/>
        </w:rPr>
        <w:t>）《危险废物管理计划和管理台账制定技术导则》（H</w:t>
      </w:r>
      <w:r>
        <w:t>J1259-2022</w:t>
      </w:r>
      <w:r>
        <w:rPr>
          <w:rFonts w:hint="eastAsia"/>
        </w:rPr>
        <w:t>）。</w:t>
      </w:r>
    </w:p>
    <w:p>
      <w:pPr>
        <w:pStyle w:val="4"/>
        <w:spacing w:before="120" w:beforeLines="50" w:after="120" w:afterLines="50" w:line="480" w:lineRule="exact"/>
        <w:rPr>
          <w:rFonts w:ascii="Times New Roman" w:hAnsi="Times New Roman" w:eastAsia="黑体"/>
          <w:kern w:val="2"/>
          <w:sz w:val="28"/>
          <w:szCs w:val="32"/>
        </w:rPr>
      </w:pPr>
      <w:bookmarkStart w:id="216" w:name="_Toc24573"/>
      <w:bookmarkStart w:id="217" w:name="_Toc27134267"/>
      <w:bookmarkStart w:id="218" w:name="_Toc9843777"/>
      <w:bookmarkStart w:id="219" w:name="_Toc28679"/>
      <w:bookmarkStart w:id="220" w:name="_Toc29230"/>
      <w:bookmarkStart w:id="221" w:name="_Toc26187991"/>
      <w:bookmarkStart w:id="222" w:name="_Toc4659"/>
      <w:bookmarkStart w:id="223" w:name="_Toc3049"/>
      <w:r>
        <w:rPr>
          <w:rFonts w:ascii="Times New Roman" w:hAnsi="Times New Roman" w:eastAsia="黑体"/>
          <w:kern w:val="2"/>
          <w:sz w:val="28"/>
          <w:szCs w:val="32"/>
        </w:rPr>
        <w:t>通知规定</w:t>
      </w:r>
      <w:bookmarkEnd w:id="216"/>
      <w:bookmarkEnd w:id="217"/>
      <w:bookmarkEnd w:id="218"/>
      <w:bookmarkEnd w:id="219"/>
      <w:bookmarkEnd w:id="220"/>
      <w:bookmarkEnd w:id="221"/>
      <w:bookmarkEnd w:id="222"/>
      <w:bookmarkEnd w:id="223"/>
    </w:p>
    <w:p>
      <w:pPr>
        <w:tabs>
          <w:tab w:val="left" w:pos="1080"/>
        </w:tabs>
        <w:spacing w:line="480" w:lineRule="atLeast"/>
        <w:ind w:firstLine="480" w:firstLineChars="200"/>
        <w:rPr>
          <w:rFonts w:ascii="Times New Roman" w:hAnsi="Times New Roman"/>
          <w:sz w:val="24"/>
          <w:szCs w:val="24"/>
        </w:rPr>
      </w:pPr>
      <w:r>
        <w:rPr>
          <w:rFonts w:ascii="Times New Roman" w:hAnsi="Times New Roman"/>
          <w:sz w:val="24"/>
          <w:szCs w:val="24"/>
        </w:rPr>
        <w:t>（1）《建设项目环境影响评价分类管理名录》，生态环境部令第16号，2020.11.30施行；</w:t>
      </w:r>
    </w:p>
    <w:p>
      <w:pPr>
        <w:tabs>
          <w:tab w:val="left" w:pos="1080"/>
        </w:tabs>
        <w:spacing w:line="480" w:lineRule="atLeast"/>
        <w:ind w:firstLine="480" w:firstLineChars="200"/>
        <w:rPr>
          <w:rFonts w:ascii="Times New Roman" w:hAnsi="Times New Roman"/>
          <w:sz w:val="24"/>
          <w:szCs w:val="24"/>
        </w:rPr>
      </w:pPr>
      <w:r>
        <w:rPr>
          <w:rFonts w:ascii="Times New Roman" w:hAnsi="Times New Roman"/>
          <w:sz w:val="24"/>
          <w:szCs w:val="24"/>
        </w:rPr>
        <w:t>（2）《建设项目环境保护管理条例》，国务院令第682号，2017.10.01施行；</w:t>
      </w:r>
    </w:p>
    <w:p>
      <w:pPr>
        <w:tabs>
          <w:tab w:val="left" w:pos="1080"/>
        </w:tabs>
        <w:spacing w:line="480" w:lineRule="atLeast"/>
        <w:ind w:firstLine="480" w:firstLineChars="200"/>
        <w:rPr>
          <w:rFonts w:ascii="Times New Roman" w:hAnsi="Times New Roman"/>
          <w:sz w:val="24"/>
          <w:szCs w:val="24"/>
        </w:rPr>
      </w:pPr>
      <w:r>
        <w:rPr>
          <w:rFonts w:ascii="Times New Roman" w:hAnsi="Times New Roman"/>
          <w:sz w:val="24"/>
          <w:szCs w:val="24"/>
        </w:rPr>
        <w:t>（3）《产业结构调整指导目录》（2019年本），中华人民共和国国家发展和改革委员会第29号令，2020.01.01施行；</w:t>
      </w:r>
    </w:p>
    <w:p>
      <w:pPr>
        <w:tabs>
          <w:tab w:val="left" w:pos="1080"/>
        </w:tabs>
        <w:spacing w:line="480" w:lineRule="atLeast"/>
        <w:ind w:firstLine="480" w:firstLineChars="200"/>
        <w:rPr>
          <w:rFonts w:ascii="Times New Roman" w:hAnsi="Times New Roman"/>
          <w:sz w:val="24"/>
          <w:szCs w:val="24"/>
        </w:rPr>
      </w:pPr>
      <w:r>
        <w:rPr>
          <w:rFonts w:ascii="Times New Roman" w:hAnsi="Times New Roman"/>
          <w:sz w:val="24"/>
          <w:szCs w:val="24"/>
        </w:rPr>
        <w:t>（4）《环境影响评价公众参与办法》，生态环境部第4号令，2019.01.01施行；</w:t>
      </w:r>
    </w:p>
    <w:p>
      <w:pPr>
        <w:tabs>
          <w:tab w:val="left" w:pos="1080"/>
        </w:tabs>
        <w:spacing w:line="480" w:lineRule="atLeast"/>
        <w:ind w:firstLine="480" w:firstLineChars="200"/>
        <w:rPr>
          <w:rFonts w:ascii="Times New Roman" w:hAnsi="Times New Roman"/>
          <w:sz w:val="24"/>
          <w:szCs w:val="24"/>
        </w:rPr>
      </w:pPr>
      <w:r>
        <w:rPr>
          <w:rFonts w:ascii="Times New Roman" w:hAnsi="Times New Roman"/>
          <w:sz w:val="24"/>
          <w:szCs w:val="24"/>
        </w:rPr>
        <w:t>（6）《国务院关于印发水污染防治行动计划的通知》，国发[2015]17号，2015.04.02；</w:t>
      </w:r>
    </w:p>
    <w:p>
      <w:pPr>
        <w:pStyle w:val="155"/>
        <w:spacing w:line="480" w:lineRule="atLeast"/>
        <w:ind w:firstLine="480"/>
      </w:pPr>
      <w:r>
        <w:t>（7）《国务院关于印发土壤污染防治行动计划的通知》，国发[2016]31号，2016.05.28；</w:t>
      </w:r>
    </w:p>
    <w:p>
      <w:pPr>
        <w:tabs>
          <w:tab w:val="left" w:pos="1080"/>
        </w:tabs>
        <w:spacing w:line="480" w:lineRule="atLeast"/>
        <w:ind w:firstLine="480" w:firstLineChars="200"/>
        <w:rPr>
          <w:rFonts w:ascii="Times New Roman" w:hAnsi="Times New Roman"/>
          <w:sz w:val="24"/>
          <w:szCs w:val="24"/>
        </w:rPr>
      </w:pPr>
      <w:r>
        <w:rPr>
          <w:rFonts w:ascii="Times New Roman" w:hAnsi="Times New Roman"/>
          <w:sz w:val="24"/>
          <w:szCs w:val="24"/>
        </w:rPr>
        <w:t>（8）《国务院办公厅关于印发控制污染物排放许可制实施方案的通知》，国办发[2016]81号，2016.11.10；</w:t>
      </w:r>
    </w:p>
    <w:p>
      <w:pPr>
        <w:tabs>
          <w:tab w:val="left" w:pos="1080"/>
        </w:tabs>
        <w:spacing w:line="480" w:lineRule="atLeast"/>
        <w:ind w:firstLine="480" w:firstLineChars="200"/>
        <w:rPr>
          <w:rFonts w:ascii="Times New Roman" w:hAnsi="Times New Roman"/>
          <w:sz w:val="24"/>
          <w:szCs w:val="24"/>
        </w:rPr>
      </w:pPr>
      <w:r>
        <w:rPr>
          <w:rFonts w:ascii="Times New Roman" w:hAnsi="Times New Roman"/>
          <w:sz w:val="24"/>
          <w:szCs w:val="24"/>
        </w:rPr>
        <w:t>（9）《国务院关于落实科学发展观加强环境保护的决定》，国发[2005]39号，2005.12.03；</w:t>
      </w:r>
    </w:p>
    <w:p>
      <w:pPr>
        <w:pStyle w:val="155"/>
        <w:spacing w:line="480" w:lineRule="atLeast"/>
        <w:ind w:firstLine="480"/>
      </w:pPr>
      <w:r>
        <w:t>（10）《国家突发环境事件应急预案》，国办函[2014]119号，2014.12.29；</w:t>
      </w:r>
    </w:p>
    <w:p>
      <w:pPr>
        <w:pStyle w:val="155"/>
        <w:spacing w:line="480" w:lineRule="atLeast"/>
        <w:ind w:firstLine="480"/>
      </w:pPr>
      <w:r>
        <w:t>（11）《突发环境事件信息报告办法》，国家环境保护部第17号，2011.05.01；</w:t>
      </w:r>
    </w:p>
    <w:p>
      <w:pPr>
        <w:tabs>
          <w:tab w:val="left" w:pos="1080"/>
        </w:tabs>
        <w:spacing w:line="480" w:lineRule="atLeast"/>
        <w:ind w:firstLine="480" w:firstLineChars="200"/>
        <w:rPr>
          <w:rFonts w:ascii="Times New Roman" w:hAnsi="Times New Roman"/>
          <w:sz w:val="24"/>
          <w:szCs w:val="24"/>
        </w:rPr>
      </w:pPr>
      <w:r>
        <w:rPr>
          <w:rFonts w:ascii="Times New Roman" w:hAnsi="Times New Roman"/>
          <w:sz w:val="24"/>
          <w:szCs w:val="24"/>
        </w:rPr>
        <w:t>（12）《关于印发建设项目主要污染物排放总量指标审核及管理暂行办法的通知》，环发[2014]197号，2014.12.30；</w:t>
      </w:r>
    </w:p>
    <w:p>
      <w:pPr>
        <w:tabs>
          <w:tab w:val="left" w:pos="1080"/>
        </w:tabs>
        <w:spacing w:line="480" w:lineRule="atLeast"/>
        <w:ind w:firstLine="480" w:firstLineChars="200"/>
        <w:rPr>
          <w:rFonts w:ascii="Times New Roman" w:hAnsi="Times New Roman"/>
          <w:sz w:val="24"/>
          <w:szCs w:val="24"/>
        </w:rPr>
      </w:pPr>
      <w:r>
        <w:rPr>
          <w:rFonts w:ascii="Times New Roman" w:hAnsi="Times New Roman"/>
          <w:sz w:val="24"/>
          <w:szCs w:val="24"/>
        </w:rPr>
        <w:t>（13）《关于进一步加强环境影响评价管理防范环境风险的通知》，环发[2012]77号，2012.07.01；</w:t>
      </w:r>
    </w:p>
    <w:p>
      <w:pPr>
        <w:tabs>
          <w:tab w:val="left" w:pos="1080"/>
        </w:tabs>
        <w:spacing w:line="480" w:lineRule="atLeast"/>
        <w:ind w:firstLine="480" w:firstLineChars="200"/>
        <w:rPr>
          <w:rFonts w:ascii="Times New Roman" w:hAnsi="Times New Roman"/>
          <w:sz w:val="24"/>
          <w:szCs w:val="24"/>
        </w:rPr>
      </w:pPr>
      <w:r>
        <w:rPr>
          <w:rFonts w:ascii="Times New Roman" w:hAnsi="Times New Roman"/>
          <w:sz w:val="24"/>
          <w:szCs w:val="24"/>
        </w:rPr>
        <w:t>（14）《关于切实加强风险防范严格环境影响评价管理的通知》，环发[2012]98号，2012.08.07；</w:t>
      </w:r>
    </w:p>
    <w:p>
      <w:pPr>
        <w:tabs>
          <w:tab w:val="left" w:pos="1080"/>
        </w:tabs>
        <w:spacing w:line="480" w:lineRule="atLeast"/>
        <w:ind w:firstLine="480" w:firstLineChars="200"/>
        <w:rPr>
          <w:rFonts w:ascii="Times New Roman" w:hAnsi="Times New Roman"/>
          <w:sz w:val="24"/>
          <w:szCs w:val="24"/>
        </w:rPr>
      </w:pPr>
      <w:r>
        <w:rPr>
          <w:rFonts w:ascii="Times New Roman" w:hAnsi="Times New Roman"/>
          <w:sz w:val="24"/>
          <w:szCs w:val="24"/>
        </w:rPr>
        <w:t>（15）《关于做好环境影响评价制度与排污许可制衔接相关工作的通知》，环办环评[2017]84号，2017.11.15；</w:t>
      </w:r>
    </w:p>
    <w:p>
      <w:pPr>
        <w:pStyle w:val="155"/>
        <w:spacing w:line="480" w:lineRule="atLeast"/>
        <w:ind w:firstLine="480"/>
      </w:pPr>
      <w:r>
        <w:t>（16）《国家危险废物名录（2021年版）》，生态环境部、国家发展和改革委员会、公安部、交通运输部、国家卫生健康委员会，部令第15号，2020.11.27；</w:t>
      </w:r>
    </w:p>
    <w:p>
      <w:pPr>
        <w:pStyle w:val="155"/>
        <w:spacing w:line="480" w:lineRule="atLeast"/>
        <w:ind w:firstLine="480"/>
      </w:pPr>
      <w:r>
        <w:t>（17）《危险化学品安全管理条例》，国务院令第591号，2017.10.01；</w:t>
      </w:r>
    </w:p>
    <w:p>
      <w:pPr>
        <w:pStyle w:val="155"/>
        <w:spacing w:line="480" w:lineRule="atLeast"/>
        <w:ind w:firstLine="480"/>
      </w:pPr>
      <w:r>
        <w:t>（18）《危险废物污染防治技术政策》，环发[2001]199号；</w:t>
      </w:r>
    </w:p>
    <w:p>
      <w:pPr>
        <w:pStyle w:val="155"/>
        <w:spacing w:line="480" w:lineRule="atLeast"/>
        <w:ind w:firstLine="480"/>
      </w:pPr>
      <w:r>
        <w:t>（19）《关于发布&lt;危险废物经营单位审查和许可指南&gt;的公告》，环境保护部公告2009年第65号，2009.12.10；</w:t>
      </w:r>
    </w:p>
    <w:p>
      <w:pPr>
        <w:pStyle w:val="155"/>
        <w:spacing w:line="480" w:lineRule="atLeast"/>
        <w:ind w:firstLine="480"/>
      </w:pPr>
      <w:r>
        <w:t>（20）《危险废物经营许可证管理办法》，中华人民共和国国务院令第408号发布，第666号修改，2016.02.06；</w:t>
      </w:r>
    </w:p>
    <w:p>
      <w:pPr>
        <w:pStyle w:val="155"/>
        <w:spacing w:line="480" w:lineRule="exact"/>
        <w:ind w:firstLine="480"/>
      </w:pPr>
      <w:r>
        <w:t>（21）《危险废物和医疗废物处置设施建设项目环境影响评价技术原则（试行）》，环发[2004]58号，2004.04.15；</w:t>
      </w:r>
    </w:p>
    <w:p>
      <w:pPr>
        <w:pStyle w:val="155"/>
        <w:spacing w:line="480" w:lineRule="exact"/>
        <w:ind w:firstLine="480"/>
      </w:pPr>
      <w:r>
        <w:t>（22）《医疗废物集中处置技术规范（试行）》，环发[2003]206号；</w:t>
      </w:r>
    </w:p>
    <w:p>
      <w:pPr>
        <w:pStyle w:val="155"/>
        <w:spacing w:line="480" w:lineRule="atLeast"/>
        <w:ind w:firstLine="480"/>
      </w:pPr>
      <w:r>
        <w:t>（23）《关于进一步规范医疗废物管理工作的通知》，国卫办医发[2017]32号，2017.09.13；</w:t>
      </w:r>
    </w:p>
    <w:p>
      <w:pPr>
        <w:pStyle w:val="155"/>
        <w:spacing w:line="480" w:lineRule="atLeast"/>
        <w:ind w:firstLine="480"/>
      </w:pPr>
      <w:r>
        <w:t>（24）《医疗废物转移联单管理办法》，国家环境保护总局令第5号，1999.10.01；</w:t>
      </w:r>
    </w:p>
    <w:p>
      <w:pPr>
        <w:pStyle w:val="155"/>
        <w:spacing w:line="480" w:lineRule="atLeast"/>
        <w:ind w:firstLine="480"/>
      </w:pPr>
      <w:r>
        <w:rPr>
          <w:rFonts w:hint="eastAsia"/>
        </w:rPr>
        <w:t>（2</w:t>
      </w:r>
      <w:r>
        <w:t>5</w:t>
      </w:r>
      <w:r>
        <w:rPr>
          <w:rFonts w:hint="eastAsia"/>
        </w:rPr>
        <w:t>）《国务院办公厅关于印发强化危险废物监管和利用处置能力改革实施方案的通知》（国办函</w:t>
      </w:r>
      <w:r>
        <w:t>[2021]47号，2021年5月11日）</w:t>
      </w:r>
      <w:r>
        <w:rPr>
          <w:rFonts w:hint="eastAsia"/>
        </w:rPr>
        <w:t>；</w:t>
      </w:r>
    </w:p>
    <w:p>
      <w:pPr>
        <w:pStyle w:val="155"/>
        <w:spacing w:line="480" w:lineRule="atLeast"/>
        <w:ind w:firstLine="480"/>
      </w:pPr>
      <w:r>
        <w:rPr>
          <w:rFonts w:hint="eastAsia"/>
        </w:rPr>
        <w:t>（2</w:t>
      </w:r>
      <w:r>
        <w:t>6</w:t>
      </w:r>
      <w:r>
        <w:rPr>
          <w:rFonts w:hint="eastAsia"/>
        </w:rPr>
        <w:t>）《关于印发</w:t>
      </w:r>
      <w:r>
        <w:t>&lt;医疗废物集中处置设施能力建设实施方案&gt;的通知》（发改环资[2020]696号,国家发展改革委、国家卫生健康委、生态环境部，2020年4月30日）</w:t>
      </w:r>
      <w:r>
        <w:rPr>
          <w:rFonts w:hint="eastAsia"/>
        </w:rPr>
        <w:t>；</w:t>
      </w:r>
    </w:p>
    <w:p>
      <w:pPr>
        <w:pStyle w:val="155"/>
        <w:spacing w:line="480" w:lineRule="atLeast"/>
        <w:ind w:firstLine="480"/>
      </w:pPr>
      <w:r>
        <w:rPr>
          <w:rFonts w:hint="eastAsia"/>
        </w:rPr>
        <w:t>（</w:t>
      </w:r>
      <w:r>
        <w:t>27</w:t>
      </w:r>
      <w:r>
        <w:rPr>
          <w:rFonts w:hint="eastAsia"/>
        </w:rPr>
        <w:t>）《关于印发医疗机构废弃物综合治理工作方案的通知》（国卫医发</w:t>
      </w:r>
      <w:r>
        <w:t>[2020]3号，2020年2月24日）</w:t>
      </w:r>
      <w:r>
        <w:rPr>
          <w:rFonts w:hint="eastAsia"/>
        </w:rPr>
        <w:t>；</w:t>
      </w:r>
    </w:p>
    <w:p>
      <w:pPr>
        <w:pStyle w:val="155"/>
        <w:spacing w:line="480" w:lineRule="atLeast"/>
        <w:ind w:firstLine="480"/>
      </w:pPr>
      <w:r>
        <w:rPr>
          <w:rFonts w:hint="eastAsia"/>
        </w:rPr>
        <w:t>（</w:t>
      </w:r>
      <w:r>
        <w:t>28</w:t>
      </w:r>
      <w:r>
        <w:rPr>
          <w:rFonts w:hint="eastAsia"/>
        </w:rPr>
        <w:t>）《关于发布</w:t>
      </w:r>
      <w:r>
        <w:t>&lt;危险废物经营单位编制应急预案指南&gt;的公告》（原国家环保总局公告2007年第48号，2007年7月4日）</w:t>
      </w:r>
      <w:r>
        <w:rPr>
          <w:rFonts w:hint="eastAsia"/>
        </w:rPr>
        <w:t>；</w:t>
      </w:r>
    </w:p>
    <w:p>
      <w:pPr>
        <w:pStyle w:val="155"/>
        <w:spacing w:line="480" w:lineRule="atLeast"/>
        <w:ind w:firstLine="480"/>
      </w:pPr>
      <w:r>
        <w:rPr>
          <w:rFonts w:hint="eastAsia"/>
        </w:rPr>
        <w:t>（</w:t>
      </w:r>
      <w:r>
        <w:t>29</w:t>
      </w:r>
      <w:r>
        <w:rPr>
          <w:rFonts w:hint="eastAsia"/>
        </w:rPr>
        <w:t>）《关于发布</w:t>
      </w:r>
      <w:r>
        <w:t>&lt;危险废物经营单位记录和报告经营情况指南&gt;的公告》（原环境保护部公告2009年第55号，2009年10月29日）</w:t>
      </w:r>
      <w:r>
        <w:rPr>
          <w:rFonts w:hint="eastAsia"/>
        </w:rPr>
        <w:t>；</w:t>
      </w:r>
    </w:p>
    <w:p>
      <w:pPr>
        <w:pStyle w:val="155"/>
        <w:spacing w:line="480" w:lineRule="atLeast"/>
        <w:ind w:firstLine="480"/>
      </w:pPr>
      <w:r>
        <w:rPr>
          <w:rFonts w:hint="eastAsia"/>
        </w:rPr>
        <w:t>（3</w:t>
      </w:r>
      <w:r>
        <w:t>0</w:t>
      </w:r>
      <w:r>
        <w:rPr>
          <w:rFonts w:hint="eastAsia"/>
        </w:rPr>
        <w:t>）《关于发布</w:t>
      </w:r>
      <w:r>
        <w:t>&lt;危险废物经营单位审查和许可指南&gt;的公告》（原环境保护部公告2009年第65号，2009年12月10日）《关于修改&lt;危险废物经营单位审查和许可指南&gt;部分条款的公告》（原环境保护部公告2016年第65号，2016年10月25日）</w:t>
      </w:r>
      <w:r>
        <w:rPr>
          <w:rFonts w:hint="eastAsia"/>
        </w:rPr>
        <w:t>；</w:t>
      </w:r>
    </w:p>
    <w:p>
      <w:pPr>
        <w:pStyle w:val="155"/>
        <w:spacing w:line="480" w:lineRule="atLeast"/>
        <w:ind w:firstLine="480"/>
      </w:pPr>
      <w:r>
        <w:rPr>
          <w:rFonts w:hint="eastAsia"/>
        </w:rPr>
        <w:t>（3</w:t>
      </w:r>
      <w:r>
        <w:t>1</w:t>
      </w:r>
      <w:r>
        <w:rPr>
          <w:rFonts w:hint="eastAsia"/>
        </w:rPr>
        <w:t>）《关于印发</w:t>
      </w:r>
      <w:r>
        <w:t>&lt;危险废物规范化管理指标体系&gt;的通知》（环办[2015]99号,2016年1月1日)</w:t>
      </w:r>
      <w:r>
        <w:rPr>
          <w:rFonts w:hint="eastAsia"/>
        </w:rPr>
        <w:t>；</w:t>
      </w:r>
    </w:p>
    <w:p>
      <w:pPr>
        <w:pStyle w:val="155"/>
        <w:spacing w:line="480" w:lineRule="atLeast"/>
        <w:ind w:firstLine="480"/>
      </w:pPr>
      <w:r>
        <w:rPr>
          <w:rFonts w:hint="eastAsia"/>
        </w:rPr>
        <w:t>（3</w:t>
      </w:r>
      <w:r>
        <w:t>2</w:t>
      </w:r>
      <w:r>
        <w:rPr>
          <w:rFonts w:hint="eastAsia"/>
        </w:rPr>
        <w:t>）《关于提升危险废物环境监管能力、利用处置能力和环境风险防范能力的指导意见》（环固体</w:t>
      </w:r>
      <w:r>
        <w:t>[2019]92号,2019年10月16日）</w:t>
      </w:r>
      <w:r>
        <w:rPr>
          <w:rFonts w:hint="eastAsia"/>
        </w:rPr>
        <w:t>；</w:t>
      </w:r>
    </w:p>
    <w:p>
      <w:pPr>
        <w:pStyle w:val="155"/>
        <w:spacing w:line="480" w:lineRule="atLeast"/>
        <w:ind w:firstLine="480"/>
      </w:pPr>
      <w:r>
        <w:rPr>
          <w:rFonts w:hint="eastAsia"/>
        </w:rPr>
        <w:t>（3</w:t>
      </w:r>
      <w:r>
        <w:t>3</w:t>
      </w:r>
      <w:r>
        <w:rPr>
          <w:rFonts w:hint="eastAsia"/>
        </w:rPr>
        <w:t>）《关于推进危险废物环境管理信息化有关工作的通知》（环办固体函</w:t>
      </w:r>
      <w:r>
        <w:t>[2020]733号，2020年12月29日）</w:t>
      </w:r>
      <w:r>
        <w:rPr>
          <w:rFonts w:hint="eastAsia"/>
        </w:rPr>
        <w:t>；</w:t>
      </w:r>
    </w:p>
    <w:p>
      <w:pPr>
        <w:pStyle w:val="155"/>
        <w:spacing w:line="480" w:lineRule="atLeast"/>
        <w:ind w:firstLine="480"/>
      </w:pPr>
      <w:r>
        <w:rPr>
          <w:rFonts w:hint="eastAsia"/>
        </w:rPr>
        <w:t>（3</w:t>
      </w:r>
      <w:r>
        <w:t>4</w:t>
      </w:r>
      <w:r>
        <w:rPr>
          <w:rFonts w:hint="eastAsia"/>
        </w:rPr>
        <w:t>）《关于印发</w:t>
      </w:r>
      <w:r>
        <w:t>&lt;“十四五”全国危险废物规范化环境管理评估工作方案&gt;的通知》（环办固体[2021]20号,2021年9月1日）</w:t>
      </w:r>
      <w:r>
        <w:rPr>
          <w:rFonts w:hint="eastAsia"/>
        </w:rPr>
        <w:t>；</w:t>
      </w:r>
    </w:p>
    <w:p>
      <w:pPr>
        <w:pStyle w:val="155"/>
        <w:spacing w:line="480" w:lineRule="atLeast"/>
        <w:ind w:firstLine="480"/>
      </w:pPr>
      <w:r>
        <w:rPr>
          <w:rFonts w:hint="eastAsia"/>
        </w:rPr>
        <w:t>（3</w:t>
      </w:r>
      <w:r>
        <w:t>5</w:t>
      </w:r>
      <w:r>
        <w:rPr>
          <w:rFonts w:hint="eastAsia"/>
        </w:rPr>
        <w:t>）《关于进一步推进危险废物环境管理信息化有关工作的通知》（环办固体函</w:t>
      </w:r>
      <w:r>
        <w:t>[2022]230号，2022年6月17日）</w:t>
      </w:r>
      <w:r>
        <w:rPr>
          <w:rFonts w:hint="eastAsia"/>
        </w:rPr>
        <w:t>；</w:t>
      </w:r>
    </w:p>
    <w:p>
      <w:pPr>
        <w:pStyle w:val="155"/>
        <w:spacing w:line="480" w:lineRule="atLeast"/>
        <w:ind w:firstLine="480"/>
      </w:pPr>
      <w:r>
        <w:rPr>
          <w:rFonts w:hint="eastAsia"/>
        </w:rPr>
        <w:t>（3</w:t>
      </w:r>
      <w:r>
        <w:t>6</w:t>
      </w:r>
      <w:r>
        <w:rPr>
          <w:rFonts w:hint="eastAsia"/>
        </w:rPr>
        <w:t>）《危险废物转移管理办法》（</w:t>
      </w:r>
      <w:r>
        <w:t>2021年11月30日生态环境部、公安部、交通运输部令第23号公布,自2022年1月1日起施行）</w:t>
      </w:r>
      <w:r>
        <w:rPr>
          <w:rFonts w:hint="eastAsia"/>
        </w:rPr>
        <w:t>。</w:t>
      </w:r>
    </w:p>
    <w:p>
      <w:pPr>
        <w:pStyle w:val="4"/>
        <w:spacing w:before="120" w:beforeLines="50" w:after="120" w:afterLines="50" w:line="480" w:lineRule="exact"/>
        <w:rPr>
          <w:rFonts w:ascii="Times New Roman" w:hAnsi="Times New Roman" w:eastAsia="黑体"/>
          <w:kern w:val="2"/>
          <w:sz w:val="28"/>
          <w:szCs w:val="32"/>
        </w:rPr>
      </w:pPr>
      <w:bookmarkStart w:id="224" w:name="_Toc5745"/>
      <w:bookmarkStart w:id="225" w:name="_Toc26037"/>
      <w:bookmarkStart w:id="226" w:name="_Toc20543"/>
      <w:r>
        <w:rPr>
          <w:rFonts w:ascii="Times New Roman" w:hAnsi="Times New Roman" w:eastAsia="黑体"/>
          <w:kern w:val="2"/>
          <w:sz w:val="28"/>
          <w:szCs w:val="32"/>
        </w:rPr>
        <w:t>地方法规</w:t>
      </w:r>
      <w:bookmarkEnd w:id="224"/>
      <w:bookmarkEnd w:id="225"/>
      <w:bookmarkEnd w:id="226"/>
    </w:p>
    <w:p>
      <w:pPr>
        <w:tabs>
          <w:tab w:val="left" w:pos="1080"/>
        </w:tabs>
        <w:spacing w:line="480" w:lineRule="atLeast"/>
        <w:ind w:firstLine="480" w:firstLineChars="200"/>
        <w:rPr>
          <w:rFonts w:ascii="Times New Roman" w:hAnsi="Times New Roman"/>
          <w:sz w:val="24"/>
          <w:szCs w:val="24"/>
        </w:rPr>
      </w:pPr>
      <w:r>
        <w:rPr>
          <w:rFonts w:ascii="Times New Roman" w:hAnsi="Times New Roman"/>
          <w:sz w:val="24"/>
          <w:szCs w:val="24"/>
        </w:rPr>
        <w:t>（1）《黑龙江省环境保护条例》，黑龙江人大常委会，2018.04.26修正；</w:t>
      </w:r>
    </w:p>
    <w:p>
      <w:pPr>
        <w:tabs>
          <w:tab w:val="left" w:pos="1080"/>
        </w:tabs>
        <w:spacing w:line="480" w:lineRule="atLeast"/>
        <w:ind w:firstLine="480" w:firstLineChars="200"/>
        <w:rPr>
          <w:rFonts w:ascii="Times New Roman" w:hAnsi="Times New Roman"/>
          <w:sz w:val="24"/>
          <w:szCs w:val="24"/>
        </w:rPr>
      </w:pPr>
      <w:r>
        <w:rPr>
          <w:rFonts w:ascii="Times New Roman" w:hAnsi="Times New Roman"/>
          <w:sz w:val="24"/>
          <w:szCs w:val="24"/>
        </w:rPr>
        <w:t>（2）《黑龙江省人民政府关于加强环境保护重点工作的实施意见》，黑政发[2012]11号，黑龙江省人民政府，2012.02.25发布；</w:t>
      </w:r>
    </w:p>
    <w:p>
      <w:pPr>
        <w:tabs>
          <w:tab w:val="left" w:pos="1080"/>
        </w:tabs>
        <w:spacing w:line="480" w:lineRule="atLeast"/>
        <w:ind w:firstLine="480" w:firstLineChars="200"/>
        <w:rPr>
          <w:rFonts w:ascii="Times New Roman" w:hAnsi="Times New Roman"/>
          <w:sz w:val="24"/>
          <w:szCs w:val="24"/>
        </w:rPr>
      </w:pPr>
      <w:r>
        <w:rPr>
          <w:rFonts w:ascii="Times New Roman" w:hAnsi="Times New Roman"/>
          <w:sz w:val="24"/>
          <w:szCs w:val="24"/>
        </w:rPr>
        <w:t>（4）《黑龙江省大气污染防治条例》，黑龙江人大常委会，2018.12.27修正；</w:t>
      </w:r>
    </w:p>
    <w:p>
      <w:pPr>
        <w:tabs>
          <w:tab w:val="left" w:pos="1080"/>
        </w:tabs>
        <w:spacing w:line="480" w:lineRule="atLeast"/>
        <w:ind w:firstLine="480" w:firstLineChars="200"/>
        <w:rPr>
          <w:rFonts w:ascii="Times New Roman" w:hAnsi="Times New Roman"/>
          <w:sz w:val="24"/>
          <w:szCs w:val="24"/>
        </w:rPr>
      </w:pPr>
      <w:r>
        <w:rPr>
          <w:rFonts w:ascii="Times New Roman" w:hAnsi="Times New Roman"/>
          <w:sz w:val="24"/>
          <w:szCs w:val="24"/>
        </w:rPr>
        <w:t>（5）《黑龙江省人民政府关于印发黑龙江省水污染防治工作实施方案的通知》，黑政发[2016]3号，2016.01.10；</w:t>
      </w:r>
    </w:p>
    <w:p>
      <w:pPr>
        <w:pStyle w:val="155"/>
        <w:spacing w:line="480" w:lineRule="atLeast"/>
        <w:ind w:firstLine="480"/>
      </w:pPr>
      <w:r>
        <w:t>（6）《黑龙江省人民政府关于印发黑龙江省土壤污染防治实施方案的通知》，黑政发[2016]46号，2016.12.30；</w:t>
      </w:r>
    </w:p>
    <w:p>
      <w:pPr>
        <w:pStyle w:val="155"/>
        <w:spacing w:line="480" w:lineRule="atLeast"/>
        <w:ind w:firstLine="480"/>
      </w:pPr>
      <w:r>
        <w:t>（7）《黑龙江省主体功能区规划》，黑政发[2012]29号，2012.04.25；</w:t>
      </w:r>
    </w:p>
    <w:p>
      <w:pPr>
        <w:pStyle w:val="155"/>
        <w:spacing w:line="480" w:lineRule="atLeast"/>
        <w:ind w:firstLine="480"/>
      </w:pPr>
      <w:r>
        <w:t>（8）</w:t>
      </w:r>
      <w:r>
        <w:rPr>
          <w:szCs w:val="24"/>
        </w:rPr>
        <w:t>黑龙江省地方标准《用水定额》，DB23/T727-2021</w:t>
      </w:r>
      <w:r>
        <w:t>，2021.02.24；</w:t>
      </w:r>
    </w:p>
    <w:p>
      <w:pPr>
        <w:pStyle w:val="155"/>
        <w:spacing w:line="480" w:lineRule="atLeast"/>
        <w:ind w:firstLine="480"/>
      </w:pPr>
      <w:r>
        <w:rPr>
          <w:rFonts w:hint="eastAsia"/>
        </w:rPr>
        <w:t>（9）《黑龙江省人民政府关于实施“三线一单”生态环境分区管控的意见》（黑政发</w:t>
      </w:r>
      <w:r>
        <w:t>[2020]14号，2020年12月16日）</w:t>
      </w:r>
      <w:r>
        <w:rPr>
          <w:rFonts w:hint="eastAsia"/>
        </w:rPr>
        <w:t>；</w:t>
      </w:r>
    </w:p>
    <w:p>
      <w:pPr>
        <w:pStyle w:val="155"/>
        <w:spacing w:line="480" w:lineRule="atLeast"/>
        <w:ind w:firstLine="480"/>
      </w:pPr>
      <w:r>
        <w:rPr>
          <w:rFonts w:hint="eastAsia"/>
        </w:rPr>
        <w:t>（1</w:t>
      </w:r>
      <w:r>
        <w:t>0</w:t>
      </w:r>
      <w:r>
        <w:rPr>
          <w:rFonts w:hint="eastAsia"/>
        </w:rPr>
        <w:t>）《黑龙江省人民政府办公厅关于印发</w:t>
      </w:r>
      <w:r>
        <w:t>&lt;黑龙江省强化危险废物监管和利用处置能力改革工作方案&gt;的通知》（黑政办规[2021]23号,2021年9月22日）</w:t>
      </w:r>
    </w:p>
    <w:p>
      <w:pPr>
        <w:pStyle w:val="155"/>
        <w:spacing w:line="480" w:lineRule="atLeast"/>
        <w:ind w:left="420" w:leftChars="200" w:firstLine="0" w:firstLineChars="0"/>
      </w:pPr>
      <w:r>
        <w:t>（11）《双鸭山市水污染防治工作方案》，双政办发[2016]13号，2016.03.25；（12）《双鸭山市水污染防治工作方案》，双政办发[2016]13号，2016.03.25；</w:t>
      </w:r>
    </w:p>
    <w:p>
      <w:pPr>
        <w:pStyle w:val="155"/>
        <w:spacing w:line="480" w:lineRule="atLeast"/>
        <w:ind w:left="540" w:leftChars="200" w:hanging="120" w:hangingChars="50"/>
      </w:pPr>
      <w:r>
        <w:rPr>
          <w:rFonts w:hint="eastAsia"/>
        </w:rPr>
        <w:t>（1</w:t>
      </w:r>
      <w:r>
        <w:t>3</w:t>
      </w:r>
      <w:r>
        <w:rPr>
          <w:rFonts w:hint="eastAsia"/>
        </w:rPr>
        <w:t>）</w:t>
      </w:r>
      <w:r>
        <w:t>《黑龙江省生态环境保护“十</w:t>
      </w:r>
      <w:r>
        <w:rPr>
          <w:rFonts w:hint="eastAsia"/>
        </w:rPr>
        <w:t>四</w:t>
      </w:r>
      <w:r>
        <w:t>五“规划》（黑政规〔2021〕18号）</w:t>
      </w:r>
      <w:r>
        <w:rPr>
          <w:rFonts w:hint="eastAsia"/>
        </w:rPr>
        <w:t>；</w:t>
      </w:r>
    </w:p>
    <w:p>
      <w:pPr>
        <w:pStyle w:val="155"/>
        <w:spacing w:line="480" w:lineRule="atLeast"/>
        <w:ind w:left="540" w:leftChars="200" w:hanging="120" w:hangingChars="50"/>
      </w:pPr>
      <w:r>
        <w:rPr>
          <w:rFonts w:hint="eastAsia"/>
        </w:rPr>
        <w:t>（1</w:t>
      </w:r>
      <w:r>
        <w:t>4</w:t>
      </w:r>
      <w:r>
        <w:rPr>
          <w:rFonts w:hint="eastAsia"/>
        </w:rPr>
        <w:t>）</w:t>
      </w:r>
      <w:r>
        <w:t>《双鸭山市人民政府关于印发双鸭山市国民经济和社会发展第十四个</w:t>
      </w:r>
    </w:p>
    <w:p>
      <w:pPr>
        <w:pStyle w:val="155"/>
        <w:spacing w:line="480" w:lineRule="atLeast"/>
        <w:ind w:left="540" w:leftChars="200" w:hanging="120" w:hangingChars="50"/>
      </w:pPr>
      <w:r>
        <w:t>五年规划和二○三五年远景目标纲要的通知》双政发〔2021〕3号</w:t>
      </w:r>
      <w:r>
        <w:rPr>
          <w:rFonts w:hint="eastAsia"/>
        </w:rPr>
        <w:t>；</w:t>
      </w:r>
    </w:p>
    <w:p>
      <w:pPr>
        <w:pStyle w:val="155"/>
        <w:spacing w:line="480" w:lineRule="atLeast"/>
        <w:ind w:left="540" w:leftChars="200" w:hanging="120" w:hangingChars="50"/>
      </w:pPr>
      <w:r>
        <w:rPr>
          <w:rFonts w:hint="eastAsia"/>
        </w:rPr>
        <w:t>（1</w:t>
      </w:r>
      <w:r>
        <w:t>5</w:t>
      </w:r>
      <w:r>
        <w:rPr>
          <w:rFonts w:hint="eastAsia"/>
        </w:rPr>
        <w:t>）《双鸭山市人民政府关于实施“三线一单”生态环境分区管控的意见》（双政规</w:t>
      </w:r>
      <w:r>
        <w:t>[2021]2号）</w:t>
      </w:r>
      <w:r>
        <w:rPr>
          <w:rFonts w:hint="eastAsia"/>
        </w:rPr>
        <w:t>。</w:t>
      </w:r>
    </w:p>
    <w:p>
      <w:pPr>
        <w:pStyle w:val="155"/>
        <w:spacing w:line="480" w:lineRule="atLeast"/>
        <w:ind w:firstLine="0" w:firstLineChars="0"/>
      </w:pPr>
    </w:p>
    <w:p>
      <w:pPr>
        <w:pStyle w:val="4"/>
        <w:spacing w:before="120" w:beforeLines="50" w:after="120" w:afterLines="50" w:line="480" w:lineRule="exact"/>
        <w:rPr>
          <w:rFonts w:ascii="Times New Roman" w:hAnsi="Times New Roman" w:eastAsia="黑体"/>
          <w:kern w:val="2"/>
          <w:sz w:val="28"/>
          <w:szCs w:val="32"/>
        </w:rPr>
      </w:pPr>
      <w:bookmarkStart w:id="227" w:name="_Toc27090"/>
      <w:bookmarkStart w:id="228" w:name="_Toc22971"/>
      <w:bookmarkStart w:id="229" w:name="_Toc21384"/>
      <w:bookmarkStart w:id="230" w:name="_Toc27983"/>
      <w:bookmarkStart w:id="231" w:name="_Toc2080"/>
      <w:r>
        <w:rPr>
          <w:rFonts w:ascii="Times New Roman" w:hAnsi="Times New Roman" w:eastAsia="黑体"/>
          <w:kern w:val="2"/>
          <w:sz w:val="28"/>
          <w:szCs w:val="32"/>
        </w:rPr>
        <w:t>其他文件</w:t>
      </w:r>
      <w:bookmarkEnd w:id="227"/>
      <w:bookmarkEnd w:id="228"/>
      <w:bookmarkEnd w:id="229"/>
      <w:bookmarkEnd w:id="230"/>
      <w:bookmarkEnd w:id="231"/>
    </w:p>
    <w:p>
      <w:pPr>
        <w:pStyle w:val="155"/>
        <w:numPr>
          <w:ilvl w:val="0"/>
          <w:numId w:val="5"/>
        </w:numPr>
        <w:spacing w:line="480" w:lineRule="exact"/>
        <w:ind w:firstLine="480"/>
      </w:pPr>
      <w:r>
        <w:t>《双鸭山市医疗废物集中处置工程环境影响报告书》；</w:t>
      </w:r>
    </w:p>
    <w:p>
      <w:pPr>
        <w:pStyle w:val="155"/>
        <w:numPr>
          <w:ilvl w:val="0"/>
          <w:numId w:val="5"/>
        </w:numPr>
        <w:spacing w:line="480" w:lineRule="exact"/>
        <w:ind w:firstLine="480"/>
      </w:pPr>
      <w:r>
        <w:t>《关于双鸭山市医疗废物集中处置工程环境影响报告书的批复》，黑环函[2007]284号，2007.09.15；</w:t>
      </w:r>
    </w:p>
    <w:p>
      <w:pPr>
        <w:pStyle w:val="155"/>
        <w:numPr>
          <w:ilvl w:val="0"/>
          <w:numId w:val="5"/>
        </w:numPr>
        <w:spacing w:line="480" w:lineRule="exact"/>
        <w:ind w:firstLine="480"/>
      </w:pPr>
      <w:r>
        <w:t>《双鸭山市医疗废物集中处置工程竣工环境保护验收监测报告书》；</w:t>
      </w:r>
    </w:p>
    <w:p>
      <w:pPr>
        <w:pStyle w:val="155"/>
        <w:numPr>
          <w:ilvl w:val="0"/>
          <w:numId w:val="5"/>
        </w:numPr>
        <w:spacing w:line="480" w:lineRule="exact"/>
        <w:ind w:firstLine="480"/>
      </w:pPr>
      <w:r>
        <w:t>《关于双鸭山市医疗废物集中处置工程竣工环境保护验收意见的函》，黑环验[2012]99号，2012.07.26。</w:t>
      </w:r>
    </w:p>
    <w:p>
      <w:pPr>
        <w:pStyle w:val="3"/>
        <w:spacing w:before="120" w:beforeLines="50" w:after="120" w:afterLines="50" w:line="480" w:lineRule="exact"/>
        <w:ind w:left="-11"/>
        <w:rPr>
          <w:rFonts w:ascii="Times New Roman" w:hAnsi="Times New Roman" w:eastAsia="黑体"/>
          <w:sz w:val="30"/>
          <w:szCs w:val="30"/>
        </w:rPr>
      </w:pPr>
      <w:bookmarkStart w:id="232" w:name="_Toc116379698"/>
      <w:r>
        <w:rPr>
          <w:rFonts w:ascii="Times New Roman" w:hAnsi="Times New Roman" w:eastAsia="黑体"/>
          <w:sz w:val="30"/>
          <w:szCs w:val="30"/>
        </w:rPr>
        <w:t>评价因子与评价标准</w:t>
      </w:r>
      <w:bookmarkEnd w:id="232"/>
    </w:p>
    <w:p>
      <w:pPr>
        <w:pStyle w:val="4"/>
        <w:spacing w:before="120" w:beforeLines="50" w:after="120" w:afterLines="50" w:line="480" w:lineRule="exact"/>
        <w:rPr>
          <w:rFonts w:ascii="Times New Roman" w:hAnsi="Times New Roman" w:eastAsia="黑体"/>
          <w:kern w:val="2"/>
          <w:sz w:val="28"/>
          <w:szCs w:val="32"/>
        </w:rPr>
      </w:pPr>
      <w:bookmarkStart w:id="233" w:name="_Toc28409"/>
      <w:bookmarkStart w:id="234" w:name="_Toc16866"/>
      <w:bookmarkStart w:id="235" w:name="_Toc27134269"/>
      <w:bookmarkStart w:id="236" w:name="_Toc9843780"/>
      <w:bookmarkStart w:id="237" w:name="_Toc31803"/>
      <w:bookmarkStart w:id="238" w:name="_Toc30955"/>
      <w:bookmarkStart w:id="239" w:name="_Toc22232"/>
      <w:bookmarkStart w:id="240" w:name="_Toc23623"/>
      <w:bookmarkStart w:id="241" w:name="_Toc7491"/>
      <w:bookmarkStart w:id="242" w:name="_Toc26187993"/>
      <w:r>
        <w:rPr>
          <w:rFonts w:ascii="Times New Roman" w:hAnsi="Times New Roman" w:eastAsia="黑体"/>
          <w:kern w:val="2"/>
          <w:sz w:val="28"/>
          <w:szCs w:val="32"/>
        </w:rPr>
        <w:t>环境影响因素识别</w:t>
      </w:r>
      <w:bookmarkEnd w:id="233"/>
      <w:bookmarkEnd w:id="234"/>
    </w:p>
    <w:p>
      <w:pPr>
        <w:pStyle w:val="155"/>
        <w:spacing w:line="480" w:lineRule="exact"/>
        <w:ind w:firstLine="480"/>
      </w:pPr>
      <w:r>
        <w:rPr>
          <w:rFonts w:hint="eastAsia"/>
        </w:rPr>
        <w:t>本项目在施工期间（设备安装）将会对周围环境产生一定的影响，伴随着施工结束，施工期对外界环境的影响也将消失。施工期间，对周围环境的影响是暂时的。</w:t>
      </w:r>
    </w:p>
    <w:p>
      <w:pPr>
        <w:pStyle w:val="155"/>
        <w:spacing w:line="480" w:lineRule="exact"/>
        <w:ind w:firstLine="480"/>
      </w:pPr>
      <w:r>
        <w:t>本项目环境影响因素及影响程度详见表2.3-1。</w:t>
      </w:r>
    </w:p>
    <w:p>
      <w:pPr>
        <w:spacing w:line="480" w:lineRule="exact"/>
        <w:jc w:val="center"/>
        <w:rPr>
          <w:rFonts w:ascii="Times New Roman" w:hAnsi="Times New Roman"/>
          <w:b/>
        </w:rPr>
      </w:pPr>
      <w:r>
        <w:rPr>
          <w:rFonts w:ascii="Times New Roman" w:hAnsi="Times New Roman"/>
        </w:rPr>
        <mc:AlternateContent>
          <mc:Choice Requires="wps">
            <w:drawing>
              <wp:anchor distT="0" distB="0" distL="114300" distR="114300" simplePos="0" relativeHeight="251662336" behindDoc="0" locked="0" layoutInCell="1" allowOverlap="1">
                <wp:simplePos x="0" y="0"/>
                <wp:positionH relativeFrom="column">
                  <wp:posOffset>13335</wp:posOffset>
                </wp:positionH>
                <wp:positionV relativeFrom="paragraph">
                  <wp:posOffset>302260</wp:posOffset>
                </wp:positionV>
                <wp:extent cx="1156970" cy="374015"/>
                <wp:effectExtent l="1270" t="4445" r="3810" b="12065"/>
                <wp:wrapNone/>
                <wp:docPr id="22" name="直线 17625"/>
                <wp:cNvGraphicFramePr/>
                <a:graphic xmlns:a="http://schemas.openxmlformats.org/drawingml/2006/main">
                  <a:graphicData uri="http://schemas.microsoft.com/office/word/2010/wordprocessingShape">
                    <wps:wsp>
                      <wps:cNvCnPr/>
                      <wps:spPr>
                        <a:xfrm>
                          <a:off x="0" y="0"/>
                          <a:ext cx="1156970" cy="374015"/>
                        </a:xfrm>
                        <a:prstGeom prst="line">
                          <a:avLst/>
                        </a:prstGeom>
                        <a:ln w="3175" cap="flat" cmpd="sng">
                          <a:solidFill>
                            <a:srgbClr val="000000"/>
                          </a:solidFill>
                          <a:prstDash val="solid"/>
                          <a:headEnd type="none" w="med" len="med"/>
                          <a:tailEnd type="none" w="med" len="med"/>
                        </a:ln>
                      </wps:spPr>
                      <wps:bodyPr/>
                    </wps:wsp>
                  </a:graphicData>
                </a:graphic>
              </wp:anchor>
            </w:drawing>
          </mc:Choice>
          <mc:Fallback>
            <w:pict>
              <v:line id="直线 17625" o:spid="_x0000_s1026" o:spt="20" style="position:absolute;left:0pt;margin-left:1.05pt;margin-top:23.8pt;height:29.45pt;width:91.1pt;z-index:251662336;mso-width-relative:page;mso-height-relative:page;" filled="f" stroked="t" coordsize="21600,21600" o:gfxdata="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EjW&#10;fU3ZAAAACAEAAA8AAAAAAAAAAQAgAAAAIgAAAGRycy9kb3ducmV2LnhtbFBLAQIUABQAAAAIAIdO&#10;4kDdxLxa6QEAANkDAAAOAAAAAAAAAAEAIAAAACgBAABkcnMvZTJvRG9jLnhtbFBLBQYAAAAABgAG&#10;AFkBAACDBQAAAAA=&#10;">
                <v:fill on="f" focussize="0,0"/>
                <v:stroke weight="0.25pt" color="#000000" joinstyle="round"/>
                <v:imagedata o:title=""/>
                <o:lock v:ext="edit" aspectratio="f"/>
              </v:line>
            </w:pict>
          </mc:Fallback>
        </mc:AlternateContent>
      </w:r>
      <w:r>
        <w:rPr>
          <w:rFonts w:ascii="Times New Roman" w:hAnsi="Times New Roman"/>
          <w:b/>
        </w:rPr>
        <w:t>表2.3-1 环境影响识别结果一览表</w:t>
      </w:r>
    </w:p>
    <w:tbl>
      <w:tblPr>
        <w:tblStyle w:val="77"/>
        <w:tblW w:w="5000" w:type="pct"/>
        <w:jc w:val="center"/>
        <w:tblLayout w:type="fixed"/>
        <w:tblCellMar>
          <w:top w:w="0" w:type="dxa"/>
          <w:left w:w="0" w:type="dxa"/>
          <w:bottom w:w="0" w:type="dxa"/>
          <w:right w:w="0" w:type="dxa"/>
        </w:tblCellMar>
      </w:tblPr>
      <w:tblGrid>
        <w:gridCol w:w="1038"/>
        <w:gridCol w:w="1039"/>
        <w:gridCol w:w="1039"/>
        <w:gridCol w:w="1039"/>
        <w:gridCol w:w="1039"/>
        <w:gridCol w:w="1039"/>
        <w:gridCol w:w="1039"/>
        <w:gridCol w:w="1040"/>
      </w:tblGrid>
      <w:tr>
        <w:tblPrEx>
          <w:tblCellMar>
            <w:top w:w="0" w:type="dxa"/>
            <w:left w:w="0" w:type="dxa"/>
            <w:bottom w:w="0" w:type="dxa"/>
            <w:right w:w="0" w:type="dxa"/>
          </w:tblCellMar>
        </w:tblPrEx>
        <w:trPr>
          <w:trHeight w:val="20" w:hRule="atLeast"/>
          <w:jc w:val="center"/>
        </w:trPr>
        <w:tc>
          <w:tcPr>
            <w:tcW w:w="2077" w:type="dxa"/>
            <w:gridSpan w:val="2"/>
            <w:tcBorders>
              <w:top w:val="single" w:color="auto" w:sz="12" w:space="0"/>
              <w:left w:val="nil"/>
              <w:bottom w:val="single" w:color="auto" w:sz="4" w:space="0"/>
              <w:right w:val="nil"/>
            </w:tcBorders>
            <w:shd w:val="clear" w:color="auto" w:fill="FFFFFF"/>
            <w:vAlign w:val="center"/>
          </w:tcPr>
          <w:p>
            <w:pPr>
              <w:spacing w:line="280" w:lineRule="exact"/>
              <w:ind w:firstLine="843" w:firstLineChars="400"/>
              <w:jc w:val="center"/>
              <w:rPr>
                <w:rFonts w:ascii="Times New Roman" w:hAnsi="Times New Roman"/>
                <w:b/>
                <w:bCs/>
              </w:rPr>
            </w:pPr>
            <w:r>
              <w:rPr>
                <w:rFonts w:ascii="Times New Roman" w:hAnsi="Times New Roman"/>
                <w:b/>
                <w:bCs/>
              </w:rPr>
              <w:t>环境要素</w:t>
            </w:r>
          </w:p>
          <w:p>
            <w:pPr>
              <w:pStyle w:val="65"/>
              <w:spacing w:line="280" w:lineRule="exact"/>
              <w:ind w:left="0"/>
              <w:rPr>
                <w:b/>
                <w:bCs/>
                <w:sz w:val="21"/>
                <w:szCs w:val="21"/>
              </w:rPr>
            </w:pPr>
            <w:r>
              <w:rPr>
                <w:b/>
                <w:bCs/>
                <w:kern w:val="2"/>
                <w:sz w:val="21"/>
                <w:szCs w:val="21"/>
              </w:rPr>
              <w:t>污染因素</w:t>
            </w:r>
          </w:p>
        </w:tc>
        <w:tc>
          <w:tcPr>
            <w:tcW w:w="1039" w:type="dxa"/>
            <w:tcBorders>
              <w:top w:val="single" w:color="auto" w:sz="12"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b/>
                <w:bCs/>
                <w:kern w:val="2"/>
              </w:rPr>
            </w:pPr>
            <w:r>
              <w:rPr>
                <w:rFonts w:ascii="Times New Roman" w:hAnsi="Times New Roman"/>
                <w:b/>
                <w:bCs/>
                <w:kern w:val="2"/>
              </w:rPr>
              <w:t>环境空气</w:t>
            </w:r>
          </w:p>
        </w:tc>
        <w:tc>
          <w:tcPr>
            <w:tcW w:w="1039" w:type="dxa"/>
            <w:tcBorders>
              <w:top w:val="single" w:color="auto" w:sz="12"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b/>
                <w:bCs/>
                <w:kern w:val="2"/>
              </w:rPr>
            </w:pPr>
            <w:r>
              <w:rPr>
                <w:rFonts w:ascii="Times New Roman" w:hAnsi="Times New Roman"/>
                <w:b/>
                <w:bCs/>
                <w:kern w:val="2"/>
              </w:rPr>
              <w:t>水环境</w:t>
            </w:r>
          </w:p>
        </w:tc>
        <w:tc>
          <w:tcPr>
            <w:tcW w:w="1039" w:type="dxa"/>
            <w:tcBorders>
              <w:top w:val="single" w:color="auto" w:sz="12"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b/>
                <w:bCs/>
                <w:kern w:val="2"/>
              </w:rPr>
            </w:pPr>
            <w:r>
              <w:rPr>
                <w:rFonts w:ascii="Times New Roman" w:hAnsi="Times New Roman"/>
                <w:b/>
                <w:bCs/>
                <w:kern w:val="2"/>
              </w:rPr>
              <w:t>声环境</w:t>
            </w:r>
          </w:p>
        </w:tc>
        <w:tc>
          <w:tcPr>
            <w:tcW w:w="1039" w:type="dxa"/>
            <w:tcBorders>
              <w:top w:val="single" w:color="auto" w:sz="12"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b/>
                <w:bCs/>
                <w:kern w:val="2"/>
              </w:rPr>
            </w:pPr>
            <w:r>
              <w:rPr>
                <w:rFonts w:ascii="Times New Roman" w:hAnsi="Times New Roman"/>
                <w:b/>
                <w:bCs/>
                <w:kern w:val="2"/>
              </w:rPr>
              <w:t>固体废物</w:t>
            </w:r>
          </w:p>
        </w:tc>
        <w:tc>
          <w:tcPr>
            <w:tcW w:w="1039" w:type="dxa"/>
            <w:tcBorders>
              <w:top w:val="single" w:color="auto" w:sz="12"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b/>
                <w:bCs/>
                <w:kern w:val="2"/>
              </w:rPr>
            </w:pPr>
            <w:r>
              <w:rPr>
                <w:rFonts w:ascii="Times New Roman" w:hAnsi="Times New Roman"/>
                <w:b/>
                <w:bCs/>
                <w:kern w:val="2"/>
              </w:rPr>
              <w:t>土壤环境</w:t>
            </w:r>
          </w:p>
        </w:tc>
        <w:tc>
          <w:tcPr>
            <w:tcW w:w="1040" w:type="dxa"/>
            <w:tcBorders>
              <w:top w:val="single" w:color="auto" w:sz="12"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b/>
                <w:bCs/>
                <w:kern w:val="2"/>
              </w:rPr>
            </w:pPr>
            <w:r>
              <w:rPr>
                <w:rFonts w:ascii="Times New Roman" w:hAnsi="Times New Roman"/>
                <w:b/>
                <w:bCs/>
                <w:kern w:val="2"/>
              </w:rPr>
              <w:t>生态环境</w:t>
            </w:r>
          </w:p>
        </w:tc>
      </w:tr>
      <w:tr>
        <w:tblPrEx>
          <w:tblCellMar>
            <w:top w:w="0" w:type="dxa"/>
            <w:left w:w="0" w:type="dxa"/>
            <w:bottom w:w="0" w:type="dxa"/>
            <w:right w:w="0" w:type="dxa"/>
          </w:tblCellMar>
        </w:tblPrEx>
        <w:trPr>
          <w:trHeight w:val="20" w:hRule="atLeast"/>
          <w:jc w:val="center"/>
        </w:trPr>
        <w:tc>
          <w:tcPr>
            <w:tcW w:w="1038" w:type="dxa"/>
            <w:vMerge w:val="restart"/>
            <w:tcBorders>
              <w:left w:val="nil"/>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施工期</w:t>
            </w: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施工废水</w:t>
            </w: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w:t>
            </w: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-1S</w:t>
            </w: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w:t>
            </w: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w:t>
            </w: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w:t>
            </w:r>
          </w:p>
        </w:tc>
        <w:tc>
          <w:tcPr>
            <w:tcW w:w="1040"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-1S</w:t>
            </w:r>
          </w:p>
        </w:tc>
      </w:tr>
      <w:tr>
        <w:tblPrEx>
          <w:tblCellMar>
            <w:top w:w="0" w:type="dxa"/>
            <w:left w:w="0" w:type="dxa"/>
            <w:bottom w:w="0" w:type="dxa"/>
            <w:right w:w="0" w:type="dxa"/>
          </w:tblCellMar>
        </w:tblPrEx>
        <w:trPr>
          <w:trHeight w:val="20" w:hRule="atLeast"/>
          <w:jc w:val="center"/>
        </w:trPr>
        <w:tc>
          <w:tcPr>
            <w:tcW w:w="1038" w:type="dxa"/>
            <w:vMerge w:val="continue"/>
            <w:tcBorders>
              <w:left w:val="nil"/>
              <w:right w:val="nil"/>
            </w:tcBorders>
            <w:shd w:val="clear" w:color="auto" w:fill="FFFFFF"/>
            <w:vAlign w:val="center"/>
          </w:tcPr>
          <w:p>
            <w:pPr>
              <w:spacing w:line="280" w:lineRule="exact"/>
              <w:jc w:val="center"/>
              <w:rPr>
                <w:rFonts w:ascii="Times New Roman" w:hAnsi="Times New Roman"/>
                <w:kern w:val="2"/>
              </w:rPr>
            </w:pP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施工扬尘</w:t>
            </w: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-2S</w:t>
            </w: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w:t>
            </w: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w:t>
            </w: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w:t>
            </w: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-1S</w:t>
            </w:r>
          </w:p>
        </w:tc>
        <w:tc>
          <w:tcPr>
            <w:tcW w:w="1040"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w:t>
            </w:r>
          </w:p>
        </w:tc>
      </w:tr>
      <w:tr>
        <w:tblPrEx>
          <w:tblCellMar>
            <w:top w:w="0" w:type="dxa"/>
            <w:left w:w="0" w:type="dxa"/>
            <w:bottom w:w="0" w:type="dxa"/>
            <w:right w:w="0" w:type="dxa"/>
          </w:tblCellMar>
        </w:tblPrEx>
        <w:trPr>
          <w:trHeight w:val="20" w:hRule="atLeast"/>
          <w:jc w:val="center"/>
        </w:trPr>
        <w:tc>
          <w:tcPr>
            <w:tcW w:w="1038" w:type="dxa"/>
            <w:vMerge w:val="continue"/>
            <w:tcBorders>
              <w:left w:val="nil"/>
              <w:right w:val="nil"/>
            </w:tcBorders>
            <w:shd w:val="clear" w:color="auto" w:fill="FFFFFF"/>
            <w:vAlign w:val="center"/>
          </w:tcPr>
          <w:p>
            <w:pPr>
              <w:spacing w:line="280" w:lineRule="exact"/>
              <w:jc w:val="center"/>
              <w:rPr>
                <w:rFonts w:ascii="Times New Roman" w:hAnsi="Times New Roman"/>
                <w:kern w:val="2"/>
              </w:rPr>
            </w:pP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施工噪声</w:t>
            </w: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w:t>
            </w: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w:t>
            </w: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-2S</w:t>
            </w: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w:t>
            </w: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w:t>
            </w:r>
          </w:p>
        </w:tc>
        <w:tc>
          <w:tcPr>
            <w:tcW w:w="1040"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w:t>
            </w:r>
          </w:p>
        </w:tc>
      </w:tr>
      <w:tr>
        <w:tblPrEx>
          <w:tblCellMar>
            <w:top w:w="0" w:type="dxa"/>
            <w:left w:w="0" w:type="dxa"/>
            <w:bottom w:w="0" w:type="dxa"/>
            <w:right w:w="0" w:type="dxa"/>
          </w:tblCellMar>
        </w:tblPrEx>
        <w:trPr>
          <w:trHeight w:val="20" w:hRule="atLeast"/>
          <w:jc w:val="center"/>
        </w:trPr>
        <w:tc>
          <w:tcPr>
            <w:tcW w:w="1038" w:type="dxa"/>
            <w:vMerge w:val="continue"/>
            <w:tcBorders>
              <w:left w:val="nil"/>
              <w:bottom w:val="single" w:color="auto" w:sz="4" w:space="0"/>
              <w:right w:val="nil"/>
            </w:tcBorders>
            <w:shd w:val="clear" w:color="auto" w:fill="FFFFFF"/>
            <w:vAlign w:val="center"/>
          </w:tcPr>
          <w:p>
            <w:pPr>
              <w:spacing w:line="280" w:lineRule="exact"/>
              <w:jc w:val="center"/>
              <w:rPr>
                <w:rFonts w:ascii="Times New Roman" w:hAnsi="Times New Roman"/>
                <w:kern w:val="2"/>
              </w:rPr>
            </w:pP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施工固废</w:t>
            </w: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w:t>
            </w: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w:t>
            </w: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w:t>
            </w: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-1L</w:t>
            </w: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w:t>
            </w:r>
          </w:p>
        </w:tc>
        <w:tc>
          <w:tcPr>
            <w:tcW w:w="1040"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w:t>
            </w:r>
          </w:p>
        </w:tc>
      </w:tr>
      <w:tr>
        <w:tblPrEx>
          <w:tblCellMar>
            <w:top w:w="0" w:type="dxa"/>
            <w:left w:w="0" w:type="dxa"/>
            <w:bottom w:w="0" w:type="dxa"/>
            <w:right w:w="0" w:type="dxa"/>
          </w:tblCellMar>
        </w:tblPrEx>
        <w:trPr>
          <w:trHeight w:val="20" w:hRule="atLeast"/>
          <w:jc w:val="center"/>
        </w:trPr>
        <w:tc>
          <w:tcPr>
            <w:tcW w:w="1038" w:type="dxa"/>
            <w:vMerge w:val="restart"/>
            <w:tcBorders>
              <w:top w:val="single" w:color="auto" w:sz="4" w:space="0"/>
              <w:left w:val="nil"/>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运营期</w:t>
            </w: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物料运输</w:t>
            </w: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-2L</w:t>
            </w: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-1L</w:t>
            </w: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-1L</w:t>
            </w: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-1L</w:t>
            </w: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-1L</w:t>
            </w:r>
          </w:p>
        </w:tc>
        <w:tc>
          <w:tcPr>
            <w:tcW w:w="1040"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-1L</w:t>
            </w:r>
          </w:p>
        </w:tc>
      </w:tr>
      <w:tr>
        <w:tblPrEx>
          <w:tblCellMar>
            <w:top w:w="0" w:type="dxa"/>
            <w:left w:w="0" w:type="dxa"/>
            <w:bottom w:w="0" w:type="dxa"/>
            <w:right w:w="0" w:type="dxa"/>
          </w:tblCellMar>
        </w:tblPrEx>
        <w:trPr>
          <w:trHeight w:val="20" w:hRule="atLeast"/>
          <w:jc w:val="center"/>
        </w:trPr>
        <w:tc>
          <w:tcPr>
            <w:tcW w:w="1038" w:type="dxa"/>
            <w:vMerge w:val="continue"/>
            <w:tcBorders>
              <w:left w:val="nil"/>
              <w:right w:val="nil"/>
            </w:tcBorders>
            <w:shd w:val="clear" w:color="auto" w:fill="FFFFFF"/>
            <w:vAlign w:val="center"/>
          </w:tcPr>
          <w:p>
            <w:pPr>
              <w:spacing w:line="280" w:lineRule="exact"/>
              <w:jc w:val="center"/>
              <w:rPr>
                <w:rFonts w:ascii="Times New Roman" w:hAnsi="Times New Roman"/>
                <w:kern w:val="2"/>
              </w:rPr>
            </w:pP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废气排放</w:t>
            </w: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-2L</w:t>
            </w: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w:t>
            </w: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-1L</w:t>
            </w: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w:t>
            </w: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-1L</w:t>
            </w:r>
          </w:p>
        </w:tc>
        <w:tc>
          <w:tcPr>
            <w:tcW w:w="1040"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-1L</w:t>
            </w:r>
          </w:p>
        </w:tc>
      </w:tr>
      <w:tr>
        <w:tblPrEx>
          <w:tblCellMar>
            <w:top w:w="0" w:type="dxa"/>
            <w:left w:w="0" w:type="dxa"/>
            <w:bottom w:w="0" w:type="dxa"/>
            <w:right w:w="0" w:type="dxa"/>
          </w:tblCellMar>
        </w:tblPrEx>
        <w:trPr>
          <w:trHeight w:val="20" w:hRule="atLeast"/>
          <w:jc w:val="center"/>
        </w:trPr>
        <w:tc>
          <w:tcPr>
            <w:tcW w:w="1038" w:type="dxa"/>
            <w:vMerge w:val="continue"/>
            <w:tcBorders>
              <w:left w:val="nil"/>
              <w:right w:val="nil"/>
            </w:tcBorders>
            <w:shd w:val="clear" w:color="auto" w:fill="FFFFFF"/>
            <w:vAlign w:val="center"/>
          </w:tcPr>
          <w:p>
            <w:pPr>
              <w:spacing w:line="280" w:lineRule="exact"/>
              <w:jc w:val="center"/>
              <w:rPr>
                <w:rFonts w:ascii="Times New Roman" w:hAnsi="Times New Roman"/>
                <w:kern w:val="2"/>
              </w:rPr>
            </w:pP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废水排放</w:t>
            </w: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w:t>
            </w: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-3L</w:t>
            </w: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w:t>
            </w: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w:t>
            </w: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w:t>
            </w:r>
          </w:p>
        </w:tc>
        <w:tc>
          <w:tcPr>
            <w:tcW w:w="1040"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w:t>
            </w:r>
          </w:p>
        </w:tc>
      </w:tr>
      <w:tr>
        <w:tblPrEx>
          <w:tblCellMar>
            <w:top w:w="0" w:type="dxa"/>
            <w:left w:w="0" w:type="dxa"/>
            <w:bottom w:w="0" w:type="dxa"/>
            <w:right w:w="0" w:type="dxa"/>
          </w:tblCellMar>
        </w:tblPrEx>
        <w:trPr>
          <w:trHeight w:val="20" w:hRule="atLeast"/>
          <w:jc w:val="center"/>
        </w:trPr>
        <w:tc>
          <w:tcPr>
            <w:tcW w:w="1038" w:type="dxa"/>
            <w:vMerge w:val="continue"/>
            <w:tcBorders>
              <w:left w:val="nil"/>
              <w:right w:val="nil"/>
            </w:tcBorders>
            <w:shd w:val="clear" w:color="auto" w:fill="FFFFFF"/>
            <w:vAlign w:val="center"/>
          </w:tcPr>
          <w:p>
            <w:pPr>
              <w:spacing w:line="280" w:lineRule="exact"/>
              <w:jc w:val="center"/>
              <w:rPr>
                <w:rFonts w:ascii="Times New Roman" w:hAnsi="Times New Roman"/>
                <w:kern w:val="2"/>
              </w:rPr>
            </w:pP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噪声排放</w:t>
            </w: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w:t>
            </w: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w:t>
            </w: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-1L</w:t>
            </w: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w:t>
            </w: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w:t>
            </w:r>
          </w:p>
        </w:tc>
        <w:tc>
          <w:tcPr>
            <w:tcW w:w="1040"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w:t>
            </w:r>
          </w:p>
        </w:tc>
      </w:tr>
      <w:tr>
        <w:tblPrEx>
          <w:tblCellMar>
            <w:top w:w="0" w:type="dxa"/>
            <w:left w:w="0" w:type="dxa"/>
            <w:bottom w:w="0" w:type="dxa"/>
            <w:right w:w="0" w:type="dxa"/>
          </w:tblCellMar>
        </w:tblPrEx>
        <w:trPr>
          <w:trHeight w:val="20" w:hRule="atLeast"/>
          <w:jc w:val="center"/>
        </w:trPr>
        <w:tc>
          <w:tcPr>
            <w:tcW w:w="1038" w:type="dxa"/>
            <w:vMerge w:val="continue"/>
            <w:tcBorders>
              <w:left w:val="nil"/>
              <w:right w:val="nil"/>
            </w:tcBorders>
            <w:shd w:val="clear" w:color="auto" w:fill="FFFFFF"/>
            <w:vAlign w:val="center"/>
          </w:tcPr>
          <w:p>
            <w:pPr>
              <w:spacing w:line="280" w:lineRule="exact"/>
              <w:jc w:val="center"/>
              <w:rPr>
                <w:rFonts w:ascii="Times New Roman" w:hAnsi="Times New Roman"/>
                <w:kern w:val="2"/>
              </w:rPr>
            </w:pP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固废产生</w:t>
            </w: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w:t>
            </w: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w:t>
            </w: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w:t>
            </w: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-3L</w:t>
            </w: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-1L</w:t>
            </w:r>
          </w:p>
        </w:tc>
        <w:tc>
          <w:tcPr>
            <w:tcW w:w="1040"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-1L</w:t>
            </w:r>
          </w:p>
        </w:tc>
      </w:tr>
      <w:tr>
        <w:tblPrEx>
          <w:tblCellMar>
            <w:top w:w="0" w:type="dxa"/>
            <w:left w:w="0" w:type="dxa"/>
            <w:bottom w:w="0" w:type="dxa"/>
            <w:right w:w="0" w:type="dxa"/>
          </w:tblCellMar>
        </w:tblPrEx>
        <w:trPr>
          <w:trHeight w:val="20" w:hRule="atLeast"/>
          <w:jc w:val="center"/>
        </w:trPr>
        <w:tc>
          <w:tcPr>
            <w:tcW w:w="1038" w:type="dxa"/>
            <w:vMerge w:val="continue"/>
            <w:tcBorders>
              <w:left w:val="nil"/>
              <w:right w:val="nil"/>
            </w:tcBorders>
            <w:shd w:val="clear" w:color="auto" w:fill="FFFFFF"/>
            <w:vAlign w:val="center"/>
          </w:tcPr>
          <w:p>
            <w:pPr>
              <w:spacing w:line="280" w:lineRule="exact"/>
              <w:jc w:val="center"/>
              <w:rPr>
                <w:rFonts w:ascii="Times New Roman" w:hAnsi="Times New Roman"/>
                <w:kern w:val="2"/>
              </w:rPr>
            </w:pP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hint="eastAsia" w:ascii="Times New Roman" w:hAnsi="Times New Roman"/>
                <w:kern w:val="2"/>
              </w:rPr>
              <w:t>环境</w:t>
            </w:r>
            <w:r>
              <w:rPr>
                <w:rFonts w:ascii="Times New Roman" w:hAnsi="Times New Roman"/>
                <w:kern w:val="2"/>
              </w:rPr>
              <w:t>风险</w:t>
            </w: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-3S</w:t>
            </w: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-3S</w:t>
            </w: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w:t>
            </w: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-3S</w:t>
            </w: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-1S</w:t>
            </w:r>
          </w:p>
        </w:tc>
        <w:tc>
          <w:tcPr>
            <w:tcW w:w="1040"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-2S</w:t>
            </w:r>
          </w:p>
        </w:tc>
      </w:tr>
      <w:tr>
        <w:tblPrEx>
          <w:tblCellMar>
            <w:top w:w="0" w:type="dxa"/>
            <w:left w:w="0" w:type="dxa"/>
            <w:bottom w:w="0" w:type="dxa"/>
            <w:right w:w="0" w:type="dxa"/>
          </w:tblCellMar>
        </w:tblPrEx>
        <w:trPr>
          <w:trHeight w:val="20" w:hRule="atLeast"/>
          <w:jc w:val="center"/>
        </w:trPr>
        <w:tc>
          <w:tcPr>
            <w:tcW w:w="1038" w:type="dxa"/>
            <w:vMerge w:val="continue"/>
            <w:tcBorders>
              <w:left w:val="nil"/>
              <w:bottom w:val="single" w:color="auto" w:sz="4" w:space="0"/>
              <w:right w:val="nil"/>
            </w:tcBorders>
            <w:shd w:val="clear" w:color="auto" w:fill="FFFFFF"/>
            <w:vAlign w:val="center"/>
          </w:tcPr>
          <w:p>
            <w:pPr>
              <w:spacing w:line="280" w:lineRule="exact"/>
              <w:jc w:val="center"/>
              <w:rPr>
                <w:rFonts w:ascii="Times New Roman" w:hAnsi="Times New Roman"/>
                <w:kern w:val="2"/>
              </w:rPr>
            </w:pP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厂区绿化</w:t>
            </w: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+1L</w:t>
            </w: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w:t>
            </w: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+1L</w:t>
            </w: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w:t>
            </w:r>
          </w:p>
        </w:tc>
        <w:tc>
          <w:tcPr>
            <w:tcW w:w="1039"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+2L</w:t>
            </w:r>
          </w:p>
        </w:tc>
        <w:tc>
          <w:tcPr>
            <w:tcW w:w="1040"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+2L</w:t>
            </w:r>
          </w:p>
        </w:tc>
      </w:tr>
      <w:tr>
        <w:tblPrEx>
          <w:tblCellMar>
            <w:top w:w="0" w:type="dxa"/>
            <w:left w:w="0" w:type="dxa"/>
            <w:bottom w:w="0" w:type="dxa"/>
            <w:right w:w="0" w:type="dxa"/>
          </w:tblCellMar>
        </w:tblPrEx>
        <w:trPr>
          <w:trHeight w:val="20" w:hRule="atLeast"/>
          <w:jc w:val="center"/>
        </w:trPr>
        <w:tc>
          <w:tcPr>
            <w:tcW w:w="8312" w:type="dxa"/>
            <w:gridSpan w:val="8"/>
            <w:tcBorders>
              <w:top w:val="single" w:color="auto" w:sz="4" w:space="0"/>
              <w:left w:val="nil"/>
              <w:bottom w:val="single" w:color="auto" w:sz="12" w:space="0"/>
              <w:right w:val="nil"/>
            </w:tcBorders>
            <w:shd w:val="clear" w:color="auto" w:fill="FFFFFF"/>
            <w:vAlign w:val="center"/>
          </w:tcPr>
          <w:p>
            <w:pPr>
              <w:spacing w:line="280" w:lineRule="exact"/>
              <w:rPr>
                <w:rFonts w:ascii="Times New Roman" w:hAnsi="Times New Roman"/>
                <w:kern w:val="2"/>
              </w:rPr>
            </w:pPr>
            <w:r>
              <w:rPr>
                <w:rFonts w:ascii="Times New Roman" w:hAnsi="Times New Roman"/>
                <w:kern w:val="2"/>
              </w:rPr>
              <w:t>注：表中“+”表示有利影响、“-”表示不利影响；“1”表示轻微影响、“2”表示中等影响、“3”表示重大影响；“L”表示长期影响、“S”表示短期影响、“—”表示无相互作用</w:t>
            </w:r>
          </w:p>
        </w:tc>
      </w:tr>
    </w:tbl>
    <w:p>
      <w:pPr>
        <w:pStyle w:val="4"/>
        <w:spacing w:before="120" w:beforeLines="50" w:after="120" w:afterLines="50" w:line="480" w:lineRule="exact"/>
        <w:rPr>
          <w:rFonts w:ascii="Times New Roman" w:hAnsi="Times New Roman" w:eastAsia="黑体"/>
          <w:kern w:val="2"/>
          <w:sz w:val="28"/>
          <w:szCs w:val="32"/>
        </w:rPr>
      </w:pPr>
      <w:r>
        <w:rPr>
          <w:rFonts w:ascii="Times New Roman" w:hAnsi="Times New Roman" w:eastAsia="黑体"/>
          <w:kern w:val="2"/>
          <w:sz w:val="28"/>
          <w:szCs w:val="32"/>
        </w:rPr>
        <w:t>评价因子</w:t>
      </w:r>
      <w:bookmarkEnd w:id="235"/>
      <w:bookmarkEnd w:id="236"/>
      <w:bookmarkEnd w:id="237"/>
      <w:bookmarkEnd w:id="238"/>
      <w:bookmarkEnd w:id="239"/>
      <w:bookmarkEnd w:id="240"/>
      <w:bookmarkEnd w:id="241"/>
      <w:bookmarkEnd w:id="242"/>
    </w:p>
    <w:p>
      <w:pPr>
        <w:pStyle w:val="155"/>
        <w:spacing w:line="480" w:lineRule="exact"/>
        <w:ind w:firstLine="480"/>
      </w:pPr>
      <w:r>
        <w:t>通过对本项目实施过程及实施后产生的环境污染因素及污染因子进行分析，筛选确定环境影响评价因子。各环境要素的评价因子筛选结果列于表2.3-2。</w:t>
      </w:r>
    </w:p>
    <w:p>
      <w:pPr>
        <w:spacing w:line="480" w:lineRule="exact"/>
        <w:jc w:val="center"/>
        <w:rPr>
          <w:rFonts w:ascii="Times New Roman" w:hAnsi="Times New Roman"/>
          <w:b/>
        </w:rPr>
      </w:pPr>
      <w:r>
        <w:rPr>
          <w:rFonts w:ascii="Times New Roman" w:hAnsi="Times New Roman"/>
          <w:b/>
        </w:rPr>
        <w:t>表2.3-2 评价因子筛选结果</w:t>
      </w:r>
    </w:p>
    <w:tbl>
      <w:tblPr>
        <w:tblStyle w:val="77"/>
        <w:tblW w:w="5000" w:type="pct"/>
        <w:jc w:val="center"/>
        <w:tblLayout w:type="fixed"/>
        <w:tblCellMar>
          <w:top w:w="0" w:type="dxa"/>
          <w:left w:w="0" w:type="dxa"/>
          <w:bottom w:w="0" w:type="dxa"/>
          <w:right w:w="0" w:type="dxa"/>
        </w:tblCellMar>
      </w:tblPr>
      <w:tblGrid>
        <w:gridCol w:w="567"/>
        <w:gridCol w:w="993"/>
        <w:gridCol w:w="1134"/>
        <w:gridCol w:w="5618"/>
      </w:tblGrid>
      <w:tr>
        <w:tblPrEx>
          <w:tblCellMar>
            <w:top w:w="0" w:type="dxa"/>
            <w:left w:w="0" w:type="dxa"/>
            <w:bottom w:w="0" w:type="dxa"/>
            <w:right w:w="0" w:type="dxa"/>
          </w:tblCellMar>
        </w:tblPrEx>
        <w:trPr>
          <w:trHeight w:val="20" w:hRule="atLeast"/>
          <w:jc w:val="center"/>
        </w:trPr>
        <w:tc>
          <w:tcPr>
            <w:tcW w:w="567" w:type="dxa"/>
            <w:tcBorders>
              <w:top w:val="single" w:color="auto" w:sz="12" w:space="0"/>
              <w:left w:val="nil"/>
              <w:bottom w:val="nil"/>
              <w:right w:val="nil"/>
            </w:tcBorders>
            <w:shd w:val="clear" w:color="auto" w:fill="FFFFFF"/>
            <w:vAlign w:val="center"/>
          </w:tcPr>
          <w:p>
            <w:pPr>
              <w:spacing w:line="280" w:lineRule="exact"/>
              <w:jc w:val="center"/>
              <w:rPr>
                <w:rFonts w:ascii="Times New Roman" w:hAnsi="Times New Roman"/>
                <w:b/>
                <w:kern w:val="2"/>
              </w:rPr>
            </w:pPr>
            <w:r>
              <w:rPr>
                <w:rFonts w:ascii="Times New Roman" w:hAnsi="Times New Roman"/>
                <w:b/>
                <w:kern w:val="2"/>
              </w:rPr>
              <w:t>序号</w:t>
            </w:r>
          </w:p>
        </w:tc>
        <w:tc>
          <w:tcPr>
            <w:tcW w:w="993" w:type="dxa"/>
            <w:tcBorders>
              <w:top w:val="single" w:color="auto" w:sz="12" w:space="0"/>
              <w:left w:val="single" w:color="auto" w:sz="4" w:space="0"/>
              <w:bottom w:val="nil"/>
              <w:right w:val="nil"/>
            </w:tcBorders>
            <w:shd w:val="clear" w:color="auto" w:fill="FFFFFF"/>
            <w:vAlign w:val="center"/>
          </w:tcPr>
          <w:p>
            <w:pPr>
              <w:spacing w:line="280" w:lineRule="exact"/>
              <w:jc w:val="center"/>
              <w:rPr>
                <w:rFonts w:ascii="Times New Roman" w:hAnsi="Times New Roman"/>
                <w:b/>
                <w:kern w:val="2"/>
              </w:rPr>
            </w:pPr>
            <w:r>
              <w:rPr>
                <w:rFonts w:ascii="Times New Roman" w:hAnsi="Times New Roman"/>
                <w:b/>
                <w:kern w:val="2"/>
              </w:rPr>
              <w:t>环境要素</w:t>
            </w:r>
          </w:p>
        </w:tc>
        <w:tc>
          <w:tcPr>
            <w:tcW w:w="1134" w:type="dxa"/>
            <w:tcBorders>
              <w:top w:val="single" w:color="auto" w:sz="12" w:space="0"/>
              <w:left w:val="single" w:color="auto" w:sz="4" w:space="0"/>
              <w:bottom w:val="nil"/>
              <w:right w:val="nil"/>
            </w:tcBorders>
            <w:shd w:val="clear" w:color="auto" w:fill="FFFFFF"/>
            <w:vAlign w:val="center"/>
          </w:tcPr>
          <w:p>
            <w:pPr>
              <w:spacing w:line="280" w:lineRule="exact"/>
              <w:jc w:val="center"/>
              <w:rPr>
                <w:rFonts w:ascii="Times New Roman" w:hAnsi="Times New Roman"/>
                <w:b/>
                <w:kern w:val="2"/>
              </w:rPr>
            </w:pPr>
            <w:r>
              <w:rPr>
                <w:rFonts w:ascii="Times New Roman" w:hAnsi="Times New Roman"/>
                <w:b/>
                <w:kern w:val="2"/>
              </w:rPr>
              <w:t>评价专题</w:t>
            </w:r>
          </w:p>
        </w:tc>
        <w:tc>
          <w:tcPr>
            <w:tcW w:w="5618" w:type="dxa"/>
            <w:tcBorders>
              <w:top w:val="single" w:color="auto" w:sz="12" w:space="0"/>
              <w:left w:val="single" w:color="auto" w:sz="4" w:space="0"/>
              <w:bottom w:val="nil"/>
              <w:right w:val="nil"/>
            </w:tcBorders>
            <w:shd w:val="clear" w:color="auto" w:fill="FFFFFF"/>
            <w:vAlign w:val="center"/>
          </w:tcPr>
          <w:p>
            <w:pPr>
              <w:spacing w:line="280" w:lineRule="exact"/>
              <w:jc w:val="center"/>
              <w:rPr>
                <w:rFonts w:ascii="Times New Roman" w:hAnsi="Times New Roman"/>
                <w:b/>
                <w:kern w:val="2"/>
              </w:rPr>
            </w:pPr>
            <w:r>
              <w:rPr>
                <w:rFonts w:ascii="Times New Roman" w:hAnsi="Times New Roman"/>
                <w:b/>
                <w:kern w:val="2"/>
              </w:rPr>
              <w:t>评价因子</w:t>
            </w:r>
          </w:p>
        </w:tc>
      </w:tr>
      <w:tr>
        <w:tblPrEx>
          <w:tblCellMar>
            <w:top w:w="0" w:type="dxa"/>
            <w:left w:w="0" w:type="dxa"/>
            <w:bottom w:w="0" w:type="dxa"/>
            <w:right w:w="0" w:type="dxa"/>
          </w:tblCellMar>
        </w:tblPrEx>
        <w:trPr>
          <w:trHeight w:val="1054" w:hRule="atLeast"/>
          <w:jc w:val="center"/>
        </w:trPr>
        <w:tc>
          <w:tcPr>
            <w:tcW w:w="567" w:type="dxa"/>
            <w:vMerge w:val="restart"/>
            <w:tcBorders>
              <w:top w:val="single" w:color="auto" w:sz="4" w:space="0"/>
              <w:left w:val="nil"/>
              <w:bottom w:val="nil"/>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1</w:t>
            </w:r>
          </w:p>
        </w:tc>
        <w:tc>
          <w:tcPr>
            <w:tcW w:w="993" w:type="dxa"/>
            <w:vMerge w:val="restart"/>
            <w:tcBorders>
              <w:top w:val="single" w:color="auto" w:sz="4" w:space="0"/>
              <w:left w:val="single" w:color="auto" w:sz="4" w:space="0"/>
              <w:bottom w:val="nil"/>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环境空气</w:t>
            </w:r>
          </w:p>
        </w:tc>
        <w:tc>
          <w:tcPr>
            <w:tcW w:w="1134" w:type="dxa"/>
            <w:tcBorders>
              <w:top w:val="single" w:color="auto" w:sz="4" w:space="0"/>
              <w:left w:val="single" w:color="auto" w:sz="4" w:space="0"/>
              <w:bottom w:val="nil"/>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现状评价</w:t>
            </w:r>
          </w:p>
        </w:tc>
        <w:tc>
          <w:tcPr>
            <w:tcW w:w="5618" w:type="dxa"/>
            <w:tcBorders>
              <w:top w:val="single" w:color="auto" w:sz="4" w:space="0"/>
              <w:left w:val="single" w:color="auto" w:sz="4" w:space="0"/>
              <w:bottom w:val="nil"/>
              <w:right w:val="nil"/>
            </w:tcBorders>
            <w:shd w:val="clear" w:color="auto" w:fill="FFFFFF"/>
            <w:vAlign w:val="center"/>
          </w:tcPr>
          <w:p>
            <w:pPr>
              <w:spacing w:line="280" w:lineRule="exact"/>
              <w:rPr>
                <w:rFonts w:ascii="Times New Roman" w:hAnsi="Times New Roman"/>
                <w:kern w:val="2"/>
              </w:rPr>
            </w:pPr>
            <w:r>
              <w:rPr>
                <w:rFonts w:ascii="Times New Roman" w:hAnsi="Times New Roman"/>
                <w:kern w:val="2"/>
              </w:rPr>
              <w:t>PM</w:t>
            </w:r>
            <w:r>
              <w:rPr>
                <w:rFonts w:ascii="Times New Roman" w:hAnsi="Times New Roman"/>
                <w:kern w:val="2"/>
                <w:vertAlign w:val="subscript"/>
              </w:rPr>
              <w:t>2.5</w:t>
            </w:r>
            <w:r>
              <w:rPr>
                <w:rFonts w:ascii="Times New Roman" w:hAnsi="Times New Roman"/>
                <w:kern w:val="2"/>
              </w:rPr>
              <w:t>、PM</w:t>
            </w:r>
            <w:r>
              <w:rPr>
                <w:rFonts w:ascii="Times New Roman" w:hAnsi="Times New Roman"/>
                <w:kern w:val="2"/>
                <w:vertAlign w:val="subscript"/>
              </w:rPr>
              <w:t>10</w:t>
            </w:r>
            <w:r>
              <w:rPr>
                <w:rFonts w:ascii="Times New Roman" w:hAnsi="Times New Roman"/>
                <w:kern w:val="2"/>
              </w:rPr>
              <w:t>、SO</w:t>
            </w:r>
            <w:r>
              <w:rPr>
                <w:rFonts w:ascii="Times New Roman" w:hAnsi="Times New Roman"/>
                <w:kern w:val="2"/>
                <w:vertAlign w:val="subscript"/>
              </w:rPr>
              <w:t>2</w:t>
            </w:r>
            <w:r>
              <w:rPr>
                <w:rFonts w:ascii="Times New Roman" w:hAnsi="Times New Roman"/>
                <w:kern w:val="2"/>
              </w:rPr>
              <w:t>、NO</w:t>
            </w:r>
            <w:r>
              <w:rPr>
                <w:rFonts w:ascii="Times New Roman" w:hAnsi="Times New Roman"/>
                <w:kern w:val="2"/>
                <w:vertAlign w:val="subscript"/>
              </w:rPr>
              <w:t>2</w:t>
            </w:r>
            <w:r>
              <w:rPr>
                <w:rFonts w:ascii="Times New Roman" w:hAnsi="Times New Roman"/>
                <w:kern w:val="2"/>
              </w:rPr>
              <w:t>、CO、O</w:t>
            </w:r>
            <w:r>
              <w:rPr>
                <w:rFonts w:ascii="Times New Roman" w:hAnsi="Times New Roman"/>
                <w:kern w:val="2"/>
                <w:vertAlign w:val="subscript"/>
              </w:rPr>
              <w:t>3</w:t>
            </w:r>
            <w:r>
              <w:rPr>
                <w:rFonts w:ascii="Times New Roman" w:hAnsi="Times New Roman"/>
                <w:kern w:val="2"/>
              </w:rPr>
              <w:t>、</w:t>
            </w:r>
            <w:r>
              <w:rPr>
                <w:rFonts w:hint="eastAsia" w:ascii="Times New Roman" w:hAnsi="Times New Roman"/>
                <w:kern w:val="2"/>
              </w:rPr>
              <w:t>T</w:t>
            </w:r>
            <w:r>
              <w:rPr>
                <w:rFonts w:ascii="Times New Roman" w:hAnsi="Times New Roman"/>
                <w:kern w:val="2"/>
              </w:rPr>
              <w:t>SP</w:t>
            </w:r>
            <w:r>
              <w:rPr>
                <w:rFonts w:hint="eastAsia" w:ascii="Times New Roman" w:hAnsi="Times New Roman"/>
                <w:kern w:val="2"/>
              </w:rPr>
              <w:t>、</w:t>
            </w:r>
            <w:r>
              <w:rPr>
                <w:rFonts w:ascii="Times New Roman" w:hAnsi="Times New Roman"/>
                <w:kern w:val="2"/>
              </w:rPr>
              <w:t>非甲烷总烃、NH</w:t>
            </w:r>
            <w:r>
              <w:rPr>
                <w:rFonts w:ascii="Times New Roman" w:hAnsi="Times New Roman"/>
                <w:kern w:val="2"/>
                <w:vertAlign w:val="subscript"/>
              </w:rPr>
              <w:t>3</w:t>
            </w:r>
            <w:r>
              <w:rPr>
                <w:rFonts w:ascii="Times New Roman" w:hAnsi="Times New Roman"/>
                <w:kern w:val="2"/>
              </w:rPr>
              <w:t>、H</w:t>
            </w:r>
            <w:r>
              <w:rPr>
                <w:rFonts w:ascii="Times New Roman" w:hAnsi="Times New Roman"/>
                <w:kern w:val="2"/>
                <w:vertAlign w:val="subscript"/>
              </w:rPr>
              <w:t>2</w:t>
            </w:r>
            <w:r>
              <w:rPr>
                <w:rFonts w:ascii="Times New Roman" w:hAnsi="Times New Roman"/>
                <w:kern w:val="2"/>
              </w:rPr>
              <w:t>S、臭气浓度</w:t>
            </w:r>
          </w:p>
        </w:tc>
      </w:tr>
      <w:tr>
        <w:tblPrEx>
          <w:tblCellMar>
            <w:top w:w="0" w:type="dxa"/>
            <w:left w:w="0" w:type="dxa"/>
            <w:bottom w:w="0" w:type="dxa"/>
            <w:right w:w="0" w:type="dxa"/>
          </w:tblCellMar>
        </w:tblPrEx>
        <w:trPr>
          <w:trHeight w:val="20" w:hRule="atLeast"/>
          <w:jc w:val="center"/>
        </w:trPr>
        <w:tc>
          <w:tcPr>
            <w:tcW w:w="567" w:type="dxa"/>
            <w:vMerge w:val="continue"/>
            <w:tcBorders>
              <w:top w:val="nil"/>
              <w:left w:val="nil"/>
              <w:bottom w:val="nil"/>
              <w:right w:val="nil"/>
            </w:tcBorders>
            <w:shd w:val="clear" w:color="auto" w:fill="FFFFFF"/>
            <w:vAlign w:val="center"/>
          </w:tcPr>
          <w:p>
            <w:pPr>
              <w:spacing w:line="280" w:lineRule="exact"/>
              <w:jc w:val="center"/>
              <w:rPr>
                <w:rFonts w:ascii="Times New Roman" w:hAnsi="Times New Roman"/>
                <w:kern w:val="2"/>
              </w:rPr>
            </w:pPr>
          </w:p>
        </w:tc>
        <w:tc>
          <w:tcPr>
            <w:tcW w:w="993" w:type="dxa"/>
            <w:vMerge w:val="continue"/>
            <w:tcBorders>
              <w:top w:val="nil"/>
              <w:left w:val="single" w:color="auto" w:sz="4" w:space="0"/>
              <w:bottom w:val="nil"/>
              <w:right w:val="nil"/>
            </w:tcBorders>
            <w:shd w:val="clear" w:color="auto" w:fill="FFFFFF"/>
            <w:vAlign w:val="center"/>
          </w:tcPr>
          <w:p>
            <w:pPr>
              <w:spacing w:line="280" w:lineRule="exact"/>
              <w:jc w:val="center"/>
              <w:rPr>
                <w:rFonts w:ascii="Times New Roman" w:hAnsi="Times New Roman"/>
                <w:kern w:val="2"/>
              </w:rPr>
            </w:pPr>
          </w:p>
        </w:tc>
        <w:tc>
          <w:tcPr>
            <w:tcW w:w="1134" w:type="dxa"/>
            <w:tcBorders>
              <w:top w:val="single" w:color="auto" w:sz="4" w:space="0"/>
              <w:left w:val="single" w:color="auto" w:sz="4" w:space="0"/>
              <w:bottom w:val="nil"/>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预测分析</w:t>
            </w:r>
          </w:p>
        </w:tc>
        <w:tc>
          <w:tcPr>
            <w:tcW w:w="5618" w:type="dxa"/>
            <w:tcBorders>
              <w:top w:val="single" w:color="auto" w:sz="4" w:space="0"/>
              <w:left w:val="single" w:color="auto" w:sz="4" w:space="0"/>
              <w:bottom w:val="nil"/>
              <w:right w:val="nil"/>
            </w:tcBorders>
            <w:shd w:val="clear" w:color="auto" w:fill="FFFFFF"/>
            <w:vAlign w:val="center"/>
          </w:tcPr>
          <w:p>
            <w:pPr>
              <w:spacing w:line="280" w:lineRule="exact"/>
              <w:rPr>
                <w:rFonts w:ascii="Times New Roman" w:hAnsi="Times New Roman"/>
                <w:kern w:val="2"/>
              </w:rPr>
            </w:pPr>
            <w:r>
              <w:rPr>
                <w:rFonts w:ascii="Times New Roman" w:hAnsi="Times New Roman"/>
                <w:kern w:val="2"/>
              </w:rPr>
              <w:t>SO</w:t>
            </w:r>
            <w:r>
              <w:rPr>
                <w:rFonts w:ascii="Times New Roman" w:hAnsi="Times New Roman"/>
                <w:kern w:val="2"/>
                <w:vertAlign w:val="subscript"/>
              </w:rPr>
              <w:t>2</w:t>
            </w:r>
            <w:r>
              <w:rPr>
                <w:rFonts w:ascii="Times New Roman" w:hAnsi="Times New Roman"/>
                <w:kern w:val="2"/>
              </w:rPr>
              <w:t>、NO</w:t>
            </w:r>
            <w:r>
              <w:rPr>
                <w:rFonts w:ascii="Times New Roman" w:hAnsi="Times New Roman"/>
                <w:kern w:val="2"/>
                <w:vertAlign w:val="subscript"/>
              </w:rPr>
              <w:t>2</w:t>
            </w:r>
            <w:r>
              <w:rPr>
                <w:rFonts w:ascii="Times New Roman" w:hAnsi="Times New Roman"/>
                <w:kern w:val="2"/>
              </w:rPr>
              <w:t>、颗粒物</w:t>
            </w:r>
            <w:r>
              <w:rPr>
                <w:rFonts w:hint="eastAsia" w:ascii="Times New Roman" w:hAnsi="Times New Roman"/>
                <w:kern w:val="2"/>
              </w:rPr>
              <w:t>、林格曼黑度</w:t>
            </w:r>
            <w:r>
              <w:rPr>
                <w:rFonts w:ascii="Times New Roman" w:hAnsi="Times New Roman"/>
                <w:kern w:val="2"/>
              </w:rPr>
              <w:t>、非甲烷总烃、NH</w:t>
            </w:r>
            <w:r>
              <w:rPr>
                <w:rFonts w:ascii="Times New Roman" w:hAnsi="Times New Roman"/>
                <w:kern w:val="2"/>
                <w:vertAlign w:val="subscript"/>
              </w:rPr>
              <w:t>3</w:t>
            </w:r>
            <w:r>
              <w:rPr>
                <w:rFonts w:ascii="Times New Roman" w:hAnsi="Times New Roman"/>
                <w:kern w:val="2"/>
              </w:rPr>
              <w:t>、H</w:t>
            </w:r>
            <w:r>
              <w:rPr>
                <w:rFonts w:ascii="Times New Roman" w:hAnsi="Times New Roman"/>
                <w:kern w:val="2"/>
                <w:vertAlign w:val="subscript"/>
              </w:rPr>
              <w:t>2</w:t>
            </w:r>
            <w:r>
              <w:rPr>
                <w:rFonts w:ascii="Times New Roman" w:hAnsi="Times New Roman"/>
                <w:kern w:val="2"/>
              </w:rPr>
              <w:t>S、臭气浓度</w:t>
            </w:r>
          </w:p>
        </w:tc>
      </w:tr>
      <w:tr>
        <w:tblPrEx>
          <w:tblCellMar>
            <w:top w:w="0" w:type="dxa"/>
            <w:left w:w="0" w:type="dxa"/>
            <w:bottom w:w="0" w:type="dxa"/>
            <w:right w:w="0" w:type="dxa"/>
          </w:tblCellMar>
        </w:tblPrEx>
        <w:trPr>
          <w:trHeight w:val="20" w:hRule="atLeast"/>
          <w:jc w:val="center"/>
        </w:trPr>
        <w:tc>
          <w:tcPr>
            <w:tcW w:w="567" w:type="dxa"/>
            <w:vMerge w:val="restart"/>
            <w:tcBorders>
              <w:top w:val="single" w:color="auto" w:sz="4" w:space="0"/>
              <w:left w:val="nil"/>
              <w:bottom w:val="nil"/>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2</w:t>
            </w:r>
          </w:p>
        </w:tc>
        <w:tc>
          <w:tcPr>
            <w:tcW w:w="993" w:type="dxa"/>
            <w:vMerge w:val="restart"/>
            <w:tcBorders>
              <w:top w:val="single" w:color="auto" w:sz="4" w:space="0"/>
              <w:left w:val="single" w:color="auto" w:sz="4" w:space="0"/>
              <w:bottom w:val="nil"/>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地下水</w:t>
            </w:r>
          </w:p>
          <w:p>
            <w:pPr>
              <w:spacing w:line="280" w:lineRule="exact"/>
              <w:jc w:val="center"/>
              <w:rPr>
                <w:rFonts w:ascii="Times New Roman" w:hAnsi="Times New Roman"/>
                <w:kern w:val="2"/>
              </w:rPr>
            </w:pPr>
            <w:r>
              <w:rPr>
                <w:rFonts w:ascii="Times New Roman" w:hAnsi="Times New Roman"/>
                <w:kern w:val="2"/>
              </w:rPr>
              <w:t>环境</w:t>
            </w:r>
          </w:p>
        </w:tc>
        <w:tc>
          <w:tcPr>
            <w:tcW w:w="1134" w:type="dxa"/>
            <w:tcBorders>
              <w:top w:val="single" w:color="auto" w:sz="4" w:space="0"/>
              <w:left w:val="single" w:color="auto" w:sz="4" w:space="0"/>
              <w:bottom w:val="nil"/>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现状评价</w:t>
            </w:r>
          </w:p>
        </w:tc>
        <w:tc>
          <w:tcPr>
            <w:tcW w:w="5618" w:type="dxa"/>
            <w:tcBorders>
              <w:top w:val="single" w:color="auto" w:sz="4" w:space="0"/>
              <w:left w:val="single" w:color="auto" w:sz="4" w:space="0"/>
              <w:bottom w:val="nil"/>
              <w:right w:val="nil"/>
            </w:tcBorders>
            <w:shd w:val="clear" w:color="auto" w:fill="FFFFFF"/>
            <w:vAlign w:val="center"/>
          </w:tcPr>
          <w:p>
            <w:pPr>
              <w:spacing w:line="280" w:lineRule="exact"/>
              <w:rPr>
                <w:rFonts w:ascii="Times New Roman" w:hAnsi="Times New Roman"/>
                <w:kern w:val="2"/>
              </w:rPr>
            </w:pPr>
            <w:r>
              <w:rPr>
                <w:rFonts w:ascii="Times New Roman" w:hAnsi="Times New Roman"/>
                <w:kern w:val="2"/>
              </w:rPr>
              <w:t>K</w:t>
            </w:r>
            <w:r>
              <w:rPr>
                <w:rFonts w:ascii="Times New Roman" w:hAnsi="Times New Roman"/>
                <w:kern w:val="2"/>
                <w:vertAlign w:val="superscript"/>
              </w:rPr>
              <w:t>+</w:t>
            </w:r>
            <w:r>
              <w:rPr>
                <w:rFonts w:ascii="Times New Roman" w:hAnsi="Times New Roman"/>
                <w:kern w:val="2"/>
              </w:rPr>
              <w:t>、Na</w:t>
            </w:r>
            <w:r>
              <w:rPr>
                <w:rFonts w:ascii="Times New Roman" w:hAnsi="Times New Roman"/>
                <w:kern w:val="2"/>
                <w:vertAlign w:val="superscript"/>
              </w:rPr>
              <w:t>+</w:t>
            </w:r>
            <w:r>
              <w:rPr>
                <w:rFonts w:ascii="Times New Roman" w:hAnsi="Times New Roman"/>
                <w:kern w:val="2"/>
              </w:rPr>
              <w:t>、Ca</w:t>
            </w:r>
            <w:r>
              <w:rPr>
                <w:rFonts w:ascii="Times New Roman" w:hAnsi="Times New Roman"/>
                <w:kern w:val="2"/>
                <w:vertAlign w:val="superscript"/>
              </w:rPr>
              <w:t>2+</w:t>
            </w:r>
            <w:r>
              <w:rPr>
                <w:rFonts w:ascii="Times New Roman" w:hAnsi="Times New Roman"/>
                <w:kern w:val="2"/>
              </w:rPr>
              <w:t>、Mg</w:t>
            </w:r>
            <w:r>
              <w:rPr>
                <w:rFonts w:ascii="Times New Roman" w:hAnsi="Times New Roman"/>
                <w:kern w:val="2"/>
                <w:vertAlign w:val="superscript"/>
              </w:rPr>
              <w:t>2+</w:t>
            </w:r>
            <w:r>
              <w:rPr>
                <w:rFonts w:ascii="Times New Roman" w:hAnsi="Times New Roman"/>
                <w:kern w:val="2"/>
              </w:rPr>
              <w:t>、CO</w:t>
            </w:r>
            <w:r>
              <w:rPr>
                <w:rFonts w:ascii="Times New Roman" w:hAnsi="Times New Roman"/>
                <w:kern w:val="2"/>
                <w:vertAlign w:val="subscript"/>
              </w:rPr>
              <w:t>3</w:t>
            </w:r>
            <w:r>
              <w:rPr>
                <w:rFonts w:ascii="Times New Roman" w:hAnsi="Times New Roman"/>
                <w:kern w:val="2"/>
                <w:vertAlign w:val="superscript"/>
              </w:rPr>
              <w:t>2-</w:t>
            </w:r>
            <w:r>
              <w:rPr>
                <w:rFonts w:ascii="Times New Roman" w:hAnsi="Times New Roman"/>
                <w:kern w:val="2"/>
              </w:rPr>
              <w:t>、HCO</w:t>
            </w:r>
            <w:r>
              <w:rPr>
                <w:rFonts w:ascii="Times New Roman" w:hAnsi="Times New Roman"/>
                <w:kern w:val="2"/>
                <w:vertAlign w:val="subscript"/>
              </w:rPr>
              <w:t>3</w:t>
            </w:r>
            <w:r>
              <w:rPr>
                <w:rFonts w:ascii="Times New Roman" w:hAnsi="Times New Roman"/>
                <w:kern w:val="2"/>
                <w:vertAlign w:val="superscript"/>
              </w:rPr>
              <w:t>-</w:t>
            </w:r>
            <w:r>
              <w:rPr>
                <w:rFonts w:ascii="Times New Roman" w:hAnsi="Times New Roman"/>
                <w:kern w:val="2"/>
              </w:rPr>
              <w:t>、Cl</w:t>
            </w:r>
            <w:r>
              <w:rPr>
                <w:rFonts w:ascii="Times New Roman" w:hAnsi="Times New Roman"/>
                <w:kern w:val="2"/>
                <w:vertAlign w:val="superscript"/>
              </w:rPr>
              <w:t>-</w:t>
            </w:r>
            <w:r>
              <w:rPr>
                <w:rFonts w:ascii="Times New Roman" w:hAnsi="Times New Roman"/>
                <w:kern w:val="2"/>
              </w:rPr>
              <w:t>、SO</w:t>
            </w:r>
            <w:r>
              <w:rPr>
                <w:rFonts w:ascii="Times New Roman" w:hAnsi="Times New Roman"/>
                <w:kern w:val="2"/>
                <w:vertAlign w:val="subscript"/>
              </w:rPr>
              <w:t>4</w:t>
            </w:r>
            <w:r>
              <w:rPr>
                <w:rFonts w:ascii="Times New Roman" w:hAnsi="Times New Roman"/>
                <w:kern w:val="2"/>
                <w:vertAlign w:val="superscript"/>
              </w:rPr>
              <w:t>2-</w:t>
            </w:r>
            <w:r>
              <w:rPr>
                <w:rFonts w:ascii="Times New Roman" w:hAnsi="Times New Roman"/>
                <w:kern w:val="2"/>
              </w:rPr>
              <w:t>、pH、总硬度、氨氮、氰化物、挥发酚类、耗氧量、氟、砷、汞、镉、六价铬、铁、锰、铅、硝酸盐、亚硝酸盐、硫酸盐、溶解性总固体、氯化物、总大肠菌群、菌落总数</w:t>
            </w:r>
          </w:p>
        </w:tc>
      </w:tr>
      <w:tr>
        <w:tblPrEx>
          <w:tblCellMar>
            <w:top w:w="0" w:type="dxa"/>
            <w:left w:w="0" w:type="dxa"/>
            <w:bottom w:w="0" w:type="dxa"/>
            <w:right w:w="0" w:type="dxa"/>
          </w:tblCellMar>
        </w:tblPrEx>
        <w:trPr>
          <w:trHeight w:val="20" w:hRule="atLeast"/>
          <w:jc w:val="center"/>
        </w:trPr>
        <w:tc>
          <w:tcPr>
            <w:tcW w:w="567" w:type="dxa"/>
            <w:vMerge w:val="continue"/>
            <w:tcBorders>
              <w:top w:val="nil"/>
              <w:left w:val="nil"/>
              <w:bottom w:val="single" w:color="auto" w:sz="4" w:space="0"/>
              <w:right w:val="nil"/>
            </w:tcBorders>
            <w:shd w:val="clear" w:color="auto" w:fill="FFFFFF"/>
            <w:vAlign w:val="center"/>
          </w:tcPr>
          <w:p>
            <w:pPr>
              <w:spacing w:line="280" w:lineRule="exact"/>
              <w:jc w:val="center"/>
              <w:rPr>
                <w:rFonts w:ascii="Times New Roman" w:hAnsi="Times New Roman"/>
                <w:kern w:val="2"/>
              </w:rPr>
            </w:pPr>
          </w:p>
        </w:tc>
        <w:tc>
          <w:tcPr>
            <w:tcW w:w="993" w:type="dxa"/>
            <w:vMerge w:val="continue"/>
            <w:tcBorders>
              <w:top w:val="nil"/>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p>
        </w:tc>
        <w:tc>
          <w:tcPr>
            <w:tcW w:w="1134"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预测分析</w:t>
            </w:r>
          </w:p>
        </w:tc>
        <w:tc>
          <w:tcPr>
            <w:tcW w:w="5618"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COD、氨氮</w:t>
            </w:r>
          </w:p>
        </w:tc>
      </w:tr>
      <w:tr>
        <w:tblPrEx>
          <w:tblCellMar>
            <w:top w:w="0" w:type="dxa"/>
            <w:left w:w="0" w:type="dxa"/>
            <w:bottom w:w="0" w:type="dxa"/>
            <w:right w:w="0" w:type="dxa"/>
          </w:tblCellMar>
        </w:tblPrEx>
        <w:trPr>
          <w:trHeight w:val="20" w:hRule="atLeast"/>
          <w:jc w:val="center"/>
        </w:trPr>
        <w:tc>
          <w:tcPr>
            <w:tcW w:w="567" w:type="dxa"/>
            <w:vMerge w:val="restart"/>
            <w:tcBorders>
              <w:top w:val="single" w:color="auto" w:sz="4" w:space="0"/>
              <w:left w:val="nil"/>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3</w:t>
            </w:r>
          </w:p>
        </w:tc>
        <w:tc>
          <w:tcPr>
            <w:tcW w:w="993" w:type="dxa"/>
            <w:vMerge w:val="restart"/>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声环境</w:t>
            </w:r>
          </w:p>
        </w:tc>
        <w:tc>
          <w:tcPr>
            <w:tcW w:w="1134"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现状评价</w:t>
            </w:r>
          </w:p>
        </w:tc>
        <w:tc>
          <w:tcPr>
            <w:tcW w:w="5618"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等效连续A声级</w:t>
            </w:r>
          </w:p>
        </w:tc>
      </w:tr>
      <w:tr>
        <w:tblPrEx>
          <w:tblCellMar>
            <w:top w:w="0" w:type="dxa"/>
            <w:left w:w="0" w:type="dxa"/>
            <w:bottom w:w="0" w:type="dxa"/>
            <w:right w:w="0" w:type="dxa"/>
          </w:tblCellMar>
        </w:tblPrEx>
        <w:trPr>
          <w:trHeight w:val="20" w:hRule="atLeast"/>
          <w:jc w:val="center"/>
        </w:trPr>
        <w:tc>
          <w:tcPr>
            <w:tcW w:w="567" w:type="dxa"/>
            <w:vMerge w:val="continue"/>
            <w:tcBorders>
              <w:top w:val="single" w:color="auto" w:sz="4" w:space="0"/>
              <w:left w:val="nil"/>
              <w:bottom w:val="single" w:color="auto" w:sz="4" w:space="0"/>
              <w:right w:val="nil"/>
            </w:tcBorders>
            <w:shd w:val="clear" w:color="auto" w:fill="FFFFFF"/>
            <w:vAlign w:val="center"/>
          </w:tcPr>
          <w:p>
            <w:pPr>
              <w:spacing w:line="280" w:lineRule="exact"/>
              <w:jc w:val="center"/>
              <w:rPr>
                <w:rFonts w:ascii="Times New Roman" w:hAnsi="Times New Roman"/>
                <w:kern w:val="2"/>
              </w:rPr>
            </w:pPr>
          </w:p>
        </w:tc>
        <w:tc>
          <w:tcPr>
            <w:tcW w:w="993" w:type="dxa"/>
            <w:vMerge w:val="continue"/>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p>
        </w:tc>
        <w:tc>
          <w:tcPr>
            <w:tcW w:w="1134"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预测分析</w:t>
            </w:r>
          </w:p>
        </w:tc>
        <w:tc>
          <w:tcPr>
            <w:tcW w:w="5618"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等效连续A声级</w:t>
            </w:r>
          </w:p>
        </w:tc>
      </w:tr>
      <w:tr>
        <w:tblPrEx>
          <w:tblCellMar>
            <w:top w:w="0" w:type="dxa"/>
            <w:left w:w="0" w:type="dxa"/>
            <w:bottom w:w="0" w:type="dxa"/>
            <w:right w:w="0" w:type="dxa"/>
          </w:tblCellMar>
        </w:tblPrEx>
        <w:trPr>
          <w:trHeight w:val="20" w:hRule="atLeast"/>
          <w:jc w:val="center"/>
        </w:trPr>
        <w:tc>
          <w:tcPr>
            <w:tcW w:w="567" w:type="dxa"/>
            <w:vMerge w:val="restart"/>
            <w:tcBorders>
              <w:top w:val="single" w:color="auto" w:sz="4" w:space="0"/>
              <w:left w:val="nil"/>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4</w:t>
            </w:r>
          </w:p>
        </w:tc>
        <w:tc>
          <w:tcPr>
            <w:tcW w:w="993" w:type="dxa"/>
            <w:vMerge w:val="restart"/>
            <w:tcBorders>
              <w:top w:val="single" w:color="auto" w:sz="4" w:space="0"/>
              <w:left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土壤</w:t>
            </w:r>
          </w:p>
        </w:tc>
        <w:tc>
          <w:tcPr>
            <w:tcW w:w="1134"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现状评价</w:t>
            </w:r>
          </w:p>
        </w:tc>
        <w:tc>
          <w:tcPr>
            <w:tcW w:w="5618" w:type="dxa"/>
            <w:tcBorders>
              <w:top w:val="single" w:color="auto" w:sz="4" w:space="0"/>
              <w:left w:val="single" w:color="auto" w:sz="4" w:space="0"/>
              <w:bottom w:val="single" w:color="auto" w:sz="4" w:space="0"/>
              <w:right w:val="nil"/>
            </w:tcBorders>
            <w:shd w:val="clear" w:color="auto" w:fill="FFFFFF"/>
            <w:vAlign w:val="center"/>
          </w:tcPr>
          <w:p>
            <w:pPr>
              <w:spacing w:line="280" w:lineRule="exact"/>
              <w:rPr>
                <w:rFonts w:ascii="Times New Roman" w:hAnsi="Times New Roman"/>
                <w:kern w:val="2"/>
              </w:rPr>
            </w:pPr>
            <w:r>
              <w:rPr>
                <w:rFonts w:ascii="Times New Roman" w:hAnsi="Times New Roman"/>
                <w:kern w:val="2"/>
              </w:rPr>
              <w:t>砷、镉、铬（六价）、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k]荧蒽、䓛、二苯并[a,h]蒽、茚并[1,2,3-cd]芘、萘</w:t>
            </w:r>
          </w:p>
        </w:tc>
      </w:tr>
      <w:tr>
        <w:tblPrEx>
          <w:tblCellMar>
            <w:top w:w="0" w:type="dxa"/>
            <w:left w:w="0" w:type="dxa"/>
            <w:bottom w:w="0" w:type="dxa"/>
            <w:right w:w="0" w:type="dxa"/>
          </w:tblCellMar>
        </w:tblPrEx>
        <w:trPr>
          <w:trHeight w:val="20" w:hRule="atLeast"/>
          <w:jc w:val="center"/>
        </w:trPr>
        <w:tc>
          <w:tcPr>
            <w:tcW w:w="567" w:type="dxa"/>
            <w:vMerge w:val="continue"/>
            <w:tcBorders>
              <w:left w:val="nil"/>
              <w:bottom w:val="single" w:color="auto" w:sz="4" w:space="0"/>
              <w:right w:val="nil"/>
            </w:tcBorders>
            <w:shd w:val="clear" w:color="auto" w:fill="FFFFFF"/>
            <w:vAlign w:val="center"/>
          </w:tcPr>
          <w:p>
            <w:pPr>
              <w:spacing w:line="280" w:lineRule="exact"/>
              <w:jc w:val="center"/>
              <w:rPr>
                <w:rFonts w:ascii="Times New Roman" w:hAnsi="Times New Roman"/>
                <w:kern w:val="2"/>
              </w:rPr>
            </w:pPr>
          </w:p>
        </w:tc>
        <w:tc>
          <w:tcPr>
            <w:tcW w:w="993" w:type="dxa"/>
            <w:vMerge w:val="continue"/>
            <w:tcBorders>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p>
        </w:tc>
        <w:tc>
          <w:tcPr>
            <w:tcW w:w="1134"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预测分析</w:t>
            </w:r>
          </w:p>
        </w:tc>
        <w:tc>
          <w:tcPr>
            <w:tcW w:w="5618"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w:t>
            </w:r>
          </w:p>
        </w:tc>
      </w:tr>
      <w:tr>
        <w:tblPrEx>
          <w:tblCellMar>
            <w:top w:w="0" w:type="dxa"/>
            <w:left w:w="0" w:type="dxa"/>
            <w:bottom w:w="0" w:type="dxa"/>
            <w:right w:w="0" w:type="dxa"/>
          </w:tblCellMar>
        </w:tblPrEx>
        <w:trPr>
          <w:trHeight w:val="20" w:hRule="atLeast"/>
          <w:jc w:val="center"/>
        </w:trPr>
        <w:tc>
          <w:tcPr>
            <w:tcW w:w="567" w:type="dxa"/>
            <w:vMerge w:val="restart"/>
            <w:tcBorders>
              <w:top w:val="single" w:color="auto" w:sz="4" w:space="0"/>
              <w:left w:val="nil"/>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5</w:t>
            </w:r>
          </w:p>
        </w:tc>
        <w:tc>
          <w:tcPr>
            <w:tcW w:w="993" w:type="dxa"/>
            <w:vMerge w:val="restart"/>
            <w:tcBorders>
              <w:top w:val="single" w:color="auto" w:sz="4" w:space="0"/>
              <w:left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环境风险</w:t>
            </w:r>
          </w:p>
        </w:tc>
        <w:tc>
          <w:tcPr>
            <w:tcW w:w="1134"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现状评价</w:t>
            </w:r>
          </w:p>
        </w:tc>
        <w:tc>
          <w:tcPr>
            <w:tcW w:w="5618" w:type="dxa"/>
            <w:tcBorders>
              <w:top w:val="single" w:color="auto" w:sz="4" w:space="0"/>
              <w:left w:val="single" w:color="auto" w:sz="4" w:space="0"/>
              <w:bottom w:val="single" w:color="auto" w:sz="4"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w:t>
            </w:r>
          </w:p>
        </w:tc>
      </w:tr>
      <w:tr>
        <w:tblPrEx>
          <w:tblCellMar>
            <w:top w:w="0" w:type="dxa"/>
            <w:left w:w="0" w:type="dxa"/>
            <w:bottom w:w="0" w:type="dxa"/>
            <w:right w:w="0" w:type="dxa"/>
          </w:tblCellMar>
        </w:tblPrEx>
        <w:trPr>
          <w:trHeight w:val="20" w:hRule="atLeast"/>
          <w:jc w:val="center"/>
        </w:trPr>
        <w:tc>
          <w:tcPr>
            <w:tcW w:w="567" w:type="dxa"/>
            <w:vMerge w:val="continue"/>
            <w:tcBorders>
              <w:left w:val="nil"/>
              <w:bottom w:val="single" w:color="auto" w:sz="12" w:space="0"/>
              <w:right w:val="nil"/>
            </w:tcBorders>
            <w:shd w:val="clear" w:color="auto" w:fill="FFFFFF"/>
            <w:vAlign w:val="center"/>
          </w:tcPr>
          <w:p>
            <w:pPr>
              <w:spacing w:line="280" w:lineRule="exact"/>
              <w:jc w:val="center"/>
              <w:rPr>
                <w:rFonts w:ascii="Times New Roman" w:hAnsi="Times New Roman"/>
                <w:kern w:val="2"/>
              </w:rPr>
            </w:pPr>
          </w:p>
        </w:tc>
        <w:tc>
          <w:tcPr>
            <w:tcW w:w="993" w:type="dxa"/>
            <w:vMerge w:val="continue"/>
            <w:tcBorders>
              <w:left w:val="single" w:color="auto" w:sz="4" w:space="0"/>
              <w:bottom w:val="single" w:color="auto" w:sz="12" w:space="0"/>
              <w:right w:val="nil"/>
            </w:tcBorders>
            <w:shd w:val="clear" w:color="auto" w:fill="FFFFFF"/>
            <w:vAlign w:val="center"/>
          </w:tcPr>
          <w:p>
            <w:pPr>
              <w:spacing w:line="280" w:lineRule="exact"/>
              <w:jc w:val="center"/>
              <w:rPr>
                <w:rFonts w:ascii="Times New Roman" w:hAnsi="Times New Roman"/>
                <w:kern w:val="2"/>
              </w:rPr>
            </w:pPr>
          </w:p>
        </w:tc>
        <w:tc>
          <w:tcPr>
            <w:tcW w:w="1134" w:type="dxa"/>
            <w:tcBorders>
              <w:top w:val="single" w:color="auto" w:sz="4" w:space="0"/>
              <w:left w:val="single" w:color="auto" w:sz="4" w:space="0"/>
              <w:bottom w:val="single" w:color="auto" w:sz="12"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预测分析</w:t>
            </w:r>
          </w:p>
        </w:tc>
        <w:tc>
          <w:tcPr>
            <w:tcW w:w="5618" w:type="dxa"/>
            <w:tcBorders>
              <w:top w:val="single" w:color="auto" w:sz="4" w:space="0"/>
              <w:left w:val="single" w:color="auto" w:sz="4" w:space="0"/>
              <w:bottom w:val="single" w:color="auto" w:sz="12" w:space="0"/>
              <w:right w:val="nil"/>
            </w:tcBorders>
            <w:shd w:val="clear" w:color="auto" w:fill="FFFFFF"/>
            <w:vAlign w:val="center"/>
          </w:tcPr>
          <w:p>
            <w:pPr>
              <w:spacing w:line="280" w:lineRule="exact"/>
              <w:jc w:val="center"/>
              <w:rPr>
                <w:rFonts w:ascii="Times New Roman" w:hAnsi="Times New Roman"/>
                <w:kern w:val="2"/>
              </w:rPr>
            </w:pPr>
            <w:r>
              <w:rPr>
                <w:rFonts w:ascii="Times New Roman" w:hAnsi="Times New Roman"/>
                <w:kern w:val="2"/>
              </w:rPr>
              <w:t>泄露、火灾、爆炸产生的伴生/次生污染物CO</w:t>
            </w:r>
          </w:p>
        </w:tc>
      </w:tr>
    </w:tbl>
    <w:p>
      <w:pPr>
        <w:pStyle w:val="4"/>
        <w:spacing w:before="120" w:beforeLines="50" w:after="120" w:afterLines="50" w:line="480" w:lineRule="exact"/>
        <w:rPr>
          <w:rFonts w:ascii="Times New Roman" w:hAnsi="Times New Roman" w:eastAsia="黑体"/>
          <w:kern w:val="2"/>
          <w:sz w:val="28"/>
          <w:szCs w:val="32"/>
        </w:rPr>
      </w:pPr>
      <w:bookmarkStart w:id="243" w:name="_Toc527205701"/>
      <w:bookmarkStart w:id="244" w:name="_Toc406572440"/>
      <w:bookmarkStart w:id="245" w:name="_Toc409529703"/>
      <w:bookmarkStart w:id="246" w:name="_Toc534537589"/>
      <w:bookmarkStart w:id="247" w:name="_Toc458063811"/>
      <w:bookmarkStart w:id="248" w:name="_Toc406771982"/>
      <w:bookmarkStart w:id="249" w:name="_Toc407350216"/>
      <w:bookmarkStart w:id="250" w:name="_Toc416966847"/>
      <w:bookmarkStart w:id="251" w:name="_Toc466271341"/>
      <w:bookmarkStart w:id="252" w:name="_Toc9746"/>
      <w:bookmarkStart w:id="253" w:name="_Toc486970343"/>
      <w:bookmarkStart w:id="254" w:name="_Toc464036643"/>
      <w:bookmarkStart w:id="255" w:name="_Toc347586104"/>
      <w:bookmarkStart w:id="256" w:name="_Toc291020929"/>
      <w:bookmarkStart w:id="257" w:name="_Toc497228799"/>
      <w:bookmarkStart w:id="258" w:name="_Toc482020584"/>
      <w:bookmarkStart w:id="259" w:name="_Toc27134270"/>
      <w:bookmarkStart w:id="260" w:name="_Toc13846"/>
      <w:bookmarkStart w:id="261" w:name="_Toc24450"/>
      <w:bookmarkStart w:id="262" w:name="_Toc480190421"/>
      <w:bookmarkStart w:id="263" w:name="_Toc532556574"/>
      <w:bookmarkStart w:id="264" w:name="_Toc409529903"/>
      <w:bookmarkStart w:id="265" w:name="_Toc480983802"/>
      <w:bookmarkStart w:id="266" w:name="_Toc487111471"/>
      <w:bookmarkStart w:id="267" w:name="_Toc535168874"/>
      <w:bookmarkStart w:id="268" w:name="_Toc9843781"/>
      <w:bookmarkStart w:id="269" w:name="_Toc12277"/>
      <w:bookmarkStart w:id="270" w:name="_Toc453708905"/>
      <w:bookmarkStart w:id="271" w:name="_Toc18678"/>
      <w:bookmarkStart w:id="272" w:name="_Toc26187994"/>
      <w:bookmarkStart w:id="273" w:name="_Toc347495231"/>
      <w:bookmarkStart w:id="274" w:name="_Toc530655934"/>
      <w:bookmarkStart w:id="275" w:name="_Toc535348428"/>
      <w:r>
        <w:rPr>
          <w:rFonts w:ascii="Times New Roman" w:hAnsi="Times New Roman" w:eastAsia="黑体"/>
          <w:kern w:val="2"/>
          <w:sz w:val="28"/>
          <w:szCs w:val="32"/>
        </w:rPr>
        <w:t>环境质量标准</w:t>
      </w:r>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p>
    <w:p>
      <w:pPr>
        <w:pStyle w:val="513"/>
        <w:spacing w:line="480" w:lineRule="exact"/>
        <w:ind w:firstLine="480"/>
        <w:rPr>
          <w:rFonts w:ascii="Times New Roman" w:hAnsi="Times New Roman" w:cs="Times New Roman"/>
          <w:kern w:val="0"/>
          <w:szCs w:val="21"/>
        </w:rPr>
      </w:pPr>
      <w:r>
        <w:rPr>
          <w:rFonts w:ascii="Times New Roman" w:hAnsi="Times New Roman" w:cs="Times New Roman"/>
          <w:kern w:val="0"/>
          <w:szCs w:val="21"/>
        </w:rPr>
        <w:t>（1）环境空气质量标准</w:t>
      </w:r>
    </w:p>
    <w:p>
      <w:pPr>
        <w:pStyle w:val="513"/>
        <w:spacing w:line="480" w:lineRule="exact"/>
        <w:ind w:firstLine="480"/>
        <w:rPr>
          <w:rFonts w:ascii="Times New Roman" w:hAnsi="Times New Roman" w:cs="Times New Roman"/>
          <w:kern w:val="0"/>
        </w:rPr>
      </w:pPr>
      <w:r>
        <w:rPr>
          <w:rFonts w:ascii="Times New Roman" w:hAnsi="Times New Roman" w:cs="Times New Roman"/>
          <w:kern w:val="0"/>
        </w:rPr>
        <w:t>根据项目评价区环境空气功能区划要求，本项目区域环境空气中SO</w:t>
      </w:r>
      <w:r>
        <w:rPr>
          <w:rFonts w:ascii="Times New Roman" w:hAnsi="Times New Roman" w:cs="Times New Roman"/>
          <w:kern w:val="0"/>
          <w:vertAlign w:val="subscript"/>
        </w:rPr>
        <w:t>2</w:t>
      </w:r>
      <w:r>
        <w:rPr>
          <w:rFonts w:ascii="Times New Roman" w:hAnsi="Times New Roman" w:cs="Times New Roman"/>
          <w:kern w:val="0"/>
        </w:rPr>
        <w:t>、NO</w:t>
      </w:r>
      <w:r>
        <w:rPr>
          <w:rFonts w:ascii="Times New Roman" w:hAnsi="Times New Roman" w:cs="Times New Roman"/>
          <w:kern w:val="0"/>
          <w:vertAlign w:val="subscript"/>
        </w:rPr>
        <w:t>2</w:t>
      </w:r>
      <w:r>
        <w:rPr>
          <w:rFonts w:ascii="Times New Roman" w:hAnsi="Times New Roman" w:cs="Times New Roman"/>
          <w:kern w:val="0"/>
        </w:rPr>
        <w:t>、PM</w:t>
      </w:r>
      <w:r>
        <w:rPr>
          <w:rFonts w:ascii="Times New Roman" w:hAnsi="Times New Roman" w:cs="Times New Roman"/>
          <w:kern w:val="0"/>
          <w:vertAlign w:val="subscript"/>
        </w:rPr>
        <w:t>10</w:t>
      </w:r>
      <w:r>
        <w:rPr>
          <w:rFonts w:ascii="Times New Roman" w:hAnsi="Times New Roman" w:cs="Times New Roman"/>
          <w:kern w:val="0"/>
        </w:rPr>
        <w:t>、PM</w:t>
      </w:r>
      <w:r>
        <w:rPr>
          <w:rFonts w:ascii="Times New Roman" w:hAnsi="Times New Roman" w:cs="Times New Roman"/>
          <w:kern w:val="0"/>
          <w:vertAlign w:val="subscript"/>
        </w:rPr>
        <w:t>2.5</w:t>
      </w:r>
      <w:r>
        <w:rPr>
          <w:rFonts w:ascii="Times New Roman" w:hAnsi="Times New Roman" w:cs="Times New Roman"/>
          <w:kern w:val="0"/>
        </w:rPr>
        <w:t>、O</w:t>
      </w:r>
      <w:r>
        <w:rPr>
          <w:rFonts w:ascii="Times New Roman" w:hAnsi="Times New Roman" w:cs="Times New Roman"/>
          <w:kern w:val="0"/>
          <w:vertAlign w:val="subscript"/>
        </w:rPr>
        <w:t>3</w:t>
      </w:r>
      <w:r>
        <w:rPr>
          <w:rFonts w:ascii="Times New Roman" w:hAnsi="Times New Roman" w:cs="Times New Roman"/>
          <w:kern w:val="0"/>
        </w:rPr>
        <w:t>、CO、TSP执行《环境空气质量标准》（GB3095-2012）及其修改单中二级标准。NH</w:t>
      </w:r>
      <w:r>
        <w:rPr>
          <w:rFonts w:ascii="Times New Roman" w:hAnsi="Times New Roman" w:cs="Times New Roman"/>
          <w:kern w:val="0"/>
          <w:vertAlign w:val="subscript"/>
        </w:rPr>
        <w:t>3</w:t>
      </w:r>
      <w:r>
        <w:rPr>
          <w:rFonts w:ascii="Times New Roman" w:hAnsi="Times New Roman" w:cs="Times New Roman"/>
          <w:kern w:val="0"/>
        </w:rPr>
        <w:t>、H</w:t>
      </w:r>
      <w:r>
        <w:rPr>
          <w:rFonts w:ascii="Times New Roman" w:hAnsi="Times New Roman" w:cs="Times New Roman"/>
          <w:kern w:val="0"/>
          <w:vertAlign w:val="subscript"/>
        </w:rPr>
        <w:t>2</w:t>
      </w:r>
      <w:r>
        <w:rPr>
          <w:rFonts w:ascii="Times New Roman" w:hAnsi="Times New Roman" w:cs="Times New Roman"/>
          <w:kern w:val="0"/>
        </w:rPr>
        <w:t>S执行《环境影响评价技术导则 大气环境》（HJ2.2-2018）附录D中的浓度限值。非甲烷总烃执行</w:t>
      </w:r>
      <w:r>
        <w:rPr>
          <w:rFonts w:hint="eastAsia" w:ascii="Times New Roman" w:hAnsi="Times New Roman" w:cs="Times New Roman"/>
          <w:kern w:val="0"/>
        </w:rPr>
        <w:t>《大气污染物综合排放标准详解》</w:t>
      </w:r>
      <w:r>
        <w:rPr>
          <w:rFonts w:ascii="Times New Roman" w:hAnsi="Times New Roman" w:cs="Times New Roman"/>
          <w:kern w:val="0"/>
        </w:rPr>
        <w:t>相关要求。</w:t>
      </w:r>
    </w:p>
    <w:p>
      <w:pPr>
        <w:pStyle w:val="513"/>
        <w:spacing w:line="480" w:lineRule="exact"/>
        <w:ind w:firstLine="480"/>
        <w:rPr>
          <w:rFonts w:ascii="Times New Roman" w:hAnsi="Times New Roman" w:cs="Times New Roman"/>
          <w:kern w:val="0"/>
          <w:szCs w:val="21"/>
        </w:rPr>
      </w:pPr>
      <w:r>
        <w:rPr>
          <w:rFonts w:ascii="Times New Roman" w:hAnsi="Times New Roman" w:cs="Times New Roman"/>
          <w:kern w:val="0"/>
          <w:szCs w:val="21"/>
        </w:rPr>
        <w:t>具体见表2.3-3。</w:t>
      </w:r>
    </w:p>
    <w:p>
      <w:pPr>
        <w:pStyle w:val="513"/>
        <w:spacing w:line="480" w:lineRule="exact"/>
        <w:ind w:firstLine="0" w:firstLineChars="0"/>
        <w:jc w:val="center"/>
        <w:rPr>
          <w:rFonts w:ascii="Times New Roman" w:hAnsi="Times New Roman" w:cs="Times New Roman"/>
          <w:b/>
          <w:kern w:val="0"/>
          <w:sz w:val="21"/>
          <w:szCs w:val="21"/>
        </w:rPr>
      </w:pPr>
      <w:r>
        <w:rPr>
          <w:rFonts w:ascii="Times New Roman" w:hAnsi="Times New Roman" w:cs="Times New Roman"/>
          <w:b/>
          <w:kern w:val="0"/>
          <w:sz w:val="21"/>
          <w:szCs w:val="21"/>
        </w:rPr>
        <w:t>表2.3-3 环境空气环境质量标准一览表</w:t>
      </w:r>
    </w:p>
    <w:tbl>
      <w:tblPr>
        <w:tblStyle w:val="77"/>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584"/>
        <w:gridCol w:w="1321"/>
        <w:gridCol w:w="1337"/>
        <w:gridCol w:w="1725"/>
        <w:gridCol w:w="156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2519" w:type="dxa"/>
            <w:vMerge w:val="restart"/>
            <w:vAlign w:val="center"/>
          </w:tcPr>
          <w:p>
            <w:pPr>
              <w:spacing w:line="280" w:lineRule="exact"/>
              <w:jc w:val="center"/>
              <w:rPr>
                <w:rFonts w:ascii="Times New Roman" w:hAnsi="Times New Roman"/>
                <w:b/>
                <w:kern w:val="2"/>
              </w:rPr>
            </w:pPr>
            <w:r>
              <w:rPr>
                <w:rFonts w:ascii="Times New Roman" w:hAnsi="Times New Roman"/>
                <w:b/>
                <w:kern w:val="2"/>
              </w:rPr>
              <w:t>标准名称及级别</w:t>
            </w:r>
          </w:p>
        </w:tc>
        <w:tc>
          <w:tcPr>
            <w:tcW w:w="1288" w:type="dxa"/>
            <w:vMerge w:val="restart"/>
            <w:vAlign w:val="center"/>
          </w:tcPr>
          <w:p>
            <w:pPr>
              <w:spacing w:line="280" w:lineRule="exact"/>
              <w:jc w:val="center"/>
              <w:rPr>
                <w:rFonts w:ascii="Times New Roman" w:hAnsi="Times New Roman"/>
                <w:b/>
                <w:kern w:val="2"/>
              </w:rPr>
            </w:pPr>
            <w:r>
              <w:rPr>
                <w:rFonts w:ascii="Times New Roman" w:hAnsi="Times New Roman"/>
                <w:b/>
                <w:kern w:val="2"/>
              </w:rPr>
              <w:t>项目</w:t>
            </w:r>
          </w:p>
        </w:tc>
        <w:tc>
          <w:tcPr>
            <w:tcW w:w="4505" w:type="dxa"/>
            <w:gridSpan w:val="3"/>
            <w:vAlign w:val="center"/>
          </w:tcPr>
          <w:p>
            <w:pPr>
              <w:spacing w:line="280" w:lineRule="exact"/>
              <w:jc w:val="center"/>
              <w:rPr>
                <w:rFonts w:ascii="Times New Roman" w:hAnsi="Times New Roman"/>
                <w:b/>
                <w:kern w:val="2"/>
              </w:rPr>
            </w:pPr>
            <w:r>
              <w:rPr>
                <w:rFonts w:ascii="Times New Roman" w:hAnsi="Times New Roman"/>
                <w:b/>
                <w:kern w:val="2"/>
              </w:rPr>
              <w:t>标准值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2519" w:type="dxa"/>
            <w:vMerge w:val="continue"/>
            <w:vAlign w:val="center"/>
          </w:tcPr>
          <w:p>
            <w:pPr>
              <w:spacing w:line="280" w:lineRule="exact"/>
              <w:jc w:val="center"/>
              <w:rPr>
                <w:rFonts w:ascii="Times New Roman" w:hAnsi="Times New Roman"/>
                <w:b/>
                <w:kern w:val="2"/>
              </w:rPr>
            </w:pPr>
          </w:p>
        </w:tc>
        <w:tc>
          <w:tcPr>
            <w:tcW w:w="1288" w:type="dxa"/>
            <w:vMerge w:val="continue"/>
            <w:tcBorders>
              <w:bottom w:val="single" w:color="auto" w:sz="4" w:space="0"/>
            </w:tcBorders>
            <w:vAlign w:val="center"/>
          </w:tcPr>
          <w:p>
            <w:pPr>
              <w:spacing w:line="280" w:lineRule="exact"/>
              <w:jc w:val="center"/>
              <w:rPr>
                <w:rFonts w:ascii="Times New Roman" w:hAnsi="Times New Roman"/>
                <w:b/>
                <w:kern w:val="2"/>
              </w:rPr>
            </w:pPr>
          </w:p>
        </w:tc>
        <w:tc>
          <w:tcPr>
            <w:tcW w:w="1303" w:type="dxa"/>
            <w:tcBorders>
              <w:bottom w:val="single" w:color="auto" w:sz="4" w:space="0"/>
            </w:tcBorders>
            <w:vAlign w:val="center"/>
          </w:tcPr>
          <w:p>
            <w:pPr>
              <w:spacing w:line="280" w:lineRule="exact"/>
              <w:jc w:val="center"/>
              <w:rPr>
                <w:rFonts w:ascii="Times New Roman" w:hAnsi="Times New Roman"/>
                <w:b/>
                <w:kern w:val="2"/>
              </w:rPr>
            </w:pPr>
            <w:r>
              <w:rPr>
                <w:rFonts w:ascii="Times New Roman" w:hAnsi="Times New Roman"/>
                <w:b/>
                <w:kern w:val="2"/>
              </w:rPr>
              <w:t>单位</w:t>
            </w:r>
          </w:p>
        </w:tc>
        <w:tc>
          <w:tcPr>
            <w:tcW w:w="3202" w:type="dxa"/>
            <w:gridSpan w:val="2"/>
            <w:vAlign w:val="center"/>
          </w:tcPr>
          <w:p>
            <w:pPr>
              <w:spacing w:line="280" w:lineRule="exact"/>
              <w:jc w:val="center"/>
              <w:rPr>
                <w:rFonts w:ascii="Times New Roman" w:hAnsi="Times New Roman"/>
                <w:b/>
                <w:kern w:val="2"/>
              </w:rPr>
            </w:pPr>
            <w:r>
              <w:rPr>
                <w:rFonts w:ascii="Times New Roman" w:hAnsi="Times New Roman"/>
                <w:b/>
                <w:kern w:val="2"/>
              </w:rPr>
              <w:t>数值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2519" w:type="dxa"/>
            <w:vMerge w:val="restart"/>
            <w:vAlign w:val="center"/>
          </w:tcPr>
          <w:p>
            <w:pPr>
              <w:spacing w:line="280" w:lineRule="exact"/>
              <w:jc w:val="center"/>
              <w:rPr>
                <w:rFonts w:ascii="Times New Roman" w:hAnsi="Times New Roman"/>
                <w:kern w:val="2"/>
              </w:rPr>
            </w:pPr>
            <w:r>
              <w:rPr>
                <w:rFonts w:ascii="Times New Roman" w:hAnsi="Times New Roman"/>
                <w:kern w:val="2"/>
              </w:rPr>
              <w:t>《环境空气质量标准》（GB3095-2012）二级标准及修改单二级标准</w:t>
            </w:r>
          </w:p>
        </w:tc>
        <w:tc>
          <w:tcPr>
            <w:tcW w:w="1288" w:type="dxa"/>
            <w:vMerge w:val="restart"/>
            <w:tcBorders>
              <w:top w:val="single" w:color="auto" w:sz="4" w:space="0"/>
            </w:tcBorders>
            <w:vAlign w:val="center"/>
          </w:tcPr>
          <w:p>
            <w:pPr>
              <w:spacing w:line="280" w:lineRule="exact"/>
              <w:jc w:val="center"/>
              <w:rPr>
                <w:rFonts w:ascii="Times New Roman" w:hAnsi="Times New Roman"/>
                <w:kern w:val="2"/>
              </w:rPr>
            </w:pPr>
            <w:r>
              <w:rPr>
                <w:rFonts w:ascii="Times New Roman" w:hAnsi="Times New Roman"/>
                <w:kern w:val="2"/>
              </w:rPr>
              <w:t>PM</w:t>
            </w:r>
            <w:r>
              <w:rPr>
                <w:rFonts w:ascii="Times New Roman" w:hAnsi="Times New Roman"/>
                <w:kern w:val="2"/>
                <w:vertAlign w:val="subscript"/>
              </w:rPr>
              <w:t>2.5</w:t>
            </w:r>
          </w:p>
        </w:tc>
        <w:tc>
          <w:tcPr>
            <w:tcW w:w="1303" w:type="dxa"/>
            <w:vMerge w:val="restart"/>
            <w:tcBorders>
              <w:top w:val="single" w:color="auto" w:sz="4" w:space="0"/>
            </w:tcBorders>
            <w:vAlign w:val="center"/>
          </w:tcPr>
          <w:p>
            <w:pPr>
              <w:spacing w:line="280" w:lineRule="exact"/>
              <w:jc w:val="center"/>
              <w:rPr>
                <w:rFonts w:ascii="Times New Roman" w:hAnsi="Times New Roman"/>
                <w:kern w:val="2"/>
              </w:rPr>
            </w:pPr>
            <w:r>
              <w:rPr>
                <w:rFonts w:ascii="Times New Roman" w:hAnsi="Times New Roman"/>
                <w:kern w:val="2"/>
              </w:rPr>
              <w:t>μg/m</w:t>
            </w:r>
            <w:r>
              <w:rPr>
                <w:rFonts w:ascii="Times New Roman" w:hAnsi="Times New Roman"/>
                <w:kern w:val="2"/>
                <w:vertAlign w:val="superscript"/>
              </w:rPr>
              <w:t>3</w:t>
            </w:r>
          </w:p>
        </w:tc>
        <w:tc>
          <w:tcPr>
            <w:tcW w:w="1681" w:type="dxa"/>
            <w:vAlign w:val="center"/>
          </w:tcPr>
          <w:p>
            <w:pPr>
              <w:spacing w:line="280" w:lineRule="exact"/>
              <w:jc w:val="center"/>
              <w:rPr>
                <w:rFonts w:ascii="Times New Roman" w:hAnsi="Times New Roman"/>
                <w:kern w:val="2"/>
              </w:rPr>
            </w:pPr>
            <w:r>
              <w:rPr>
                <w:rFonts w:ascii="Times New Roman" w:hAnsi="Times New Roman"/>
                <w:kern w:val="2"/>
              </w:rPr>
              <w:t>日平均</w:t>
            </w:r>
          </w:p>
        </w:tc>
        <w:tc>
          <w:tcPr>
            <w:tcW w:w="1521" w:type="dxa"/>
            <w:vAlign w:val="center"/>
          </w:tcPr>
          <w:p>
            <w:pPr>
              <w:spacing w:line="280" w:lineRule="exact"/>
              <w:jc w:val="center"/>
              <w:rPr>
                <w:rFonts w:ascii="Times New Roman" w:hAnsi="Times New Roman"/>
                <w:kern w:val="2"/>
              </w:rPr>
            </w:pPr>
            <w:r>
              <w:rPr>
                <w:rFonts w:ascii="Times New Roman" w:hAnsi="Times New Roman"/>
                <w:kern w:val="2"/>
              </w:rPr>
              <w:t>75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2519" w:type="dxa"/>
            <w:vMerge w:val="continue"/>
            <w:vAlign w:val="center"/>
          </w:tcPr>
          <w:p>
            <w:pPr>
              <w:spacing w:line="280" w:lineRule="exact"/>
              <w:jc w:val="center"/>
              <w:rPr>
                <w:rFonts w:ascii="Times New Roman" w:hAnsi="Times New Roman"/>
                <w:kern w:val="2"/>
              </w:rPr>
            </w:pPr>
          </w:p>
        </w:tc>
        <w:tc>
          <w:tcPr>
            <w:tcW w:w="1288" w:type="dxa"/>
            <w:vMerge w:val="continue"/>
            <w:tcBorders>
              <w:bottom w:val="single" w:color="auto" w:sz="4" w:space="0"/>
            </w:tcBorders>
            <w:vAlign w:val="center"/>
          </w:tcPr>
          <w:p>
            <w:pPr>
              <w:spacing w:line="280" w:lineRule="exact"/>
              <w:jc w:val="center"/>
              <w:rPr>
                <w:rFonts w:ascii="Times New Roman" w:hAnsi="Times New Roman"/>
                <w:kern w:val="2"/>
              </w:rPr>
            </w:pPr>
          </w:p>
        </w:tc>
        <w:tc>
          <w:tcPr>
            <w:tcW w:w="1303" w:type="dxa"/>
            <w:vMerge w:val="continue"/>
            <w:vAlign w:val="center"/>
          </w:tcPr>
          <w:p>
            <w:pPr>
              <w:spacing w:line="280" w:lineRule="exact"/>
              <w:jc w:val="center"/>
              <w:rPr>
                <w:rFonts w:ascii="Times New Roman" w:hAnsi="Times New Roman"/>
                <w:kern w:val="2"/>
              </w:rPr>
            </w:pPr>
          </w:p>
        </w:tc>
        <w:tc>
          <w:tcPr>
            <w:tcW w:w="1681" w:type="dxa"/>
            <w:vAlign w:val="center"/>
          </w:tcPr>
          <w:p>
            <w:pPr>
              <w:spacing w:line="280" w:lineRule="exact"/>
              <w:jc w:val="center"/>
              <w:rPr>
                <w:rFonts w:ascii="Times New Roman" w:hAnsi="Times New Roman"/>
                <w:kern w:val="2"/>
              </w:rPr>
            </w:pPr>
            <w:r>
              <w:rPr>
                <w:rFonts w:ascii="Times New Roman" w:hAnsi="Times New Roman"/>
                <w:kern w:val="2"/>
              </w:rPr>
              <w:t>年平均</w:t>
            </w:r>
          </w:p>
        </w:tc>
        <w:tc>
          <w:tcPr>
            <w:tcW w:w="1521" w:type="dxa"/>
            <w:vAlign w:val="center"/>
          </w:tcPr>
          <w:p>
            <w:pPr>
              <w:spacing w:line="280" w:lineRule="exact"/>
              <w:jc w:val="center"/>
              <w:rPr>
                <w:rFonts w:ascii="Times New Roman" w:hAnsi="Times New Roman"/>
                <w:kern w:val="2"/>
              </w:rPr>
            </w:pPr>
            <w:r>
              <w:rPr>
                <w:rFonts w:ascii="Times New Roman" w:hAnsi="Times New Roman"/>
                <w:kern w:val="2"/>
              </w:rPr>
              <w:t>35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2519" w:type="dxa"/>
            <w:vMerge w:val="continue"/>
            <w:vAlign w:val="center"/>
          </w:tcPr>
          <w:p>
            <w:pPr>
              <w:spacing w:line="280" w:lineRule="exact"/>
              <w:jc w:val="center"/>
              <w:rPr>
                <w:rFonts w:ascii="Times New Roman" w:hAnsi="Times New Roman"/>
                <w:kern w:val="2"/>
              </w:rPr>
            </w:pPr>
          </w:p>
        </w:tc>
        <w:tc>
          <w:tcPr>
            <w:tcW w:w="1288" w:type="dxa"/>
            <w:vMerge w:val="restart"/>
            <w:tcBorders>
              <w:top w:val="single" w:color="auto" w:sz="4" w:space="0"/>
            </w:tcBorders>
            <w:vAlign w:val="center"/>
          </w:tcPr>
          <w:p>
            <w:pPr>
              <w:spacing w:line="280" w:lineRule="exact"/>
              <w:jc w:val="center"/>
              <w:rPr>
                <w:rFonts w:ascii="Times New Roman" w:hAnsi="Times New Roman"/>
                <w:kern w:val="2"/>
              </w:rPr>
            </w:pPr>
            <w:r>
              <w:rPr>
                <w:rFonts w:ascii="Times New Roman" w:hAnsi="Times New Roman"/>
                <w:kern w:val="2"/>
              </w:rPr>
              <w:t>PM</w:t>
            </w:r>
            <w:r>
              <w:rPr>
                <w:rFonts w:ascii="Times New Roman" w:hAnsi="Times New Roman"/>
                <w:kern w:val="2"/>
                <w:vertAlign w:val="subscript"/>
              </w:rPr>
              <w:t>10</w:t>
            </w:r>
          </w:p>
        </w:tc>
        <w:tc>
          <w:tcPr>
            <w:tcW w:w="1303" w:type="dxa"/>
            <w:vMerge w:val="continue"/>
            <w:vAlign w:val="center"/>
          </w:tcPr>
          <w:p>
            <w:pPr>
              <w:spacing w:line="280" w:lineRule="exact"/>
              <w:jc w:val="center"/>
              <w:rPr>
                <w:rFonts w:ascii="Times New Roman" w:hAnsi="Times New Roman"/>
                <w:kern w:val="2"/>
              </w:rPr>
            </w:pPr>
          </w:p>
        </w:tc>
        <w:tc>
          <w:tcPr>
            <w:tcW w:w="1681" w:type="dxa"/>
            <w:vAlign w:val="center"/>
          </w:tcPr>
          <w:p>
            <w:pPr>
              <w:spacing w:line="280" w:lineRule="exact"/>
              <w:jc w:val="center"/>
              <w:rPr>
                <w:rFonts w:ascii="Times New Roman" w:hAnsi="Times New Roman"/>
                <w:kern w:val="2"/>
              </w:rPr>
            </w:pPr>
            <w:r>
              <w:rPr>
                <w:rFonts w:ascii="Times New Roman" w:hAnsi="Times New Roman"/>
                <w:kern w:val="2"/>
              </w:rPr>
              <w:t>日平均</w:t>
            </w:r>
          </w:p>
        </w:tc>
        <w:tc>
          <w:tcPr>
            <w:tcW w:w="1521" w:type="dxa"/>
            <w:vAlign w:val="center"/>
          </w:tcPr>
          <w:p>
            <w:pPr>
              <w:spacing w:line="280" w:lineRule="exact"/>
              <w:jc w:val="center"/>
              <w:rPr>
                <w:rFonts w:ascii="Times New Roman" w:hAnsi="Times New Roman"/>
                <w:kern w:val="2"/>
              </w:rPr>
            </w:pPr>
            <w:r>
              <w:rPr>
                <w:rFonts w:ascii="Times New Roman" w:hAnsi="Times New Roman"/>
                <w:kern w:val="2"/>
              </w:rPr>
              <w:t>150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2519" w:type="dxa"/>
            <w:vMerge w:val="continue"/>
            <w:vAlign w:val="center"/>
          </w:tcPr>
          <w:p>
            <w:pPr>
              <w:spacing w:line="280" w:lineRule="exact"/>
              <w:jc w:val="center"/>
              <w:rPr>
                <w:rFonts w:ascii="Times New Roman" w:hAnsi="Times New Roman"/>
                <w:kern w:val="2"/>
              </w:rPr>
            </w:pPr>
          </w:p>
        </w:tc>
        <w:tc>
          <w:tcPr>
            <w:tcW w:w="1288" w:type="dxa"/>
            <w:vMerge w:val="continue"/>
            <w:vAlign w:val="center"/>
          </w:tcPr>
          <w:p>
            <w:pPr>
              <w:spacing w:line="280" w:lineRule="exact"/>
              <w:jc w:val="center"/>
              <w:rPr>
                <w:rFonts w:ascii="Times New Roman" w:hAnsi="Times New Roman"/>
                <w:kern w:val="2"/>
              </w:rPr>
            </w:pPr>
          </w:p>
        </w:tc>
        <w:tc>
          <w:tcPr>
            <w:tcW w:w="1303" w:type="dxa"/>
            <w:vMerge w:val="continue"/>
            <w:vAlign w:val="center"/>
          </w:tcPr>
          <w:p>
            <w:pPr>
              <w:spacing w:line="280" w:lineRule="exact"/>
              <w:jc w:val="center"/>
              <w:rPr>
                <w:rFonts w:ascii="Times New Roman" w:hAnsi="Times New Roman"/>
                <w:kern w:val="2"/>
              </w:rPr>
            </w:pPr>
          </w:p>
        </w:tc>
        <w:tc>
          <w:tcPr>
            <w:tcW w:w="1681" w:type="dxa"/>
            <w:vAlign w:val="center"/>
          </w:tcPr>
          <w:p>
            <w:pPr>
              <w:spacing w:line="280" w:lineRule="exact"/>
              <w:jc w:val="center"/>
              <w:rPr>
                <w:rFonts w:ascii="Times New Roman" w:hAnsi="Times New Roman"/>
                <w:kern w:val="2"/>
              </w:rPr>
            </w:pPr>
            <w:r>
              <w:rPr>
                <w:rFonts w:ascii="Times New Roman" w:hAnsi="Times New Roman"/>
                <w:kern w:val="2"/>
              </w:rPr>
              <w:t>年平均</w:t>
            </w:r>
          </w:p>
        </w:tc>
        <w:tc>
          <w:tcPr>
            <w:tcW w:w="1521" w:type="dxa"/>
            <w:vAlign w:val="center"/>
          </w:tcPr>
          <w:p>
            <w:pPr>
              <w:spacing w:line="280" w:lineRule="exact"/>
              <w:jc w:val="center"/>
              <w:rPr>
                <w:rFonts w:ascii="Times New Roman" w:hAnsi="Times New Roman"/>
                <w:kern w:val="2"/>
              </w:rPr>
            </w:pPr>
            <w:r>
              <w:rPr>
                <w:rFonts w:ascii="Times New Roman" w:hAnsi="Times New Roman"/>
                <w:kern w:val="2"/>
              </w:rPr>
              <w:t>70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2519" w:type="dxa"/>
            <w:vMerge w:val="continue"/>
            <w:vAlign w:val="center"/>
          </w:tcPr>
          <w:p>
            <w:pPr>
              <w:spacing w:line="280" w:lineRule="exact"/>
              <w:jc w:val="center"/>
              <w:rPr>
                <w:rFonts w:ascii="Times New Roman" w:hAnsi="Times New Roman"/>
                <w:kern w:val="2"/>
              </w:rPr>
            </w:pPr>
          </w:p>
        </w:tc>
        <w:tc>
          <w:tcPr>
            <w:tcW w:w="1288" w:type="dxa"/>
            <w:vMerge w:val="restart"/>
            <w:vAlign w:val="center"/>
          </w:tcPr>
          <w:p>
            <w:pPr>
              <w:spacing w:line="280" w:lineRule="exact"/>
              <w:jc w:val="center"/>
              <w:rPr>
                <w:rFonts w:ascii="Times New Roman" w:hAnsi="Times New Roman"/>
                <w:kern w:val="2"/>
              </w:rPr>
            </w:pPr>
            <w:r>
              <w:rPr>
                <w:rFonts w:ascii="Times New Roman" w:hAnsi="Times New Roman"/>
                <w:kern w:val="2"/>
              </w:rPr>
              <w:t>NO</w:t>
            </w:r>
            <w:r>
              <w:rPr>
                <w:rFonts w:ascii="Times New Roman" w:hAnsi="Times New Roman"/>
                <w:kern w:val="2"/>
                <w:vertAlign w:val="subscript"/>
              </w:rPr>
              <w:t>2</w:t>
            </w:r>
          </w:p>
        </w:tc>
        <w:tc>
          <w:tcPr>
            <w:tcW w:w="1303" w:type="dxa"/>
            <w:vMerge w:val="continue"/>
            <w:vAlign w:val="center"/>
          </w:tcPr>
          <w:p>
            <w:pPr>
              <w:spacing w:line="280" w:lineRule="exact"/>
              <w:jc w:val="center"/>
              <w:rPr>
                <w:rFonts w:ascii="Times New Roman" w:hAnsi="Times New Roman"/>
                <w:kern w:val="2"/>
              </w:rPr>
            </w:pPr>
          </w:p>
        </w:tc>
        <w:tc>
          <w:tcPr>
            <w:tcW w:w="1681" w:type="dxa"/>
            <w:vAlign w:val="center"/>
          </w:tcPr>
          <w:p>
            <w:pPr>
              <w:spacing w:line="280" w:lineRule="exact"/>
              <w:jc w:val="center"/>
              <w:rPr>
                <w:rFonts w:ascii="Times New Roman" w:hAnsi="Times New Roman"/>
                <w:kern w:val="2"/>
              </w:rPr>
            </w:pPr>
            <w:r>
              <w:rPr>
                <w:rFonts w:ascii="Times New Roman" w:hAnsi="Times New Roman"/>
                <w:kern w:val="2"/>
              </w:rPr>
              <w:t>小时平均</w:t>
            </w:r>
          </w:p>
        </w:tc>
        <w:tc>
          <w:tcPr>
            <w:tcW w:w="1521" w:type="dxa"/>
            <w:vAlign w:val="center"/>
          </w:tcPr>
          <w:p>
            <w:pPr>
              <w:spacing w:line="280" w:lineRule="exact"/>
              <w:jc w:val="center"/>
              <w:rPr>
                <w:rFonts w:ascii="Times New Roman" w:hAnsi="Times New Roman"/>
                <w:kern w:val="2"/>
              </w:rPr>
            </w:pPr>
            <w:r>
              <w:rPr>
                <w:rFonts w:ascii="Times New Roman" w:hAnsi="Times New Roman"/>
                <w:kern w:val="2"/>
              </w:rPr>
              <w:t>200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2519" w:type="dxa"/>
            <w:vMerge w:val="continue"/>
            <w:vAlign w:val="center"/>
          </w:tcPr>
          <w:p>
            <w:pPr>
              <w:spacing w:line="280" w:lineRule="exact"/>
              <w:jc w:val="center"/>
              <w:rPr>
                <w:rFonts w:ascii="Times New Roman" w:hAnsi="Times New Roman"/>
                <w:kern w:val="2"/>
              </w:rPr>
            </w:pPr>
          </w:p>
        </w:tc>
        <w:tc>
          <w:tcPr>
            <w:tcW w:w="1288" w:type="dxa"/>
            <w:vMerge w:val="continue"/>
            <w:vAlign w:val="center"/>
          </w:tcPr>
          <w:p>
            <w:pPr>
              <w:spacing w:line="280" w:lineRule="exact"/>
              <w:jc w:val="center"/>
              <w:rPr>
                <w:rFonts w:ascii="Times New Roman" w:hAnsi="Times New Roman"/>
                <w:kern w:val="2"/>
              </w:rPr>
            </w:pPr>
          </w:p>
        </w:tc>
        <w:tc>
          <w:tcPr>
            <w:tcW w:w="1303" w:type="dxa"/>
            <w:vMerge w:val="continue"/>
            <w:vAlign w:val="center"/>
          </w:tcPr>
          <w:p>
            <w:pPr>
              <w:spacing w:line="280" w:lineRule="exact"/>
              <w:jc w:val="center"/>
              <w:rPr>
                <w:rFonts w:ascii="Times New Roman" w:hAnsi="Times New Roman"/>
                <w:kern w:val="2"/>
              </w:rPr>
            </w:pPr>
          </w:p>
        </w:tc>
        <w:tc>
          <w:tcPr>
            <w:tcW w:w="1681" w:type="dxa"/>
            <w:vAlign w:val="center"/>
          </w:tcPr>
          <w:p>
            <w:pPr>
              <w:spacing w:line="280" w:lineRule="exact"/>
              <w:jc w:val="center"/>
              <w:rPr>
                <w:rFonts w:ascii="Times New Roman" w:hAnsi="Times New Roman"/>
                <w:kern w:val="2"/>
              </w:rPr>
            </w:pPr>
            <w:r>
              <w:rPr>
                <w:rFonts w:ascii="Times New Roman" w:hAnsi="Times New Roman"/>
                <w:kern w:val="2"/>
              </w:rPr>
              <w:t>日平均</w:t>
            </w:r>
          </w:p>
        </w:tc>
        <w:tc>
          <w:tcPr>
            <w:tcW w:w="1521" w:type="dxa"/>
            <w:vAlign w:val="center"/>
          </w:tcPr>
          <w:p>
            <w:pPr>
              <w:spacing w:line="280" w:lineRule="exact"/>
              <w:jc w:val="center"/>
              <w:rPr>
                <w:rFonts w:ascii="Times New Roman" w:hAnsi="Times New Roman"/>
                <w:kern w:val="2"/>
              </w:rPr>
            </w:pPr>
            <w:r>
              <w:rPr>
                <w:rFonts w:ascii="Times New Roman" w:hAnsi="Times New Roman"/>
                <w:kern w:val="2"/>
              </w:rPr>
              <w:t>80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2519" w:type="dxa"/>
            <w:vMerge w:val="continue"/>
            <w:vAlign w:val="center"/>
          </w:tcPr>
          <w:p>
            <w:pPr>
              <w:spacing w:line="280" w:lineRule="exact"/>
              <w:jc w:val="center"/>
              <w:rPr>
                <w:rFonts w:ascii="Times New Roman" w:hAnsi="Times New Roman"/>
                <w:kern w:val="2"/>
              </w:rPr>
            </w:pPr>
          </w:p>
        </w:tc>
        <w:tc>
          <w:tcPr>
            <w:tcW w:w="1288" w:type="dxa"/>
            <w:vMerge w:val="continue"/>
            <w:vAlign w:val="center"/>
          </w:tcPr>
          <w:p>
            <w:pPr>
              <w:spacing w:line="280" w:lineRule="exact"/>
              <w:jc w:val="center"/>
              <w:rPr>
                <w:rFonts w:ascii="Times New Roman" w:hAnsi="Times New Roman"/>
                <w:kern w:val="2"/>
              </w:rPr>
            </w:pPr>
          </w:p>
        </w:tc>
        <w:tc>
          <w:tcPr>
            <w:tcW w:w="1303" w:type="dxa"/>
            <w:vMerge w:val="continue"/>
            <w:vAlign w:val="center"/>
          </w:tcPr>
          <w:p>
            <w:pPr>
              <w:spacing w:line="280" w:lineRule="exact"/>
              <w:jc w:val="center"/>
              <w:rPr>
                <w:rFonts w:ascii="Times New Roman" w:hAnsi="Times New Roman"/>
                <w:kern w:val="2"/>
              </w:rPr>
            </w:pPr>
          </w:p>
        </w:tc>
        <w:tc>
          <w:tcPr>
            <w:tcW w:w="1681" w:type="dxa"/>
            <w:vAlign w:val="center"/>
          </w:tcPr>
          <w:p>
            <w:pPr>
              <w:spacing w:line="280" w:lineRule="exact"/>
              <w:jc w:val="center"/>
              <w:rPr>
                <w:rFonts w:ascii="Times New Roman" w:hAnsi="Times New Roman"/>
                <w:kern w:val="2"/>
              </w:rPr>
            </w:pPr>
            <w:r>
              <w:rPr>
                <w:rFonts w:ascii="Times New Roman" w:hAnsi="Times New Roman"/>
                <w:kern w:val="2"/>
              </w:rPr>
              <w:t>年平均</w:t>
            </w:r>
          </w:p>
        </w:tc>
        <w:tc>
          <w:tcPr>
            <w:tcW w:w="1521" w:type="dxa"/>
            <w:vAlign w:val="center"/>
          </w:tcPr>
          <w:p>
            <w:pPr>
              <w:spacing w:line="280" w:lineRule="exact"/>
              <w:jc w:val="center"/>
              <w:rPr>
                <w:rFonts w:ascii="Times New Roman" w:hAnsi="Times New Roman"/>
                <w:kern w:val="2"/>
              </w:rPr>
            </w:pPr>
            <w:r>
              <w:rPr>
                <w:rFonts w:ascii="Times New Roman" w:hAnsi="Times New Roman"/>
                <w:kern w:val="2"/>
              </w:rPr>
              <w:t>40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2519" w:type="dxa"/>
            <w:vMerge w:val="continue"/>
            <w:vAlign w:val="center"/>
          </w:tcPr>
          <w:p>
            <w:pPr>
              <w:spacing w:line="280" w:lineRule="exact"/>
              <w:jc w:val="center"/>
              <w:rPr>
                <w:rFonts w:ascii="Times New Roman" w:hAnsi="Times New Roman"/>
                <w:kern w:val="2"/>
              </w:rPr>
            </w:pPr>
          </w:p>
        </w:tc>
        <w:tc>
          <w:tcPr>
            <w:tcW w:w="1288" w:type="dxa"/>
            <w:vMerge w:val="restart"/>
            <w:vAlign w:val="center"/>
          </w:tcPr>
          <w:p>
            <w:pPr>
              <w:spacing w:line="280" w:lineRule="exact"/>
              <w:jc w:val="center"/>
              <w:rPr>
                <w:rFonts w:ascii="Times New Roman" w:hAnsi="Times New Roman"/>
                <w:kern w:val="2"/>
              </w:rPr>
            </w:pPr>
            <w:r>
              <w:rPr>
                <w:rFonts w:ascii="Times New Roman" w:hAnsi="Times New Roman"/>
                <w:kern w:val="2"/>
              </w:rPr>
              <w:t>SO</w:t>
            </w:r>
            <w:r>
              <w:rPr>
                <w:rFonts w:ascii="Times New Roman" w:hAnsi="Times New Roman"/>
                <w:kern w:val="2"/>
                <w:vertAlign w:val="subscript"/>
              </w:rPr>
              <w:t>2</w:t>
            </w:r>
          </w:p>
        </w:tc>
        <w:tc>
          <w:tcPr>
            <w:tcW w:w="1303" w:type="dxa"/>
            <w:vMerge w:val="continue"/>
            <w:vAlign w:val="center"/>
          </w:tcPr>
          <w:p>
            <w:pPr>
              <w:spacing w:line="280" w:lineRule="exact"/>
              <w:jc w:val="center"/>
              <w:rPr>
                <w:rFonts w:ascii="Times New Roman" w:hAnsi="Times New Roman"/>
                <w:kern w:val="2"/>
              </w:rPr>
            </w:pPr>
          </w:p>
        </w:tc>
        <w:tc>
          <w:tcPr>
            <w:tcW w:w="1681" w:type="dxa"/>
            <w:vAlign w:val="center"/>
          </w:tcPr>
          <w:p>
            <w:pPr>
              <w:spacing w:line="280" w:lineRule="exact"/>
              <w:jc w:val="center"/>
              <w:rPr>
                <w:rFonts w:ascii="Times New Roman" w:hAnsi="Times New Roman"/>
                <w:kern w:val="2"/>
              </w:rPr>
            </w:pPr>
            <w:r>
              <w:rPr>
                <w:rFonts w:ascii="Times New Roman" w:hAnsi="Times New Roman"/>
                <w:kern w:val="2"/>
              </w:rPr>
              <w:t>小时平均</w:t>
            </w:r>
          </w:p>
        </w:tc>
        <w:tc>
          <w:tcPr>
            <w:tcW w:w="1521" w:type="dxa"/>
            <w:vAlign w:val="center"/>
          </w:tcPr>
          <w:p>
            <w:pPr>
              <w:spacing w:line="280" w:lineRule="exact"/>
              <w:jc w:val="center"/>
              <w:rPr>
                <w:rFonts w:ascii="Times New Roman" w:hAnsi="Times New Roman"/>
                <w:kern w:val="2"/>
              </w:rPr>
            </w:pPr>
            <w:r>
              <w:rPr>
                <w:rFonts w:ascii="Times New Roman" w:hAnsi="Times New Roman"/>
                <w:kern w:val="2"/>
              </w:rPr>
              <w:t>500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2519" w:type="dxa"/>
            <w:vMerge w:val="continue"/>
            <w:vAlign w:val="center"/>
          </w:tcPr>
          <w:p>
            <w:pPr>
              <w:spacing w:line="280" w:lineRule="exact"/>
              <w:jc w:val="center"/>
              <w:rPr>
                <w:rFonts w:ascii="Times New Roman" w:hAnsi="Times New Roman"/>
                <w:kern w:val="2"/>
              </w:rPr>
            </w:pPr>
          </w:p>
        </w:tc>
        <w:tc>
          <w:tcPr>
            <w:tcW w:w="1288" w:type="dxa"/>
            <w:vMerge w:val="continue"/>
            <w:vAlign w:val="center"/>
          </w:tcPr>
          <w:p>
            <w:pPr>
              <w:spacing w:line="280" w:lineRule="exact"/>
              <w:jc w:val="center"/>
              <w:rPr>
                <w:rFonts w:ascii="Times New Roman" w:hAnsi="Times New Roman"/>
                <w:kern w:val="2"/>
              </w:rPr>
            </w:pPr>
          </w:p>
        </w:tc>
        <w:tc>
          <w:tcPr>
            <w:tcW w:w="1303" w:type="dxa"/>
            <w:vMerge w:val="continue"/>
            <w:vAlign w:val="center"/>
          </w:tcPr>
          <w:p>
            <w:pPr>
              <w:spacing w:line="280" w:lineRule="exact"/>
              <w:jc w:val="center"/>
              <w:rPr>
                <w:rFonts w:ascii="Times New Roman" w:hAnsi="Times New Roman"/>
                <w:kern w:val="2"/>
              </w:rPr>
            </w:pPr>
          </w:p>
        </w:tc>
        <w:tc>
          <w:tcPr>
            <w:tcW w:w="1681" w:type="dxa"/>
            <w:vAlign w:val="center"/>
          </w:tcPr>
          <w:p>
            <w:pPr>
              <w:spacing w:line="280" w:lineRule="exact"/>
              <w:jc w:val="center"/>
              <w:rPr>
                <w:rFonts w:ascii="Times New Roman" w:hAnsi="Times New Roman"/>
                <w:kern w:val="2"/>
              </w:rPr>
            </w:pPr>
            <w:r>
              <w:rPr>
                <w:rFonts w:ascii="Times New Roman" w:hAnsi="Times New Roman"/>
                <w:kern w:val="2"/>
              </w:rPr>
              <w:t>日平均</w:t>
            </w:r>
          </w:p>
        </w:tc>
        <w:tc>
          <w:tcPr>
            <w:tcW w:w="1521" w:type="dxa"/>
            <w:vAlign w:val="center"/>
          </w:tcPr>
          <w:p>
            <w:pPr>
              <w:spacing w:line="280" w:lineRule="exact"/>
              <w:jc w:val="center"/>
              <w:rPr>
                <w:rFonts w:ascii="Times New Roman" w:hAnsi="Times New Roman"/>
                <w:kern w:val="2"/>
              </w:rPr>
            </w:pPr>
            <w:r>
              <w:rPr>
                <w:rFonts w:ascii="Times New Roman" w:hAnsi="Times New Roman"/>
                <w:kern w:val="2"/>
              </w:rPr>
              <w:t>150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2519" w:type="dxa"/>
            <w:vMerge w:val="continue"/>
            <w:vAlign w:val="center"/>
          </w:tcPr>
          <w:p>
            <w:pPr>
              <w:spacing w:line="280" w:lineRule="exact"/>
              <w:jc w:val="center"/>
              <w:rPr>
                <w:rFonts w:ascii="Times New Roman" w:hAnsi="Times New Roman"/>
                <w:kern w:val="2"/>
              </w:rPr>
            </w:pPr>
          </w:p>
        </w:tc>
        <w:tc>
          <w:tcPr>
            <w:tcW w:w="1288" w:type="dxa"/>
            <w:vMerge w:val="continue"/>
            <w:vAlign w:val="center"/>
          </w:tcPr>
          <w:p>
            <w:pPr>
              <w:spacing w:line="280" w:lineRule="exact"/>
              <w:jc w:val="center"/>
              <w:rPr>
                <w:rFonts w:ascii="Times New Roman" w:hAnsi="Times New Roman"/>
                <w:kern w:val="2"/>
              </w:rPr>
            </w:pPr>
          </w:p>
        </w:tc>
        <w:tc>
          <w:tcPr>
            <w:tcW w:w="1303" w:type="dxa"/>
            <w:vMerge w:val="continue"/>
            <w:vAlign w:val="center"/>
          </w:tcPr>
          <w:p>
            <w:pPr>
              <w:spacing w:line="280" w:lineRule="exact"/>
              <w:jc w:val="center"/>
              <w:rPr>
                <w:rFonts w:ascii="Times New Roman" w:hAnsi="Times New Roman"/>
                <w:kern w:val="2"/>
              </w:rPr>
            </w:pPr>
          </w:p>
        </w:tc>
        <w:tc>
          <w:tcPr>
            <w:tcW w:w="1681" w:type="dxa"/>
            <w:vAlign w:val="center"/>
          </w:tcPr>
          <w:p>
            <w:pPr>
              <w:spacing w:line="280" w:lineRule="exact"/>
              <w:jc w:val="center"/>
              <w:rPr>
                <w:rFonts w:ascii="Times New Roman" w:hAnsi="Times New Roman"/>
                <w:kern w:val="2"/>
              </w:rPr>
            </w:pPr>
            <w:r>
              <w:rPr>
                <w:rFonts w:ascii="Times New Roman" w:hAnsi="Times New Roman"/>
                <w:kern w:val="2"/>
              </w:rPr>
              <w:t>年平均</w:t>
            </w:r>
          </w:p>
        </w:tc>
        <w:tc>
          <w:tcPr>
            <w:tcW w:w="1521" w:type="dxa"/>
            <w:vAlign w:val="center"/>
          </w:tcPr>
          <w:p>
            <w:pPr>
              <w:spacing w:line="280" w:lineRule="exact"/>
              <w:jc w:val="center"/>
              <w:rPr>
                <w:rFonts w:ascii="Times New Roman" w:hAnsi="Times New Roman"/>
                <w:kern w:val="2"/>
              </w:rPr>
            </w:pPr>
            <w:r>
              <w:rPr>
                <w:rFonts w:ascii="Times New Roman" w:hAnsi="Times New Roman"/>
                <w:kern w:val="2"/>
              </w:rPr>
              <w:t>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2519" w:type="dxa"/>
            <w:vMerge w:val="continue"/>
            <w:vAlign w:val="center"/>
          </w:tcPr>
          <w:p>
            <w:pPr>
              <w:spacing w:line="280" w:lineRule="exact"/>
              <w:jc w:val="center"/>
              <w:rPr>
                <w:rFonts w:ascii="Times New Roman" w:hAnsi="Times New Roman"/>
                <w:kern w:val="2"/>
              </w:rPr>
            </w:pPr>
          </w:p>
        </w:tc>
        <w:tc>
          <w:tcPr>
            <w:tcW w:w="1288" w:type="dxa"/>
            <w:vMerge w:val="restart"/>
            <w:vAlign w:val="center"/>
          </w:tcPr>
          <w:p>
            <w:pPr>
              <w:spacing w:line="280" w:lineRule="exact"/>
              <w:jc w:val="center"/>
              <w:rPr>
                <w:rFonts w:ascii="Times New Roman" w:hAnsi="Times New Roman"/>
                <w:kern w:val="2"/>
              </w:rPr>
            </w:pPr>
            <w:r>
              <w:rPr>
                <w:rFonts w:ascii="Times New Roman" w:hAnsi="Times New Roman"/>
                <w:kern w:val="2"/>
              </w:rPr>
              <w:t>O</w:t>
            </w:r>
            <w:r>
              <w:rPr>
                <w:rFonts w:ascii="Times New Roman" w:hAnsi="Times New Roman"/>
                <w:kern w:val="2"/>
                <w:vertAlign w:val="subscript"/>
              </w:rPr>
              <w:t>3</w:t>
            </w:r>
          </w:p>
        </w:tc>
        <w:tc>
          <w:tcPr>
            <w:tcW w:w="1303" w:type="dxa"/>
            <w:vMerge w:val="continue"/>
            <w:vAlign w:val="center"/>
          </w:tcPr>
          <w:p>
            <w:pPr>
              <w:spacing w:line="280" w:lineRule="exact"/>
              <w:jc w:val="center"/>
              <w:rPr>
                <w:rFonts w:ascii="Times New Roman" w:hAnsi="Times New Roman"/>
                <w:kern w:val="2"/>
              </w:rPr>
            </w:pPr>
          </w:p>
        </w:tc>
        <w:tc>
          <w:tcPr>
            <w:tcW w:w="1681" w:type="dxa"/>
            <w:vAlign w:val="center"/>
          </w:tcPr>
          <w:p>
            <w:pPr>
              <w:spacing w:line="280" w:lineRule="exact"/>
              <w:jc w:val="center"/>
              <w:rPr>
                <w:rFonts w:ascii="Times New Roman" w:hAnsi="Times New Roman"/>
                <w:kern w:val="2"/>
              </w:rPr>
            </w:pPr>
            <w:r>
              <w:rPr>
                <w:rFonts w:ascii="Times New Roman" w:hAnsi="Times New Roman"/>
                <w:kern w:val="2"/>
              </w:rPr>
              <w:t>小时平均</w:t>
            </w:r>
          </w:p>
        </w:tc>
        <w:tc>
          <w:tcPr>
            <w:tcW w:w="1521" w:type="dxa"/>
            <w:vAlign w:val="center"/>
          </w:tcPr>
          <w:p>
            <w:pPr>
              <w:spacing w:line="280" w:lineRule="exact"/>
              <w:jc w:val="center"/>
              <w:rPr>
                <w:rFonts w:ascii="Times New Roman" w:hAnsi="Times New Roman"/>
                <w:kern w:val="2"/>
              </w:rPr>
            </w:pPr>
            <w:r>
              <w:rPr>
                <w:rFonts w:ascii="Times New Roman" w:hAnsi="Times New Roman"/>
                <w:kern w:val="2"/>
              </w:rPr>
              <w:t>200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2519" w:type="dxa"/>
            <w:vMerge w:val="continue"/>
            <w:vAlign w:val="center"/>
          </w:tcPr>
          <w:p>
            <w:pPr>
              <w:spacing w:line="280" w:lineRule="exact"/>
              <w:jc w:val="center"/>
              <w:rPr>
                <w:rFonts w:ascii="Times New Roman" w:hAnsi="Times New Roman"/>
                <w:kern w:val="2"/>
              </w:rPr>
            </w:pPr>
          </w:p>
        </w:tc>
        <w:tc>
          <w:tcPr>
            <w:tcW w:w="1288" w:type="dxa"/>
            <w:vMerge w:val="continue"/>
            <w:vAlign w:val="center"/>
          </w:tcPr>
          <w:p>
            <w:pPr>
              <w:spacing w:line="280" w:lineRule="exact"/>
              <w:jc w:val="center"/>
              <w:rPr>
                <w:rFonts w:ascii="Times New Roman" w:hAnsi="Times New Roman"/>
                <w:kern w:val="2"/>
              </w:rPr>
            </w:pPr>
          </w:p>
        </w:tc>
        <w:tc>
          <w:tcPr>
            <w:tcW w:w="1303" w:type="dxa"/>
            <w:vMerge w:val="continue"/>
            <w:vAlign w:val="center"/>
          </w:tcPr>
          <w:p>
            <w:pPr>
              <w:spacing w:line="280" w:lineRule="exact"/>
              <w:jc w:val="center"/>
              <w:rPr>
                <w:rFonts w:ascii="Times New Roman" w:hAnsi="Times New Roman"/>
                <w:kern w:val="2"/>
              </w:rPr>
            </w:pPr>
          </w:p>
        </w:tc>
        <w:tc>
          <w:tcPr>
            <w:tcW w:w="1681" w:type="dxa"/>
            <w:vAlign w:val="center"/>
          </w:tcPr>
          <w:p>
            <w:pPr>
              <w:spacing w:line="280" w:lineRule="exact"/>
              <w:jc w:val="center"/>
              <w:rPr>
                <w:rFonts w:ascii="Times New Roman" w:hAnsi="Times New Roman"/>
                <w:kern w:val="2"/>
              </w:rPr>
            </w:pPr>
            <w:r>
              <w:rPr>
                <w:rFonts w:ascii="Times New Roman" w:hAnsi="Times New Roman"/>
                <w:kern w:val="2"/>
              </w:rPr>
              <w:t>日最大8</w:t>
            </w:r>
          </w:p>
          <w:p>
            <w:pPr>
              <w:spacing w:line="280" w:lineRule="exact"/>
              <w:jc w:val="center"/>
              <w:rPr>
                <w:rFonts w:ascii="Times New Roman" w:hAnsi="Times New Roman"/>
                <w:kern w:val="2"/>
              </w:rPr>
            </w:pPr>
            <w:r>
              <w:rPr>
                <w:rFonts w:ascii="Times New Roman" w:hAnsi="Times New Roman"/>
                <w:kern w:val="2"/>
              </w:rPr>
              <w:t>小时平均</w:t>
            </w:r>
          </w:p>
        </w:tc>
        <w:tc>
          <w:tcPr>
            <w:tcW w:w="1521" w:type="dxa"/>
            <w:vAlign w:val="center"/>
          </w:tcPr>
          <w:p>
            <w:pPr>
              <w:spacing w:line="280" w:lineRule="exact"/>
              <w:jc w:val="center"/>
              <w:rPr>
                <w:rFonts w:ascii="Times New Roman" w:hAnsi="Times New Roman"/>
                <w:kern w:val="2"/>
              </w:rPr>
            </w:pPr>
            <w:r>
              <w:rPr>
                <w:rFonts w:ascii="Times New Roman" w:hAnsi="Times New Roman"/>
                <w:kern w:val="2"/>
              </w:rPr>
              <w:t>160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2519" w:type="dxa"/>
            <w:vMerge w:val="continue"/>
            <w:vAlign w:val="center"/>
          </w:tcPr>
          <w:p>
            <w:pPr>
              <w:spacing w:line="280" w:lineRule="exact"/>
              <w:jc w:val="center"/>
              <w:rPr>
                <w:rFonts w:ascii="Times New Roman" w:hAnsi="Times New Roman"/>
                <w:kern w:val="2"/>
              </w:rPr>
            </w:pPr>
          </w:p>
        </w:tc>
        <w:tc>
          <w:tcPr>
            <w:tcW w:w="1288" w:type="dxa"/>
            <w:vMerge w:val="restart"/>
            <w:vAlign w:val="center"/>
          </w:tcPr>
          <w:p>
            <w:pPr>
              <w:spacing w:line="280" w:lineRule="exact"/>
              <w:jc w:val="center"/>
              <w:rPr>
                <w:rFonts w:ascii="Times New Roman" w:hAnsi="Times New Roman"/>
                <w:kern w:val="2"/>
              </w:rPr>
            </w:pPr>
            <w:r>
              <w:rPr>
                <w:rFonts w:ascii="Times New Roman" w:hAnsi="Times New Roman"/>
                <w:kern w:val="2"/>
              </w:rPr>
              <w:t>CO</w:t>
            </w:r>
          </w:p>
        </w:tc>
        <w:tc>
          <w:tcPr>
            <w:tcW w:w="1303" w:type="dxa"/>
            <w:vMerge w:val="restart"/>
            <w:vAlign w:val="center"/>
          </w:tcPr>
          <w:p>
            <w:pPr>
              <w:spacing w:line="280" w:lineRule="exact"/>
              <w:jc w:val="center"/>
              <w:rPr>
                <w:rFonts w:ascii="Times New Roman" w:hAnsi="Times New Roman"/>
                <w:kern w:val="2"/>
              </w:rPr>
            </w:pPr>
            <w:r>
              <w:rPr>
                <w:rFonts w:ascii="Times New Roman" w:hAnsi="Times New Roman"/>
                <w:kern w:val="2"/>
              </w:rPr>
              <w:t>mg/m</w:t>
            </w:r>
            <w:r>
              <w:rPr>
                <w:rFonts w:ascii="Times New Roman" w:hAnsi="Times New Roman"/>
                <w:kern w:val="2"/>
                <w:vertAlign w:val="superscript"/>
              </w:rPr>
              <w:t>3</w:t>
            </w:r>
          </w:p>
        </w:tc>
        <w:tc>
          <w:tcPr>
            <w:tcW w:w="1681" w:type="dxa"/>
            <w:vAlign w:val="center"/>
          </w:tcPr>
          <w:p>
            <w:pPr>
              <w:spacing w:line="280" w:lineRule="exact"/>
              <w:jc w:val="center"/>
              <w:rPr>
                <w:rFonts w:ascii="Times New Roman" w:hAnsi="Times New Roman"/>
                <w:kern w:val="2"/>
              </w:rPr>
            </w:pPr>
            <w:r>
              <w:rPr>
                <w:rFonts w:ascii="Times New Roman" w:hAnsi="Times New Roman"/>
                <w:kern w:val="2"/>
              </w:rPr>
              <w:t>小时平均</w:t>
            </w:r>
          </w:p>
        </w:tc>
        <w:tc>
          <w:tcPr>
            <w:tcW w:w="1521" w:type="dxa"/>
            <w:vAlign w:val="center"/>
          </w:tcPr>
          <w:p>
            <w:pPr>
              <w:spacing w:line="280" w:lineRule="exact"/>
              <w:jc w:val="center"/>
              <w:rPr>
                <w:rFonts w:ascii="Times New Roman" w:hAnsi="Times New Roman"/>
                <w:kern w:val="2"/>
              </w:rPr>
            </w:pPr>
            <w:r>
              <w:rPr>
                <w:rFonts w:ascii="Times New Roman" w:hAnsi="Times New Roman"/>
                <w:kern w:val="2"/>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2519" w:type="dxa"/>
            <w:vMerge w:val="continue"/>
            <w:vAlign w:val="center"/>
          </w:tcPr>
          <w:p>
            <w:pPr>
              <w:spacing w:line="280" w:lineRule="exact"/>
              <w:jc w:val="center"/>
              <w:rPr>
                <w:rFonts w:ascii="Times New Roman" w:hAnsi="Times New Roman"/>
                <w:kern w:val="2"/>
              </w:rPr>
            </w:pPr>
          </w:p>
        </w:tc>
        <w:tc>
          <w:tcPr>
            <w:tcW w:w="1288" w:type="dxa"/>
            <w:vMerge w:val="continue"/>
            <w:vAlign w:val="center"/>
          </w:tcPr>
          <w:p>
            <w:pPr>
              <w:spacing w:line="280" w:lineRule="exact"/>
              <w:jc w:val="center"/>
              <w:rPr>
                <w:rFonts w:ascii="Times New Roman" w:hAnsi="Times New Roman"/>
                <w:kern w:val="2"/>
              </w:rPr>
            </w:pPr>
          </w:p>
        </w:tc>
        <w:tc>
          <w:tcPr>
            <w:tcW w:w="1303" w:type="dxa"/>
            <w:vMerge w:val="continue"/>
            <w:vAlign w:val="center"/>
          </w:tcPr>
          <w:p>
            <w:pPr>
              <w:spacing w:line="280" w:lineRule="exact"/>
              <w:jc w:val="center"/>
              <w:rPr>
                <w:rFonts w:ascii="Times New Roman" w:hAnsi="Times New Roman"/>
                <w:kern w:val="2"/>
              </w:rPr>
            </w:pPr>
          </w:p>
        </w:tc>
        <w:tc>
          <w:tcPr>
            <w:tcW w:w="1681" w:type="dxa"/>
            <w:vAlign w:val="center"/>
          </w:tcPr>
          <w:p>
            <w:pPr>
              <w:spacing w:line="280" w:lineRule="exact"/>
              <w:jc w:val="center"/>
              <w:rPr>
                <w:rFonts w:ascii="Times New Roman" w:hAnsi="Times New Roman"/>
                <w:kern w:val="2"/>
              </w:rPr>
            </w:pPr>
            <w:r>
              <w:rPr>
                <w:rFonts w:ascii="Times New Roman" w:hAnsi="Times New Roman"/>
                <w:kern w:val="2"/>
              </w:rPr>
              <w:t>日平均</w:t>
            </w:r>
          </w:p>
        </w:tc>
        <w:tc>
          <w:tcPr>
            <w:tcW w:w="1521" w:type="dxa"/>
            <w:vAlign w:val="center"/>
          </w:tcPr>
          <w:p>
            <w:pPr>
              <w:spacing w:line="280" w:lineRule="exact"/>
              <w:jc w:val="center"/>
              <w:rPr>
                <w:rFonts w:ascii="Times New Roman" w:hAnsi="Times New Roman"/>
                <w:kern w:val="2"/>
              </w:rPr>
            </w:pPr>
            <w:r>
              <w:rPr>
                <w:rFonts w:ascii="Times New Roman" w:hAnsi="Times New Roman"/>
                <w:kern w:val="2"/>
              </w:rPr>
              <w:t>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2519" w:type="dxa"/>
            <w:vMerge w:val="continue"/>
            <w:vAlign w:val="center"/>
          </w:tcPr>
          <w:p>
            <w:pPr>
              <w:spacing w:line="280" w:lineRule="exact"/>
              <w:jc w:val="center"/>
              <w:rPr>
                <w:rFonts w:ascii="Times New Roman" w:hAnsi="Times New Roman"/>
                <w:kern w:val="2"/>
              </w:rPr>
            </w:pPr>
          </w:p>
        </w:tc>
        <w:tc>
          <w:tcPr>
            <w:tcW w:w="1288" w:type="dxa"/>
            <w:vMerge w:val="restart"/>
            <w:vAlign w:val="center"/>
          </w:tcPr>
          <w:p>
            <w:pPr>
              <w:spacing w:line="280" w:lineRule="exact"/>
              <w:jc w:val="center"/>
              <w:rPr>
                <w:rFonts w:ascii="Times New Roman" w:hAnsi="Times New Roman"/>
                <w:kern w:val="2"/>
              </w:rPr>
            </w:pPr>
            <w:r>
              <w:rPr>
                <w:rFonts w:ascii="Times New Roman" w:hAnsi="Times New Roman"/>
                <w:kern w:val="2"/>
              </w:rPr>
              <w:t>TSP</w:t>
            </w:r>
          </w:p>
        </w:tc>
        <w:tc>
          <w:tcPr>
            <w:tcW w:w="1303" w:type="dxa"/>
            <w:vMerge w:val="restart"/>
            <w:vAlign w:val="center"/>
          </w:tcPr>
          <w:p>
            <w:pPr>
              <w:spacing w:line="280" w:lineRule="exact"/>
              <w:jc w:val="center"/>
              <w:rPr>
                <w:rFonts w:ascii="Times New Roman" w:hAnsi="Times New Roman"/>
                <w:kern w:val="2"/>
              </w:rPr>
            </w:pPr>
            <w:r>
              <w:rPr>
                <w:rFonts w:ascii="Times New Roman" w:hAnsi="Times New Roman"/>
                <w:kern w:val="2"/>
              </w:rPr>
              <w:t>μg/m</w:t>
            </w:r>
            <w:r>
              <w:rPr>
                <w:rFonts w:ascii="Times New Roman" w:hAnsi="Times New Roman"/>
                <w:kern w:val="2"/>
                <w:vertAlign w:val="superscript"/>
              </w:rPr>
              <w:t>3</w:t>
            </w:r>
          </w:p>
        </w:tc>
        <w:tc>
          <w:tcPr>
            <w:tcW w:w="1681" w:type="dxa"/>
            <w:vAlign w:val="center"/>
          </w:tcPr>
          <w:p>
            <w:pPr>
              <w:spacing w:line="280" w:lineRule="exact"/>
              <w:jc w:val="center"/>
              <w:rPr>
                <w:rFonts w:ascii="Times New Roman" w:hAnsi="Times New Roman"/>
                <w:kern w:val="2"/>
              </w:rPr>
            </w:pPr>
            <w:r>
              <w:rPr>
                <w:rFonts w:ascii="Times New Roman" w:hAnsi="Times New Roman"/>
                <w:kern w:val="2"/>
              </w:rPr>
              <w:t>年平均</w:t>
            </w:r>
          </w:p>
        </w:tc>
        <w:tc>
          <w:tcPr>
            <w:tcW w:w="1521" w:type="dxa"/>
            <w:vAlign w:val="center"/>
          </w:tcPr>
          <w:p>
            <w:pPr>
              <w:spacing w:line="280" w:lineRule="exact"/>
              <w:jc w:val="center"/>
              <w:rPr>
                <w:rFonts w:ascii="Times New Roman" w:hAnsi="Times New Roman"/>
                <w:kern w:val="2"/>
              </w:rPr>
            </w:pPr>
            <w:r>
              <w:rPr>
                <w:rFonts w:ascii="Times New Roman" w:hAnsi="Times New Roman"/>
                <w:kern w:val="2"/>
              </w:rPr>
              <w:t>200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2519" w:type="dxa"/>
            <w:vMerge w:val="continue"/>
            <w:vAlign w:val="center"/>
          </w:tcPr>
          <w:p>
            <w:pPr>
              <w:spacing w:line="280" w:lineRule="exact"/>
              <w:jc w:val="center"/>
              <w:rPr>
                <w:rFonts w:ascii="Times New Roman" w:hAnsi="Times New Roman"/>
                <w:kern w:val="2"/>
              </w:rPr>
            </w:pPr>
          </w:p>
        </w:tc>
        <w:tc>
          <w:tcPr>
            <w:tcW w:w="1288" w:type="dxa"/>
            <w:vMerge w:val="continue"/>
            <w:vAlign w:val="center"/>
          </w:tcPr>
          <w:p>
            <w:pPr>
              <w:spacing w:line="280" w:lineRule="exact"/>
              <w:jc w:val="center"/>
              <w:rPr>
                <w:rFonts w:ascii="Times New Roman" w:hAnsi="Times New Roman"/>
                <w:kern w:val="2"/>
              </w:rPr>
            </w:pPr>
          </w:p>
        </w:tc>
        <w:tc>
          <w:tcPr>
            <w:tcW w:w="1303" w:type="dxa"/>
            <w:vMerge w:val="continue"/>
            <w:vAlign w:val="center"/>
          </w:tcPr>
          <w:p>
            <w:pPr>
              <w:spacing w:line="280" w:lineRule="exact"/>
              <w:jc w:val="center"/>
              <w:rPr>
                <w:rFonts w:ascii="Times New Roman" w:hAnsi="Times New Roman"/>
                <w:kern w:val="2"/>
              </w:rPr>
            </w:pPr>
          </w:p>
        </w:tc>
        <w:tc>
          <w:tcPr>
            <w:tcW w:w="1681" w:type="dxa"/>
            <w:vAlign w:val="center"/>
          </w:tcPr>
          <w:p>
            <w:pPr>
              <w:spacing w:line="280" w:lineRule="exact"/>
              <w:jc w:val="center"/>
              <w:rPr>
                <w:rFonts w:ascii="Times New Roman" w:hAnsi="Times New Roman"/>
                <w:kern w:val="2"/>
              </w:rPr>
            </w:pPr>
            <w:r>
              <w:rPr>
                <w:rFonts w:ascii="Times New Roman" w:hAnsi="Times New Roman"/>
                <w:kern w:val="2"/>
              </w:rPr>
              <w:t>日平均</w:t>
            </w:r>
          </w:p>
        </w:tc>
        <w:tc>
          <w:tcPr>
            <w:tcW w:w="1521" w:type="dxa"/>
            <w:vAlign w:val="center"/>
          </w:tcPr>
          <w:p>
            <w:pPr>
              <w:spacing w:line="280" w:lineRule="exact"/>
              <w:jc w:val="center"/>
              <w:rPr>
                <w:rFonts w:ascii="Times New Roman" w:hAnsi="Times New Roman"/>
                <w:kern w:val="2"/>
              </w:rPr>
            </w:pPr>
            <w:r>
              <w:rPr>
                <w:rFonts w:ascii="Times New Roman" w:hAnsi="Times New Roman"/>
                <w:kern w:val="2"/>
              </w:rPr>
              <w:t>300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2519" w:type="dxa"/>
            <w:vMerge w:val="restart"/>
            <w:vAlign w:val="center"/>
          </w:tcPr>
          <w:p>
            <w:pPr>
              <w:spacing w:line="280" w:lineRule="exact"/>
              <w:jc w:val="center"/>
              <w:rPr>
                <w:rFonts w:ascii="Times New Roman" w:hAnsi="Times New Roman"/>
                <w:kern w:val="2"/>
              </w:rPr>
            </w:pPr>
            <w:r>
              <w:rPr>
                <w:rFonts w:ascii="Times New Roman" w:hAnsi="Times New Roman"/>
                <w:kern w:val="2"/>
              </w:rPr>
              <w:t>《环境影响评价技术导则 大气环境》（HJ2.2-2018）附录 D中的浓度限值</w:t>
            </w:r>
          </w:p>
        </w:tc>
        <w:tc>
          <w:tcPr>
            <w:tcW w:w="1288" w:type="dxa"/>
            <w:vAlign w:val="center"/>
          </w:tcPr>
          <w:p>
            <w:pPr>
              <w:spacing w:line="280" w:lineRule="exact"/>
              <w:jc w:val="center"/>
              <w:rPr>
                <w:rFonts w:ascii="Times New Roman" w:hAnsi="Times New Roman"/>
                <w:kern w:val="2"/>
              </w:rPr>
            </w:pPr>
            <w:r>
              <w:rPr>
                <w:rFonts w:ascii="Times New Roman" w:hAnsi="Times New Roman"/>
                <w:kern w:val="2"/>
              </w:rPr>
              <w:t>氨</w:t>
            </w:r>
          </w:p>
        </w:tc>
        <w:tc>
          <w:tcPr>
            <w:tcW w:w="1303" w:type="dxa"/>
            <w:vMerge w:val="restart"/>
            <w:vAlign w:val="center"/>
          </w:tcPr>
          <w:p>
            <w:pPr>
              <w:spacing w:line="280" w:lineRule="exact"/>
              <w:jc w:val="center"/>
              <w:rPr>
                <w:rFonts w:ascii="Times New Roman" w:hAnsi="Times New Roman"/>
                <w:kern w:val="2"/>
              </w:rPr>
            </w:pPr>
            <w:r>
              <w:rPr>
                <w:rFonts w:ascii="Times New Roman" w:hAnsi="Times New Roman"/>
                <w:kern w:val="2"/>
              </w:rPr>
              <w:t>μg/m</w:t>
            </w:r>
            <w:r>
              <w:rPr>
                <w:rFonts w:ascii="Times New Roman" w:hAnsi="Times New Roman"/>
                <w:kern w:val="2"/>
                <w:vertAlign w:val="superscript"/>
              </w:rPr>
              <w:t>3</w:t>
            </w:r>
          </w:p>
        </w:tc>
        <w:tc>
          <w:tcPr>
            <w:tcW w:w="1681" w:type="dxa"/>
            <w:vAlign w:val="center"/>
          </w:tcPr>
          <w:p>
            <w:pPr>
              <w:spacing w:line="280" w:lineRule="exact"/>
              <w:jc w:val="center"/>
              <w:rPr>
                <w:rFonts w:ascii="Times New Roman" w:hAnsi="Times New Roman"/>
                <w:kern w:val="2"/>
              </w:rPr>
            </w:pPr>
            <w:r>
              <w:rPr>
                <w:rFonts w:ascii="Times New Roman" w:hAnsi="Times New Roman"/>
                <w:kern w:val="2"/>
              </w:rPr>
              <w:t>小时平均</w:t>
            </w:r>
          </w:p>
        </w:tc>
        <w:tc>
          <w:tcPr>
            <w:tcW w:w="1521" w:type="dxa"/>
            <w:vAlign w:val="center"/>
          </w:tcPr>
          <w:p>
            <w:pPr>
              <w:spacing w:line="280" w:lineRule="exact"/>
              <w:jc w:val="center"/>
              <w:rPr>
                <w:rFonts w:ascii="Times New Roman" w:hAnsi="Times New Roman"/>
                <w:kern w:val="2"/>
              </w:rPr>
            </w:pPr>
            <w:r>
              <w:rPr>
                <w:rFonts w:ascii="Times New Roman" w:hAnsi="Times New Roman"/>
                <w:kern w:val="2"/>
              </w:rPr>
              <w:t>200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2519" w:type="dxa"/>
            <w:vMerge w:val="continue"/>
            <w:vAlign w:val="center"/>
          </w:tcPr>
          <w:p>
            <w:pPr>
              <w:spacing w:line="280" w:lineRule="exact"/>
              <w:jc w:val="center"/>
              <w:rPr>
                <w:rFonts w:ascii="Times New Roman" w:hAnsi="Times New Roman"/>
                <w:kern w:val="2"/>
              </w:rPr>
            </w:pPr>
          </w:p>
        </w:tc>
        <w:tc>
          <w:tcPr>
            <w:tcW w:w="1288" w:type="dxa"/>
            <w:vAlign w:val="center"/>
          </w:tcPr>
          <w:p>
            <w:pPr>
              <w:spacing w:line="280" w:lineRule="exact"/>
              <w:jc w:val="center"/>
              <w:rPr>
                <w:rFonts w:ascii="Times New Roman" w:hAnsi="Times New Roman"/>
                <w:kern w:val="2"/>
              </w:rPr>
            </w:pPr>
            <w:r>
              <w:rPr>
                <w:rFonts w:ascii="Times New Roman" w:hAnsi="Times New Roman"/>
                <w:kern w:val="2"/>
              </w:rPr>
              <w:t>硫化氢</w:t>
            </w:r>
          </w:p>
        </w:tc>
        <w:tc>
          <w:tcPr>
            <w:tcW w:w="1303" w:type="dxa"/>
            <w:vMerge w:val="continue"/>
            <w:vAlign w:val="center"/>
          </w:tcPr>
          <w:p>
            <w:pPr>
              <w:spacing w:line="280" w:lineRule="exact"/>
              <w:jc w:val="center"/>
              <w:rPr>
                <w:rFonts w:ascii="Times New Roman" w:hAnsi="Times New Roman"/>
                <w:kern w:val="2"/>
              </w:rPr>
            </w:pPr>
          </w:p>
        </w:tc>
        <w:tc>
          <w:tcPr>
            <w:tcW w:w="1681" w:type="dxa"/>
            <w:vAlign w:val="center"/>
          </w:tcPr>
          <w:p>
            <w:pPr>
              <w:spacing w:line="280" w:lineRule="exact"/>
              <w:jc w:val="center"/>
              <w:rPr>
                <w:rFonts w:ascii="Times New Roman" w:hAnsi="Times New Roman"/>
                <w:kern w:val="2"/>
              </w:rPr>
            </w:pPr>
            <w:r>
              <w:rPr>
                <w:rFonts w:ascii="Times New Roman" w:hAnsi="Times New Roman"/>
                <w:kern w:val="2"/>
              </w:rPr>
              <w:t>小时平均</w:t>
            </w:r>
          </w:p>
        </w:tc>
        <w:tc>
          <w:tcPr>
            <w:tcW w:w="1521" w:type="dxa"/>
            <w:vAlign w:val="center"/>
          </w:tcPr>
          <w:p>
            <w:pPr>
              <w:spacing w:line="280" w:lineRule="exact"/>
              <w:jc w:val="center"/>
              <w:rPr>
                <w:rFonts w:ascii="Times New Roman" w:hAnsi="Times New Roman"/>
                <w:kern w:val="2"/>
              </w:rPr>
            </w:pPr>
            <w:r>
              <w:rPr>
                <w:rFonts w:ascii="Times New Roman" w:hAnsi="Times New Roman"/>
                <w:kern w:val="2"/>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2519" w:type="dxa"/>
            <w:vAlign w:val="center"/>
          </w:tcPr>
          <w:p>
            <w:pPr>
              <w:spacing w:line="280" w:lineRule="exact"/>
              <w:jc w:val="center"/>
              <w:rPr>
                <w:rFonts w:ascii="Times New Roman" w:hAnsi="Times New Roman"/>
                <w:kern w:val="2"/>
              </w:rPr>
            </w:pPr>
            <w:r>
              <w:rPr>
                <w:rFonts w:hint="eastAsia" w:ascii="Times New Roman" w:hAnsi="Times New Roman"/>
                <w:kern w:val="2"/>
              </w:rPr>
              <w:t>《大气污染物综合排放标准详解》</w:t>
            </w:r>
          </w:p>
        </w:tc>
        <w:tc>
          <w:tcPr>
            <w:tcW w:w="1288" w:type="dxa"/>
            <w:vAlign w:val="center"/>
          </w:tcPr>
          <w:p>
            <w:pPr>
              <w:spacing w:line="280" w:lineRule="exact"/>
              <w:jc w:val="center"/>
              <w:rPr>
                <w:rFonts w:ascii="Times New Roman" w:hAnsi="Times New Roman"/>
                <w:kern w:val="2"/>
              </w:rPr>
            </w:pPr>
            <w:r>
              <w:rPr>
                <w:rFonts w:ascii="Times New Roman" w:hAnsi="Times New Roman"/>
                <w:kern w:val="2"/>
              </w:rPr>
              <w:t>非甲烷总烃</w:t>
            </w:r>
          </w:p>
        </w:tc>
        <w:tc>
          <w:tcPr>
            <w:tcW w:w="1303" w:type="dxa"/>
            <w:vAlign w:val="center"/>
          </w:tcPr>
          <w:p>
            <w:pPr>
              <w:spacing w:line="280" w:lineRule="exact"/>
              <w:jc w:val="center"/>
              <w:rPr>
                <w:rFonts w:ascii="Times New Roman" w:hAnsi="Times New Roman"/>
                <w:kern w:val="2"/>
              </w:rPr>
            </w:pPr>
            <w:r>
              <w:rPr>
                <w:rFonts w:ascii="Times New Roman" w:hAnsi="Times New Roman"/>
                <w:kern w:val="2"/>
              </w:rPr>
              <w:t>mg/m</w:t>
            </w:r>
            <w:r>
              <w:rPr>
                <w:rFonts w:ascii="Times New Roman" w:hAnsi="Times New Roman"/>
                <w:kern w:val="2"/>
                <w:vertAlign w:val="superscript"/>
              </w:rPr>
              <w:t>3</w:t>
            </w:r>
          </w:p>
        </w:tc>
        <w:tc>
          <w:tcPr>
            <w:tcW w:w="1681" w:type="dxa"/>
            <w:vAlign w:val="center"/>
          </w:tcPr>
          <w:p>
            <w:pPr>
              <w:spacing w:line="280" w:lineRule="exact"/>
              <w:jc w:val="center"/>
              <w:rPr>
                <w:rFonts w:ascii="Times New Roman" w:hAnsi="Times New Roman"/>
                <w:kern w:val="2"/>
              </w:rPr>
            </w:pPr>
            <w:r>
              <w:rPr>
                <w:rFonts w:ascii="Times New Roman" w:hAnsi="Times New Roman"/>
                <w:kern w:val="2"/>
              </w:rPr>
              <w:t>小时平均</w:t>
            </w:r>
          </w:p>
        </w:tc>
        <w:tc>
          <w:tcPr>
            <w:tcW w:w="1521" w:type="dxa"/>
            <w:vAlign w:val="center"/>
          </w:tcPr>
          <w:p>
            <w:pPr>
              <w:spacing w:line="280" w:lineRule="exact"/>
              <w:jc w:val="center"/>
              <w:rPr>
                <w:rFonts w:ascii="Times New Roman" w:hAnsi="Times New Roman"/>
                <w:kern w:val="2"/>
              </w:rPr>
            </w:pPr>
            <w:r>
              <w:rPr>
                <w:rFonts w:ascii="Times New Roman" w:hAnsi="Times New Roman"/>
                <w:kern w:val="2"/>
              </w:rPr>
              <w:t>2.0</w:t>
            </w:r>
          </w:p>
        </w:tc>
      </w:tr>
    </w:tbl>
    <w:p>
      <w:pPr>
        <w:pStyle w:val="513"/>
        <w:spacing w:line="480" w:lineRule="exact"/>
        <w:ind w:firstLine="480"/>
        <w:rPr>
          <w:rFonts w:ascii="Times New Roman" w:hAnsi="Times New Roman" w:cs="Times New Roman"/>
          <w:kern w:val="0"/>
          <w:szCs w:val="21"/>
        </w:rPr>
      </w:pPr>
      <w:r>
        <w:rPr>
          <w:rFonts w:ascii="Times New Roman" w:hAnsi="Times New Roman" w:cs="Times New Roman"/>
          <w:kern w:val="0"/>
          <w:szCs w:val="21"/>
        </w:rPr>
        <w:t>（2）地表水质量标准</w:t>
      </w:r>
    </w:p>
    <w:p>
      <w:pPr>
        <w:pStyle w:val="513"/>
        <w:spacing w:line="480" w:lineRule="exact"/>
        <w:ind w:firstLine="480"/>
        <w:rPr>
          <w:rFonts w:ascii="Times New Roman" w:hAnsi="Times New Roman" w:cs="Times New Roman"/>
          <w:kern w:val="0"/>
          <w:szCs w:val="21"/>
        </w:rPr>
      </w:pPr>
      <w:r>
        <w:rPr>
          <w:rFonts w:ascii="Times New Roman" w:hAnsi="Times New Roman" w:cs="Times New Roman"/>
          <w:kern w:val="0"/>
          <w:szCs w:val="21"/>
        </w:rPr>
        <w:t>本项目地表径流汇入扁石河，通过扁石河汇入七星河，再汇入挠力河。根据《全国重要江河湖泊水功能区划（2011~2030）》（水资源[2012]131号），扁石河和七星河无水体功能类别要求，七星河挠力河汇入口为挠力河（大、小挠力河汇合口—炮台亮子断面），一级水功能区为挠力河宝清县缓冲区，水质目标为Ⅲ类， 项目评价标准采用《地表水环境质量标准》（GB3838-2002）中的Ⅲ类标准。具体见表2.3-4。</w:t>
      </w:r>
    </w:p>
    <w:p>
      <w:pPr>
        <w:pStyle w:val="513"/>
        <w:spacing w:line="480" w:lineRule="exact"/>
        <w:ind w:firstLine="0" w:firstLineChars="0"/>
        <w:jc w:val="center"/>
        <w:rPr>
          <w:rFonts w:ascii="Times New Roman" w:hAnsi="Times New Roman" w:cs="Times New Roman"/>
          <w:b/>
          <w:kern w:val="0"/>
          <w:sz w:val="21"/>
          <w:szCs w:val="21"/>
        </w:rPr>
      </w:pPr>
      <w:r>
        <w:rPr>
          <w:rFonts w:ascii="Times New Roman" w:hAnsi="Times New Roman" w:cs="Times New Roman"/>
          <w:b/>
          <w:kern w:val="0"/>
          <w:sz w:val="21"/>
          <w:szCs w:val="21"/>
        </w:rPr>
        <w:t>表2.3-4 地表水环境质量标准一览表</w:t>
      </w:r>
    </w:p>
    <w:tbl>
      <w:tblPr>
        <w:tblStyle w:val="77"/>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274"/>
        <w:gridCol w:w="2606"/>
        <w:gridCol w:w="978"/>
        <w:gridCol w:w="267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978" w:type="dxa"/>
            <w:vMerge w:val="restart"/>
            <w:vAlign w:val="center"/>
          </w:tcPr>
          <w:p>
            <w:pPr>
              <w:spacing w:line="280" w:lineRule="exact"/>
              <w:jc w:val="center"/>
              <w:rPr>
                <w:rFonts w:ascii="Times New Roman" w:hAnsi="Times New Roman"/>
                <w:b/>
                <w:kern w:val="2"/>
              </w:rPr>
            </w:pPr>
            <w:r>
              <w:rPr>
                <w:rFonts w:ascii="Times New Roman" w:hAnsi="Times New Roman"/>
                <w:b/>
                <w:kern w:val="2"/>
              </w:rPr>
              <w:t>标准名称及级别</w:t>
            </w:r>
          </w:p>
        </w:tc>
        <w:tc>
          <w:tcPr>
            <w:tcW w:w="2268" w:type="dxa"/>
            <w:vMerge w:val="restart"/>
            <w:vAlign w:val="center"/>
          </w:tcPr>
          <w:p>
            <w:pPr>
              <w:spacing w:line="280" w:lineRule="exact"/>
              <w:jc w:val="center"/>
              <w:rPr>
                <w:rFonts w:ascii="Times New Roman" w:hAnsi="Times New Roman"/>
                <w:b/>
                <w:kern w:val="2"/>
              </w:rPr>
            </w:pPr>
            <w:r>
              <w:rPr>
                <w:rFonts w:ascii="Times New Roman" w:hAnsi="Times New Roman"/>
                <w:b/>
                <w:kern w:val="2"/>
              </w:rPr>
              <w:t>项目</w:t>
            </w:r>
          </w:p>
        </w:tc>
        <w:tc>
          <w:tcPr>
            <w:tcW w:w="3175" w:type="dxa"/>
            <w:gridSpan w:val="2"/>
            <w:vAlign w:val="center"/>
          </w:tcPr>
          <w:p>
            <w:pPr>
              <w:spacing w:line="280" w:lineRule="exact"/>
              <w:jc w:val="center"/>
              <w:rPr>
                <w:rFonts w:ascii="Times New Roman" w:hAnsi="Times New Roman"/>
                <w:b/>
                <w:kern w:val="2"/>
              </w:rPr>
            </w:pPr>
            <w:r>
              <w:rPr>
                <w:rFonts w:ascii="Times New Roman" w:hAnsi="Times New Roman"/>
                <w:b/>
                <w:kern w:val="2"/>
              </w:rPr>
              <w:t>标准值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978" w:type="dxa"/>
            <w:vMerge w:val="continue"/>
            <w:vAlign w:val="center"/>
          </w:tcPr>
          <w:p>
            <w:pPr>
              <w:spacing w:line="280" w:lineRule="exact"/>
              <w:jc w:val="center"/>
              <w:rPr>
                <w:rFonts w:ascii="Times New Roman" w:hAnsi="Times New Roman"/>
                <w:b/>
                <w:kern w:val="2"/>
              </w:rPr>
            </w:pPr>
          </w:p>
        </w:tc>
        <w:tc>
          <w:tcPr>
            <w:tcW w:w="2268" w:type="dxa"/>
            <w:vMerge w:val="continue"/>
            <w:tcBorders>
              <w:bottom w:val="single" w:color="auto" w:sz="4" w:space="0"/>
            </w:tcBorders>
            <w:vAlign w:val="center"/>
          </w:tcPr>
          <w:p>
            <w:pPr>
              <w:spacing w:line="280" w:lineRule="exact"/>
              <w:jc w:val="center"/>
              <w:rPr>
                <w:rFonts w:ascii="Times New Roman" w:hAnsi="Times New Roman"/>
                <w:b/>
                <w:kern w:val="2"/>
              </w:rPr>
            </w:pPr>
          </w:p>
        </w:tc>
        <w:tc>
          <w:tcPr>
            <w:tcW w:w="851" w:type="dxa"/>
            <w:tcBorders>
              <w:bottom w:val="single" w:color="auto" w:sz="4" w:space="0"/>
            </w:tcBorders>
            <w:vAlign w:val="center"/>
          </w:tcPr>
          <w:p>
            <w:pPr>
              <w:spacing w:line="280" w:lineRule="exact"/>
              <w:jc w:val="center"/>
              <w:rPr>
                <w:rFonts w:ascii="Times New Roman" w:hAnsi="Times New Roman"/>
                <w:b/>
                <w:kern w:val="2"/>
              </w:rPr>
            </w:pPr>
            <w:r>
              <w:rPr>
                <w:rFonts w:ascii="Times New Roman" w:hAnsi="Times New Roman"/>
                <w:b/>
                <w:kern w:val="2"/>
              </w:rPr>
              <w:t>单位</w:t>
            </w:r>
          </w:p>
        </w:tc>
        <w:tc>
          <w:tcPr>
            <w:tcW w:w="2324" w:type="dxa"/>
            <w:vAlign w:val="center"/>
          </w:tcPr>
          <w:p>
            <w:pPr>
              <w:spacing w:line="280" w:lineRule="exact"/>
              <w:jc w:val="center"/>
              <w:rPr>
                <w:rFonts w:ascii="Times New Roman" w:hAnsi="Times New Roman"/>
                <w:b/>
                <w:kern w:val="2"/>
              </w:rPr>
            </w:pPr>
            <w:r>
              <w:rPr>
                <w:rFonts w:ascii="Times New Roman" w:hAnsi="Times New Roman"/>
                <w:b/>
                <w:kern w:val="2"/>
              </w:rPr>
              <w:t>数值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978" w:type="dxa"/>
            <w:vMerge w:val="restart"/>
            <w:vAlign w:val="center"/>
          </w:tcPr>
          <w:p>
            <w:pPr>
              <w:spacing w:line="280" w:lineRule="exact"/>
              <w:jc w:val="center"/>
              <w:rPr>
                <w:rFonts w:ascii="Times New Roman" w:hAnsi="Times New Roman"/>
                <w:kern w:val="2"/>
              </w:rPr>
            </w:pPr>
            <w:r>
              <w:rPr>
                <w:rFonts w:ascii="Times New Roman" w:hAnsi="Times New Roman"/>
                <w:kern w:val="2"/>
              </w:rPr>
              <w:t>《地表水环境质量标准》（GB3838-</w:t>
            </w:r>
          </w:p>
          <w:p>
            <w:pPr>
              <w:spacing w:line="280" w:lineRule="exact"/>
              <w:jc w:val="center"/>
              <w:rPr>
                <w:rFonts w:ascii="Times New Roman" w:hAnsi="Times New Roman"/>
                <w:kern w:val="2"/>
              </w:rPr>
            </w:pPr>
            <w:r>
              <w:rPr>
                <w:rFonts w:ascii="Times New Roman" w:hAnsi="Times New Roman"/>
                <w:kern w:val="2"/>
              </w:rPr>
              <w:t>2002）</w:t>
            </w:r>
            <w:r>
              <w:rPr>
                <w:rFonts w:ascii="Times New Roman" w:hAnsi="Times New Roman"/>
              </w:rPr>
              <w:t>Ⅲ</w:t>
            </w:r>
            <w:r>
              <w:rPr>
                <w:rFonts w:ascii="Times New Roman" w:hAnsi="Times New Roman"/>
                <w:kern w:val="2"/>
              </w:rPr>
              <w:t>类标准</w:t>
            </w:r>
          </w:p>
        </w:tc>
        <w:tc>
          <w:tcPr>
            <w:tcW w:w="2268" w:type="dxa"/>
            <w:vAlign w:val="center"/>
          </w:tcPr>
          <w:p>
            <w:pPr>
              <w:spacing w:line="280" w:lineRule="exact"/>
              <w:jc w:val="center"/>
              <w:rPr>
                <w:rFonts w:ascii="Times New Roman" w:hAnsi="Times New Roman"/>
                <w:kern w:val="2"/>
              </w:rPr>
            </w:pPr>
            <w:r>
              <w:rPr>
                <w:rFonts w:ascii="Times New Roman" w:hAnsi="Times New Roman"/>
                <w:kern w:val="2"/>
              </w:rPr>
              <w:t>pH</w:t>
            </w:r>
          </w:p>
        </w:tc>
        <w:tc>
          <w:tcPr>
            <w:tcW w:w="851" w:type="dxa"/>
            <w:vAlign w:val="center"/>
          </w:tcPr>
          <w:p>
            <w:pPr>
              <w:spacing w:line="280" w:lineRule="exact"/>
              <w:jc w:val="center"/>
              <w:rPr>
                <w:rFonts w:ascii="Times New Roman" w:hAnsi="Times New Roman"/>
                <w:kern w:val="2"/>
              </w:rPr>
            </w:pPr>
            <w:r>
              <w:rPr>
                <w:rFonts w:ascii="Times New Roman" w:hAnsi="Times New Roman"/>
                <w:kern w:val="2"/>
              </w:rPr>
              <w:t>无量纲</w:t>
            </w:r>
          </w:p>
        </w:tc>
        <w:tc>
          <w:tcPr>
            <w:tcW w:w="2324" w:type="dxa"/>
            <w:vAlign w:val="center"/>
          </w:tcPr>
          <w:p>
            <w:pPr>
              <w:spacing w:line="280" w:lineRule="exact"/>
              <w:jc w:val="center"/>
              <w:rPr>
                <w:rFonts w:ascii="Times New Roman" w:hAnsi="Times New Roman"/>
                <w:kern w:val="2"/>
              </w:rPr>
            </w:pPr>
            <w:r>
              <w:rPr>
                <w:rFonts w:ascii="Times New Roman" w:hAnsi="Times New Roman"/>
                <w:kern w:val="2"/>
              </w:rPr>
              <w:t>6～9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978" w:type="dxa"/>
            <w:vMerge w:val="continue"/>
            <w:vAlign w:val="center"/>
          </w:tcPr>
          <w:p>
            <w:pPr>
              <w:spacing w:line="280" w:lineRule="exact"/>
              <w:jc w:val="center"/>
              <w:rPr>
                <w:rFonts w:ascii="Times New Roman" w:hAnsi="Times New Roman"/>
                <w:kern w:val="2"/>
              </w:rPr>
            </w:pPr>
          </w:p>
        </w:tc>
        <w:tc>
          <w:tcPr>
            <w:tcW w:w="2268" w:type="dxa"/>
            <w:vAlign w:val="center"/>
          </w:tcPr>
          <w:p>
            <w:pPr>
              <w:spacing w:line="280" w:lineRule="exact"/>
              <w:jc w:val="center"/>
              <w:rPr>
                <w:rFonts w:ascii="Times New Roman" w:hAnsi="Times New Roman"/>
                <w:kern w:val="2"/>
              </w:rPr>
            </w:pPr>
            <w:r>
              <w:rPr>
                <w:rFonts w:ascii="Times New Roman" w:hAnsi="Times New Roman"/>
                <w:kern w:val="2"/>
              </w:rPr>
              <w:t>高锰酸盐指数</w:t>
            </w:r>
          </w:p>
        </w:tc>
        <w:tc>
          <w:tcPr>
            <w:tcW w:w="851" w:type="dxa"/>
            <w:vMerge w:val="restart"/>
            <w:vAlign w:val="center"/>
          </w:tcPr>
          <w:p>
            <w:pPr>
              <w:spacing w:line="280" w:lineRule="exact"/>
              <w:jc w:val="center"/>
              <w:rPr>
                <w:rFonts w:ascii="Times New Roman" w:hAnsi="Times New Roman"/>
                <w:kern w:val="2"/>
              </w:rPr>
            </w:pPr>
            <w:r>
              <w:rPr>
                <w:rFonts w:ascii="Times New Roman" w:hAnsi="Times New Roman"/>
                <w:kern w:val="2"/>
              </w:rPr>
              <w:t>mg/L</w:t>
            </w:r>
          </w:p>
        </w:tc>
        <w:tc>
          <w:tcPr>
            <w:tcW w:w="2324" w:type="dxa"/>
            <w:vAlign w:val="center"/>
          </w:tcPr>
          <w:p>
            <w:pPr>
              <w:spacing w:line="280" w:lineRule="exact"/>
              <w:jc w:val="center"/>
              <w:rPr>
                <w:rFonts w:ascii="Times New Roman" w:hAnsi="Times New Roman"/>
                <w:kern w:val="2"/>
              </w:rPr>
            </w:pPr>
            <w:r>
              <w:rPr>
                <w:rFonts w:ascii="Times New Roman" w:hAnsi="Times New Roman"/>
                <w:kern w:val="2"/>
              </w:rPr>
              <w:t>≤6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978" w:type="dxa"/>
            <w:vMerge w:val="continue"/>
            <w:vAlign w:val="center"/>
          </w:tcPr>
          <w:p>
            <w:pPr>
              <w:spacing w:line="280" w:lineRule="exact"/>
              <w:jc w:val="center"/>
              <w:rPr>
                <w:rFonts w:ascii="Times New Roman" w:hAnsi="Times New Roman"/>
                <w:kern w:val="2"/>
              </w:rPr>
            </w:pPr>
          </w:p>
        </w:tc>
        <w:tc>
          <w:tcPr>
            <w:tcW w:w="2268" w:type="dxa"/>
            <w:vAlign w:val="center"/>
          </w:tcPr>
          <w:p>
            <w:pPr>
              <w:spacing w:line="280" w:lineRule="exact"/>
              <w:jc w:val="center"/>
              <w:rPr>
                <w:rFonts w:ascii="Times New Roman" w:hAnsi="Times New Roman"/>
                <w:kern w:val="2"/>
              </w:rPr>
            </w:pPr>
            <w:r>
              <w:rPr>
                <w:rFonts w:ascii="Times New Roman" w:hAnsi="Times New Roman"/>
                <w:kern w:val="2"/>
              </w:rPr>
              <w:t>COD</w:t>
            </w:r>
          </w:p>
        </w:tc>
        <w:tc>
          <w:tcPr>
            <w:tcW w:w="851" w:type="dxa"/>
            <w:vMerge w:val="continue"/>
            <w:vAlign w:val="center"/>
          </w:tcPr>
          <w:p>
            <w:pPr>
              <w:spacing w:line="280" w:lineRule="exact"/>
              <w:jc w:val="center"/>
              <w:rPr>
                <w:rFonts w:ascii="Times New Roman" w:hAnsi="Times New Roman"/>
                <w:kern w:val="2"/>
              </w:rPr>
            </w:pPr>
          </w:p>
        </w:tc>
        <w:tc>
          <w:tcPr>
            <w:tcW w:w="2324" w:type="dxa"/>
            <w:vAlign w:val="center"/>
          </w:tcPr>
          <w:p>
            <w:pPr>
              <w:spacing w:line="280" w:lineRule="exact"/>
              <w:jc w:val="center"/>
              <w:rPr>
                <w:rFonts w:ascii="Times New Roman" w:hAnsi="Times New Roman"/>
                <w:kern w:val="2"/>
              </w:rPr>
            </w:pPr>
            <w:r>
              <w:rPr>
                <w:rFonts w:ascii="Times New Roman" w:hAnsi="Times New Roman"/>
                <w:kern w:val="2"/>
              </w:rPr>
              <w:t>≤20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978" w:type="dxa"/>
            <w:vMerge w:val="continue"/>
            <w:vAlign w:val="center"/>
          </w:tcPr>
          <w:p>
            <w:pPr>
              <w:spacing w:line="280" w:lineRule="exact"/>
              <w:jc w:val="center"/>
              <w:rPr>
                <w:rFonts w:ascii="Times New Roman" w:hAnsi="Times New Roman"/>
                <w:kern w:val="2"/>
              </w:rPr>
            </w:pPr>
          </w:p>
        </w:tc>
        <w:tc>
          <w:tcPr>
            <w:tcW w:w="2268" w:type="dxa"/>
            <w:vAlign w:val="center"/>
          </w:tcPr>
          <w:p>
            <w:pPr>
              <w:spacing w:line="280" w:lineRule="exact"/>
              <w:jc w:val="center"/>
              <w:rPr>
                <w:rFonts w:ascii="Times New Roman" w:hAnsi="Times New Roman"/>
                <w:kern w:val="2"/>
              </w:rPr>
            </w:pPr>
            <w:r>
              <w:rPr>
                <w:rFonts w:ascii="Times New Roman" w:hAnsi="Times New Roman"/>
                <w:kern w:val="2"/>
              </w:rPr>
              <w:t>BOD</w:t>
            </w:r>
            <w:r>
              <w:rPr>
                <w:rFonts w:ascii="Times New Roman" w:hAnsi="Times New Roman"/>
                <w:kern w:val="2"/>
                <w:vertAlign w:val="subscript"/>
              </w:rPr>
              <w:t>5</w:t>
            </w:r>
          </w:p>
        </w:tc>
        <w:tc>
          <w:tcPr>
            <w:tcW w:w="851" w:type="dxa"/>
            <w:vMerge w:val="continue"/>
            <w:vAlign w:val="center"/>
          </w:tcPr>
          <w:p>
            <w:pPr>
              <w:spacing w:line="280" w:lineRule="exact"/>
              <w:jc w:val="center"/>
              <w:rPr>
                <w:rFonts w:ascii="Times New Roman" w:hAnsi="Times New Roman"/>
                <w:kern w:val="2"/>
              </w:rPr>
            </w:pPr>
          </w:p>
        </w:tc>
        <w:tc>
          <w:tcPr>
            <w:tcW w:w="2324" w:type="dxa"/>
            <w:vAlign w:val="center"/>
          </w:tcPr>
          <w:p>
            <w:pPr>
              <w:spacing w:line="280" w:lineRule="exact"/>
              <w:jc w:val="center"/>
              <w:rPr>
                <w:rFonts w:ascii="Times New Roman" w:hAnsi="Times New Roman"/>
                <w:kern w:val="2"/>
              </w:rPr>
            </w:pPr>
            <w:r>
              <w:rPr>
                <w:rFonts w:ascii="Times New Roman" w:hAnsi="Times New Roman"/>
                <w:kern w:val="2"/>
              </w:rPr>
              <w:t>≤4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978" w:type="dxa"/>
            <w:vMerge w:val="continue"/>
            <w:vAlign w:val="center"/>
          </w:tcPr>
          <w:p>
            <w:pPr>
              <w:spacing w:line="280" w:lineRule="exact"/>
              <w:jc w:val="center"/>
              <w:rPr>
                <w:rFonts w:ascii="Times New Roman" w:hAnsi="Times New Roman"/>
                <w:kern w:val="2"/>
              </w:rPr>
            </w:pPr>
          </w:p>
        </w:tc>
        <w:tc>
          <w:tcPr>
            <w:tcW w:w="2268" w:type="dxa"/>
            <w:vAlign w:val="center"/>
          </w:tcPr>
          <w:p>
            <w:pPr>
              <w:spacing w:line="280" w:lineRule="exact"/>
              <w:jc w:val="center"/>
              <w:rPr>
                <w:rFonts w:ascii="Times New Roman" w:hAnsi="Times New Roman"/>
                <w:kern w:val="2"/>
              </w:rPr>
            </w:pPr>
            <w:r>
              <w:rPr>
                <w:rFonts w:ascii="Times New Roman" w:hAnsi="Times New Roman"/>
                <w:kern w:val="2"/>
              </w:rPr>
              <w:t>NH</w:t>
            </w:r>
            <w:r>
              <w:rPr>
                <w:rFonts w:ascii="Times New Roman" w:hAnsi="Times New Roman"/>
                <w:kern w:val="2"/>
                <w:vertAlign w:val="subscript"/>
              </w:rPr>
              <w:t>3</w:t>
            </w:r>
            <w:r>
              <w:rPr>
                <w:rFonts w:ascii="Times New Roman" w:hAnsi="Times New Roman"/>
                <w:kern w:val="2"/>
              </w:rPr>
              <w:t>-N</w:t>
            </w:r>
          </w:p>
        </w:tc>
        <w:tc>
          <w:tcPr>
            <w:tcW w:w="851" w:type="dxa"/>
            <w:vMerge w:val="continue"/>
            <w:vAlign w:val="center"/>
          </w:tcPr>
          <w:p>
            <w:pPr>
              <w:spacing w:line="280" w:lineRule="exact"/>
              <w:jc w:val="center"/>
              <w:rPr>
                <w:rFonts w:ascii="Times New Roman" w:hAnsi="Times New Roman"/>
                <w:kern w:val="2"/>
              </w:rPr>
            </w:pPr>
          </w:p>
        </w:tc>
        <w:tc>
          <w:tcPr>
            <w:tcW w:w="2324" w:type="dxa"/>
            <w:vAlign w:val="center"/>
          </w:tcPr>
          <w:p>
            <w:pPr>
              <w:spacing w:line="280" w:lineRule="exact"/>
              <w:jc w:val="center"/>
              <w:rPr>
                <w:rFonts w:ascii="Times New Roman" w:hAnsi="Times New Roman"/>
                <w:kern w:val="2"/>
              </w:rPr>
            </w:pPr>
            <w:r>
              <w:rPr>
                <w:rFonts w:ascii="Times New Roman" w:hAnsi="Times New Roman"/>
                <w:kern w:val="2"/>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978" w:type="dxa"/>
            <w:vMerge w:val="continue"/>
            <w:vAlign w:val="center"/>
          </w:tcPr>
          <w:p>
            <w:pPr>
              <w:spacing w:line="280" w:lineRule="exact"/>
              <w:jc w:val="center"/>
              <w:rPr>
                <w:rFonts w:ascii="Times New Roman" w:hAnsi="Times New Roman"/>
                <w:kern w:val="2"/>
              </w:rPr>
            </w:pPr>
          </w:p>
        </w:tc>
        <w:tc>
          <w:tcPr>
            <w:tcW w:w="2268" w:type="dxa"/>
            <w:vAlign w:val="center"/>
          </w:tcPr>
          <w:p>
            <w:pPr>
              <w:spacing w:line="280" w:lineRule="exact"/>
              <w:jc w:val="center"/>
              <w:rPr>
                <w:rFonts w:ascii="Times New Roman" w:hAnsi="Times New Roman"/>
                <w:kern w:val="2"/>
              </w:rPr>
            </w:pPr>
            <w:r>
              <w:rPr>
                <w:rFonts w:ascii="Times New Roman" w:hAnsi="Times New Roman"/>
                <w:kern w:val="2"/>
              </w:rPr>
              <w:t>总磷</w:t>
            </w:r>
          </w:p>
        </w:tc>
        <w:tc>
          <w:tcPr>
            <w:tcW w:w="851" w:type="dxa"/>
            <w:vMerge w:val="continue"/>
            <w:vAlign w:val="center"/>
          </w:tcPr>
          <w:p>
            <w:pPr>
              <w:spacing w:line="280" w:lineRule="exact"/>
              <w:jc w:val="center"/>
              <w:rPr>
                <w:rFonts w:ascii="Times New Roman" w:hAnsi="Times New Roman"/>
                <w:kern w:val="2"/>
              </w:rPr>
            </w:pPr>
          </w:p>
        </w:tc>
        <w:tc>
          <w:tcPr>
            <w:tcW w:w="2324" w:type="dxa"/>
            <w:vAlign w:val="center"/>
          </w:tcPr>
          <w:p>
            <w:pPr>
              <w:spacing w:line="280" w:lineRule="exact"/>
              <w:jc w:val="center"/>
              <w:rPr>
                <w:rFonts w:ascii="Times New Roman" w:hAnsi="Times New Roman"/>
                <w:kern w:val="2"/>
              </w:rPr>
            </w:pPr>
            <w:r>
              <w:rPr>
                <w:rFonts w:ascii="Times New Roman" w:hAnsi="Times New Roman"/>
                <w:kern w:val="2"/>
              </w:rPr>
              <w:t>≤0.2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978" w:type="dxa"/>
            <w:vMerge w:val="continue"/>
            <w:vAlign w:val="center"/>
          </w:tcPr>
          <w:p>
            <w:pPr>
              <w:spacing w:line="280" w:lineRule="exact"/>
              <w:jc w:val="center"/>
              <w:rPr>
                <w:rFonts w:ascii="Times New Roman" w:hAnsi="Times New Roman"/>
                <w:kern w:val="2"/>
              </w:rPr>
            </w:pPr>
          </w:p>
        </w:tc>
        <w:tc>
          <w:tcPr>
            <w:tcW w:w="2268" w:type="dxa"/>
            <w:vAlign w:val="center"/>
          </w:tcPr>
          <w:p>
            <w:pPr>
              <w:spacing w:line="280" w:lineRule="exact"/>
              <w:jc w:val="center"/>
              <w:rPr>
                <w:rFonts w:ascii="Times New Roman" w:hAnsi="Times New Roman"/>
                <w:kern w:val="2"/>
              </w:rPr>
            </w:pPr>
            <w:r>
              <w:rPr>
                <w:rFonts w:ascii="Times New Roman" w:hAnsi="Times New Roman"/>
                <w:kern w:val="2"/>
              </w:rPr>
              <w:t>石油类</w:t>
            </w:r>
          </w:p>
        </w:tc>
        <w:tc>
          <w:tcPr>
            <w:tcW w:w="851" w:type="dxa"/>
            <w:vMerge w:val="continue"/>
            <w:vAlign w:val="center"/>
          </w:tcPr>
          <w:p>
            <w:pPr>
              <w:spacing w:line="280" w:lineRule="exact"/>
              <w:jc w:val="center"/>
              <w:rPr>
                <w:rFonts w:ascii="Times New Roman" w:hAnsi="Times New Roman"/>
                <w:kern w:val="2"/>
              </w:rPr>
            </w:pPr>
          </w:p>
        </w:tc>
        <w:tc>
          <w:tcPr>
            <w:tcW w:w="2324" w:type="dxa"/>
            <w:vAlign w:val="center"/>
          </w:tcPr>
          <w:p>
            <w:pPr>
              <w:spacing w:line="280" w:lineRule="exact"/>
              <w:jc w:val="center"/>
              <w:rPr>
                <w:rFonts w:ascii="Times New Roman" w:hAnsi="Times New Roman"/>
                <w:kern w:val="2"/>
              </w:rPr>
            </w:pPr>
            <w:r>
              <w:rPr>
                <w:rFonts w:ascii="Times New Roman" w:hAnsi="Times New Roman"/>
                <w:kern w:val="2"/>
              </w:rPr>
              <w:t>≤0.05</w:t>
            </w:r>
          </w:p>
        </w:tc>
      </w:tr>
    </w:tbl>
    <w:p>
      <w:pPr>
        <w:pStyle w:val="513"/>
        <w:spacing w:line="480" w:lineRule="exact"/>
        <w:ind w:firstLine="480"/>
        <w:rPr>
          <w:rFonts w:ascii="Times New Roman" w:hAnsi="Times New Roman" w:cs="Times New Roman"/>
          <w:kern w:val="0"/>
          <w:szCs w:val="21"/>
        </w:rPr>
      </w:pPr>
      <w:r>
        <w:rPr>
          <w:rFonts w:ascii="Times New Roman" w:hAnsi="Times New Roman" w:cs="Times New Roman"/>
          <w:kern w:val="0"/>
          <w:szCs w:val="21"/>
        </w:rPr>
        <w:t>（3）地下水质量标准</w:t>
      </w:r>
    </w:p>
    <w:p>
      <w:pPr>
        <w:pStyle w:val="513"/>
        <w:spacing w:line="480" w:lineRule="exact"/>
        <w:ind w:firstLine="480"/>
        <w:rPr>
          <w:rFonts w:ascii="Times New Roman" w:hAnsi="Times New Roman" w:cs="Times New Roman"/>
          <w:kern w:val="0"/>
          <w:szCs w:val="21"/>
        </w:rPr>
      </w:pPr>
      <w:r>
        <w:rPr>
          <w:rFonts w:ascii="Times New Roman" w:hAnsi="Times New Roman" w:cs="Times New Roman"/>
          <w:kern w:val="0"/>
          <w:szCs w:val="21"/>
        </w:rPr>
        <w:t>本项目所在区域地下水环境质量执行《地下水质量标准》（GB/T14848-2017）中III类标准，具体见表2.3-5。</w:t>
      </w:r>
    </w:p>
    <w:p>
      <w:pPr>
        <w:pStyle w:val="513"/>
        <w:spacing w:line="480" w:lineRule="exact"/>
        <w:ind w:firstLine="0" w:firstLineChars="0"/>
        <w:jc w:val="center"/>
        <w:rPr>
          <w:rFonts w:ascii="Times New Roman" w:hAnsi="Times New Roman" w:cs="Times New Roman"/>
          <w:b/>
          <w:kern w:val="0"/>
          <w:sz w:val="21"/>
          <w:szCs w:val="21"/>
        </w:rPr>
      </w:pPr>
      <w:r>
        <w:rPr>
          <w:rFonts w:ascii="Times New Roman" w:hAnsi="Times New Roman" w:cs="Times New Roman"/>
          <w:b/>
          <w:kern w:val="0"/>
          <w:sz w:val="21"/>
          <w:szCs w:val="21"/>
        </w:rPr>
        <w:t>表2.3-5 地下水环境质量标准一览表</w:t>
      </w:r>
    </w:p>
    <w:tbl>
      <w:tblPr>
        <w:tblStyle w:val="77"/>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602"/>
        <w:gridCol w:w="1980"/>
        <w:gridCol w:w="1652"/>
        <w:gridCol w:w="229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603" w:type="dxa"/>
            <w:vMerge w:val="restart"/>
            <w:vAlign w:val="center"/>
          </w:tcPr>
          <w:p>
            <w:pPr>
              <w:spacing w:line="280" w:lineRule="exact"/>
              <w:jc w:val="center"/>
              <w:rPr>
                <w:rFonts w:ascii="Times New Roman" w:hAnsi="Times New Roman"/>
                <w:b/>
                <w:kern w:val="2"/>
              </w:rPr>
            </w:pPr>
            <w:r>
              <w:rPr>
                <w:rFonts w:ascii="Times New Roman" w:hAnsi="Times New Roman"/>
                <w:b/>
                <w:kern w:val="2"/>
              </w:rPr>
              <w:t>标准名称及级别</w:t>
            </w:r>
          </w:p>
        </w:tc>
        <w:tc>
          <w:tcPr>
            <w:tcW w:w="1980" w:type="dxa"/>
            <w:vMerge w:val="restart"/>
            <w:vAlign w:val="center"/>
          </w:tcPr>
          <w:p>
            <w:pPr>
              <w:spacing w:line="280" w:lineRule="exact"/>
              <w:jc w:val="center"/>
              <w:rPr>
                <w:rFonts w:ascii="Times New Roman" w:hAnsi="Times New Roman"/>
                <w:b/>
                <w:kern w:val="2"/>
              </w:rPr>
            </w:pPr>
            <w:r>
              <w:rPr>
                <w:rFonts w:ascii="Times New Roman" w:hAnsi="Times New Roman"/>
                <w:b/>
                <w:kern w:val="2"/>
              </w:rPr>
              <w:t>项目</w:t>
            </w:r>
          </w:p>
        </w:tc>
        <w:tc>
          <w:tcPr>
            <w:tcW w:w="3945" w:type="dxa"/>
            <w:gridSpan w:val="2"/>
            <w:vAlign w:val="center"/>
          </w:tcPr>
          <w:p>
            <w:pPr>
              <w:spacing w:line="280" w:lineRule="exact"/>
              <w:jc w:val="center"/>
              <w:rPr>
                <w:rFonts w:ascii="Times New Roman" w:hAnsi="Times New Roman"/>
                <w:b/>
                <w:kern w:val="2"/>
              </w:rPr>
            </w:pPr>
            <w:r>
              <w:rPr>
                <w:rFonts w:ascii="Times New Roman" w:hAnsi="Times New Roman"/>
                <w:b/>
                <w:kern w:val="2"/>
              </w:rPr>
              <w:t>标准值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603" w:type="dxa"/>
            <w:vMerge w:val="continue"/>
            <w:vAlign w:val="center"/>
          </w:tcPr>
          <w:p>
            <w:pPr>
              <w:spacing w:line="280" w:lineRule="exact"/>
              <w:jc w:val="center"/>
              <w:rPr>
                <w:rFonts w:ascii="Times New Roman" w:hAnsi="Times New Roman"/>
                <w:b/>
                <w:kern w:val="2"/>
              </w:rPr>
            </w:pPr>
          </w:p>
        </w:tc>
        <w:tc>
          <w:tcPr>
            <w:tcW w:w="1980" w:type="dxa"/>
            <w:vMerge w:val="continue"/>
            <w:tcBorders>
              <w:bottom w:val="single" w:color="auto" w:sz="4" w:space="0"/>
            </w:tcBorders>
            <w:vAlign w:val="center"/>
          </w:tcPr>
          <w:p>
            <w:pPr>
              <w:spacing w:line="280" w:lineRule="exact"/>
              <w:jc w:val="center"/>
              <w:rPr>
                <w:rFonts w:ascii="Times New Roman" w:hAnsi="Times New Roman"/>
                <w:b/>
                <w:kern w:val="2"/>
              </w:rPr>
            </w:pPr>
          </w:p>
        </w:tc>
        <w:tc>
          <w:tcPr>
            <w:tcW w:w="1650" w:type="dxa"/>
            <w:tcBorders>
              <w:bottom w:val="single" w:color="auto" w:sz="4" w:space="0"/>
            </w:tcBorders>
            <w:vAlign w:val="center"/>
          </w:tcPr>
          <w:p>
            <w:pPr>
              <w:spacing w:line="280" w:lineRule="exact"/>
              <w:jc w:val="center"/>
              <w:rPr>
                <w:rFonts w:ascii="Times New Roman" w:hAnsi="Times New Roman"/>
                <w:b/>
                <w:kern w:val="2"/>
              </w:rPr>
            </w:pPr>
            <w:r>
              <w:rPr>
                <w:rFonts w:ascii="Times New Roman" w:hAnsi="Times New Roman"/>
                <w:b/>
                <w:kern w:val="2"/>
              </w:rPr>
              <w:t>单位</w:t>
            </w:r>
          </w:p>
        </w:tc>
        <w:tc>
          <w:tcPr>
            <w:tcW w:w="2295" w:type="dxa"/>
            <w:vAlign w:val="center"/>
          </w:tcPr>
          <w:p>
            <w:pPr>
              <w:spacing w:line="280" w:lineRule="exact"/>
              <w:jc w:val="center"/>
              <w:rPr>
                <w:rFonts w:ascii="Times New Roman" w:hAnsi="Times New Roman"/>
                <w:b/>
                <w:kern w:val="2"/>
              </w:rPr>
            </w:pPr>
            <w:r>
              <w:rPr>
                <w:rFonts w:ascii="Times New Roman" w:hAnsi="Times New Roman"/>
                <w:b/>
                <w:kern w:val="2"/>
              </w:rPr>
              <w:t>数值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603" w:type="dxa"/>
            <w:vMerge w:val="restart"/>
            <w:vAlign w:val="center"/>
          </w:tcPr>
          <w:p>
            <w:pPr>
              <w:spacing w:line="280" w:lineRule="exact"/>
              <w:jc w:val="center"/>
              <w:rPr>
                <w:rFonts w:ascii="Times New Roman" w:hAnsi="Times New Roman"/>
                <w:kern w:val="2"/>
              </w:rPr>
            </w:pPr>
            <w:r>
              <w:rPr>
                <w:rFonts w:ascii="Times New Roman" w:hAnsi="Times New Roman"/>
                <w:kern w:val="2"/>
              </w:rPr>
              <w:t>《地下水质量标准》（GB/T14848-2017）</w:t>
            </w:r>
          </w:p>
          <w:p>
            <w:pPr>
              <w:spacing w:line="280" w:lineRule="exact"/>
              <w:jc w:val="center"/>
              <w:rPr>
                <w:rFonts w:ascii="Times New Roman" w:hAnsi="Times New Roman"/>
                <w:kern w:val="2"/>
              </w:rPr>
            </w:pPr>
            <w:r>
              <w:rPr>
                <w:rFonts w:ascii="Times New Roman" w:hAnsi="Times New Roman"/>
                <w:kern w:val="2"/>
              </w:rPr>
              <w:t>中III类标准</w:t>
            </w:r>
          </w:p>
        </w:tc>
        <w:tc>
          <w:tcPr>
            <w:tcW w:w="1980" w:type="dxa"/>
            <w:vAlign w:val="center"/>
          </w:tcPr>
          <w:p>
            <w:pPr>
              <w:spacing w:line="280" w:lineRule="exact"/>
              <w:jc w:val="center"/>
              <w:rPr>
                <w:rFonts w:ascii="Times New Roman" w:hAnsi="Times New Roman"/>
                <w:kern w:val="2"/>
              </w:rPr>
            </w:pPr>
            <w:r>
              <w:rPr>
                <w:rFonts w:ascii="Times New Roman" w:hAnsi="Times New Roman"/>
                <w:kern w:val="2"/>
              </w:rPr>
              <w:t>pH值</w:t>
            </w:r>
          </w:p>
        </w:tc>
        <w:tc>
          <w:tcPr>
            <w:tcW w:w="1650" w:type="dxa"/>
            <w:vAlign w:val="center"/>
          </w:tcPr>
          <w:p>
            <w:pPr>
              <w:spacing w:line="280" w:lineRule="exact"/>
              <w:jc w:val="center"/>
              <w:rPr>
                <w:rFonts w:ascii="Times New Roman" w:hAnsi="Times New Roman"/>
                <w:kern w:val="2"/>
              </w:rPr>
            </w:pPr>
            <w:r>
              <w:rPr>
                <w:rFonts w:ascii="Times New Roman" w:hAnsi="Times New Roman"/>
                <w:kern w:val="2"/>
              </w:rPr>
              <w:t>无量纲</w:t>
            </w:r>
          </w:p>
        </w:tc>
        <w:tc>
          <w:tcPr>
            <w:tcW w:w="2295" w:type="dxa"/>
            <w:vAlign w:val="center"/>
          </w:tcPr>
          <w:p>
            <w:pPr>
              <w:spacing w:line="280" w:lineRule="exact"/>
              <w:jc w:val="center"/>
              <w:rPr>
                <w:rFonts w:ascii="Times New Roman" w:hAnsi="Times New Roman"/>
                <w:kern w:val="2"/>
              </w:rPr>
            </w:pPr>
            <w:r>
              <w:rPr>
                <w:rFonts w:ascii="Times New Roman" w:hAnsi="Times New Roman"/>
                <w:kern w:val="2"/>
              </w:rPr>
              <w:t>6.5-8.5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603" w:type="dxa"/>
            <w:vMerge w:val="continue"/>
            <w:vAlign w:val="center"/>
          </w:tcPr>
          <w:p>
            <w:pPr>
              <w:spacing w:line="280" w:lineRule="exact"/>
              <w:jc w:val="center"/>
              <w:rPr>
                <w:rFonts w:ascii="Times New Roman" w:hAnsi="Times New Roman"/>
                <w:kern w:val="2"/>
              </w:rPr>
            </w:pPr>
          </w:p>
        </w:tc>
        <w:tc>
          <w:tcPr>
            <w:tcW w:w="1980" w:type="dxa"/>
            <w:vAlign w:val="center"/>
          </w:tcPr>
          <w:p>
            <w:pPr>
              <w:spacing w:line="280" w:lineRule="exact"/>
              <w:jc w:val="center"/>
              <w:rPr>
                <w:rFonts w:ascii="Times New Roman" w:hAnsi="Times New Roman"/>
                <w:kern w:val="2"/>
              </w:rPr>
            </w:pPr>
            <w:r>
              <w:rPr>
                <w:rFonts w:ascii="Times New Roman" w:hAnsi="Times New Roman"/>
                <w:kern w:val="2"/>
              </w:rPr>
              <w:t>氨氮</w:t>
            </w:r>
          </w:p>
        </w:tc>
        <w:tc>
          <w:tcPr>
            <w:tcW w:w="1650" w:type="dxa"/>
            <w:vMerge w:val="restart"/>
            <w:vAlign w:val="center"/>
          </w:tcPr>
          <w:p>
            <w:pPr>
              <w:spacing w:line="280" w:lineRule="exact"/>
              <w:jc w:val="center"/>
              <w:rPr>
                <w:rFonts w:ascii="Times New Roman" w:hAnsi="Times New Roman"/>
                <w:kern w:val="2"/>
              </w:rPr>
            </w:pPr>
            <w:r>
              <w:rPr>
                <w:rFonts w:ascii="Times New Roman" w:hAnsi="Times New Roman"/>
                <w:kern w:val="2"/>
              </w:rPr>
              <w:t>mg/L</w:t>
            </w:r>
          </w:p>
        </w:tc>
        <w:tc>
          <w:tcPr>
            <w:tcW w:w="2295" w:type="dxa"/>
            <w:vAlign w:val="center"/>
          </w:tcPr>
          <w:p>
            <w:pPr>
              <w:spacing w:line="280" w:lineRule="exact"/>
              <w:jc w:val="center"/>
              <w:rPr>
                <w:rFonts w:ascii="Times New Roman" w:hAnsi="Times New Roman"/>
                <w:kern w:val="2"/>
              </w:rPr>
            </w:pPr>
            <w:r>
              <w:rPr>
                <w:rFonts w:ascii="Times New Roman" w:hAnsi="Times New Roman"/>
                <w:kern w:val="2"/>
              </w:rPr>
              <w:t>&lt;0.50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603" w:type="dxa"/>
            <w:vMerge w:val="continue"/>
            <w:vAlign w:val="center"/>
          </w:tcPr>
          <w:p>
            <w:pPr>
              <w:spacing w:line="280" w:lineRule="exact"/>
              <w:jc w:val="center"/>
              <w:rPr>
                <w:rFonts w:ascii="Times New Roman" w:hAnsi="Times New Roman"/>
                <w:kern w:val="2"/>
              </w:rPr>
            </w:pPr>
          </w:p>
        </w:tc>
        <w:tc>
          <w:tcPr>
            <w:tcW w:w="1980" w:type="dxa"/>
            <w:vAlign w:val="center"/>
          </w:tcPr>
          <w:p>
            <w:pPr>
              <w:spacing w:line="280" w:lineRule="exact"/>
              <w:jc w:val="center"/>
              <w:rPr>
                <w:rFonts w:ascii="Times New Roman" w:hAnsi="Times New Roman"/>
                <w:kern w:val="2"/>
              </w:rPr>
            </w:pPr>
            <w:r>
              <w:rPr>
                <w:rFonts w:ascii="Times New Roman" w:hAnsi="Times New Roman"/>
                <w:kern w:val="2"/>
              </w:rPr>
              <w:t>硝酸盐氮</w:t>
            </w:r>
          </w:p>
        </w:tc>
        <w:tc>
          <w:tcPr>
            <w:tcW w:w="1650" w:type="dxa"/>
            <w:vMerge w:val="continue"/>
            <w:vAlign w:val="center"/>
          </w:tcPr>
          <w:p>
            <w:pPr>
              <w:spacing w:line="280" w:lineRule="exact"/>
              <w:jc w:val="center"/>
              <w:rPr>
                <w:rFonts w:ascii="Times New Roman" w:hAnsi="Times New Roman"/>
                <w:kern w:val="2"/>
              </w:rPr>
            </w:pPr>
          </w:p>
        </w:tc>
        <w:tc>
          <w:tcPr>
            <w:tcW w:w="2295" w:type="dxa"/>
            <w:vAlign w:val="center"/>
          </w:tcPr>
          <w:p>
            <w:pPr>
              <w:spacing w:line="280" w:lineRule="exact"/>
              <w:jc w:val="center"/>
              <w:rPr>
                <w:rFonts w:ascii="Times New Roman" w:hAnsi="Times New Roman"/>
                <w:kern w:val="2"/>
              </w:rPr>
            </w:pPr>
            <w:r>
              <w:rPr>
                <w:rFonts w:ascii="Times New Roman" w:hAnsi="Times New Roman"/>
                <w:kern w:val="2"/>
              </w:rPr>
              <w:t>&lt;20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603" w:type="dxa"/>
            <w:vMerge w:val="continue"/>
            <w:vAlign w:val="center"/>
          </w:tcPr>
          <w:p>
            <w:pPr>
              <w:spacing w:line="280" w:lineRule="exact"/>
              <w:jc w:val="center"/>
              <w:rPr>
                <w:rFonts w:ascii="Times New Roman" w:hAnsi="Times New Roman"/>
                <w:kern w:val="2"/>
              </w:rPr>
            </w:pPr>
          </w:p>
        </w:tc>
        <w:tc>
          <w:tcPr>
            <w:tcW w:w="1980" w:type="dxa"/>
            <w:vAlign w:val="center"/>
          </w:tcPr>
          <w:p>
            <w:pPr>
              <w:spacing w:line="280" w:lineRule="exact"/>
              <w:jc w:val="center"/>
              <w:rPr>
                <w:rFonts w:ascii="Times New Roman" w:hAnsi="Times New Roman"/>
                <w:kern w:val="2"/>
              </w:rPr>
            </w:pPr>
            <w:r>
              <w:rPr>
                <w:rFonts w:ascii="Times New Roman" w:hAnsi="Times New Roman"/>
                <w:kern w:val="2"/>
              </w:rPr>
              <w:t>亚硝酸盐氮</w:t>
            </w:r>
          </w:p>
        </w:tc>
        <w:tc>
          <w:tcPr>
            <w:tcW w:w="1650" w:type="dxa"/>
            <w:vMerge w:val="continue"/>
            <w:vAlign w:val="center"/>
          </w:tcPr>
          <w:p>
            <w:pPr>
              <w:spacing w:line="280" w:lineRule="exact"/>
              <w:jc w:val="center"/>
              <w:rPr>
                <w:rFonts w:ascii="Times New Roman" w:hAnsi="Times New Roman"/>
                <w:kern w:val="2"/>
              </w:rPr>
            </w:pPr>
          </w:p>
        </w:tc>
        <w:tc>
          <w:tcPr>
            <w:tcW w:w="2295" w:type="dxa"/>
            <w:vAlign w:val="center"/>
          </w:tcPr>
          <w:p>
            <w:pPr>
              <w:spacing w:line="280" w:lineRule="exact"/>
              <w:jc w:val="center"/>
              <w:rPr>
                <w:rFonts w:ascii="Times New Roman" w:hAnsi="Times New Roman"/>
                <w:kern w:val="2"/>
              </w:rPr>
            </w:pPr>
            <w:r>
              <w:rPr>
                <w:rFonts w:ascii="Times New Roman" w:hAnsi="Times New Roman"/>
                <w:kern w:val="2"/>
              </w:rPr>
              <w:t>&lt;1.00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603" w:type="dxa"/>
            <w:vMerge w:val="continue"/>
            <w:vAlign w:val="center"/>
          </w:tcPr>
          <w:p>
            <w:pPr>
              <w:spacing w:line="280" w:lineRule="exact"/>
              <w:jc w:val="center"/>
              <w:rPr>
                <w:rFonts w:ascii="Times New Roman" w:hAnsi="Times New Roman"/>
                <w:kern w:val="2"/>
              </w:rPr>
            </w:pPr>
          </w:p>
        </w:tc>
        <w:tc>
          <w:tcPr>
            <w:tcW w:w="1980" w:type="dxa"/>
            <w:vAlign w:val="center"/>
          </w:tcPr>
          <w:p>
            <w:pPr>
              <w:spacing w:line="280" w:lineRule="exact"/>
              <w:jc w:val="center"/>
              <w:rPr>
                <w:rFonts w:ascii="Times New Roman" w:hAnsi="Times New Roman"/>
                <w:kern w:val="2"/>
              </w:rPr>
            </w:pPr>
            <w:r>
              <w:rPr>
                <w:rFonts w:ascii="Times New Roman" w:hAnsi="Times New Roman"/>
                <w:kern w:val="2"/>
              </w:rPr>
              <w:t>挥发酚</w:t>
            </w:r>
          </w:p>
        </w:tc>
        <w:tc>
          <w:tcPr>
            <w:tcW w:w="1650" w:type="dxa"/>
            <w:vMerge w:val="continue"/>
            <w:vAlign w:val="center"/>
          </w:tcPr>
          <w:p>
            <w:pPr>
              <w:spacing w:line="280" w:lineRule="exact"/>
              <w:jc w:val="center"/>
              <w:rPr>
                <w:rFonts w:ascii="Times New Roman" w:hAnsi="Times New Roman"/>
                <w:kern w:val="2"/>
              </w:rPr>
            </w:pPr>
          </w:p>
        </w:tc>
        <w:tc>
          <w:tcPr>
            <w:tcW w:w="2295" w:type="dxa"/>
            <w:vAlign w:val="center"/>
          </w:tcPr>
          <w:p>
            <w:pPr>
              <w:spacing w:line="280" w:lineRule="exact"/>
              <w:jc w:val="center"/>
              <w:rPr>
                <w:rFonts w:ascii="Times New Roman" w:hAnsi="Times New Roman"/>
                <w:kern w:val="2"/>
              </w:rPr>
            </w:pPr>
            <w:r>
              <w:rPr>
                <w:rFonts w:ascii="Times New Roman" w:hAnsi="Times New Roman"/>
                <w:kern w:val="2"/>
              </w:rPr>
              <w:t>&lt;0.002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603" w:type="dxa"/>
            <w:vMerge w:val="continue"/>
            <w:vAlign w:val="center"/>
          </w:tcPr>
          <w:p>
            <w:pPr>
              <w:spacing w:line="280" w:lineRule="exact"/>
              <w:jc w:val="center"/>
              <w:rPr>
                <w:rFonts w:ascii="Times New Roman" w:hAnsi="Times New Roman"/>
                <w:kern w:val="2"/>
              </w:rPr>
            </w:pPr>
          </w:p>
        </w:tc>
        <w:tc>
          <w:tcPr>
            <w:tcW w:w="1980" w:type="dxa"/>
            <w:vAlign w:val="center"/>
          </w:tcPr>
          <w:p>
            <w:pPr>
              <w:spacing w:line="280" w:lineRule="exact"/>
              <w:jc w:val="center"/>
              <w:rPr>
                <w:rFonts w:ascii="Times New Roman" w:hAnsi="Times New Roman"/>
                <w:kern w:val="2"/>
              </w:rPr>
            </w:pPr>
            <w:r>
              <w:rPr>
                <w:rFonts w:ascii="Times New Roman" w:hAnsi="Times New Roman"/>
                <w:kern w:val="2"/>
              </w:rPr>
              <w:t>氟化物</w:t>
            </w:r>
          </w:p>
        </w:tc>
        <w:tc>
          <w:tcPr>
            <w:tcW w:w="1650" w:type="dxa"/>
            <w:vMerge w:val="continue"/>
            <w:vAlign w:val="center"/>
          </w:tcPr>
          <w:p>
            <w:pPr>
              <w:spacing w:line="280" w:lineRule="exact"/>
              <w:jc w:val="center"/>
              <w:rPr>
                <w:rFonts w:ascii="Times New Roman" w:hAnsi="Times New Roman"/>
                <w:kern w:val="2"/>
              </w:rPr>
            </w:pPr>
          </w:p>
        </w:tc>
        <w:tc>
          <w:tcPr>
            <w:tcW w:w="2295" w:type="dxa"/>
            <w:vAlign w:val="center"/>
          </w:tcPr>
          <w:p>
            <w:pPr>
              <w:spacing w:line="280" w:lineRule="exact"/>
              <w:jc w:val="center"/>
              <w:rPr>
                <w:rFonts w:ascii="Times New Roman" w:hAnsi="Times New Roman"/>
                <w:kern w:val="2"/>
              </w:rPr>
            </w:pPr>
            <w:r>
              <w:rPr>
                <w:rFonts w:ascii="Times New Roman" w:hAnsi="Times New Roman"/>
                <w:kern w:val="2"/>
              </w:rPr>
              <w:t>&lt;1.0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603" w:type="dxa"/>
            <w:vMerge w:val="continue"/>
            <w:vAlign w:val="center"/>
          </w:tcPr>
          <w:p>
            <w:pPr>
              <w:spacing w:line="280" w:lineRule="exact"/>
              <w:jc w:val="center"/>
              <w:rPr>
                <w:rFonts w:ascii="Times New Roman" w:hAnsi="Times New Roman"/>
                <w:kern w:val="2"/>
              </w:rPr>
            </w:pPr>
          </w:p>
        </w:tc>
        <w:tc>
          <w:tcPr>
            <w:tcW w:w="1980" w:type="dxa"/>
            <w:vAlign w:val="center"/>
          </w:tcPr>
          <w:p>
            <w:pPr>
              <w:spacing w:line="280" w:lineRule="exact"/>
              <w:jc w:val="center"/>
              <w:rPr>
                <w:rFonts w:ascii="Times New Roman" w:hAnsi="Times New Roman"/>
                <w:kern w:val="2"/>
              </w:rPr>
            </w:pPr>
            <w:r>
              <w:rPr>
                <w:rFonts w:ascii="Times New Roman" w:hAnsi="Times New Roman"/>
                <w:kern w:val="2"/>
              </w:rPr>
              <w:t>钠</w:t>
            </w:r>
          </w:p>
        </w:tc>
        <w:tc>
          <w:tcPr>
            <w:tcW w:w="1650" w:type="dxa"/>
            <w:vMerge w:val="continue"/>
            <w:vAlign w:val="center"/>
          </w:tcPr>
          <w:p>
            <w:pPr>
              <w:spacing w:line="280" w:lineRule="exact"/>
              <w:jc w:val="center"/>
              <w:rPr>
                <w:rFonts w:ascii="Times New Roman" w:hAnsi="Times New Roman"/>
                <w:kern w:val="2"/>
              </w:rPr>
            </w:pPr>
          </w:p>
        </w:tc>
        <w:tc>
          <w:tcPr>
            <w:tcW w:w="2295" w:type="dxa"/>
            <w:vAlign w:val="center"/>
          </w:tcPr>
          <w:p>
            <w:pPr>
              <w:spacing w:line="280" w:lineRule="exact"/>
              <w:jc w:val="center"/>
              <w:rPr>
                <w:rFonts w:ascii="Times New Roman" w:hAnsi="Times New Roman"/>
                <w:kern w:val="2"/>
              </w:rPr>
            </w:pPr>
            <w:r>
              <w:rPr>
                <w:rFonts w:ascii="Times New Roman" w:hAnsi="Times New Roman"/>
                <w:kern w:val="2"/>
              </w:rPr>
              <w:t>&lt;200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603" w:type="dxa"/>
            <w:vMerge w:val="continue"/>
            <w:vAlign w:val="center"/>
          </w:tcPr>
          <w:p>
            <w:pPr>
              <w:spacing w:line="280" w:lineRule="exact"/>
              <w:jc w:val="center"/>
              <w:rPr>
                <w:rFonts w:ascii="Times New Roman" w:hAnsi="Times New Roman"/>
                <w:kern w:val="2"/>
              </w:rPr>
            </w:pPr>
          </w:p>
        </w:tc>
        <w:tc>
          <w:tcPr>
            <w:tcW w:w="1980" w:type="dxa"/>
            <w:vAlign w:val="center"/>
          </w:tcPr>
          <w:p>
            <w:pPr>
              <w:spacing w:line="280" w:lineRule="exact"/>
              <w:jc w:val="center"/>
              <w:rPr>
                <w:rFonts w:ascii="Times New Roman" w:hAnsi="Times New Roman"/>
                <w:kern w:val="2"/>
              </w:rPr>
            </w:pPr>
            <w:r>
              <w:rPr>
                <w:rFonts w:ascii="Times New Roman" w:hAnsi="Times New Roman"/>
                <w:kern w:val="2"/>
              </w:rPr>
              <w:t>汞</w:t>
            </w:r>
          </w:p>
        </w:tc>
        <w:tc>
          <w:tcPr>
            <w:tcW w:w="1650" w:type="dxa"/>
            <w:vMerge w:val="continue"/>
            <w:vAlign w:val="center"/>
          </w:tcPr>
          <w:p>
            <w:pPr>
              <w:spacing w:line="280" w:lineRule="exact"/>
              <w:jc w:val="center"/>
              <w:rPr>
                <w:rFonts w:ascii="Times New Roman" w:hAnsi="Times New Roman"/>
                <w:kern w:val="2"/>
              </w:rPr>
            </w:pPr>
          </w:p>
        </w:tc>
        <w:tc>
          <w:tcPr>
            <w:tcW w:w="2295" w:type="dxa"/>
            <w:vAlign w:val="center"/>
          </w:tcPr>
          <w:p>
            <w:pPr>
              <w:spacing w:line="280" w:lineRule="exact"/>
              <w:jc w:val="center"/>
              <w:rPr>
                <w:rFonts w:ascii="Times New Roman" w:hAnsi="Times New Roman"/>
                <w:kern w:val="2"/>
              </w:rPr>
            </w:pPr>
            <w:r>
              <w:rPr>
                <w:rFonts w:ascii="Times New Roman" w:hAnsi="Times New Roman"/>
                <w:kern w:val="2"/>
              </w:rPr>
              <w:t>&lt;0.001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603" w:type="dxa"/>
            <w:vMerge w:val="continue"/>
            <w:vAlign w:val="center"/>
          </w:tcPr>
          <w:p>
            <w:pPr>
              <w:spacing w:line="280" w:lineRule="exact"/>
              <w:jc w:val="center"/>
              <w:rPr>
                <w:rFonts w:ascii="Times New Roman" w:hAnsi="Times New Roman"/>
                <w:kern w:val="2"/>
              </w:rPr>
            </w:pPr>
          </w:p>
        </w:tc>
        <w:tc>
          <w:tcPr>
            <w:tcW w:w="1980" w:type="dxa"/>
            <w:vAlign w:val="center"/>
          </w:tcPr>
          <w:p>
            <w:pPr>
              <w:spacing w:line="280" w:lineRule="exact"/>
              <w:jc w:val="center"/>
              <w:rPr>
                <w:rFonts w:ascii="Times New Roman" w:hAnsi="Times New Roman"/>
                <w:kern w:val="2"/>
              </w:rPr>
            </w:pPr>
            <w:r>
              <w:rPr>
                <w:rFonts w:ascii="Times New Roman" w:hAnsi="Times New Roman"/>
                <w:kern w:val="2"/>
              </w:rPr>
              <w:t>砷</w:t>
            </w:r>
          </w:p>
        </w:tc>
        <w:tc>
          <w:tcPr>
            <w:tcW w:w="1650" w:type="dxa"/>
            <w:vMerge w:val="continue"/>
            <w:vAlign w:val="center"/>
          </w:tcPr>
          <w:p>
            <w:pPr>
              <w:spacing w:line="280" w:lineRule="exact"/>
              <w:jc w:val="center"/>
              <w:rPr>
                <w:rFonts w:ascii="Times New Roman" w:hAnsi="Times New Roman"/>
                <w:kern w:val="2"/>
              </w:rPr>
            </w:pPr>
          </w:p>
        </w:tc>
        <w:tc>
          <w:tcPr>
            <w:tcW w:w="2295" w:type="dxa"/>
            <w:vAlign w:val="center"/>
          </w:tcPr>
          <w:p>
            <w:pPr>
              <w:spacing w:line="280" w:lineRule="exact"/>
              <w:jc w:val="center"/>
              <w:rPr>
                <w:rFonts w:ascii="Times New Roman" w:hAnsi="Times New Roman"/>
                <w:kern w:val="2"/>
              </w:rPr>
            </w:pPr>
            <w:r>
              <w:rPr>
                <w:rFonts w:ascii="Times New Roman" w:hAnsi="Times New Roman"/>
                <w:kern w:val="2"/>
              </w:rPr>
              <w:t>&lt;0.01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603" w:type="dxa"/>
            <w:vMerge w:val="continue"/>
            <w:vAlign w:val="center"/>
          </w:tcPr>
          <w:p>
            <w:pPr>
              <w:spacing w:line="280" w:lineRule="exact"/>
              <w:jc w:val="center"/>
              <w:rPr>
                <w:rFonts w:ascii="Times New Roman" w:hAnsi="Times New Roman"/>
                <w:kern w:val="2"/>
              </w:rPr>
            </w:pPr>
          </w:p>
        </w:tc>
        <w:tc>
          <w:tcPr>
            <w:tcW w:w="1980" w:type="dxa"/>
            <w:vAlign w:val="center"/>
          </w:tcPr>
          <w:p>
            <w:pPr>
              <w:spacing w:line="280" w:lineRule="exact"/>
              <w:jc w:val="center"/>
              <w:rPr>
                <w:rFonts w:ascii="Times New Roman" w:hAnsi="Times New Roman"/>
                <w:kern w:val="2"/>
              </w:rPr>
            </w:pPr>
            <w:r>
              <w:rPr>
                <w:rFonts w:ascii="Times New Roman" w:hAnsi="Times New Roman"/>
                <w:kern w:val="2"/>
              </w:rPr>
              <w:t>铁</w:t>
            </w:r>
          </w:p>
        </w:tc>
        <w:tc>
          <w:tcPr>
            <w:tcW w:w="1650" w:type="dxa"/>
            <w:vMerge w:val="continue"/>
            <w:vAlign w:val="center"/>
          </w:tcPr>
          <w:p>
            <w:pPr>
              <w:spacing w:line="280" w:lineRule="exact"/>
              <w:jc w:val="center"/>
              <w:rPr>
                <w:rFonts w:ascii="Times New Roman" w:hAnsi="Times New Roman"/>
                <w:kern w:val="2"/>
              </w:rPr>
            </w:pPr>
          </w:p>
        </w:tc>
        <w:tc>
          <w:tcPr>
            <w:tcW w:w="2295" w:type="dxa"/>
            <w:vAlign w:val="center"/>
          </w:tcPr>
          <w:p>
            <w:pPr>
              <w:spacing w:line="280" w:lineRule="exact"/>
              <w:jc w:val="center"/>
              <w:rPr>
                <w:rFonts w:ascii="Times New Roman" w:hAnsi="Times New Roman"/>
                <w:kern w:val="2"/>
              </w:rPr>
            </w:pPr>
            <w:r>
              <w:rPr>
                <w:rFonts w:ascii="Times New Roman" w:hAnsi="Times New Roman"/>
                <w:kern w:val="2"/>
              </w:rPr>
              <w:t>&lt;0.3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603" w:type="dxa"/>
            <w:vMerge w:val="continue"/>
            <w:vAlign w:val="center"/>
          </w:tcPr>
          <w:p>
            <w:pPr>
              <w:spacing w:line="280" w:lineRule="exact"/>
              <w:jc w:val="center"/>
              <w:rPr>
                <w:rFonts w:ascii="Times New Roman" w:hAnsi="Times New Roman"/>
                <w:kern w:val="2"/>
              </w:rPr>
            </w:pPr>
          </w:p>
        </w:tc>
        <w:tc>
          <w:tcPr>
            <w:tcW w:w="1980" w:type="dxa"/>
            <w:vAlign w:val="center"/>
          </w:tcPr>
          <w:p>
            <w:pPr>
              <w:spacing w:line="280" w:lineRule="exact"/>
              <w:jc w:val="center"/>
              <w:rPr>
                <w:rFonts w:ascii="Times New Roman" w:hAnsi="Times New Roman"/>
                <w:kern w:val="2"/>
              </w:rPr>
            </w:pPr>
            <w:r>
              <w:rPr>
                <w:rFonts w:ascii="Times New Roman" w:hAnsi="Times New Roman"/>
                <w:kern w:val="2"/>
              </w:rPr>
              <w:t>锰</w:t>
            </w:r>
          </w:p>
        </w:tc>
        <w:tc>
          <w:tcPr>
            <w:tcW w:w="1650" w:type="dxa"/>
            <w:vMerge w:val="continue"/>
            <w:vAlign w:val="center"/>
          </w:tcPr>
          <w:p>
            <w:pPr>
              <w:spacing w:line="280" w:lineRule="exact"/>
              <w:jc w:val="center"/>
              <w:rPr>
                <w:rFonts w:ascii="Times New Roman" w:hAnsi="Times New Roman"/>
                <w:kern w:val="2"/>
              </w:rPr>
            </w:pPr>
          </w:p>
        </w:tc>
        <w:tc>
          <w:tcPr>
            <w:tcW w:w="2295" w:type="dxa"/>
            <w:vAlign w:val="center"/>
          </w:tcPr>
          <w:p>
            <w:pPr>
              <w:spacing w:line="280" w:lineRule="exact"/>
              <w:jc w:val="center"/>
              <w:rPr>
                <w:rFonts w:ascii="Times New Roman" w:hAnsi="Times New Roman"/>
                <w:kern w:val="2"/>
              </w:rPr>
            </w:pPr>
            <w:r>
              <w:rPr>
                <w:rFonts w:ascii="Times New Roman" w:hAnsi="Times New Roman"/>
                <w:kern w:val="2"/>
              </w:rPr>
              <w:t>&lt;0.10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603" w:type="dxa"/>
            <w:vMerge w:val="continue"/>
            <w:vAlign w:val="center"/>
          </w:tcPr>
          <w:p>
            <w:pPr>
              <w:spacing w:line="280" w:lineRule="exact"/>
              <w:jc w:val="center"/>
              <w:rPr>
                <w:rFonts w:ascii="Times New Roman" w:hAnsi="Times New Roman"/>
                <w:kern w:val="2"/>
              </w:rPr>
            </w:pPr>
          </w:p>
        </w:tc>
        <w:tc>
          <w:tcPr>
            <w:tcW w:w="1980" w:type="dxa"/>
            <w:vAlign w:val="center"/>
          </w:tcPr>
          <w:p>
            <w:pPr>
              <w:spacing w:line="280" w:lineRule="exact"/>
              <w:jc w:val="center"/>
              <w:rPr>
                <w:rFonts w:ascii="Times New Roman" w:hAnsi="Times New Roman"/>
                <w:kern w:val="2"/>
              </w:rPr>
            </w:pPr>
            <w:r>
              <w:rPr>
                <w:rFonts w:ascii="Times New Roman" w:hAnsi="Times New Roman"/>
                <w:kern w:val="2"/>
              </w:rPr>
              <w:t>铅</w:t>
            </w:r>
          </w:p>
        </w:tc>
        <w:tc>
          <w:tcPr>
            <w:tcW w:w="1650" w:type="dxa"/>
            <w:vMerge w:val="continue"/>
            <w:vAlign w:val="center"/>
          </w:tcPr>
          <w:p>
            <w:pPr>
              <w:spacing w:line="280" w:lineRule="exact"/>
              <w:jc w:val="center"/>
              <w:rPr>
                <w:rFonts w:ascii="Times New Roman" w:hAnsi="Times New Roman"/>
                <w:kern w:val="2"/>
              </w:rPr>
            </w:pPr>
          </w:p>
        </w:tc>
        <w:tc>
          <w:tcPr>
            <w:tcW w:w="2295" w:type="dxa"/>
            <w:vAlign w:val="center"/>
          </w:tcPr>
          <w:p>
            <w:pPr>
              <w:spacing w:line="280" w:lineRule="exact"/>
              <w:jc w:val="center"/>
              <w:rPr>
                <w:rFonts w:ascii="Times New Roman" w:hAnsi="Times New Roman"/>
                <w:kern w:val="2"/>
              </w:rPr>
            </w:pPr>
            <w:r>
              <w:rPr>
                <w:rFonts w:ascii="Times New Roman" w:hAnsi="Times New Roman"/>
                <w:kern w:val="2"/>
              </w:rPr>
              <w:t>&lt;0.01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603" w:type="dxa"/>
            <w:vMerge w:val="continue"/>
            <w:vAlign w:val="center"/>
          </w:tcPr>
          <w:p>
            <w:pPr>
              <w:spacing w:line="280" w:lineRule="exact"/>
              <w:jc w:val="center"/>
              <w:rPr>
                <w:rFonts w:ascii="Times New Roman" w:hAnsi="Times New Roman"/>
                <w:kern w:val="2"/>
              </w:rPr>
            </w:pPr>
          </w:p>
        </w:tc>
        <w:tc>
          <w:tcPr>
            <w:tcW w:w="1980" w:type="dxa"/>
            <w:vAlign w:val="center"/>
          </w:tcPr>
          <w:p>
            <w:pPr>
              <w:spacing w:line="280" w:lineRule="exact"/>
              <w:jc w:val="center"/>
              <w:rPr>
                <w:rFonts w:ascii="Times New Roman" w:hAnsi="Times New Roman"/>
                <w:kern w:val="2"/>
              </w:rPr>
            </w:pPr>
            <w:r>
              <w:rPr>
                <w:rFonts w:ascii="Times New Roman" w:hAnsi="Times New Roman"/>
                <w:kern w:val="2"/>
              </w:rPr>
              <w:t>镉</w:t>
            </w:r>
          </w:p>
        </w:tc>
        <w:tc>
          <w:tcPr>
            <w:tcW w:w="1650" w:type="dxa"/>
            <w:vMerge w:val="continue"/>
            <w:vAlign w:val="center"/>
          </w:tcPr>
          <w:p>
            <w:pPr>
              <w:spacing w:line="280" w:lineRule="exact"/>
              <w:jc w:val="center"/>
              <w:rPr>
                <w:rFonts w:ascii="Times New Roman" w:hAnsi="Times New Roman"/>
                <w:kern w:val="2"/>
              </w:rPr>
            </w:pPr>
          </w:p>
        </w:tc>
        <w:tc>
          <w:tcPr>
            <w:tcW w:w="2295" w:type="dxa"/>
            <w:vAlign w:val="center"/>
          </w:tcPr>
          <w:p>
            <w:pPr>
              <w:spacing w:line="280" w:lineRule="exact"/>
              <w:jc w:val="center"/>
              <w:rPr>
                <w:rFonts w:ascii="Times New Roman" w:hAnsi="Times New Roman"/>
                <w:kern w:val="2"/>
              </w:rPr>
            </w:pPr>
            <w:r>
              <w:rPr>
                <w:rFonts w:ascii="Times New Roman" w:hAnsi="Times New Roman"/>
                <w:kern w:val="2"/>
              </w:rPr>
              <w:t>&lt;0.005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603" w:type="dxa"/>
            <w:vMerge w:val="continue"/>
            <w:vAlign w:val="center"/>
          </w:tcPr>
          <w:p>
            <w:pPr>
              <w:spacing w:line="280" w:lineRule="exact"/>
              <w:jc w:val="center"/>
              <w:rPr>
                <w:rFonts w:ascii="Times New Roman" w:hAnsi="Times New Roman"/>
                <w:kern w:val="2"/>
              </w:rPr>
            </w:pPr>
          </w:p>
        </w:tc>
        <w:tc>
          <w:tcPr>
            <w:tcW w:w="1980" w:type="dxa"/>
            <w:vAlign w:val="center"/>
          </w:tcPr>
          <w:p>
            <w:pPr>
              <w:spacing w:line="280" w:lineRule="exact"/>
              <w:jc w:val="center"/>
              <w:rPr>
                <w:rFonts w:ascii="Times New Roman" w:hAnsi="Times New Roman"/>
                <w:kern w:val="2"/>
              </w:rPr>
            </w:pPr>
            <w:r>
              <w:rPr>
                <w:rFonts w:ascii="Times New Roman" w:hAnsi="Times New Roman"/>
                <w:kern w:val="2"/>
              </w:rPr>
              <w:t>氰化物</w:t>
            </w:r>
          </w:p>
        </w:tc>
        <w:tc>
          <w:tcPr>
            <w:tcW w:w="1650" w:type="dxa"/>
            <w:vMerge w:val="continue"/>
            <w:vAlign w:val="center"/>
          </w:tcPr>
          <w:p>
            <w:pPr>
              <w:spacing w:line="280" w:lineRule="exact"/>
              <w:jc w:val="center"/>
              <w:rPr>
                <w:rFonts w:ascii="Times New Roman" w:hAnsi="Times New Roman"/>
                <w:kern w:val="2"/>
              </w:rPr>
            </w:pPr>
          </w:p>
        </w:tc>
        <w:tc>
          <w:tcPr>
            <w:tcW w:w="2295" w:type="dxa"/>
            <w:vAlign w:val="center"/>
          </w:tcPr>
          <w:p>
            <w:pPr>
              <w:spacing w:line="280" w:lineRule="exact"/>
              <w:jc w:val="center"/>
              <w:rPr>
                <w:rFonts w:ascii="Times New Roman" w:hAnsi="Times New Roman"/>
                <w:kern w:val="2"/>
              </w:rPr>
            </w:pPr>
            <w:r>
              <w:rPr>
                <w:rFonts w:ascii="Times New Roman" w:hAnsi="Times New Roman"/>
                <w:kern w:val="2"/>
              </w:rPr>
              <w:t>&lt;0.05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603" w:type="dxa"/>
            <w:vMerge w:val="continue"/>
            <w:vAlign w:val="center"/>
          </w:tcPr>
          <w:p>
            <w:pPr>
              <w:spacing w:line="280" w:lineRule="exact"/>
              <w:jc w:val="center"/>
              <w:rPr>
                <w:rFonts w:ascii="Times New Roman" w:hAnsi="Times New Roman"/>
                <w:kern w:val="2"/>
              </w:rPr>
            </w:pPr>
          </w:p>
        </w:tc>
        <w:tc>
          <w:tcPr>
            <w:tcW w:w="1980" w:type="dxa"/>
            <w:vAlign w:val="center"/>
          </w:tcPr>
          <w:p>
            <w:pPr>
              <w:spacing w:line="280" w:lineRule="exact"/>
              <w:jc w:val="center"/>
              <w:rPr>
                <w:rFonts w:ascii="Times New Roman" w:hAnsi="Times New Roman"/>
                <w:kern w:val="2"/>
              </w:rPr>
            </w:pPr>
            <w:r>
              <w:rPr>
                <w:rFonts w:ascii="Times New Roman" w:hAnsi="Times New Roman"/>
                <w:kern w:val="2"/>
              </w:rPr>
              <w:t>总硬度</w:t>
            </w:r>
          </w:p>
        </w:tc>
        <w:tc>
          <w:tcPr>
            <w:tcW w:w="1650" w:type="dxa"/>
            <w:vMerge w:val="continue"/>
            <w:vAlign w:val="center"/>
          </w:tcPr>
          <w:p>
            <w:pPr>
              <w:spacing w:line="280" w:lineRule="exact"/>
              <w:jc w:val="center"/>
              <w:rPr>
                <w:rFonts w:ascii="Times New Roman" w:hAnsi="Times New Roman"/>
                <w:kern w:val="2"/>
              </w:rPr>
            </w:pPr>
          </w:p>
        </w:tc>
        <w:tc>
          <w:tcPr>
            <w:tcW w:w="2295" w:type="dxa"/>
            <w:vAlign w:val="center"/>
          </w:tcPr>
          <w:p>
            <w:pPr>
              <w:spacing w:line="280" w:lineRule="exact"/>
              <w:jc w:val="center"/>
              <w:rPr>
                <w:rFonts w:ascii="Times New Roman" w:hAnsi="Times New Roman"/>
                <w:kern w:val="2"/>
              </w:rPr>
            </w:pPr>
            <w:r>
              <w:rPr>
                <w:rFonts w:ascii="Times New Roman" w:hAnsi="Times New Roman"/>
                <w:kern w:val="2"/>
              </w:rPr>
              <w:t>&lt;450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603" w:type="dxa"/>
            <w:vMerge w:val="continue"/>
            <w:vAlign w:val="center"/>
          </w:tcPr>
          <w:p>
            <w:pPr>
              <w:spacing w:line="280" w:lineRule="exact"/>
              <w:jc w:val="center"/>
              <w:rPr>
                <w:rFonts w:ascii="Times New Roman" w:hAnsi="Times New Roman"/>
                <w:kern w:val="2"/>
              </w:rPr>
            </w:pPr>
          </w:p>
        </w:tc>
        <w:tc>
          <w:tcPr>
            <w:tcW w:w="1980" w:type="dxa"/>
            <w:vAlign w:val="center"/>
          </w:tcPr>
          <w:p>
            <w:pPr>
              <w:spacing w:line="280" w:lineRule="exact"/>
              <w:jc w:val="center"/>
              <w:rPr>
                <w:rFonts w:ascii="Times New Roman" w:hAnsi="Times New Roman"/>
                <w:kern w:val="2"/>
              </w:rPr>
            </w:pPr>
            <w:r>
              <w:rPr>
                <w:rFonts w:ascii="Times New Roman" w:hAnsi="Times New Roman"/>
                <w:kern w:val="2"/>
              </w:rPr>
              <w:t>硫酸盐</w:t>
            </w:r>
          </w:p>
        </w:tc>
        <w:tc>
          <w:tcPr>
            <w:tcW w:w="1650" w:type="dxa"/>
            <w:vMerge w:val="continue"/>
            <w:vAlign w:val="center"/>
          </w:tcPr>
          <w:p>
            <w:pPr>
              <w:spacing w:line="280" w:lineRule="exact"/>
              <w:jc w:val="center"/>
              <w:rPr>
                <w:rFonts w:ascii="Times New Roman" w:hAnsi="Times New Roman"/>
                <w:kern w:val="2"/>
              </w:rPr>
            </w:pPr>
          </w:p>
        </w:tc>
        <w:tc>
          <w:tcPr>
            <w:tcW w:w="2295" w:type="dxa"/>
            <w:vAlign w:val="center"/>
          </w:tcPr>
          <w:p>
            <w:pPr>
              <w:spacing w:line="280" w:lineRule="exact"/>
              <w:jc w:val="center"/>
              <w:rPr>
                <w:rFonts w:ascii="Times New Roman" w:hAnsi="Times New Roman"/>
                <w:kern w:val="2"/>
              </w:rPr>
            </w:pPr>
            <w:r>
              <w:rPr>
                <w:rFonts w:ascii="Times New Roman" w:hAnsi="Times New Roman"/>
                <w:kern w:val="2"/>
              </w:rPr>
              <w:t>&lt;250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603" w:type="dxa"/>
            <w:vMerge w:val="continue"/>
            <w:vAlign w:val="center"/>
          </w:tcPr>
          <w:p>
            <w:pPr>
              <w:spacing w:line="280" w:lineRule="exact"/>
              <w:jc w:val="center"/>
              <w:rPr>
                <w:rFonts w:ascii="Times New Roman" w:hAnsi="Times New Roman"/>
                <w:kern w:val="2"/>
              </w:rPr>
            </w:pPr>
          </w:p>
        </w:tc>
        <w:tc>
          <w:tcPr>
            <w:tcW w:w="1980" w:type="dxa"/>
            <w:vAlign w:val="center"/>
          </w:tcPr>
          <w:p>
            <w:pPr>
              <w:spacing w:line="280" w:lineRule="exact"/>
              <w:jc w:val="center"/>
              <w:rPr>
                <w:rFonts w:ascii="Times New Roman" w:hAnsi="Times New Roman"/>
                <w:kern w:val="2"/>
              </w:rPr>
            </w:pPr>
            <w:r>
              <w:rPr>
                <w:rFonts w:ascii="Times New Roman" w:hAnsi="Times New Roman"/>
                <w:kern w:val="2"/>
              </w:rPr>
              <w:t>六价铬</w:t>
            </w:r>
          </w:p>
        </w:tc>
        <w:tc>
          <w:tcPr>
            <w:tcW w:w="1650" w:type="dxa"/>
            <w:vMerge w:val="continue"/>
            <w:vAlign w:val="center"/>
          </w:tcPr>
          <w:p>
            <w:pPr>
              <w:spacing w:line="280" w:lineRule="exact"/>
              <w:jc w:val="center"/>
              <w:rPr>
                <w:rFonts w:ascii="Times New Roman" w:hAnsi="Times New Roman"/>
                <w:kern w:val="2"/>
              </w:rPr>
            </w:pPr>
          </w:p>
        </w:tc>
        <w:tc>
          <w:tcPr>
            <w:tcW w:w="2295" w:type="dxa"/>
            <w:vAlign w:val="center"/>
          </w:tcPr>
          <w:p>
            <w:pPr>
              <w:spacing w:line="280" w:lineRule="exact"/>
              <w:jc w:val="center"/>
              <w:rPr>
                <w:rFonts w:ascii="Times New Roman" w:hAnsi="Times New Roman"/>
                <w:kern w:val="2"/>
              </w:rPr>
            </w:pPr>
            <w:r>
              <w:rPr>
                <w:rFonts w:ascii="Times New Roman" w:hAnsi="Times New Roman"/>
                <w:kern w:val="2"/>
              </w:rPr>
              <w:t>&lt;0.05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603" w:type="dxa"/>
            <w:vMerge w:val="continue"/>
            <w:vAlign w:val="center"/>
          </w:tcPr>
          <w:p>
            <w:pPr>
              <w:spacing w:line="280" w:lineRule="exact"/>
              <w:jc w:val="center"/>
              <w:rPr>
                <w:rFonts w:ascii="Times New Roman" w:hAnsi="Times New Roman"/>
                <w:kern w:val="2"/>
              </w:rPr>
            </w:pPr>
          </w:p>
        </w:tc>
        <w:tc>
          <w:tcPr>
            <w:tcW w:w="1980" w:type="dxa"/>
            <w:vAlign w:val="center"/>
          </w:tcPr>
          <w:p>
            <w:pPr>
              <w:spacing w:line="280" w:lineRule="exact"/>
              <w:jc w:val="center"/>
              <w:rPr>
                <w:rFonts w:ascii="Times New Roman" w:hAnsi="Times New Roman"/>
                <w:kern w:val="2"/>
              </w:rPr>
            </w:pPr>
            <w:r>
              <w:rPr>
                <w:rFonts w:ascii="Times New Roman" w:hAnsi="Times New Roman"/>
                <w:kern w:val="2"/>
              </w:rPr>
              <w:t>氯化物</w:t>
            </w:r>
          </w:p>
        </w:tc>
        <w:tc>
          <w:tcPr>
            <w:tcW w:w="1650" w:type="dxa"/>
            <w:vMerge w:val="continue"/>
            <w:vAlign w:val="center"/>
          </w:tcPr>
          <w:p>
            <w:pPr>
              <w:spacing w:line="280" w:lineRule="exact"/>
              <w:jc w:val="center"/>
              <w:rPr>
                <w:rFonts w:ascii="Times New Roman" w:hAnsi="Times New Roman"/>
                <w:kern w:val="2"/>
              </w:rPr>
            </w:pPr>
          </w:p>
        </w:tc>
        <w:tc>
          <w:tcPr>
            <w:tcW w:w="2295" w:type="dxa"/>
            <w:vAlign w:val="center"/>
          </w:tcPr>
          <w:p>
            <w:pPr>
              <w:spacing w:line="280" w:lineRule="exact"/>
              <w:jc w:val="center"/>
              <w:rPr>
                <w:rFonts w:ascii="Times New Roman" w:hAnsi="Times New Roman"/>
                <w:kern w:val="2"/>
              </w:rPr>
            </w:pPr>
            <w:r>
              <w:rPr>
                <w:rFonts w:ascii="Times New Roman" w:hAnsi="Times New Roman"/>
                <w:kern w:val="2"/>
              </w:rPr>
              <w:t>&lt;250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603" w:type="dxa"/>
            <w:vMerge w:val="continue"/>
            <w:vAlign w:val="center"/>
          </w:tcPr>
          <w:p>
            <w:pPr>
              <w:spacing w:line="280" w:lineRule="exact"/>
              <w:jc w:val="center"/>
              <w:rPr>
                <w:rFonts w:ascii="Times New Roman" w:hAnsi="Times New Roman"/>
                <w:kern w:val="2"/>
              </w:rPr>
            </w:pPr>
          </w:p>
        </w:tc>
        <w:tc>
          <w:tcPr>
            <w:tcW w:w="1980" w:type="dxa"/>
            <w:vAlign w:val="center"/>
          </w:tcPr>
          <w:p>
            <w:pPr>
              <w:spacing w:line="280" w:lineRule="exact"/>
              <w:jc w:val="center"/>
              <w:rPr>
                <w:rFonts w:ascii="Times New Roman" w:hAnsi="Times New Roman"/>
                <w:kern w:val="2"/>
              </w:rPr>
            </w:pPr>
            <w:r>
              <w:rPr>
                <w:rFonts w:ascii="Times New Roman" w:hAnsi="Times New Roman"/>
                <w:kern w:val="2"/>
              </w:rPr>
              <w:t>溶解性总固体</w:t>
            </w:r>
          </w:p>
        </w:tc>
        <w:tc>
          <w:tcPr>
            <w:tcW w:w="1650" w:type="dxa"/>
            <w:vMerge w:val="continue"/>
            <w:vAlign w:val="center"/>
          </w:tcPr>
          <w:p>
            <w:pPr>
              <w:spacing w:line="280" w:lineRule="exact"/>
              <w:jc w:val="center"/>
              <w:rPr>
                <w:rFonts w:ascii="Times New Roman" w:hAnsi="Times New Roman"/>
                <w:kern w:val="2"/>
              </w:rPr>
            </w:pPr>
          </w:p>
        </w:tc>
        <w:tc>
          <w:tcPr>
            <w:tcW w:w="2295" w:type="dxa"/>
            <w:vAlign w:val="center"/>
          </w:tcPr>
          <w:p>
            <w:pPr>
              <w:spacing w:line="280" w:lineRule="exact"/>
              <w:jc w:val="center"/>
              <w:rPr>
                <w:rFonts w:ascii="Times New Roman" w:hAnsi="Times New Roman"/>
                <w:kern w:val="2"/>
              </w:rPr>
            </w:pPr>
            <w:r>
              <w:rPr>
                <w:rFonts w:ascii="Times New Roman" w:hAnsi="Times New Roman"/>
                <w:kern w:val="2"/>
              </w:rPr>
              <w:t>&lt;1000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603" w:type="dxa"/>
            <w:vMerge w:val="continue"/>
            <w:vAlign w:val="center"/>
          </w:tcPr>
          <w:p>
            <w:pPr>
              <w:spacing w:line="280" w:lineRule="exact"/>
              <w:jc w:val="center"/>
              <w:rPr>
                <w:rFonts w:ascii="Times New Roman" w:hAnsi="Times New Roman"/>
                <w:kern w:val="2"/>
              </w:rPr>
            </w:pPr>
          </w:p>
        </w:tc>
        <w:tc>
          <w:tcPr>
            <w:tcW w:w="1980" w:type="dxa"/>
            <w:vAlign w:val="center"/>
          </w:tcPr>
          <w:p>
            <w:pPr>
              <w:spacing w:line="280" w:lineRule="exact"/>
              <w:jc w:val="center"/>
              <w:rPr>
                <w:rFonts w:ascii="Times New Roman" w:hAnsi="Times New Roman"/>
                <w:kern w:val="2"/>
              </w:rPr>
            </w:pPr>
            <w:r>
              <w:rPr>
                <w:rFonts w:ascii="Times New Roman" w:hAnsi="Times New Roman"/>
                <w:kern w:val="2"/>
              </w:rPr>
              <w:t>耗氧量（COD</w:t>
            </w:r>
            <w:r>
              <w:rPr>
                <w:rFonts w:ascii="Times New Roman" w:hAnsi="Times New Roman"/>
                <w:kern w:val="2"/>
                <w:vertAlign w:val="subscript"/>
              </w:rPr>
              <w:t>Mn</w:t>
            </w:r>
            <w:r>
              <w:rPr>
                <w:rFonts w:ascii="Times New Roman" w:hAnsi="Times New Roman"/>
                <w:kern w:val="2"/>
              </w:rPr>
              <w:t>法，以O</w:t>
            </w:r>
            <w:r>
              <w:rPr>
                <w:rFonts w:ascii="Times New Roman" w:hAnsi="Times New Roman"/>
                <w:kern w:val="2"/>
                <w:vertAlign w:val="subscript"/>
              </w:rPr>
              <w:t>2</w:t>
            </w:r>
            <w:r>
              <w:rPr>
                <w:rFonts w:ascii="Times New Roman" w:hAnsi="Times New Roman"/>
                <w:kern w:val="2"/>
              </w:rPr>
              <w:t>计）</w:t>
            </w:r>
          </w:p>
        </w:tc>
        <w:tc>
          <w:tcPr>
            <w:tcW w:w="1650" w:type="dxa"/>
            <w:vMerge w:val="continue"/>
            <w:vAlign w:val="center"/>
          </w:tcPr>
          <w:p>
            <w:pPr>
              <w:spacing w:line="280" w:lineRule="exact"/>
              <w:jc w:val="center"/>
              <w:rPr>
                <w:rFonts w:ascii="Times New Roman" w:hAnsi="Times New Roman"/>
                <w:kern w:val="2"/>
              </w:rPr>
            </w:pPr>
          </w:p>
        </w:tc>
        <w:tc>
          <w:tcPr>
            <w:tcW w:w="2295" w:type="dxa"/>
            <w:vAlign w:val="center"/>
          </w:tcPr>
          <w:p>
            <w:pPr>
              <w:spacing w:line="280" w:lineRule="exact"/>
              <w:jc w:val="center"/>
              <w:rPr>
                <w:rFonts w:ascii="Times New Roman" w:hAnsi="Times New Roman"/>
                <w:kern w:val="2"/>
              </w:rPr>
            </w:pPr>
            <w:r>
              <w:rPr>
                <w:rFonts w:ascii="Times New Roman" w:hAnsi="Times New Roman"/>
                <w:kern w:val="2"/>
              </w:rPr>
              <w:t>&lt;3.0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603" w:type="dxa"/>
            <w:vMerge w:val="continue"/>
            <w:vAlign w:val="center"/>
          </w:tcPr>
          <w:p>
            <w:pPr>
              <w:spacing w:line="280" w:lineRule="exact"/>
              <w:jc w:val="center"/>
              <w:rPr>
                <w:rFonts w:ascii="Times New Roman" w:hAnsi="Times New Roman"/>
                <w:kern w:val="2"/>
              </w:rPr>
            </w:pPr>
          </w:p>
        </w:tc>
        <w:tc>
          <w:tcPr>
            <w:tcW w:w="1980" w:type="dxa"/>
            <w:vAlign w:val="center"/>
          </w:tcPr>
          <w:p>
            <w:pPr>
              <w:spacing w:line="280" w:lineRule="exact"/>
              <w:jc w:val="center"/>
              <w:rPr>
                <w:rFonts w:ascii="Times New Roman" w:hAnsi="Times New Roman"/>
                <w:kern w:val="2"/>
              </w:rPr>
            </w:pPr>
            <w:r>
              <w:rPr>
                <w:rFonts w:ascii="Times New Roman" w:hAnsi="Times New Roman"/>
                <w:kern w:val="2"/>
              </w:rPr>
              <w:t>总大肠菌群</w:t>
            </w:r>
          </w:p>
        </w:tc>
        <w:tc>
          <w:tcPr>
            <w:tcW w:w="1650" w:type="dxa"/>
            <w:vAlign w:val="center"/>
          </w:tcPr>
          <w:p>
            <w:pPr>
              <w:spacing w:line="280" w:lineRule="exact"/>
              <w:jc w:val="center"/>
              <w:rPr>
                <w:rFonts w:ascii="Times New Roman" w:hAnsi="Times New Roman"/>
                <w:kern w:val="2"/>
              </w:rPr>
            </w:pPr>
            <w:r>
              <w:rPr>
                <w:rFonts w:ascii="Times New Roman" w:hAnsi="Times New Roman"/>
                <w:kern w:val="2"/>
              </w:rPr>
              <w:t>CFU/100mL</w:t>
            </w:r>
          </w:p>
        </w:tc>
        <w:tc>
          <w:tcPr>
            <w:tcW w:w="2295" w:type="dxa"/>
            <w:vAlign w:val="center"/>
          </w:tcPr>
          <w:p>
            <w:pPr>
              <w:spacing w:line="280" w:lineRule="exact"/>
              <w:jc w:val="center"/>
              <w:rPr>
                <w:rFonts w:ascii="Times New Roman" w:hAnsi="Times New Roman"/>
                <w:kern w:val="2"/>
              </w:rPr>
            </w:pPr>
            <w:r>
              <w:rPr>
                <w:rFonts w:ascii="Times New Roman" w:hAnsi="Times New Roman"/>
                <w:kern w:val="2"/>
              </w:rPr>
              <w:t>&lt;3.0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603" w:type="dxa"/>
            <w:vMerge w:val="continue"/>
            <w:vAlign w:val="center"/>
          </w:tcPr>
          <w:p>
            <w:pPr>
              <w:spacing w:line="280" w:lineRule="exact"/>
              <w:jc w:val="center"/>
              <w:rPr>
                <w:rFonts w:ascii="Times New Roman" w:hAnsi="Times New Roman"/>
                <w:kern w:val="2"/>
              </w:rPr>
            </w:pPr>
          </w:p>
        </w:tc>
        <w:tc>
          <w:tcPr>
            <w:tcW w:w="1980" w:type="dxa"/>
            <w:vAlign w:val="center"/>
          </w:tcPr>
          <w:p>
            <w:pPr>
              <w:spacing w:line="280" w:lineRule="exact"/>
              <w:jc w:val="center"/>
              <w:rPr>
                <w:rFonts w:ascii="Times New Roman" w:hAnsi="Times New Roman"/>
                <w:kern w:val="2"/>
              </w:rPr>
            </w:pPr>
            <w:r>
              <w:rPr>
                <w:rFonts w:ascii="Times New Roman" w:hAnsi="Times New Roman"/>
                <w:kern w:val="2"/>
              </w:rPr>
              <w:t>菌落总数</w:t>
            </w:r>
          </w:p>
        </w:tc>
        <w:tc>
          <w:tcPr>
            <w:tcW w:w="1650" w:type="dxa"/>
            <w:vAlign w:val="center"/>
          </w:tcPr>
          <w:p>
            <w:pPr>
              <w:spacing w:line="280" w:lineRule="exact"/>
              <w:jc w:val="center"/>
              <w:rPr>
                <w:rFonts w:ascii="Times New Roman" w:hAnsi="Times New Roman"/>
                <w:kern w:val="2"/>
              </w:rPr>
            </w:pPr>
            <w:r>
              <w:rPr>
                <w:rFonts w:ascii="Times New Roman" w:hAnsi="Times New Roman"/>
                <w:kern w:val="2"/>
              </w:rPr>
              <w:t>CFU/mL</w:t>
            </w:r>
          </w:p>
        </w:tc>
        <w:tc>
          <w:tcPr>
            <w:tcW w:w="2295" w:type="dxa"/>
            <w:vAlign w:val="center"/>
          </w:tcPr>
          <w:p>
            <w:pPr>
              <w:spacing w:line="280" w:lineRule="exact"/>
              <w:jc w:val="center"/>
              <w:rPr>
                <w:rFonts w:ascii="Times New Roman" w:hAnsi="Times New Roman"/>
                <w:kern w:val="2"/>
              </w:rPr>
            </w:pPr>
            <w:r>
              <w:rPr>
                <w:rFonts w:ascii="Times New Roman" w:hAnsi="Times New Roman"/>
                <w:kern w:val="2"/>
              </w:rPr>
              <w:t>&lt;100</w:t>
            </w:r>
          </w:p>
        </w:tc>
      </w:tr>
    </w:tbl>
    <w:p>
      <w:pPr>
        <w:pStyle w:val="513"/>
        <w:spacing w:line="480" w:lineRule="exact"/>
        <w:ind w:firstLine="480"/>
        <w:rPr>
          <w:rFonts w:ascii="Times New Roman" w:hAnsi="Times New Roman" w:cs="Times New Roman"/>
          <w:kern w:val="0"/>
          <w:szCs w:val="21"/>
        </w:rPr>
      </w:pPr>
      <w:r>
        <w:rPr>
          <w:rFonts w:ascii="Times New Roman" w:hAnsi="Times New Roman" w:cs="Times New Roman"/>
          <w:kern w:val="0"/>
          <w:szCs w:val="21"/>
        </w:rPr>
        <w:t>（4）声环境质量标准</w:t>
      </w:r>
    </w:p>
    <w:p>
      <w:pPr>
        <w:pStyle w:val="513"/>
        <w:spacing w:line="480" w:lineRule="exact"/>
        <w:ind w:firstLine="480"/>
        <w:rPr>
          <w:rFonts w:ascii="Times New Roman" w:hAnsi="Times New Roman" w:cs="Times New Roman"/>
          <w:kern w:val="0"/>
          <w:szCs w:val="21"/>
        </w:rPr>
      </w:pPr>
      <w:r>
        <w:rPr>
          <w:rFonts w:ascii="Times New Roman" w:hAnsi="Times New Roman" w:cs="Times New Roman"/>
          <w:kern w:val="0"/>
          <w:szCs w:val="21"/>
        </w:rPr>
        <w:t>本项目厂界执行《声环境质量标准》（GB3096-2008）中的2类标准。具体见表2.3-6。</w:t>
      </w:r>
    </w:p>
    <w:p>
      <w:pPr>
        <w:pStyle w:val="513"/>
        <w:spacing w:line="480" w:lineRule="exact"/>
        <w:ind w:firstLine="0" w:firstLineChars="0"/>
        <w:jc w:val="center"/>
        <w:rPr>
          <w:rFonts w:ascii="Times New Roman" w:hAnsi="Times New Roman" w:cs="Times New Roman"/>
          <w:b/>
          <w:kern w:val="0"/>
          <w:sz w:val="21"/>
          <w:szCs w:val="21"/>
        </w:rPr>
      </w:pPr>
      <w:r>
        <w:rPr>
          <w:rFonts w:ascii="Times New Roman" w:hAnsi="Times New Roman" w:cs="Times New Roman"/>
          <w:b/>
          <w:kern w:val="0"/>
          <w:sz w:val="21"/>
          <w:szCs w:val="21"/>
        </w:rPr>
        <w:t>表2.3-6 声环境质量标准一览表</w:t>
      </w:r>
    </w:p>
    <w:tbl>
      <w:tblPr>
        <w:tblStyle w:val="77"/>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612"/>
        <w:gridCol w:w="1724"/>
        <w:gridCol w:w="1186"/>
        <w:gridCol w:w="947"/>
        <w:gridCol w:w="1067"/>
        <w:gridCol w:w="99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618" w:type="dxa"/>
            <w:vMerge w:val="restart"/>
            <w:vAlign w:val="center"/>
          </w:tcPr>
          <w:p>
            <w:pPr>
              <w:spacing w:line="280" w:lineRule="exact"/>
              <w:jc w:val="center"/>
              <w:rPr>
                <w:rFonts w:ascii="Times New Roman" w:hAnsi="Times New Roman"/>
                <w:b/>
                <w:kern w:val="2"/>
              </w:rPr>
            </w:pPr>
            <w:r>
              <w:rPr>
                <w:rFonts w:ascii="Times New Roman" w:hAnsi="Times New Roman"/>
                <w:b/>
                <w:kern w:val="2"/>
              </w:rPr>
              <w:t>标准名称及级别</w:t>
            </w:r>
          </w:p>
        </w:tc>
        <w:tc>
          <w:tcPr>
            <w:tcW w:w="1725" w:type="dxa"/>
            <w:vMerge w:val="restart"/>
            <w:vAlign w:val="center"/>
          </w:tcPr>
          <w:p>
            <w:pPr>
              <w:spacing w:line="280" w:lineRule="exact"/>
              <w:jc w:val="center"/>
              <w:rPr>
                <w:rFonts w:ascii="Times New Roman" w:hAnsi="Times New Roman"/>
                <w:b/>
                <w:kern w:val="2"/>
              </w:rPr>
            </w:pPr>
            <w:r>
              <w:rPr>
                <w:rFonts w:ascii="Times New Roman" w:hAnsi="Times New Roman"/>
                <w:b/>
                <w:kern w:val="2"/>
              </w:rPr>
              <w:t>项目</w:t>
            </w:r>
          </w:p>
        </w:tc>
        <w:tc>
          <w:tcPr>
            <w:tcW w:w="4185" w:type="dxa"/>
            <w:gridSpan w:val="4"/>
            <w:vAlign w:val="center"/>
          </w:tcPr>
          <w:p>
            <w:pPr>
              <w:spacing w:line="280" w:lineRule="exact"/>
              <w:jc w:val="center"/>
              <w:rPr>
                <w:rFonts w:ascii="Times New Roman" w:hAnsi="Times New Roman"/>
                <w:b/>
                <w:kern w:val="2"/>
              </w:rPr>
            </w:pPr>
            <w:r>
              <w:rPr>
                <w:rFonts w:ascii="Times New Roman" w:hAnsi="Times New Roman"/>
                <w:b/>
                <w:kern w:val="2"/>
              </w:rPr>
              <w:t>标准值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618" w:type="dxa"/>
            <w:vMerge w:val="continue"/>
            <w:vAlign w:val="center"/>
          </w:tcPr>
          <w:p>
            <w:pPr>
              <w:spacing w:line="280" w:lineRule="exact"/>
              <w:jc w:val="center"/>
              <w:rPr>
                <w:rFonts w:ascii="Times New Roman" w:hAnsi="Times New Roman"/>
                <w:b/>
                <w:kern w:val="2"/>
              </w:rPr>
            </w:pPr>
          </w:p>
        </w:tc>
        <w:tc>
          <w:tcPr>
            <w:tcW w:w="1725" w:type="dxa"/>
            <w:vMerge w:val="continue"/>
            <w:tcBorders>
              <w:bottom w:val="single" w:color="auto" w:sz="4" w:space="0"/>
            </w:tcBorders>
            <w:vAlign w:val="center"/>
          </w:tcPr>
          <w:p>
            <w:pPr>
              <w:spacing w:line="280" w:lineRule="exact"/>
              <w:jc w:val="center"/>
              <w:rPr>
                <w:rFonts w:ascii="Times New Roman" w:hAnsi="Times New Roman"/>
                <w:b/>
                <w:kern w:val="2"/>
              </w:rPr>
            </w:pPr>
          </w:p>
        </w:tc>
        <w:tc>
          <w:tcPr>
            <w:tcW w:w="1185" w:type="dxa"/>
            <w:tcBorders>
              <w:bottom w:val="single" w:color="auto" w:sz="4" w:space="0"/>
            </w:tcBorders>
            <w:vAlign w:val="center"/>
          </w:tcPr>
          <w:p>
            <w:pPr>
              <w:spacing w:line="280" w:lineRule="exact"/>
              <w:jc w:val="center"/>
              <w:rPr>
                <w:rFonts w:ascii="Times New Roman" w:hAnsi="Times New Roman"/>
                <w:b/>
                <w:kern w:val="2"/>
              </w:rPr>
            </w:pPr>
            <w:r>
              <w:rPr>
                <w:rFonts w:ascii="Times New Roman" w:hAnsi="Times New Roman"/>
                <w:b/>
                <w:kern w:val="2"/>
              </w:rPr>
              <w:t>单位</w:t>
            </w:r>
          </w:p>
        </w:tc>
        <w:tc>
          <w:tcPr>
            <w:tcW w:w="3000" w:type="dxa"/>
            <w:gridSpan w:val="3"/>
            <w:vAlign w:val="center"/>
          </w:tcPr>
          <w:p>
            <w:pPr>
              <w:spacing w:line="280" w:lineRule="exact"/>
              <w:jc w:val="center"/>
              <w:rPr>
                <w:rFonts w:ascii="Times New Roman" w:hAnsi="Times New Roman"/>
                <w:b/>
                <w:kern w:val="2"/>
              </w:rPr>
            </w:pPr>
            <w:r>
              <w:rPr>
                <w:rFonts w:ascii="Times New Roman" w:hAnsi="Times New Roman"/>
                <w:b/>
                <w:kern w:val="2"/>
              </w:rPr>
              <w:t>数值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618" w:type="dxa"/>
            <w:vMerge w:val="restart"/>
            <w:vAlign w:val="center"/>
          </w:tcPr>
          <w:p>
            <w:pPr>
              <w:spacing w:line="280" w:lineRule="exact"/>
              <w:jc w:val="center"/>
              <w:rPr>
                <w:rFonts w:ascii="Times New Roman" w:hAnsi="Times New Roman"/>
                <w:kern w:val="2"/>
              </w:rPr>
            </w:pPr>
            <w:r>
              <w:rPr>
                <w:rFonts w:ascii="Times New Roman" w:hAnsi="Times New Roman"/>
                <w:kern w:val="2"/>
              </w:rPr>
              <w:t>《声环境质量标准》（GB3096-2008）标准</w:t>
            </w:r>
          </w:p>
        </w:tc>
        <w:tc>
          <w:tcPr>
            <w:tcW w:w="1725" w:type="dxa"/>
            <w:vMerge w:val="restart"/>
            <w:vAlign w:val="center"/>
          </w:tcPr>
          <w:p>
            <w:pPr>
              <w:spacing w:line="280" w:lineRule="exact"/>
              <w:jc w:val="center"/>
              <w:rPr>
                <w:rFonts w:ascii="Times New Roman" w:hAnsi="Times New Roman"/>
                <w:kern w:val="2"/>
              </w:rPr>
            </w:pPr>
            <w:r>
              <w:rPr>
                <w:rFonts w:ascii="Times New Roman" w:hAnsi="Times New Roman"/>
                <w:kern w:val="2"/>
              </w:rPr>
              <w:t>等效连续A声级</w:t>
            </w:r>
          </w:p>
        </w:tc>
        <w:tc>
          <w:tcPr>
            <w:tcW w:w="1185" w:type="dxa"/>
            <w:vMerge w:val="restart"/>
            <w:vAlign w:val="center"/>
          </w:tcPr>
          <w:p>
            <w:pPr>
              <w:spacing w:line="280" w:lineRule="exact"/>
              <w:jc w:val="center"/>
              <w:rPr>
                <w:rFonts w:ascii="Times New Roman" w:hAnsi="Times New Roman"/>
                <w:kern w:val="2"/>
              </w:rPr>
            </w:pPr>
            <w:r>
              <w:rPr>
                <w:rFonts w:ascii="Times New Roman" w:hAnsi="Times New Roman"/>
                <w:kern w:val="2"/>
              </w:rPr>
              <w:t>dB（A）</w:t>
            </w:r>
          </w:p>
        </w:tc>
        <w:tc>
          <w:tcPr>
            <w:tcW w:w="945" w:type="dxa"/>
            <w:vMerge w:val="restart"/>
            <w:vAlign w:val="center"/>
          </w:tcPr>
          <w:p>
            <w:pPr>
              <w:spacing w:line="280" w:lineRule="exact"/>
              <w:jc w:val="center"/>
              <w:rPr>
                <w:rFonts w:ascii="Times New Roman" w:hAnsi="Times New Roman"/>
                <w:kern w:val="2"/>
              </w:rPr>
            </w:pPr>
            <w:r>
              <w:rPr>
                <w:rFonts w:ascii="Times New Roman" w:hAnsi="Times New Roman"/>
                <w:kern w:val="2"/>
              </w:rPr>
              <w:t>2类</w:t>
            </w:r>
          </w:p>
        </w:tc>
        <w:tc>
          <w:tcPr>
            <w:tcW w:w="1065" w:type="dxa"/>
            <w:vAlign w:val="center"/>
          </w:tcPr>
          <w:p>
            <w:pPr>
              <w:spacing w:line="280" w:lineRule="exact"/>
              <w:jc w:val="center"/>
              <w:rPr>
                <w:rFonts w:ascii="Times New Roman" w:hAnsi="Times New Roman"/>
                <w:kern w:val="2"/>
              </w:rPr>
            </w:pPr>
            <w:r>
              <w:rPr>
                <w:rFonts w:ascii="Times New Roman" w:hAnsi="Times New Roman"/>
                <w:kern w:val="2"/>
              </w:rPr>
              <w:t>昼间</w:t>
            </w:r>
          </w:p>
        </w:tc>
        <w:tc>
          <w:tcPr>
            <w:tcW w:w="990" w:type="dxa"/>
            <w:vAlign w:val="center"/>
          </w:tcPr>
          <w:p>
            <w:pPr>
              <w:spacing w:line="280" w:lineRule="exact"/>
              <w:jc w:val="center"/>
              <w:rPr>
                <w:rFonts w:ascii="Times New Roman" w:hAnsi="Times New Roman"/>
                <w:kern w:val="2"/>
              </w:rPr>
            </w:pPr>
            <w:r>
              <w:rPr>
                <w:rFonts w:ascii="Times New Roman" w:hAnsi="Times New Roman"/>
                <w:kern w:val="2"/>
              </w:rPr>
              <w:t>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618" w:type="dxa"/>
            <w:vMerge w:val="continue"/>
            <w:vAlign w:val="center"/>
          </w:tcPr>
          <w:p>
            <w:pPr>
              <w:spacing w:line="280" w:lineRule="exact"/>
              <w:jc w:val="center"/>
              <w:rPr>
                <w:rFonts w:ascii="Times New Roman" w:hAnsi="Times New Roman"/>
                <w:kern w:val="2"/>
              </w:rPr>
            </w:pPr>
          </w:p>
        </w:tc>
        <w:tc>
          <w:tcPr>
            <w:tcW w:w="1725" w:type="dxa"/>
            <w:vMerge w:val="continue"/>
            <w:vAlign w:val="center"/>
          </w:tcPr>
          <w:p>
            <w:pPr>
              <w:spacing w:line="280" w:lineRule="exact"/>
              <w:jc w:val="center"/>
              <w:rPr>
                <w:rFonts w:ascii="Times New Roman" w:hAnsi="Times New Roman"/>
                <w:kern w:val="2"/>
              </w:rPr>
            </w:pPr>
          </w:p>
        </w:tc>
        <w:tc>
          <w:tcPr>
            <w:tcW w:w="1185" w:type="dxa"/>
            <w:vMerge w:val="continue"/>
            <w:vAlign w:val="center"/>
          </w:tcPr>
          <w:p>
            <w:pPr>
              <w:spacing w:line="280" w:lineRule="exact"/>
              <w:jc w:val="center"/>
              <w:rPr>
                <w:rFonts w:ascii="Times New Roman" w:hAnsi="Times New Roman"/>
                <w:kern w:val="2"/>
              </w:rPr>
            </w:pPr>
          </w:p>
        </w:tc>
        <w:tc>
          <w:tcPr>
            <w:tcW w:w="945" w:type="dxa"/>
            <w:vMerge w:val="continue"/>
            <w:vAlign w:val="center"/>
          </w:tcPr>
          <w:p>
            <w:pPr>
              <w:spacing w:line="280" w:lineRule="exact"/>
              <w:jc w:val="center"/>
              <w:rPr>
                <w:rFonts w:ascii="Times New Roman" w:hAnsi="Times New Roman"/>
                <w:kern w:val="2"/>
              </w:rPr>
            </w:pPr>
          </w:p>
        </w:tc>
        <w:tc>
          <w:tcPr>
            <w:tcW w:w="1065" w:type="dxa"/>
            <w:vAlign w:val="center"/>
          </w:tcPr>
          <w:p>
            <w:pPr>
              <w:spacing w:line="280" w:lineRule="exact"/>
              <w:jc w:val="center"/>
              <w:rPr>
                <w:rFonts w:ascii="Times New Roman" w:hAnsi="Times New Roman"/>
                <w:kern w:val="2"/>
              </w:rPr>
            </w:pPr>
            <w:r>
              <w:rPr>
                <w:rFonts w:ascii="Times New Roman" w:hAnsi="Times New Roman"/>
                <w:kern w:val="2"/>
              </w:rPr>
              <w:t>夜间</w:t>
            </w:r>
          </w:p>
        </w:tc>
        <w:tc>
          <w:tcPr>
            <w:tcW w:w="990" w:type="dxa"/>
            <w:vAlign w:val="center"/>
          </w:tcPr>
          <w:p>
            <w:pPr>
              <w:spacing w:line="280" w:lineRule="exact"/>
              <w:jc w:val="center"/>
              <w:rPr>
                <w:rFonts w:ascii="Times New Roman" w:hAnsi="Times New Roman"/>
                <w:kern w:val="2"/>
              </w:rPr>
            </w:pPr>
            <w:r>
              <w:rPr>
                <w:rFonts w:ascii="Times New Roman" w:hAnsi="Times New Roman"/>
                <w:kern w:val="2"/>
              </w:rPr>
              <w:t>50</w:t>
            </w:r>
          </w:p>
        </w:tc>
      </w:tr>
    </w:tbl>
    <w:p>
      <w:pPr>
        <w:pStyle w:val="513"/>
        <w:spacing w:line="480" w:lineRule="exact"/>
        <w:ind w:firstLine="480"/>
        <w:rPr>
          <w:rFonts w:ascii="Times New Roman" w:hAnsi="Times New Roman" w:cs="Times New Roman"/>
          <w:kern w:val="0"/>
          <w:szCs w:val="21"/>
        </w:rPr>
      </w:pPr>
      <w:r>
        <w:rPr>
          <w:rFonts w:ascii="Times New Roman" w:hAnsi="Times New Roman" w:cs="Times New Roman"/>
          <w:kern w:val="0"/>
          <w:szCs w:val="21"/>
        </w:rPr>
        <w:t>（5）土壤环境质量标准</w:t>
      </w:r>
    </w:p>
    <w:p>
      <w:pPr>
        <w:pStyle w:val="513"/>
        <w:spacing w:line="480" w:lineRule="exact"/>
        <w:ind w:firstLine="480"/>
        <w:rPr>
          <w:rFonts w:ascii="Times New Roman" w:hAnsi="Times New Roman" w:cs="Times New Roman"/>
          <w:kern w:val="0"/>
          <w:szCs w:val="21"/>
        </w:rPr>
      </w:pPr>
      <w:r>
        <w:rPr>
          <w:rFonts w:ascii="Times New Roman" w:hAnsi="Times New Roman" w:cs="Times New Roman"/>
          <w:kern w:val="0"/>
          <w:szCs w:val="21"/>
        </w:rPr>
        <w:t>本项目</w:t>
      </w:r>
      <w:r>
        <w:rPr>
          <w:rFonts w:ascii="Times New Roman" w:hAnsi="Times New Roman" w:cs="Times New Roman"/>
        </w:rPr>
        <w:t>占地范围内土壤执行《土壤环境质量 建设用地土壤污染风险管控标准（试行）》（GB36600-2018）第二类用地筛选值</w:t>
      </w:r>
      <w:r>
        <w:rPr>
          <w:rFonts w:hint="eastAsia" w:ascii="Times New Roman" w:hAnsi="Times New Roman" w:cs="Times New Roman"/>
        </w:rPr>
        <w:t>。</w:t>
      </w:r>
      <w:r>
        <w:rPr>
          <w:rFonts w:ascii="Times New Roman" w:hAnsi="Times New Roman" w:cs="Times New Roman"/>
          <w:kern w:val="0"/>
          <w:szCs w:val="21"/>
        </w:rPr>
        <w:t>具体见表2.3-7。</w:t>
      </w:r>
    </w:p>
    <w:p>
      <w:pPr>
        <w:pStyle w:val="513"/>
        <w:spacing w:line="480" w:lineRule="exact"/>
        <w:ind w:firstLine="0" w:firstLineChars="0"/>
        <w:jc w:val="center"/>
        <w:rPr>
          <w:rFonts w:ascii="Times New Roman" w:hAnsi="Times New Roman" w:cs="Times New Roman"/>
          <w:b/>
          <w:kern w:val="0"/>
          <w:sz w:val="21"/>
          <w:szCs w:val="21"/>
        </w:rPr>
      </w:pPr>
      <w:r>
        <w:rPr>
          <w:rFonts w:ascii="Times New Roman" w:hAnsi="Times New Roman" w:cs="Times New Roman"/>
          <w:b/>
          <w:kern w:val="0"/>
          <w:sz w:val="21"/>
          <w:szCs w:val="21"/>
        </w:rPr>
        <w:t>表2.3-7 土壤环境质量标准一览表</w:t>
      </w:r>
    </w:p>
    <w:tbl>
      <w:tblPr>
        <w:tblStyle w:val="77"/>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617"/>
        <w:gridCol w:w="2329"/>
        <w:gridCol w:w="1288"/>
        <w:gridCol w:w="229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51" w:type="dxa"/>
            <w:vMerge w:val="restart"/>
            <w:vAlign w:val="center"/>
          </w:tcPr>
          <w:p>
            <w:pPr>
              <w:spacing w:line="280" w:lineRule="exact"/>
              <w:jc w:val="center"/>
              <w:rPr>
                <w:rFonts w:ascii="Times New Roman" w:hAnsi="Times New Roman"/>
                <w:b/>
                <w:kern w:val="2"/>
              </w:rPr>
            </w:pPr>
            <w:r>
              <w:rPr>
                <w:rFonts w:ascii="Times New Roman" w:hAnsi="Times New Roman"/>
                <w:b/>
                <w:kern w:val="2"/>
              </w:rPr>
              <w:t>标准名称及级别</w:t>
            </w:r>
          </w:p>
        </w:tc>
        <w:tc>
          <w:tcPr>
            <w:tcW w:w="2270" w:type="dxa"/>
            <w:vMerge w:val="restart"/>
            <w:vAlign w:val="center"/>
          </w:tcPr>
          <w:p>
            <w:pPr>
              <w:spacing w:line="280" w:lineRule="exact"/>
              <w:jc w:val="center"/>
              <w:rPr>
                <w:rFonts w:ascii="Times New Roman" w:hAnsi="Times New Roman"/>
                <w:b/>
                <w:kern w:val="2"/>
              </w:rPr>
            </w:pPr>
            <w:r>
              <w:rPr>
                <w:rFonts w:ascii="Times New Roman" w:hAnsi="Times New Roman"/>
                <w:b/>
                <w:kern w:val="2"/>
              </w:rPr>
              <w:t>项目</w:t>
            </w:r>
          </w:p>
        </w:tc>
        <w:tc>
          <w:tcPr>
            <w:tcW w:w="3491" w:type="dxa"/>
            <w:gridSpan w:val="2"/>
            <w:vAlign w:val="center"/>
          </w:tcPr>
          <w:p>
            <w:pPr>
              <w:spacing w:line="280" w:lineRule="exact"/>
              <w:jc w:val="center"/>
              <w:rPr>
                <w:rFonts w:ascii="Times New Roman" w:hAnsi="Times New Roman"/>
                <w:b/>
                <w:kern w:val="2"/>
              </w:rPr>
            </w:pPr>
            <w:r>
              <w:rPr>
                <w:rFonts w:ascii="Times New Roman" w:hAnsi="Times New Roman"/>
                <w:b/>
                <w:kern w:val="2"/>
              </w:rPr>
              <w:t>标准值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51" w:type="dxa"/>
            <w:vMerge w:val="continue"/>
            <w:vAlign w:val="center"/>
          </w:tcPr>
          <w:p>
            <w:pPr>
              <w:spacing w:line="280" w:lineRule="exact"/>
              <w:jc w:val="center"/>
              <w:rPr>
                <w:rFonts w:ascii="Times New Roman" w:hAnsi="Times New Roman"/>
                <w:b/>
                <w:kern w:val="2"/>
              </w:rPr>
            </w:pPr>
          </w:p>
        </w:tc>
        <w:tc>
          <w:tcPr>
            <w:tcW w:w="2270" w:type="dxa"/>
            <w:vMerge w:val="continue"/>
            <w:tcBorders>
              <w:bottom w:val="single" w:color="auto" w:sz="4" w:space="0"/>
            </w:tcBorders>
            <w:vAlign w:val="center"/>
          </w:tcPr>
          <w:p>
            <w:pPr>
              <w:spacing w:line="280" w:lineRule="exact"/>
              <w:jc w:val="center"/>
              <w:rPr>
                <w:rFonts w:ascii="Times New Roman" w:hAnsi="Times New Roman"/>
                <w:b/>
                <w:kern w:val="2"/>
              </w:rPr>
            </w:pPr>
          </w:p>
        </w:tc>
        <w:tc>
          <w:tcPr>
            <w:tcW w:w="1255" w:type="dxa"/>
            <w:tcBorders>
              <w:bottom w:val="single" w:color="auto" w:sz="4" w:space="0"/>
            </w:tcBorders>
            <w:vAlign w:val="center"/>
          </w:tcPr>
          <w:p>
            <w:pPr>
              <w:spacing w:line="280" w:lineRule="exact"/>
              <w:jc w:val="center"/>
              <w:rPr>
                <w:rFonts w:ascii="Times New Roman" w:hAnsi="Times New Roman"/>
                <w:b/>
                <w:kern w:val="2"/>
              </w:rPr>
            </w:pPr>
            <w:r>
              <w:rPr>
                <w:rFonts w:ascii="Times New Roman" w:hAnsi="Times New Roman"/>
                <w:b/>
                <w:kern w:val="2"/>
              </w:rPr>
              <w:t>单位</w:t>
            </w:r>
          </w:p>
        </w:tc>
        <w:tc>
          <w:tcPr>
            <w:tcW w:w="2236" w:type="dxa"/>
            <w:vAlign w:val="center"/>
          </w:tcPr>
          <w:p>
            <w:pPr>
              <w:spacing w:line="280" w:lineRule="exact"/>
              <w:jc w:val="center"/>
              <w:rPr>
                <w:rFonts w:ascii="Times New Roman" w:hAnsi="Times New Roman"/>
                <w:b/>
                <w:kern w:val="2"/>
              </w:rPr>
            </w:pPr>
            <w:r>
              <w:rPr>
                <w:rFonts w:ascii="Times New Roman" w:hAnsi="Times New Roman"/>
                <w:b/>
                <w:kern w:val="2"/>
              </w:rPr>
              <w:t>数值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51" w:type="dxa"/>
            <w:vMerge w:val="restart"/>
            <w:vAlign w:val="center"/>
          </w:tcPr>
          <w:p>
            <w:pPr>
              <w:spacing w:line="280" w:lineRule="exact"/>
              <w:jc w:val="center"/>
              <w:rPr>
                <w:rFonts w:ascii="Times New Roman" w:hAnsi="Times New Roman"/>
                <w:kern w:val="2"/>
              </w:rPr>
            </w:pPr>
            <w:r>
              <w:rPr>
                <w:rFonts w:ascii="Times New Roman" w:hAnsi="Times New Roman"/>
                <w:kern w:val="2"/>
              </w:rPr>
              <w:t>《土壤环境质量 建设用地土壤污染风险管控标准（试行）》（GB36600-2018）第二类用地筛选值</w:t>
            </w:r>
          </w:p>
        </w:tc>
        <w:tc>
          <w:tcPr>
            <w:tcW w:w="2270" w:type="dxa"/>
            <w:vAlign w:val="center"/>
          </w:tcPr>
          <w:p>
            <w:pPr>
              <w:jc w:val="center"/>
              <w:rPr>
                <w:rFonts w:ascii="Times New Roman" w:hAnsi="Times New Roman"/>
              </w:rPr>
            </w:pPr>
            <w:r>
              <w:rPr>
                <w:rFonts w:ascii="Times New Roman" w:hAnsi="Times New Roman"/>
              </w:rPr>
              <w:t>砷</w:t>
            </w:r>
          </w:p>
        </w:tc>
        <w:tc>
          <w:tcPr>
            <w:tcW w:w="1255" w:type="dxa"/>
            <w:vMerge w:val="restart"/>
            <w:vAlign w:val="center"/>
          </w:tcPr>
          <w:p>
            <w:pPr>
              <w:spacing w:line="280" w:lineRule="exact"/>
              <w:jc w:val="center"/>
              <w:rPr>
                <w:rFonts w:ascii="Times New Roman" w:hAnsi="Times New Roman"/>
                <w:kern w:val="2"/>
              </w:rPr>
            </w:pPr>
            <w:r>
              <w:rPr>
                <w:rFonts w:ascii="Times New Roman" w:hAnsi="Times New Roman"/>
                <w:kern w:val="2"/>
              </w:rPr>
              <w:t>mg/kg</w:t>
            </w:r>
          </w:p>
        </w:tc>
        <w:tc>
          <w:tcPr>
            <w:tcW w:w="2236" w:type="dxa"/>
            <w:vAlign w:val="center"/>
          </w:tcPr>
          <w:p>
            <w:pPr>
              <w:spacing w:line="280" w:lineRule="exact"/>
              <w:jc w:val="center"/>
              <w:rPr>
                <w:rFonts w:ascii="Times New Roman" w:hAnsi="Times New Roman"/>
                <w:kern w:val="2"/>
              </w:rPr>
            </w:pPr>
            <w:r>
              <w:rPr>
                <w:rFonts w:ascii="Times New Roman" w:hAnsi="Times New Roman"/>
                <w:kern w:val="2"/>
              </w:rPr>
              <w:t>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51" w:type="dxa"/>
            <w:vMerge w:val="continue"/>
            <w:vAlign w:val="center"/>
          </w:tcPr>
          <w:p>
            <w:pPr>
              <w:spacing w:line="280" w:lineRule="exact"/>
              <w:jc w:val="center"/>
              <w:rPr>
                <w:rFonts w:ascii="Times New Roman" w:hAnsi="Times New Roman"/>
                <w:kern w:val="2"/>
              </w:rPr>
            </w:pPr>
          </w:p>
        </w:tc>
        <w:tc>
          <w:tcPr>
            <w:tcW w:w="2270" w:type="dxa"/>
            <w:vAlign w:val="center"/>
          </w:tcPr>
          <w:p>
            <w:pPr>
              <w:jc w:val="center"/>
              <w:rPr>
                <w:rFonts w:ascii="Times New Roman" w:hAnsi="Times New Roman"/>
              </w:rPr>
            </w:pPr>
            <w:r>
              <w:rPr>
                <w:rFonts w:ascii="Times New Roman" w:hAnsi="Times New Roman"/>
              </w:rPr>
              <w:t>镉</w:t>
            </w:r>
          </w:p>
        </w:tc>
        <w:tc>
          <w:tcPr>
            <w:tcW w:w="1255" w:type="dxa"/>
            <w:vMerge w:val="continue"/>
            <w:vAlign w:val="center"/>
          </w:tcPr>
          <w:p>
            <w:pPr>
              <w:spacing w:line="280" w:lineRule="exact"/>
              <w:jc w:val="center"/>
              <w:rPr>
                <w:rFonts w:ascii="Times New Roman" w:hAnsi="Times New Roman"/>
                <w:kern w:val="2"/>
              </w:rPr>
            </w:pPr>
          </w:p>
        </w:tc>
        <w:tc>
          <w:tcPr>
            <w:tcW w:w="2236" w:type="dxa"/>
            <w:vAlign w:val="center"/>
          </w:tcPr>
          <w:p>
            <w:pPr>
              <w:spacing w:line="280" w:lineRule="exact"/>
              <w:jc w:val="center"/>
              <w:rPr>
                <w:rFonts w:ascii="Times New Roman" w:hAnsi="Times New Roman"/>
                <w:kern w:val="2"/>
              </w:rPr>
            </w:pPr>
            <w:r>
              <w:rPr>
                <w:rFonts w:ascii="Times New Roman" w:hAnsi="Times New Roman"/>
                <w:kern w:val="2"/>
              </w:rPr>
              <w:t>65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51" w:type="dxa"/>
            <w:vMerge w:val="continue"/>
            <w:vAlign w:val="center"/>
          </w:tcPr>
          <w:p>
            <w:pPr>
              <w:spacing w:line="280" w:lineRule="exact"/>
              <w:jc w:val="center"/>
              <w:rPr>
                <w:rFonts w:ascii="Times New Roman" w:hAnsi="Times New Roman"/>
                <w:kern w:val="2"/>
              </w:rPr>
            </w:pPr>
          </w:p>
        </w:tc>
        <w:tc>
          <w:tcPr>
            <w:tcW w:w="2270" w:type="dxa"/>
            <w:vAlign w:val="center"/>
          </w:tcPr>
          <w:p>
            <w:pPr>
              <w:jc w:val="center"/>
              <w:rPr>
                <w:rFonts w:ascii="Times New Roman" w:hAnsi="Times New Roman"/>
              </w:rPr>
            </w:pPr>
            <w:r>
              <w:rPr>
                <w:rFonts w:ascii="Times New Roman" w:hAnsi="Times New Roman"/>
              </w:rPr>
              <w:t>铬（六价）</w:t>
            </w:r>
          </w:p>
        </w:tc>
        <w:tc>
          <w:tcPr>
            <w:tcW w:w="1255" w:type="dxa"/>
            <w:vMerge w:val="continue"/>
            <w:vAlign w:val="center"/>
          </w:tcPr>
          <w:p>
            <w:pPr>
              <w:spacing w:line="280" w:lineRule="exact"/>
              <w:jc w:val="center"/>
              <w:rPr>
                <w:rFonts w:ascii="Times New Roman" w:hAnsi="Times New Roman"/>
                <w:kern w:val="2"/>
              </w:rPr>
            </w:pPr>
          </w:p>
        </w:tc>
        <w:tc>
          <w:tcPr>
            <w:tcW w:w="2236" w:type="dxa"/>
            <w:vAlign w:val="center"/>
          </w:tcPr>
          <w:p>
            <w:pPr>
              <w:spacing w:line="280" w:lineRule="exact"/>
              <w:jc w:val="center"/>
              <w:rPr>
                <w:rFonts w:ascii="Times New Roman" w:hAnsi="Times New Roman"/>
                <w:kern w:val="2"/>
              </w:rPr>
            </w:pPr>
            <w:r>
              <w:rPr>
                <w:rFonts w:ascii="Times New Roman" w:hAnsi="Times New Roman"/>
                <w:kern w:val="2"/>
              </w:rPr>
              <w:t>5.7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51" w:type="dxa"/>
            <w:vMerge w:val="continue"/>
            <w:vAlign w:val="center"/>
          </w:tcPr>
          <w:p>
            <w:pPr>
              <w:spacing w:line="280" w:lineRule="exact"/>
              <w:jc w:val="center"/>
              <w:rPr>
                <w:rFonts w:ascii="Times New Roman" w:hAnsi="Times New Roman"/>
                <w:kern w:val="2"/>
              </w:rPr>
            </w:pPr>
          </w:p>
        </w:tc>
        <w:tc>
          <w:tcPr>
            <w:tcW w:w="2270" w:type="dxa"/>
            <w:vAlign w:val="center"/>
          </w:tcPr>
          <w:p>
            <w:pPr>
              <w:jc w:val="center"/>
              <w:rPr>
                <w:rFonts w:ascii="Times New Roman" w:hAnsi="Times New Roman"/>
              </w:rPr>
            </w:pPr>
            <w:r>
              <w:rPr>
                <w:rFonts w:ascii="Times New Roman" w:hAnsi="Times New Roman"/>
              </w:rPr>
              <w:t>铜</w:t>
            </w:r>
          </w:p>
        </w:tc>
        <w:tc>
          <w:tcPr>
            <w:tcW w:w="1255" w:type="dxa"/>
            <w:vMerge w:val="continue"/>
            <w:vAlign w:val="center"/>
          </w:tcPr>
          <w:p>
            <w:pPr>
              <w:spacing w:line="280" w:lineRule="exact"/>
              <w:jc w:val="center"/>
              <w:rPr>
                <w:rFonts w:ascii="Times New Roman" w:hAnsi="Times New Roman"/>
                <w:kern w:val="2"/>
              </w:rPr>
            </w:pPr>
          </w:p>
        </w:tc>
        <w:tc>
          <w:tcPr>
            <w:tcW w:w="2236" w:type="dxa"/>
            <w:vAlign w:val="center"/>
          </w:tcPr>
          <w:p>
            <w:pPr>
              <w:spacing w:line="280" w:lineRule="exact"/>
              <w:jc w:val="center"/>
              <w:rPr>
                <w:rFonts w:ascii="Times New Roman" w:hAnsi="Times New Roman"/>
                <w:kern w:val="2"/>
              </w:rPr>
            </w:pPr>
            <w:r>
              <w:rPr>
                <w:rFonts w:ascii="Times New Roman" w:hAnsi="Times New Roman"/>
                <w:kern w:val="2"/>
              </w:rPr>
              <w:t>18000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51" w:type="dxa"/>
            <w:vMerge w:val="continue"/>
            <w:vAlign w:val="center"/>
          </w:tcPr>
          <w:p>
            <w:pPr>
              <w:spacing w:line="280" w:lineRule="exact"/>
              <w:jc w:val="center"/>
              <w:rPr>
                <w:rFonts w:ascii="Times New Roman" w:hAnsi="Times New Roman"/>
                <w:kern w:val="2"/>
              </w:rPr>
            </w:pPr>
          </w:p>
        </w:tc>
        <w:tc>
          <w:tcPr>
            <w:tcW w:w="2270" w:type="dxa"/>
            <w:vAlign w:val="center"/>
          </w:tcPr>
          <w:p>
            <w:pPr>
              <w:jc w:val="center"/>
              <w:rPr>
                <w:rFonts w:ascii="Times New Roman" w:hAnsi="Times New Roman"/>
              </w:rPr>
            </w:pPr>
            <w:r>
              <w:rPr>
                <w:rFonts w:ascii="Times New Roman" w:hAnsi="Times New Roman"/>
              </w:rPr>
              <w:t>铅</w:t>
            </w:r>
          </w:p>
        </w:tc>
        <w:tc>
          <w:tcPr>
            <w:tcW w:w="1255" w:type="dxa"/>
            <w:vMerge w:val="continue"/>
            <w:vAlign w:val="center"/>
          </w:tcPr>
          <w:p>
            <w:pPr>
              <w:spacing w:line="280" w:lineRule="exact"/>
              <w:jc w:val="center"/>
              <w:rPr>
                <w:rFonts w:ascii="Times New Roman" w:hAnsi="Times New Roman"/>
                <w:kern w:val="2"/>
              </w:rPr>
            </w:pPr>
          </w:p>
        </w:tc>
        <w:tc>
          <w:tcPr>
            <w:tcW w:w="2236" w:type="dxa"/>
            <w:vAlign w:val="center"/>
          </w:tcPr>
          <w:p>
            <w:pPr>
              <w:spacing w:line="280" w:lineRule="exact"/>
              <w:jc w:val="center"/>
              <w:rPr>
                <w:rFonts w:ascii="Times New Roman" w:hAnsi="Times New Roman"/>
                <w:kern w:val="2"/>
              </w:rPr>
            </w:pPr>
            <w:r>
              <w:rPr>
                <w:rFonts w:ascii="Times New Roman" w:hAnsi="Times New Roman"/>
                <w:kern w:val="2"/>
              </w:rPr>
              <w:t>800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51" w:type="dxa"/>
            <w:vMerge w:val="continue"/>
            <w:vAlign w:val="center"/>
          </w:tcPr>
          <w:p>
            <w:pPr>
              <w:spacing w:line="280" w:lineRule="exact"/>
              <w:jc w:val="center"/>
              <w:rPr>
                <w:rFonts w:ascii="Times New Roman" w:hAnsi="Times New Roman"/>
                <w:kern w:val="2"/>
              </w:rPr>
            </w:pPr>
          </w:p>
        </w:tc>
        <w:tc>
          <w:tcPr>
            <w:tcW w:w="2270" w:type="dxa"/>
            <w:vAlign w:val="center"/>
          </w:tcPr>
          <w:p>
            <w:pPr>
              <w:jc w:val="center"/>
              <w:rPr>
                <w:rFonts w:ascii="Times New Roman" w:hAnsi="Times New Roman"/>
              </w:rPr>
            </w:pPr>
            <w:r>
              <w:rPr>
                <w:rFonts w:ascii="Times New Roman" w:hAnsi="Times New Roman"/>
              </w:rPr>
              <w:t>汞</w:t>
            </w:r>
          </w:p>
        </w:tc>
        <w:tc>
          <w:tcPr>
            <w:tcW w:w="1255" w:type="dxa"/>
            <w:vMerge w:val="continue"/>
            <w:vAlign w:val="center"/>
          </w:tcPr>
          <w:p>
            <w:pPr>
              <w:spacing w:line="280" w:lineRule="exact"/>
              <w:jc w:val="center"/>
              <w:rPr>
                <w:rFonts w:ascii="Times New Roman" w:hAnsi="Times New Roman"/>
                <w:kern w:val="2"/>
              </w:rPr>
            </w:pPr>
          </w:p>
        </w:tc>
        <w:tc>
          <w:tcPr>
            <w:tcW w:w="2236" w:type="dxa"/>
            <w:vAlign w:val="center"/>
          </w:tcPr>
          <w:p>
            <w:pPr>
              <w:spacing w:line="280" w:lineRule="exact"/>
              <w:jc w:val="center"/>
              <w:rPr>
                <w:rFonts w:ascii="Times New Roman" w:hAnsi="Times New Roman"/>
                <w:kern w:val="2"/>
              </w:rPr>
            </w:pPr>
            <w:r>
              <w:rPr>
                <w:rFonts w:ascii="Times New Roman" w:hAnsi="Times New Roman"/>
                <w:kern w:val="2"/>
              </w:rPr>
              <w:t>38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51" w:type="dxa"/>
            <w:vMerge w:val="continue"/>
            <w:vAlign w:val="center"/>
          </w:tcPr>
          <w:p>
            <w:pPr>
              <w:spacing w:line="280" w:lineRule="exact"/>
              <w:jc w:val="center"/>
              <w:rPr>
                <w:rFonts w:ascii="Times New Roman" w:hAnsi="Times New Roman"/>
                <w:kern w:val="2"/>
              </w:rPr>
            </w:pPr>
          </w:p>
        </w:tc>
        <w:tc>
          <w:tcPr>
            <w:tcW w:w="2270" w:type="dxa"/>
            <w:vAlign w:val="center"/>
          </w:tcPr>
          <w:p>
            <w:pPr>
              <w:jc w:val="center"/>
              <w:rPr>
                <w:rFonts w:ascii="Times New Roman" w:hAnsi="Times New Roman"/>
              </w:rPr>
            </w:pPr>
            <w:r>
              <w:rPr>
                <w:rFonts w:ascii="Times New Roman" w:hAnsi="Times New Roman"/>
              </w:rPr>
              <w:t>镍</w:t>
            </w:r>
          </w:p>
        </w:tc>
        <w:tc>
          <w:tcPr>
            <w:tcW w:w="1255" w:type="dxa"/>
            <w:vMerge w:val="continue"/>
            <w:vAlign w:val="center"/>
          </w:tcPr>
          <w:p>
            <w:pPr>
              <w:spacing w:line="280" w:lineRule="exact"/>
              <w:jc w:val="center"/>
              <w:rPr>
                <w:rFonts w:ascii="Times New Roman" w:hAnsi="Times New Roman"/>
                <w:kern w:val="2"/>
              </w:rPr>
            </w:pPr>
          </w:p>
        </w:tc>
        <w:tc>
          <w:tcPr>
            <w:tcW w:w="2236" w:type="dxa"/>
            <w:vAlign w:val="center"/>
          </w:tcPr>
          <w:p>
            <w:pPr>
              <w:spacing w:line="280" w:lineRule="exact"/>
              <w:jc w:val="center"/>
              <w:rPr>
                <w:rFonts w:ascii="Times New Roman" w:hAnsi="Times New Roman"/>
                <w:kern w:val="2"/>
              </w:rPr>
            </w:pPr>
            <w:r>
              <w:rPr>
                <w:rFonts w:ascii="Times New Roman" w:hAnsi="Times New Roman"/>
                <w:kern w:val="2"/>
              </w:rPr>
              <w:t>900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51" w:type="dxa"/>
            <w:vMerge w:val="continue"/>
            <w:vAlign w:val="center"/>
          </w:tcPr>
          <w:p>
            <w:pPr>
              <w:spacing w:line="280" w:lineRule="exact"/>
              <w:jc w:val="center"/>
              <w:rPr>
                <w:rFonts w:ascii="Times New Roman" w:hAnsi="Times New Roman"/>
                <w:kern w:val="2"/>
              </w:rPr>
            </w:pPr>
          </w:p>
        </w:tc>
        <w:tc>
          <w:tcPr>
            <w:tcW w:w="2270" w:type="dxa"/>
            <w:vAlign w:val="center"/>
          </w:tcPr>
          <w:p>
            <w:pPr>
              <w:jc w:val="center"/>
              <w:rPr>
                <w:rFonts w:ascii="Times New Roman" w:hAnsi="Times New Roman"/>
              </w:rPr>
            </w:pPr>
            <w:r>
              <w:rPr>
                <w:rFonts w:ascii="Times New Roman" w:hAnsi="Times New Roman"/>
              </w:rPr>
              <w:t>四氯化碳</w:t>
            </w:r>
          </w:p>
        </w:tc>
        <w:tc>
          <w:tcPr>
            <w:tcW w:w="1255" w:type="dxa"/>
            <w:vMerge w:val="continue"/>
            <w:vAlign w:val="center"/>
          </w:tcPr>
          <w:p>
            <w:pPr>
              <w:spacing w:line="280" w:lineRule="exact"/>
              <w:jc w:val="center"/>
              <w:rPr>
                <w:rFonts w:ascii="Times New Roman" w:hAnsi="Times New Roman"/>
                <w:kern w:val="2"/>
              </w:rPr>
            </w:pPr>
          </w:p>
        </w:tc>
        <w:tc>
          <w:tcPr>
            <w:tcW w:w="2236" w:type="dxa"/>
            <w:vAlign w:val="center"/>
          </w:tcPr>
          <w:p>
            <w:pPr>
              <w:spacing w:line="280" w:lineRule="exact"/>
              <w:jc w:val="center"/>
              <w:rPr>
                <w:rFonts w:ascii="Times New Roman" w:hAnsi="Times New Roman"/>
                <w:kern w:val="2"/>
              </w:rPr>
            </w:pPr>
            <w:r>
              <w:rPr>
                <w:rFonts w:ascii="Times New Roman" w:hAnsi="Times New Roman"/>
                <w:kern w:val="2"/>
              </w:rPr>
              <w:t>2.8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51" w:type="dxa"/>
            <w:vMerge w:val="continue"/>
            <w:vAlign w:val="center"/>
          </w:tcPr>
          <w:p>
            <w:pPr>
              <w:spacing w:line="280" w:lineRule="exact"/>
              <w:jc w:val="center"/>
              <w:rPr>
                <w:rFonts w:ascii="Times New Roman" w:hAnsi="Times New Roman"/>
                <w:kern w:val="2"/>
              </w:rPr>
            </w:pPr>
          </w:p>
        </w:tc>
        <w:tc>
          <w:tcPr>
            <w:tcW w:w="2270" w:type="dxa"/>
            <w:vAlign w:val="center"/>
          </w:tcPr>
          <w:p>
            <w:pPr>
              <w:jc w:val="center"/>
              <w:rPr>
                <w:rFonts w:ascii="Times New Roman" w:hAnsi="Times New Roman"/>
              </w:rPr>
            </w:pPr>
            <w:r>
              <w:rPr>
                <w:rFonts w:ascii="Times New Roman" w:hAnsi="Times New Roman"/>
              </w:rPr>
              <w:t>氯仿</w:t>
            </w:r>
          </w:p>
        </w:tc>
        <w:tc>
          <w:tcPr>
            <w:tcW w:w="1255" w:type="dxa"/>
            <w:vMerge w:val="continue"/>
            <w:vAlign w:val="center"/>
          </w:tcPr>
          <w:p>
            <w:pPr>
              <w:spacing w:line="280" w:lineRule="exact"/>
              <w:jc w:val="center"/>
              <w:rPr>
                <w:rFonts w:ascii="Times New Roman" w:hAnsi="Times New Roman"/>
                <w:kern w:val="2"/>
              </w:rPr>
            </w:pPr>
          </w:p>
        </w:tc>
        <w:tc>
          <w:tcPr>
            <w:tcW w:w="2236" w:type="dxa"/>
            <w:vAlign w:val="center"/>
          </w:tcPr>
          <w:p>
            <w:pPr>
              <w:spacing w:line="280" w:lineRule="exact"/>
              <w:jc w:val="center"/>
              <w:rPr>
                <w:rFonts w:ascii="Times New Roman" w:hAnsi="Times New Roman"/>
                <w:kern w:val="2"/>
              </w:rPr>
            </w:pPr>
            <w:r>
              <w:rPr>
                <w:rFonts w:ascii="Times New Roman" w:hAnsi="Times New Roman"/>
                <w:kern w:val="2"/>
              </w:rPr>
              <w:t>0.9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51" w:type="dxa"/>
            <w:vMerge w:val="continue"/>
            <w:vAlign w:val="center"/>
          </w:tcPr>
          <w:p>
            <w:pPr>
              <w:spacing w:line="280" w:lineRule="exact"/>
              <w:jc w:val="center"/>
              <w:rPr>
                <w:rFonts w:ascii="Times New Roman" w:hAnsi="Times New Roman"/>
                <w:kern w:val="2"/>
              </w:rPr>
            </w:pPr>
          </w:p>
        </w:tc>
        <w:tc>
          <w:tcPr>
            <w:tcW w:w="2270" w:type="dxa"/>
            <w:vAlign w:val="center"/>
          </w:tcPr>
          <w:p>
            <w:pPr>
              <w:jc w:val="center"/>
              <w:rPr>
                <w:rFonts w:ascii="Times New Roman" w:hAnsi="Times New Roman"/>
              </w:rPr>
            </w:pPr>
            <w:r>
              <w:rPr>
                <w:rFonts w:ascii="Times New Roman" w:hAnsi="Times New Roman"/>
              </w:rPr>
              <w:t>氯甲烷</w:t>
            </w:r>
          </w:p>
        </w:tc>
        <w:tc>
          <w:tcPr>
            <w:tcW w:w="1255" w:type="dxa"/>
            <w:vMerge w:val="continue"/>
            <w:vAlign w:val="center"/>
          </w:tcPr>
          <w:p>
            <w:pPr>
              <w:spacing w:line="280" w:lineRule="exact"/>
              <w:jc w:val="center"/>
              <w:rPr>
                <w:rFonts w:ascii="Times New Roman" w:hAnsi="Times New Roman"/>
                <w:kern w:val="2"/>
              </w:rPr>
            </w:pPr>
          </w:p>
        </w:tc>
        <w:tc>
          <w:tcPr>
            <w:tcW w:w="2236" w:type="dxa"/>
            <w:vAlign w:val="center"/>
          </w:tcPr>
          <w:p>
            <w:pPr>
              <w:spacing w:line="280" w:lineRule="exact"/>
              <w:jc w:val="center"/>
              <w:rPr>
                <w:rFonts w:ascii="Times New Roman" w:hAnsi="Times New Roman"/>
                <w:kern w:val="2"/>
              </w:rPr>
            </w:pPr>
            <w:r>
              <w:rPr>
                <w:rFonts w:ascii="Times New Roman" w:hAnsi="Times New Roman"/>
                <w:kern w:val="2"/>
              </w:rPr>
              <w:t>37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51" w:type="dxa"/>
            <w:vMerge w:val="continue"/>
            <w:vAlign w:val="center"/>
          </w:tcPr>
          <w:p>
            <w:pPr>
              <w:spacing w:line="280" w:lineRule="exact"/>
              <w:jc w:val="center"/>
              <w:rPr>
                <w:rFonts w:ascii="Times New Roman" w:hAnsi="Times New Roman"/>
                <w:kern w:val="2"/>
              </w:rPr>
            </w:pPr>
          </w:p>
        </w:tc>
        <w:tc>
          <w:tcPr>
            <w:tcW w:w="2270" w:type="dxa"/>
            <w:vAlign w:val="center"/>
          </w:tcPr>
          <w:p>
            <w:pPr>
              <w:jc w:val="center"/>
              <w:rPr>
                <w:rFonts w:ascii="Times New Roman" w:hAnsi="Times New Roman"/>
              </w:rPr>
            </w:pPr>
            <w:r>
              <w:rPr>
                <w:rFonts w:ascii="Times New Roman" w:hAnsi="Times New Roman"/>
              </w:rPr>
              <w:t>1,1-二氯乙烷</w:t>
            </w:r>
          </w:p>
        </w:tc>
        <w:tc>
          <w:tcPr>
            <w:tcW w:w="1255" w:type="dxa"/>
            <w:vMerge w:val="continue"/>
            <w:vAlign w:val="center"/>
          </w:tcPr>
          <w:p>
            <w:pPr>
              <w:spacing w:line="280" w:lineRule="exact"/>
              <w:jc w:val="center"/>
              <w:rPr>
                <w:rFonts w:ascii="Times New Roman" w:hAnsi="Times New Roman"/>
                <w:kern w:val="2"/>
              </w:rPr>
            </w:pPr>
          </w:p>
        </w:tc>
        <w:tc>
          <w:tcPr>
            <w:tcW w:w="2236" w:type="dxa"/>
            <w:vAlign w:val="center"/>
          </w:tcPr>
          <w:p>
            <w:pPr>
              <w:spacing w:line="280" w:lineRule="exact"/>
              <w:jc w:val="center"/>
              <w:rPr>
                <w:rFonts w:ascii="Times New Roman" w:hAnsi="Times New Roman"/>
                <w:kern w:val="2"/>
              </w:rPr>
            </w:pPr>
            <w:r>
              <w:rPr>
                <w:rFonts w:ascii="Times New Roman" w:hAnsi="Times New Roman"/>
                <w:kern w:val="2"/>
              </w:rPr>
              <w:t>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51" w:type="dxa"/>
            <w:vMerge w:val="continue"/>
            <w:vAlign w:val="center"/>
          </w:tcPr>
          <w:p>
            <w:pPr>
              <w:spacing w:line="280" w:lineRule="exact"/>
              <w:jc w:val="center"/>
              <w:rPr>
                <w:rFonts w:ascii="Times New Roman" w:hAnsi="Times New Roman"/>
                <w:kern w:val="2"/>
              </w:rPr>
            </w:pPr>
          </w:p>
        </w:tc>
        <w:tc>
          <w:tcPr>
            <w:tcW w:w="2270" w:type="dxa"/>
            <w:vAlign w:val="center"/>
          </w:tcPr>
          <w:p>
            <w:pPr>
              <w:jc w:val="center"/>
              <w:rPr>
                <w:rFonts w:ascii="Times New Roman" w:hAnsi="Times New Roman"/>
              </w:rPr>
            </w:pPr>
            <w:r>
              <w:rPr>
                <w:rFonts w:ascii="Times New Roman" w:hAnsi="Times New Roman"/>
              </w:rPr>
              <w:t>1,2-二氯乙烷</w:t>
            </w:r>
          </w:p>
        </w:tc>
        <w:tc>
          <w:tcPr>
            <w:tcW w:w="1255" w:type="dxa"/>
            <w:vMerge w:val="continue"/>
            <w:vAlign w:val="center"/>
          </w:tcPr>
          <w:p>
            <w:pPr>
              <w:spacing w:line="280" w:lineRule="exact"/>
              <w:jc w:val="center"/>
              <w:rPr>
                <w:rFonts w:ascii="Times New Roman" w:hAnsi="Times New Roman"/>
                <w:kern w:val="2"/>
              </w:rPr>
            </w:pPr>
          </w:p>
        </w:tc>
        <w:tc>
          <w:tcPr>
            <w:tcW w:w="2236" w:type="dxa"/>
            <w:vAlign w:val="center"/>
          </w:tcPr>
          <w:p>
            <w:pPr>
              <w:spacing w:line="280" w:lineRule="exact"/>
              <w:jc w:val="center"/>
              <w:rPr>
                <w:rFonts w:ascii="Times New Roman" w:hAnsi="Times New Roman"/>
                <w:kern w:val="2"/>
              </w:rPr>
            </w:pPr>
            <w:r>
              <w:rPr>
                <w:rFonts w:ascii="Times New Roman" w:hAnsi="Times New Roman"/>
                <w:kern w:val="2"/>
              </w:rPr>
              <w:t>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51" w:type="dxa"/>
            <w:vMerge w:val="continue"/>
            <w:vAlign w:val="center"/>
          </w:tcPr>
          <w:p>
            <w:pPr>
              <w:spacing w:line="280" w:lineRule="exact"/>
              <w:jc w:val="center"/>
              <w:rPr>
                <w:rFonts w:ascii="Times New Roman" w:hAnsi="Times New Roman"/>
                <w:kern w:val="2"/>
              </w:rPr>
            </w:pPr>
          </w:p>
        </w:tc>
        <w:tc>
          <w:tcPr>
            <w:tcW w:w="2270" w:type="dxa"/>
            <w:vAlign w:val="center"/>
          </w:tcPr>
          <w:p>
            <w:pPr>
              <w:jc w:val="center"/>
              <w:rPr>
                <w:rFonts w:ascii="Times New Roman" w:hAnsi="Times New Roman"/>
              </w:rPr>
            </w:pPr>
            <w:r>
              <w:rPr>
                <w:rFonts w:ascii="Times New Roman" w:hAnsi="Times New Roman"/>
              </w:rPr>
              <w:t>1,1-二氯乙烯</w:t>
            </w:r>
          </w:p>
        </w:tc>
        <w:tc>
          <w:tcPr>
            <w:tcW w:w="1255" w:type="dxa"/>
            <w:vMerge w:val="continue"/>
            <w:vAlign w:val="center"/>
          </w:tcPr>
          <w:p>
            <w:pPr>
              <w:spacing w:line="280" w:lineRule="exact"/>
              <w:jc w:val="center"/>
              <w:rPr>
                <w:rFonts w:ascii="Times New Roman" w:hAnsi="Times New Roman"/>
                <w:kern w:val="2"/>
              </w:rPr>
            </w:pPr>
          </w:p>
        </w:tc>
        <w:tc>
          <w:tcPr>
            <w:tcW w:w="2236" w:type="dxa"/>
            <w:vAlign w:val="center"/>
          </w:tcPr>
          <w:p>
            <w:pPr>
              <w:spacing w:line="280" w:lineRule="exact"/>
              <w:jc w:val="center"/>
              <w:rPr>
                <w:rFonts w:ascii="Times New Roman" w:hAnsi="Times New Roman"/>
                <w:kern w:val="2"/>
              </w:rPr>
            </w:pPr>
            <w:r>
              <w:rPr>
                <w:rFonts w:ascii="Times New Roman" w:hAnsi="Times New Roman"/>
                <w:kern w:val="2"/>
              </w:rPr>
              <w:t>66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51" w:type="dxa"/>
            <w:vMerge w:val="continue"/>
            <w:vAlign w:val="center"/>
          </w:tcPr>
          <w:p>
            <w:pPr>
              <w:spacing w:line="280" w:lineRule="exact"/>
              <w:jc w:val="center"/>
              <w:rPr>
                <w:rFonts w:ascii="Times New Roman" w:hAnsi="Times New Roman"/>
                <w:kern w:val="2"/>
              </w:rPr>
            </w:pPr>
          </w:p>
        </w:tc>
        <w:tc>
          <w:tcPr>
            <w:tcW w:w="2270" w:type="dxa"/>
            <w:vAlign w:val="center"/>
          </w:tcPr>
          <w:p>
            <w:pPr>
              <w:jc w:val="center"/>
              <w:rPr>
                <w:rFonts w:ascii="Times New Roman" w:hAnsi="Times New Roman"/>
              </w:rPr>
            </w:pPr>
            <w:r>
              <w:rPr>
                <w:rFonts w:ascii="Times New Roman" w:hAnsi="Times New Roman"/>
              </w:rPr>
              <w:t>顺-1,2-二氯乙烯</w:t>
            </w:r>
          </w:p>
        </w:tc>
        <w:tc>
          <w:tcPr>
            <w:tcW w:w="1255" w:type="dxa"/>
            <w:vMerge w:val="continue"/>
            <w:vAlign w:val="center"/>
          </w:tcPr>
          <w:p>
            <w:pPr>
              <w:spacing w:line="280" w:lineRule="exact"/>
              <w:jc w:val="center"/>
              <w:rPr>
                <w:rFonts w:ascii="Times New Roman" w:hAnsi="Times New Roman"/>
                <w:kern w:val="2"/>
              </w:rPr>
            </w:pPr>
          </w:p>
        </w:tc>
        <w:tc>
          <w:tcPr>
            <w:tcW w:w="2236" w:type="dxa"/>
            <w:vAlign w:val="center"/>
          </w:tcPr>
          <w:p>
            <w:pPr>
              <w:spacing w:line="280" w:lineRule="exact"/>
              <w:jc w:val="center"/>
              <w:rPr>
                <w:rFonts w:ascii="Times New Roman" w:hAnsi="Times New Roman"/>
                <w:kern w:val="2"/>
              </w:rPr>
            </w:pPr>
            <w:r>
              <w:rPr>
                <w:rFonts w:ascii="Times New Roman" w:hAnsi="Times New Roman"/>
                <w:kern w:val="2"/>
              </w:rPr>
              <w:t>596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51" w:type="dxa"/>
            <w:vMerge w:val="continue"/>
            <w:vAlign w:val="center"/>
          </w:tcPr>
          <w:p>
            <w:pPr>
              <w:spacing w:line="280" w:lineRule="exact"/>
              <w:jc w:val="center"/>
              <w:rPr>
                <w:rFonts w:ascii="Times New Roman" w:hAnsi="Times New Roman"/>
                <w:kern w:val="2"/>
              </w:rPr>
            </w:pPr>
          </w:p>
        </w:tc>
        <w:tc>
          <w:tcPr>
            <w:tcW w:w="2270" w:type="dxa"/>
            <w:vAlign w:val="center"/>
          </w:tcPr>
          <w:p>
            <w:pPr>
              <w:jc w:val="center"/>
              <w:rPr>
                <w:rFonts w:ascii="Times New Roman" w:hAnsi="Times New Roman"/>
              </w:rPr>
            </w:pPr>
            <w:r>
              <w:rPr>
                <w:rFonts w:ascii="Times New Roman" w:hAnsi="Times New Roman"/>
              </w:rPr>
              <w:t>反-1,2-二氯乙烯</w:t>
            </w:r>
          </w:p>
        </w:tc>
        <w:tc>
          <w:tcPr>
            <w:tcW w:w="1255" w:type="dxa"/>
            <w:vMerge w:val="continue"/>
            <w:vAlign w:val="center"/>
          </w:tcPr>
          <w:p>
            <w:pPr>
              <w:spacing w:line="280" w:lineRule="exact"/>
              <w:jc w:val="center"/>
              <w:rPr>
                <w:rFonts w:ascii="Times New Roman" w:hAnsi="Times New Roman"/>
                <w:kern w:val="2"/>
              </w:rPr>
            </w:pPr>
          </w:p>
        </w:tc>
        <w:tc>
          <w:tcPr>
            <w:tcW w:w="2236" w:type="dxa"/>
            <w:vAlign w:val="center"/>
          </w:tcPr>
          <w:p>
            <w:pPr>
              <w:spacing w:line="280" w:lineRule="exact"/>
              <w:jc w:val="center"/>
              <w:rPr>
                <w:rFonts w:ascii="Times New Roman" w:hAnsi="Times New Roman"/>
                <w:kern w:val="2"/>
              </w:rPr>
            </w:pPr>
            <w:r>
              <w:rPr>
                <w:rFonts w:ascii="Times New Roman" w:hAnsi="Times New Roman"/>
                <w:kern w:val="2"/>
              </w:rPr>
              <w:t>54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51" w:type="dxa"/>
            <w:vMerge w:val="continue"/>
            <w:vAlign w:val="center"/>
          </w:tcPr>
          <w:p>
            <w:pPr>
              <w:spacing w:line="280" w:lineRule="exact"/>
              <w:jc w:val="center"/>
              <w:rPr>
                <w:rFonts w:ascii="Times New Roman" w:hAnsi="Times New Roman"/>
                <w:kern w:val="2"/>
              </w:rPr>
            </w:pPr>
          </w:p>
        </w:tc>
        <w:tc>
          <w:tcPr>
            <w:tcW w:w="2270" w:type="dxa"/>
            <w:vAlign w:val="center"/>
          </w:tcPr>
          <w:p>
            <w:pPr>
              <w:jc w:val="center"/>
              <w:rPr>
                <w:rFonts w:ascii="Times New Roman" w:hAnsi="Times New Roman"/>
              </w:rPr>
            </w:pPr>
            <w:r>
              <w:rPr>
                <w:rFonts w:ascii="Times New Roman" w:hAnsi="Times New Roman"/>
              </w:rPr>
              <w:t>二氯甲烷</w:t>
            </w:r>
          </w:p>
        </w:tc>
        <w:tc>
          <w:tcPr>
            <w:tcW w:w="1255" w:type="dxa"/>
            <w:vMerge w:val="continue"/>
            <w:vAlign w:val="center"/>
          </w:tcPr>
          <w:p>
            <w:pPr>
              <w:spacing w:line="280" w:lineRule="exact"/>
              <w:jc w:val="center"/>
              <w:rPr>
                <w:rFonts w:ascii="Times New Roman" w:hAnsi="Times New Roman"/>
                <w:kern w:val="2"/>
              </w:rPr>
            </w:pPr>
          </w:p>
        </w:tc>
        <w:tc>
          <w:tcPr>
            <w:tcW w:w="2236" w:type="dxa"/>
            <w:vAlign w:val="center"/>
          </w:tcPr>
          <w:p>
            <w:pPr>
              <w:spacing w:line="280" w:lineRule="exact"/>
              <w:jc w:val="center"/>
              <w:rPr>
                <w:rFonts w:ascii="Times New Roman" w:hAnsi="Times New Roman"/>
                <w:kern w:val="2"/>
              </w:rPr>
            </w:pPr>
            <w:r>
              <w:rPr>
                <w:rFonts w:ascii="Times New Roman" w:hAnsi="Times New Roman"/>
                <w:kern w:val="2"/>
              </w:rPr>
              <w:t>616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51" w:type="dxa"/>
            <w:vMerge w:val="continue"/>
            <w:vAlign w:val="center"/>
          </w:tcPr>
          <w:p>
            <w:pPr>
              <w:spacing w:line="280" w:lineRule="exact"/>
              <w:jc w:val="center"/>
              <w:rPr>
                <w:rFonts w:ascii="Times New Roman" w:hAnsi="Times New Roman"/>
                <w:kern w:val="2"/>
              </w:rPr>
            </w:pPr>
          </w:p>
        </w:tc>
        <w:tc>
          <w:tcPr>
            <w:tcW w:w="2270" w:type="dxa"/>
            <w:vAlign w:val="center"/>
          </w:tcPr>
          <w:p>
            <w:pPr>
              <w:jc w:val="center"/>
              <w:rPr>
                <w:rFonts w:ascii="Times New Roman" w:hAnsi="Times New Roman"/>
              </w:rPr>
            </w:pPr>
            <w:r>
              <w:rPr>
                <w:rFonts w:ascii="Times New Roman" w:hAnsi="Times New Roman"/>
              </w:rPr>
              <w:t>1,2-二氯丙烷</w:t>
            </w:r>
          </w:p>
        </w:tc>
        <w:tc>
          <w:tcPr>
            <w:tcW w:w="1255" w:type="dxa"/>
            <w:vMerge w:val="continue"/>
            <w:vAlign w:val="center"/>
          </w:tcPr>
          <w:p>
            <w:pPr>
              <w:spacing w:line="280" w:lineRule="exact"/>
              <w:jc w:val="center"/>
              <w:rPr>
                <w:rFonts w:ascii="Times New Roman" w:hAnsi="Times New Roman"/>
                <w:kern w:val="2"/>
              </w:rPr>
            </w:pPr>
          </w:p>
        </w:tc>
        <w:tc>
          <w:tcPr>
            <w:tcW w:w="2236" w:type="dxa"/>
            <w:vAlign w:val="center"/>
          </w:tcPr>
          <w:p>
            <w:pPr>
              <w:spacing w:line="280" w:lineRule="exact"/>
              <w:jc w:val="center"/>
              <w:rPr>
                <w:rFonts w:ascii="Times New Roman" w:hAnsi="Times New Roman"/>
                <w:kern w:val="2"/>
              </w:rPr>
            </w:pPr>
            <w:r>
              <w:rPr>
                <w:rFonts w:ascii="Times New Roman" w:hAnsi="Times New Roman"/>
                <w:kern w:val="2"/>
              </w:rPr>
              <w:t>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51" w:type="dxa"/>
            <w:vMerge w:val="continue"/>
            <w:vAlign w:val="center"/>
          </w:tcPr>
          <w:p>
            <w:pPr>
              <w:spacing w:line="280" w:lineRule="exact"/>
              <w:jc w:val="center"/>
              <w:rPr>
                <w:rFonts w:ascii="Times New Roman" w:hAnsi="Times New Roman"/>
                <w:kern w:val="2"/>
              </w:rPr>
            </w:pPr>
          </w:p>
        </w:tc>
        <w:tc>
          <w:tcPr>
            <w:tcW w:w="2270" w:type="dxa"/>
            <w:vAlign w:val="center"/>
          </w:tcPr>
          <w:p>
            <w:pPr>
              <w:jc w:val="center"/>
              <w:rPr>
                <w:rFonts w:ascii="Times New Roman" w:hAnsi="Times New Roman"/>
              </w:rPr>
            </w:pPr>
            <w:r>
              <w:rPr>
                <w:rFonts w:ascii="Times New Roman" w:hAnsi="Times New Roman"/>
              </w:rPr>
              <w:t>1,1,1,2-四氯乙烷</w:t>
            </w:r>
          </w:p>
        </w:tc>
        <w:tc>
          <w:tcPr>
            <w:tcW w:w="1255" w:type="dxa"/>
            <w:vMerge w:val="continue"/>
            <w:vAlign w:val="center"/>
          </w:tcPr>
          <w:p>
            <w:pPr>
              <w:spacing w:line="280" w:lineRule="exact"/>
              <w:jc w:val="center"/>
              <w:rPr>
                <w:rFonts w:ascii="Times New Roman" w:hAnsi="Times New Roman"/>
                <w:kern w:val="2"/>
              </w:rPr>
            </w:pPr>
          </w:p>
        </w:tc>
        <w:tc>
          <w:tcPr>
            <w:tcW w:w="2236" w:type="dxa"/>
            <w:vAlign w:val="center"/>
          </w:tcPr>
          <w:p>
            <w:pPr>
              <w:spacing w:line="280" w:lineRule="exact"/>
              <w:jc w:val="center"/>
              <w:rPr>
                <w:rFonts w:ascii="Times New Roman" w:hAnsi="Times New Roman"/>
                <w:kern w:val="2"/>
              </w:rPr>
            </w:pPr>
            <w:r>
              <w:rPr>
                <w:rFonts w:ascii="Times New Roman" w:hAnsi="Times New Roman"/>
                <w:kern w:val="2"/>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51" w:type="dxa"/>
            <w:vMerge w:val="continue"/>
            <w:vAlign w:val="center"/>
          </w:tcPr>
          <w:p>
            <w:pPr>
              <w:spacing w:line="280" w:lineRule="exact"/>
              <w:jc w:val="center"/>
              <w:rPr>
                <w:rFonts w:ascii="Times New Roman" w:hAnsi="Times New Roman"/>
                <w:kern w:val="2"/>
              </w:rPr>
            </w:pPr>
          </w:p>
        </w:tc>
        <w:tc>
          <w:tcPr>
            <w:tcW w:w="2270" w:type="dxa"/>
            <w:vAlign w:val="center"/>
          </w:tcPr>
          <w:p>
            <w:pPr>
              <w:jc w:val="center"/>
              <w:rPr>
                <w:rFonts w:ascii="Times New Roman" w:hAnsi="Times New Roman"/>
              </w:rPr>
            </w:pPr>
            <w:r>
              <w:rPr>
                <w:rFonts w:ascii="Times New Roman" w:hAnsi="Times New Roman"/>
              </w:rPr>
              <w:t>1,1,2,2-四氯乙烷</w:t>
            </w:r>
          </w:p>
        </w:tc>
        <w:tc>
          <w:tcPr>
            <w:tcW w:w="1255" w:type="dxa"/>
            <w:vMerge w:val="continue"/>
            <w:vAlign w:val="center"/>
          </w:tcPr>
          <w:p>
            <w:pPr>
              <w:spacing w:line="280" w:lineRule="exact"/>
              <w:jc w:val="center"/>
              <w:rPr>
                <w:rFonts w:ascii="Times New Roman" w:hAnsi="Times New Roman"/>
                <w:kern w:val="2"/>
              </w:rPr>
            </w:pPr>
          </w:p>
        </w:tc>
        <w:tc>
          <w:tcPr>
            <w:tcW w:w="2236" w:type="dxa"/>
            <w:vAlign w:val="center"/>
          </w:tcPr>
          <w:p>
            <w:pPr>
              <w:spacing w:line="280" w:lineRule="exact"/>
              <w:jc w:val="center"/>
              <w:rPr>
                <w:rFonts w:ascii="Times New Roman" w:hAnsi="Times New Roman"/>
                <w:kern w:val="2"/>
              </w:rPr>
            </w:pPr>
            <w:r>
              <w:rPr>
                <w:rFonts w:ascii="Times New Roman" w:hAnsi="Times New Roman"/>
                <w:kern w:val="2"/>
              </w:rPr>
              <w:t>6.8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51" w:type="dxa"/>
            <w:vMerge w:val="continue"/>
            <w:vAlign w:val="center"/>
          </w:tcPr>
          <w:p>
            <w:pPr>
              <w:spacing w:line="280" w:lineRule="exact"/>
              <w:jc w:val="center"/>
              <w:rPr>
                <w:rFonts w:ascii="Times New Roman" w:hAnsi="Times New Roman"/>
                <w:kern w:val="2"/>
              </w:rPr>
            </w:pPr>
          </w:p>
        </w:tc>
        <w:tc>
          <w:tcPr>
            <w:tcW w:w="2270" w:type="dxa"/>
            <w:vAlign w:val="center"/>
          </w:tcPr>
          <w:p>
            <w:pPr>
              <w:jc w:val="center"/>
              <w:rPr>
                <w:rFonts w:ascii="Times New Roman" w:hAnsi="Times New Roman"/>
              </w:rPr>
            </w:pPr>
            <w:r>
              <w:rPr>
                <w:rFonts w:ascii="Times New Roman" w:hAnsi="Times New Roman"/>
              </w:rPr>
              <w:t>四氯乙烯</w:t>
            </w:r>
          </w:p>
        </w:tc>
        <w:tc>
          <w:tcPr>
            <w:tcW w:w="1255" w:type="dxa"/>
            <w:vMerge w:val="continue"/>
            <w:vAlign w:val="center"/>
          </w:tcPr>
          <w:p>
            <w:pPr>
              <w:spacing w:line="280" w:lineRule="exact"/>
              <w:jc w:val="center"/>
              <w:rPr>
                <w:rFonts w:ascii="Times New Roman" w:hAnsi="Times New Roman"/>
                <w:kern w:val="2"/>
              </w:rPr>
            </w:pPr>
          </w:p>
        </w:tc>
        <w:tc>
          <w:tcPr>
            <w:tcW w:w="2236" w:type="dxa"/>
            <w:vAlign w:val="center"/>
          </w:tcPr>
          <w:p>
            <w:pPr>
              <w:spacing w:line="280" w:lineRule="exact"/>
              <w:jc w:val="center"/>
              <w:rPr>
                <w:rFonts w:ascii="Times New Roman" w:hAnsi="Times New Roman"/>
                <w:kern w:val="2"/>
              </w:rPr>
            </w:pPr>
            <w:r>
              <w:rPr>
                <w:rFonts w:ascii="Times New Roman" w:hAnsi="Times New Roman"/>
                <w:kern w:val="2"/>
              </w:rPr>
              <w:t>53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51" w:type="dxa"/>
            <w:vMerge w:val="continue"/>
            <w:vAlign w:val="center"/>
          </w:tcPr>
          <w:p>
            <w:pPr>
              <w:spacing w:line="280" w:lineRule="exact"/>
              <w:jc w:val="center"/>
              <w:rPr>
                <w:rFonts w:ascii="Times New Roman" w:hAnsi="Times New Roman"/>
                <w:kern w:val="2"/>
              </w:rPr>
            </w:pPr>
          </w:p>
        </w:tc>
        <w:tc>
          <w:tcPr>
            <w:tcW w:w="2270" w:type="dxa"/>
            <w:vAlign w:val="center"/>
          </w:tcPr>
          <w:p>
            <w:pPr>
              <w:jc w:val="center"/>
              <w:rPr>
                <w:rFonts w:ascii="Times New Roman" w:hAnsi="Times New Roman"/>
              </w:rPr>
            </w:pPr>
            <w:r>
              <w:rPr>
                <w:rFonts w:ascii="Times New Roman" w:hAnsi="Times New Roman"/>
              </w:rPr>
              <w:t>1,1,1-三氯乙烷</w:t>
            </w:r>
          </w:p>
        </w:tc>
        <w:tc>
          <w:tcPr>
            <w:tcW w:w="1255" w:type="dxa"/>
            <w:vMerge w:val="continue"/>
            <w:vAlign w:val="center"/>
          </w:tcPr>
          <w:p>
            <w:pPr>
              <w:spacing w:line="280" w:lineRule="exact"/>
              <w:jc w:val="center"/>
              <w:rPr>
                <w:rFonts w:ascii="Times New Roman" w:hAnsi="Times New Roman"/>
                <w:kern w:val="2"/>
              </w:rPr>
            </w:pPr>
          </w:p>
        </w:tc>
        <w:tc>
          <w:tcPr>
            <w:tcW w:w="2236" w:type="dxa"/>
            <w:vAlign w:val="center"/>
          </w:tcPr>
          <w:p>
            <w:pPr>
              <w:spacing w:line="280" w:lineRule="exact"/>
              <w:jc w:val="center"/>
              <w:rPr>
                <w:rFonts w:ascii="Times New Roman" w:hAnsi="Times New Roman"/>
                <w:kern w:val="2"/>
              </w:rPr>
            </w:pPr>
            <w:r>
              <w:rPr>
                <w:rFonts w:ascii="Times New Roman" w:hAnsi="Times New Roman"/>
                <w:kern w:val="2"/>
              </w:rPr>
              <w:t>840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51" w:type="dxa"/>
            <w:vMerge w:val="continue"/>
            <w:vAlign w:val="center"/>
          </w:tcPr>
          <w:p>
            <w:pPr>
              <w:spacing w:line="280" w:lineRule="exact"/>
              <w:jc w:val="center"/>
              <w:rPr>
                <w:rFonts w:ascii="Times New Roman" w:hAnsi="Times New Roman"/>
                <w:kern w:val="2"/>
              </w:rPr>
            </w:pPr>
          </w:p>
        </w:tc>
        <w:tc>
          <w:tcPr>
            <w:tcW w:w="2270" w:type="dxa"/>
            <w:vAlign w:val="center"/>
          </w:tcPr>
          <w:p>
            <w:pPr>
              <w:jc w:val="center"/>
              <w:rPr>
                <w:rFonts w:ascii="Times New Roman" w:hAnsi="Times New Roman"/>
              </w:rPr>
            </w:pPr>
            <w:r>
              <w:rPr>
                <w:rFonts w:ascii="Times New Roman" w:hAnsi="Times New Roman"/>
              </w:rPr>
              <w:t>1,1,2-三氯乙烷</w:t>
            </w:r>
          </w:p>
        </w:tc>
        <w:tc>
          <w:tcPr>
            <w:tcW w:w="1255" w:type="dxa"/>
            <w:vMerge w:val="continue"/>
            <w:vAlign w:val="center"/>
          </w:tcPr>
          <w:p>
            <w:pPr>
              <w:spacing w:line="280" w:lineRule="exact"/>
              <w:jc w:val="center"/>
              <w:rPr>
                <w:rFonts w:ascii="Times New Roman" w:hAnsi="Times New Roman"/>
                <w:kern w:val="2"/>
              </w:rPr>
            </w:pPr>
          </w:p>
        </w:tc>
        <w:tc>
          <w:tcPr>
            <w:tcW w:w="2236" w:type="dxa"/>
            <w:vAlign w:val="center"/>
          </w:tcPr>
          <w:p>
            <w:pPr>
              <w:spacing w:line="280" w:lineRule="exact"/>
              <w:jc w:val="center"/>
              <w:rPr>
                <w:rFonts w:ascii="Times New Roman" w:hAnsi="Times New Roman"/>
                <w:kern w:val="2"/>
              </w:rPr>
            </w:pPr>
            <w:r>
              <w:rPr>
                <w:rFonts w:ascii="Times New Roman" w:hAnsi="Times New Roman"/>
                <w:kern w:val="2"/>
              </w:rPr>
              <w:t>2.8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51" w:type="dxa"/>
            <w:vMerge w:val="continue"/>
            <w:vAlign w:val="center"/>
          </w:tcPr>
          <w:p>
            <w:pPr>
              <w:spacing w:line="280" w:lineRule="exact"/>
              <w:jc w:val="center"/>
              <w:rPr>
                <w:rFonts w:ascii="Times New Roman" w:hAnsi="Times New Roman"/>
                <w:kern w:val="2"/>
              </w:rPr>
            </w:pPr>
          </w:p>
        </w:tc>
        <w:tc>
          <w:tcPr>
            <w:tcW w:w="2270" w:type="dxa"/>
            <w:vAlign w:val="center"/>
          </w:tcPr>
          <w:p>
            <w:pPr>
              <w:jc w:val="center"/>
              <w:rPr>
                <w:rFonts w:ascii="Times New Roman" w:hAnsi="Times New Roman"/>
              </w:rPr>
            </w:pPr>
            <w:r>
              <w:rPr>
                <w:rFonts w:ascii="Times New Roman" w:hAnsi="Times New Roman"/>
              </w:rPr>
              <w:t>三氯乙烯</w:t>
            </w:r>
          </w:p>
        </w:tc>
        <w:tc>
          <w:tcPr>
            <w:tcW w:w="1255" w:type="dxa"/>
            <w:vMerge w:val="continue"/>
            <w:vAlign w:val="center"/>
          </w:tcPr>
          <w:p>
            <w:pPr>
              <w:spacing w:line="280" w:lineRule="exact"/>
              <w:jc w:val="center"/>
              <w:rPr>
                <w:rFonts w:ascii="Times New Roman" w:hAnsi="Times New Roman"/>
                <w:kern w:val="2"/>
              </w:rPr>
            </w:pPr>
          </w:p>
        </w:tc>
        <w:tc>
          <w:tcPr>
            <w:tcW w:w="2236" w:type="dxa"/>
            <w:vAlign w:val="center"/>
          </w:tcPr>
          <w:p>
            <w:pPr>
              <w:spacing w:line="280" w:lineRule="exact"/>
              <w:jc w:val="center"/>
              <w:rPr>
                <w:rFonts w:ascii="Times New Roman" w:hAnsi="Times New Roman"/>
                <w:kern w:val="2"/>
              </w:rPr>
            </w:pPr>
            <w:r>
              <w:rPr>
                <w:rFonts w:ascii="Times New Roman" w:hAnsi="Times New Roman"/>
                <w:kern w:val="2"/>
              </w:rPr>
              <w:t>2.8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51" w:type="dxa"/>
            <w:vMerge w:val="continue"/>
            <w:vAlign w:val="center"/>
          </w:tcPr>
          <w:p>
            <w:pPr>
              <w:spacing w:line="280" w:lineRule="exact"/>
              <w:jc w:val="center"/>
              <w:rPr>
                <w:rFonts w:ascii="Times New Roman" w:hAnsi="Times New Roman"/>
                <w:kern w:val="2"/>
              </w:rPr>
            </w:pPr>
          </w:p>
        </w:tc>
        <w:tc>
          <w:tcPr>
            <w:tcW w:w="2270" w:type="dxa"/>
            <w:vAlign w:val="center"/>
          </w:tcPr>
          <w:p>
            <w:pPr>
              <w:jc w:val="center"/>
              <w:rPr>
                <w:rFonts w:ascii="Times New Roman" w:hAnsi="Times New Roman"/>
              </w:rPr>
            </w:pPr>
            <w:r>
              <w:rPr>
                <w:rFonts w:ascii="Times New Roman" w:hAnsi="Times New Roman"/>
              </w:rPr>
              <w:t>1,2,3-三氯丙烷</w:t>
            </w:r>
          </w:p>
        </w:tc>
        <w:tc>
          <w:tcPr>
            <w:tcW w:w="1255" w:type="dxa"/>
            <w:vMerge w:val="continue"/>
            <w:vAlign w:val="center"/>
          </w:tcPr>
          <w:p>
            <w:pPr>
              <w:spacing w:line="280" w:lineRule="exact"/>
              <w:jc w:val="center"/>
              <w:rPr>
                <w:rFonts w:ascii="Times New Roman" w:hAnsi="Times New Roman"/>
                <w:kern w:val="2"/>
              </w:rPr>
            </w:pPr>
          </w:p>
        </w:tc>
        <w:tc>
          <w:tcPr>
            <w:tcW w:w="2236" w:type="dxa"/>
            <w:vAlign w:val="center"/>
          </w:tcPr>
          <w:p>
            <w:pPr>
              <w:spacing w:line="280" w:lineRule="exact"/>
              <w:jc w:val="center"/>
              <w:rPr>
                <w:rFonts w:ascii="Times New Roman" w:hAnsi="Times New Roman"/>
                <w:kern w:val="2"/>
              </w:rPr>
            </w:pPr>
            <w:r>
              <w:rPr>
                <w:rFonts w:ascii="Times New Roman" w:hAnsi="Times New Roman"/>
                <w:kern w:val="2"/>
              </w:rPr>
              <w:t>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51" w:type="dxa"/>
            <w:vMerge w:val="continue"/>
            <w:vAlign w:val="center"/>
          </w:tcPr>
          <w:p>
            <w:pPr>
              <w:spacing w:line="280" w:lineRule="exact"/>
              <w:jc w:val="center"/>
              <w:rPr>
                <w:rFonts w:ascii="Times New Roman" w:hAnsi="Times New Roman"/>
                <w:kern w:val="2"/>
              </w:rPr>
            </w:pPr>
          </w:p>
        </w:tc>
        <w:tc>
          <w:tcPr>
            <w:tcW w:w="2270" w:type="dxa"/>
            <w:vAlign w:val="center"/>
          </w:tcPr>
          <w:p>
            <w:pPr>
              <w:jc w:val="center"/>
              <w:rPr>
                <w:rFonts w:ascii="Times New Roman" w:hAnsi="Times New Roman"/>
              </w:rPr>
            </w:pPr>
            <w:r>
              <w:rPr>
                <w:rFonts w:ascii="Times New Roman" w:hAnsi="Times New Roman"/>
              </w:rPr>
              <w:t>氯乙烯</w:t>
            </w:r>
          </w:p>
        </w:tc>
        <w:tc>
          <w:tcPr>
            <w:tcW w:w="1255" w:type="dxa"/>
            <w:vMerge w:val="continue"/>
            <w:vAlign w:val="center"/>
          </w:tcPr>
          <w:p>
            <w:pPr>
              <w:spacing w:line="280" w:lineRule="exact"/>
              <w:jc w:val="center"/>
              <w:rPr>
                <w:rFonts w:ascii="Times New Roman" w:hAnsi="Times New Roman"/>
                <w:kern w:val="2"/>
              </w:rPr>
            </w:pPr>
          </w:p>
        </w:tc>
        <w:tc>
          <w:tcPr>
            <w:tcW w:w="2236" w:type="dxa"/>
            <w:vAlign w:val="center"/>
          </w:tcPr>
          <w:p>
            <w:pPr>
              <w:spacing w:line="280" w:lineRule="exact"/>
              <w:jc w:val="center"/>
              <w:rPr>
                <w:rFonts w:ascii="Times New Roman" w:hAnsi="Times New Roman"/>
                <w:kern w:val="2"/>
              </w:rPr>
            </w:pPr>
            <w:r>
              <w:rPr>
                <w:rFonts w:ascii="Times New Roman" w:hAnsi="Times New Roman"/>
                <w:kern w:val="2"/>
              </w:rPr>
              <w:t>0.43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51" w:type="dxa"/>
            <w:vMerge w:val="continue"/>
            <w:vAlign w:val="center"/>
          </w:tcPr>
          <w:p>
            <w:pPr>
              <w:spacing w:line="280" w:lineRule="exact"/>
              <w:jc w:val="center"/>
              <w:rPr>
                <w:rFonts w:ascii="Times New Roman" w:hAnsi="Times New Roman"/>
                <w:kern w:val="2"/>
              </w:rPr>
            </w:pPr>
          </w:p>
        </w:tc>
        <w:tc>
          <w:tcPr>
            <w:tcW w:w="2270" w:type="dxa"/>
            <w:vAlign w:val="center"/>
          </w:tcPr>
          <w:p>
            <w:pPr>
              <w:jc w:val="center"/>
              <w:rPr>
                <w:rFonts w:ascii="Times New Roman" w:hAnsi="Times New Roman"/>
              </w:rPr>
            </w:pPr>
            <w:r>
              <w:rPr>
                <w:rFonts w:ascii="Times New Roman" w:hAnsi="Times New Roman"/>
              </w:rPr>
              <w:t>苯</w:t>
            </w:r>
          </w:p>
        </w:tc>
        <w:tc>
          <w:tcPr>
            <w:tcW w:w="1255" w:type="dxa"/>
            <w:vMerge w:val="continue"/>
            <w:vAlign w:val="center"/>
          </w:tcPr>
          <w:p>
            <w:pPr>
              <w:spacing w:line="280" w:lineRule="exact"/>
              <w:jc w:val="center"/>
              <w:rPr>
                <w:rFonts w:ascii="Times New Roman" w:hAnsi="Times New Roman"/>
                <w:kern w:val="2"/>
              </w:rPr>
            </w:pPr>
          </w:p>
        </w:tc>
        <w:tc>
          <w:tcPr>
            <w:tcW w:w="2236" w:type="dxa"/>
            <w:vAlign w:val="center"/>
          </w:tcPr>
          <w:p>
            <w:pPr>
              <w:spacing w:line="280" w:lineRule="exact"/>
              <w:jc w:val="center"/>
              <w:rPr>
                <w:rFonts w:ascii="Times New Roman" w:hAnsi="Times New Roman"/>
                <w:kern w:val="2"/>
              </w:rPr>
            </w:pPr>
            <w:r>
              <w:rPr>
                <w:rFonts w:ascii="Times New Roman" w:hAnsi="Times New Roman"/>
                <w:kern w:val="2"/>
              </w:rPr>
              <w:t>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51" w:type="dxa"/>
            <w:vMerge w:val="continue"/>
            <w:vAlign w:val="center"/>
          </w:tcPr>
          <w:p>
            <w:pPr>
              <w:spacing w:line="280" w:lineRule="exact"/>
              <w:jc w:val="center"/>
              <w:rPr>
                <w:rFonts w:ascii="Times New Roman" w:hAnsi="Times New Roman"/>
                <w:kern w:val="2"/>
              </w:rPr>
            </w:pPr>
          </w:p>
        </w:tc>
        <w:tc>
          <w:tcPr>
            <w:tcW w:w="2270" w:type="dxa"/>
            <w:vAlign w:val="center"/>
          </w:tcPr>
          <w:p>
            <w:pPr>
              <w:jc w:val="center"/>
              <w:rPr>
                <w:rFonts w:ascii="Times New Roman" w:hAnsi="Times New Roman"/>
              </w:rPr>
            </w:pPr>
            <w:r>
              <w:rPr>
                <w:rFonts w:ascii="Times New Roman" w:hAnsi="Times New Roman"/>
              </w:rPr>
              <w:t>氯苯</w:t>
            </w:r>
          </w:p>
        </w:tc>
        <w:tc>
          <w:tcPr>
            <w:tcW w:w="1255" w:type="dxa"/>
            <w:vMerge w:val="continue"/>
            <w:vAlign w:val="center"/>
          </w:tcPr>
          <w:p>
            <w:pPr>
              <w:spacing w:line="280" w:lineRule="exact"/>
              <w:jc w:val="center"/>
              <w:rPr>
                <w:rFonts w:ascii="Times New Roman" w:hAnsi="Times New Roman"/>
                <w:kern w:val="2"/>
              </w:rPr>
            </w:pPr>
          </w:p>
        </w:tc>
        <w:tc>
          <w:tcPr>
            <w:tcW w:w="2236" w:type="dxa"/>
            <w:vAlign w:val="center"/>
          </w:tcPr>
          <w:p>
            <w:pPr>
              <w:spacing w:line="280" w:lineRule="exact"/>
              <w:jc w:val="center"/>
              <w:rPr>
                <w:rFonts w:ascii="Times New Roman" w:hAnsi="Times New Roman"/>
                <w:kern w:val="2"/>
              </w:rPr>
            </w:pPr>
            <w:r>
              <w:rPr>
                <w:rFonts w:ascii="Times New Roman" w:hAnsi="Times New Roman"/>
                <w:kern w:val="2"/>
              </w:rPr>
              <w:t>270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51" w:type="dxa"/>
            <w:vMerge w:val="continue"/>
            <w:vAlign w:val="center"/>
          </w:tcPr>
          <w:p>
            <w:pPr>
              <w:spacing w:line="280" w:lineRule="exact"/>
              <w:jc w:val="center"/>
              <w:rPr>
                <w:rFonts w:ascii="Times New Roman" w:hAnsi="Times New Roman"/>
                <w:kern w:val="2"/>
              </w:rPr>
            </w:pPr>
          </w:p>
        </w:tc>
        <w:tc>
          <w:tcPr>
            <w:tcW w:w="2270" w:type="dxa"/>
            <w:vAlign w:val="center"/>
          </w:tcPr>
          <w:p>
            <w:pPr>
              <w:jc w:val="center"/>
              <w:rPr>
                <w:rFonts w:ascii="Times New Roman" w:hAnsi="Times New Roman"/>
              </w:rPr>
            </w:pPr>
            <w:r>
              <w:rPr>
                <w:rFonts w:ascii="Times New Roman" w:hAnsi="Times New Roman"/>
              </w:rPr>
              <w:t>1,2-二氯苯</w:t>
            </w:r>
          </w:p>
        </w:tc>
        <w:tc>
          <w:tcPr>
            <w:tcW w:w="1255" w:type="dxa"/>
            <w:vMerge w:val="continue"/>
            <w:vAlign w:val="center"/>
          </w:tcPr>
          <w:p>
            <w:pPr>
              <w:spacing w:line="280" w:lineRule="exact"/>
              <w:jc w:val="center"/>
              <w:rPr>
                <w:rFonts w:ascii="Times New Roman" w:hAnsi="Times New Roman"/>
                <w:kern w:val="2"/>
              </w:rPr>
            </w:pPr>
          </w:p>
        </w:tc>
        <w:tc>
          <w:tcPr>
            <w:tcW w:w="2236" w:type="dxa"/>
            <w:vAlign w:val="center"/>
          </w:tcPr>
          <w:p>
            <w:pPr>
              <w:spacing w:line="280" w:lineRule="exact"/>
              <w:jc w:val="center"/>
              <w:rPr>
                <w:rFonts w:ascii="Times New Roman" w:hAnsi="Times New Roman"/>
                <w:kern w:val="2"/>
              </w:rPr>
            </w:pPr>
            <w:r>
              <w:rPr>
                <w:rFonts w:ascii="Times New Roman" w:hAnsi="Times New Roman"/>
                <w:kern w:val="2"/>
              </w:rPr>
              <w:t>560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51" w:type="dxa"/>
            <w:vMerge w:val="continue"/>
            <w:vAlign w:val="center"/>
          </w:tcPr>
          <w:p>
            <w:pPr>
              <w:spacing w:line="280" w:lineRule="exact"/>
              <w:jc w:val="center"/>
              <w:rPr>
                <w:rFonts w:ascii="Times New Roman" w:hAnsi="Times New Roman"/>
                <w:kern w:val="2"/>
              </w:rPr>
            </w:pPr>
          </w:p>
        </w:tc>
        <w:tc>
          <w:tcPr>
            <w:tcW w:w="2270" w:type="dxa"/>
            <w:vAlign w:val="center"/>
          </w:tcPr>
          <w:p>
            <w:pPr>
              <w:jc w:val="center"/>
              <w:rPr>
                <w:rFonts w:ascii="Times New Roman" w:hAnsi="Times New Roman"/>
              </w:rPr>
            </w:pPr>
            <w:r>
              <w:rPr>
                <w:rFonts w:ascii="Times New Roman" w:hAnsi="Times New Roman"/>
              </w:rPr>
              <w:t>1,4-二氯苯</w:t>
            </w:r>
          </w:p>
        </w:tc>
        <w:tc>
          <w:tcPr>
            <w:tcW w:w="1255" w:type="dxa"/>
            <w:vMerge w:val="continue"/>
            <w:vAlign w:val="center"/>
          </w:tcPr>
          <w:p>
            <w:pPr>
              <w:spacing w:line="280" w:lineRule="exact"/>
              <w:jc w:val="center"/>
              <w:rPr>
                <w:rFonts w:ascii="Times New Roman" w:hAnsi="Times New Roman"/>
                <w:kern w:val="2"/>
              </w:rPr>
            </w:pPr>
          </w:p>
        </w:tc>
        <w:tc>
          <w:tcPr>
            <w:tcW w:w="2236" w:type="dxa"/>
            <w:vAlign w:val="center"/>
          </w:tcPr>
          <w:p>
            <w:pPr>
              <w:spacing w:line="280" w:lineRule="exact"/>
              <w:jc w:val="center"/>
              <w:rPr>
                <w:rFonts w:ascii="Times New Roman" w:hAnsi="Times New Roman"/>
                <w:kern w:val="2"/>
              </w:rPr>
            </w:pPr>
            <w:r>
              <w:rPr>
                <w:rFonts w:ascii="Times New Roman" w:hAnsi="Times New Roman"/>
                <w:kern w:val="2"/>
              </w:rPr>
              <w:t>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51" w:type="dxa"/>
            <w:vMerge w:val="continue"/>
            <w:vAlign w:val="center"/>
          </w:tcPr>
          <w:p>
            <w:pPr>
              <w:spacing w:line="280" w:lineRule="exact"/>
              <w:jc w:val="center"/>
              <w:rPr>
                <w:rFonts w:ascii="Times New Roman" w:hAnsi="Times New Roman"/>
                <w:kern w:val="2"/>
              </w:rPr>
            </w:pPr>
          </w:p>
        </w:tc>
        <w:tc>
          <w:tcPr>
            <w:tcW w:w="2270" w:type="dxa"/>
            <w:vAlign w:val="center"/>
          </w:tcPr>
          <w:p>
            <w:pPr>
              <w:jc w:val="center"/>
              <w:rPr>
                <w:rFonts w:ascii="Times New Roman" w:hAnsi="Times New Roman"/>
              </w:rPr>
            </w:pPr>
            <w:r>
              <w:rPr>
                <w:rFonts w:ascii="Times New Roman" w:hAnsi="Times New Roman"/>
              </w:rPr>
              <w:t>乙苯</w:t>
            </w:r>
          </w:p>
        </w:tc>
        <w:tc>
          <w:tcPr>
            <w:tcW w:w="1255" w:type="dxa"/>
            <w:vMerge w:val="continue"/>
            <w:vAlign w:val="center"/>
          </w:tcPr>
          <w:p>
            <w:pPr>
              <w:spacing w:line="280" w:lineRule="exact"/>
              <w:jc w:val="center"/>
              <w:rPr>
                <w:rFonts w:ascii="Times New Roman" w:hAnsi="Times New Roman"/>
                <w:kern w:val="2"/>
              </w:rPr>
            </w:pPr>
          </w:p>
        </w:tc>
        <w:tc>
          <w:tcPr>
            <w:tcW w:w="2236" w:type="dxa"/>
            <w:vAlign w:val="center"/>
          </w:tcPr>
          <w:p>
            <w:pPr>
              <w:spacing w:line="280" w:lineRule="exact"/>
              <w:jc w:val="center"/>
              <w:rPr>
                <w:rFonts w:ascii="Times New Roman" w:hAnsi="Times New Roman"/>
                <w:kern w:val="2"/>
              </w:rPr>
            </w:pPr>
            <w:r>
              <w:rPr>
                <w:rFonts w:ascii="Times New Roman" w:hAnsi="Times New Roman"/>
                <w:kern w:val="2"/>
              </w:rPr>
              <w:t>28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51" w:type="dxa"/>
            <w:vMerge w:val="continue"/>
            <w:vAlign w:val="center"/>
          </w:tcPr>
          <w:p>
            <w:pPr>
              <w:spacing w:line="280" w:lineRule="exact"/>
              <w:jc w:val="center"/>
              <w:rPr>
                <w:rFonts w:ascii="Times New Roman" w:hAnsi="Times New Roman"/>
                <w:kern w:val="2"/>
              </w:rPr>
            </w:pPr>
          </w:p>
        </w:tc>
        <w:tc>
          <w:tcPr>
            <w:tcW w:w="2270" w:type="dxa"/>
            <w:vAlign w:val="center"/>
          </w:tcPr>
          <w:p>
            <w:pPr>
              <w:jc w:val="center"/>
              <w:rPr>
                <w:rFonts w:ascii="Times New Roman" w:hAnsi="Times New Roman"/>
              </w:rPr>
            </w:pPr>
            <w:r>
              <w:rPr>
                <w:rFonts w:ascii="Times New Roman" w:hAnsi="Times New Roman"/>
              </w:rPr>
              <w:t>苯乙烯</w:t>
            </w:r>
          </w:p>
        </w:tc>
        <w:tc>
          <w:tcPr>
            <w:tcW w:w="1255" w:type="dxa"/>
            <w:vMerge w:val="continue"/>
            <w:vAlign w:val="center"/>
          </w:tcPr>
          <w:p>
            <w:pPr>
              <w:spacing w:line="280" w:lineRule="exact"/>
              <w:jc w:val="center"/>
              <w:rPr>
                <w:rFonts w:ascii="Times New Roman" w:hAnsi="Times New Roman"/>
                <w:kern w:val="2"/>
              </w:rPr>
            </w:pPr>
          </w:p>
        </w:tc>
        <w:tc>
          <w:tcPr>
            <w:tcW w:w="2236" w:type="dxa"/>
            <w:vAlign w:val="center"/>
          </w:tcPr>
          <w:p>
            <w:pPr>
              <w:spacing w:line="280" w:lineRule="exact"/>
              <w:jc w:val="center"/>
              <w:rPr>
                <w:rFonts w:ascii="Times New Roman" w:hAnsi="Times New Roman"/>
                <w:kern w:val="2"/>
              </w:rPr>
            </w:pPr>
            <w:r>
              <w:rPr>
                <w:rFonts w:ascii="Times New Roman" w:hAnsi="Times New Roman"/>
                <w:kern w:val="2"/>
              </w:rPr>
              <w:t>1290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51" w:type="dxa"/>
            <w:vMerge w:val="continue"/>
            <w:vAlign w:val="center"/>
          </w:tcPr>
          <w:p>
            <w:pPr>
              <w:spacing w:line="280" w:lineRule="exact"/>
              <w:jc w:val="center"/>
              <w:rPr>
                <w:rFonts w:ascii="Times New Roman" w:hAnsi="Times New Roman"/>
                <w:kern w:val="2"/>
              </w:rPr>
            </w:pPr>
          </w:p>
        </w:tc>
        <w:tc>
          <w:tcPr>
            <w:tcW w:w="2270" w:type="dxa"/>
            <w:vAlign w:val="center"/>
          </w:tcPr>
          <w:p>
            <w:pPr>
              <w:jc w:val="center"/>
              <w:rPr>
                <w:rFonts w:ascii="Times New Roman" w:hAnsi="Times New Roman"/>
              </w:rPr>
            </w:pPr>
            <w:r>
              <w:rPr>
                <w:rFonts w:ascii="Times New Roman" w:hAnsi="Times New Roman"/>
              </w:rPr>
              <w:t>甲苯</w:t>
            </w:r>
          </w:p>
        </w:tc>
        <w:tc>
          <w:tcPr>
            <w:tcW w:w="1255" w:type="dxa"/>
            <w:vMerge w:val="continue"/>
            <w:vAlign w:val="center"/>
          </w:tcPr>
          <w:p>
            <w:pPr>
              <w:spacing w:line="280" w:lineRule="exact"/>
              <w:jc w:val="center"/>
              <w:rPr>
                <w:rFonts w:ascii="Times New Roman" w:hAnsi="Times New Roman"/>
                <w:kern w:val="2"/>
              </w:rPr>
            </w:pPr>
          </w:p>
        </w:tc>
        <w:tc>
          <w:tcPr>
            <w:tcW w:w="2236" w:type="dxa"/>
            <w:vAlign w:val="center"/>
          </w:tcPr>
          <w:p>
            <w:pPr>
              <w:spacing w:line="280" w:lineRule="exact"/>
              <w:jc w:val="center"/>
              <w:rPr>
                <w:rFonts w:ascii="Times New Roman" w:hAnsi="Times New Roman"/>
                <w:kern w:val="2"/>
              </w:rPr>
            </w:pPr>
            <w:r>
              <w:rPr>
                <w:rFonts w:ascii="Times New Roman" w:hAnsi="Times New Roman"/>
                <w:kern w:val="2"/>
              </w:rPr>
              <w:t>1200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51" w:type="dxa"/>
            <w:vMerge w:val="continue"/>
            <w:vAlign w:val="center"/>
          </w:tcPr>
          <w:p>
            <w:pPr>
              <w:spacing w:line="280" w:lineRule="exact"/>
              <w:jc w:val="center"/>
              <w:rPr>
                <w:rFonts w:ascii="Times New Roman" w:hAnsi="Times New Roman"/>
                <w:kern w:val="2"/>
              </w:rPr>
            </w:pPr>
          </w:p>
        </w:tc>
        <w:tc>
          <w:tcPr>
            <w:tcW w:w="2270" w:type="dxa"/>
            <w:vAlign w:val="center"/>
          </w:tcPr>
          <w:p>
            <w:pPr>
              <w:jc w:val="center"/>
              <w:rPr>
                <w:rFonts w:ascii="Times New Roman" w:hAnsi="Times New Roman"/>
              </w:rPr>
            </w:pPr>
            <w:r>
              <w:rPr>
                <w:rFonts w:ascii="Times New Roman" w:hAnsi="Times New Roman"/>
              </w:rPr>
              <w:t>间二甲苯+对二甲苯</w:t>
            </w:r>
          </w:p>
        </w:tc>
        <w:tc>
          <w:tcPr>
            <w:tcW w:w="1255" w:type="dxa"/>
            <w:vMerge w:val="continue"/>
            <w:vAlign w:val="center"/>
          </w:tcPr>
          <w:p>
            <w:pPr>
              <w:spacing w:line="280" w:lineRule="exact"/>
              <w:jc w:val="center"/>
              <w:rPr>
                <w:rFonts w:ascii="Times New Roman" w:hAnsi="Times New Roman"/>
                <w:kern w:val="2"/>
              </w:rPr>
            </w:pPr>
          </w:p>
        </w:tc>
        <w:tc>
          <w:tcPr>
            <w:tcW w:w="2236" w:type="dxa"/>
            <w:vAlign w:val="center"/>
          </w:tcPr>
          <w:p>
            <w:pPr>
              <w:spacing w:line="280" w:lineRule="exact"/>
              <w:jc w:val="center"/>
              <w:rPr>
                <w:rFonts w:ascii="Times New Roman" w:hAnsi="Times New Roman"/>
                <w:kern w:val="2"/>
              </w:rPr>
            </w:pPr>
            <w:r>
              <w:rPr>
                <w:rFonts w:ascii="Times New Roman" w:hAnsi="Times New Roman"/>
                <w:kern w:val="2"/>
              </w:rPr>
              <w:t>500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51" w:type="dxa"/>
            <w:vMerge w:val="continue"/>
            <w:vAlign w:val="center"/>
          </w:tcPr>
          <w:p>
            <w:pPr>
              <w:spacing w:line="280" w:lineRule="exact"/>
              <w:jc w:val="center"/>
              <w:rPr>
                <w:rFonts w:ascii="Times New Roman" w:hAnsi="Times New Roman"/>
                <w:kern w:val="2"/>
              </w:rPr>
            </w:pPr>
          </w:p>
        </w:tc>
        <w:tc>
          <w:tcPr>
            <w:tcW w:w="2270" w:type="dxa"/>
            <w:vAlign w:val="center"/>
          </w:tcPr>
          <w:p>
            <w:pPr>
              <w:jc w:val="center"/>
              <w:rPr>
                <w:rFonts w:ascii="Times New Roman" w:hAnsi="Times New Roman"/>
              </w:rPr>
            </w:pPr>
            <w:r>
              <w:rPr>
                <w:rFonts w:ascii="Times New Roman" w:hAnsi="Times New Roman"/>
              </w:rPr>
              <w:t>邻二甲苯</w:t>
            </w:r>
          </w:p>
        </w:tc>
        <w:tc>
          <w:tcPr>
            <w:tcW w:w="1255" w:type="dxa"/>
            <w:vMerge w:val="continue"/>
            <w:vAlign w:val="center"/>
          </w:tcPr>
          <w:p>
            <w:pPr>
              <w:spacing w:line="280" w:lineRule="exact"/>
              <w:jc w:val="center"/>
              <w:rPr>
                <w:rFonts w:ascii="Times New Roman" w:hAnsi="Times New Roman"/>
                <w:kern w:val="2"/>
              </w:rPr>
            </w:pPr>
          </w:p>
        </w:tc>
        <w:tc>
          <w:tcPr>
            <w:tcW w:w="2236" w:type="dxa"/>
            <w:vAlign w:val="center"/>
          </w:tcPr>
          <w:p>
            <w:pPr>
              <w:spacing w:line="280" w:lineRule="exact"/>
              <w:jc w:val="center"/>
              <w:rPr>
                <w:rFonts w:ascii="Times New Roman" w:hAnsi="Times New Roman"/>
                <w:kern w:val="2"/>
              </w:rPr>
            </w:pPr>
            <w:r>
              <w:rPr>
                <w:rFonts w:ascii="Times New Roman" w:hAnsi="Times New Roman"/>
                <w:kern w:val="2"/>
              </w:rPr>
              <w:t>640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51" w:type="dxa"/>
            <w:vMerge w:val="continue"/>
            <w:vAlign w:val="center"/>
          </w:tcPr>
          <w:p>
            <w:pPr>
              <w:spacing w:line="280" w:lineRule="exact"/>
              <w:jc w:val="center"/>
              <w:rPr>
                <w:rFonts w:ascii="Times New Roman" w:hAnsi="Times New Roman"/>
                <w:kern w:val="2"/>
              </w:rPr>
            </w:pPr>
          </w:p>
        </w:tc>
        <w:tc>
          <w:tcPr>
            <w:tcW w:w="2270" w:type="dxa"/>
            <w:vAlign w:val="center"/>
          </w:tcPr>
          <w:p>
            <w:pPr>
              <w:jc w:val="center"/>
              <w:rPr>
                <w:rFonts w:ascii="Times New Roman" w:hAnsi="Times New Roman"/>
              </w:rPr>
            </w:pPr>
            <w:r>
              <w:rPr>
                <w:rFonts w:ascii="Times New Roman" w:hAnsi="Times New Roman"/>
              </w:rPr>
              <w:t>硝基苯</w:t>
            </w:r>
          </w:p>
        </w:tc>
        <w:tc>
          <w:tcPr>
            <w:tcW w:w="1255" w:type="dxa"/>
            <w:vMerge w:val="continue"/>
            <w:vAlign w:val="center"/>
          </w:tcPr>
          <w:p>
            <w:pPr>
              <w:spacing w:line="280" w:lineRule="exact"/>
              <w:jc w:val="center"/>
              <w:rPr>
                <w:rFonts w:ascii="Times New Roman" w:hAnsi="Times New Roman"/>
                <w:kern w:val="2"/>
              </w:rPr>
            </w:pPr>
          </w:p>
        </w:tc>
        <w:tc>
          <w:tcPr>
            <w:tcW w:w="2236" w:type="dxa"/>
            <w:vAlign w:val="center"/>
          </w:tcPr>
          <w:p>
            <w:pPr>
              <w:spacing w:line="280" w:lineRule="exact"/>
              <w:jc w:val="center"/>
              <w:rPr>
                <w:rFonts w:ascii="Times New Roman" w:hAnsi="Times New Roman"/>
                <w:kern w:val="2"/>
              </w:rPr>
            </w:pPr>
            <w:r>
              <w:rPr>
                <w:rFonts w:ascii="Times New Roman" w:hAnsi="Times New Roman"/>
                <w:kern w:val="2"/>
              </w:rPr>
              <w:t>76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51" w:type="dxa"/>
            <w:vMerge w:val="continue"/>
            <w:vAlign w:val="center"/>
          </w:tcPr>
          <w:p>
            <w:pPr>
              <w:spacing w:line="280" w:lineRule="exact"/>
              <w:jc w:val="center"/>
              <w:rPr>
                <w:rFonts w:ascii="Times New Roman" w:hAnsi="Times New Roman"/>
                <w:kern w:val="2"/>
              </w:rPr>
            </w:pPr>
          </w:p>
        </w:tc>
        <w:tc>
          <w:tcPr>
            <w:tcW w:w="2270" w:type="dxa"/>
            <w:vAlign w:val="center"/>
          </w:tcPr>
          <w:p>
            <w:pPr>
              <w:jc w:val="center"/>
              <w:rPr>
                <w:rFonts w:ascii="Times New Roman" w:hAnsi="Times New Roman"/>
              </w:rPr>
            </w:pPr>
            <w:r>
              <w:rPr>
                <w:rFonts w:ascii="Times New Roman" w:hAnsi="Times New Roman"/>
              </w:rPr>
              <w:t>苯胺</w:t>
            </w:r>
          </w:p>
        </w:tc>
        <w:tc>
          <w:tcPr>
            <w:tcW w:w="1255" w:type="dxa"/>
            <w:vMerge w:val="continue"/>
            <w:vAlign w:val="center"/>
          </w:tcPr>
          <w:p>
            <w:pPr>
              <w:spacing w:line="280" w:lineRule="exact"/>
              <w:jc w:val="center"/>
              <w:rPr>
                <w:rFonts w:ascii="Times New Roman" w:hAnsi="Times New Roman"/>
                <w:kern w:val="2"/>
              </w:rPr>
            </w:pPr>
          </w:p>
        </w:tc>
        <w:tc>
          <w:tcPr>
            <w:tcW w:w="2236" w:type="dxa"/>
            <w:vAlign w:val="center"/>
          </w:tcPr>
          <w:p>
            <w:pPr>
              <w:spacing w:line="280" w:lineRule="exact"/>
              <w:jc w:val="center"/>
              <w:rPr>
                <w:rFonts w:ascii="Times New Roman" w:hAnsi="Times New Roman"/>
                <w:kern w:val="2"/>
              </w:rPr>
            </w:pPr>
            <w:r>
              <w:rPr>
                <w:rFonts w:ascii="Times New Roman" w:hAnsi="Times New Roman"/>
                <w:kern w:val="2"/>
              </w:rPr>
              <w:t>260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51" w:type="dxa"/>
            <w:vMerge w:val="continue"/>
            <w:vAlign w:val="center"/>
          </w:tcPr>
          <w:p>
            <w:pPr>
              <w:spacing w:line="280" w:lineRule="exact"/>
              <w:jc w:val="center"/>
              <w:rPr>
                <w:rFonts w:ascii="Times New Roman" w:hAnsi="Times New Roman"/>
                <w:kern w:val="2"/>
              </w:rPr>
            </w:pPr>
          </w:p>
        </w:tc>
        <w:tc>
          <w:tcPr>
            <w:tcW w:w="2270" w:type="dxa"/>
            <w:vAlign w:val="center"/>
          </w:tcPr>
          <w:p>
            <w:pPr>
              <w:jc w:val="center"/>
              <w:rPr>
                <w:rFonts w:ascii="Times New Roman" w:hAnsi="Times New Roman"/>
              </w:rPr>
            </w:pPr>
            <w:r>
              <w:rPr>
                <w:rFonts w:ascii="Times New Roman" w:hAnsi="Times New Roman"/>
              </w:rPr>
              <w:t>2-氯酚</w:t>
            </w:r>
          </w:p>
        </w:tc>
        <w:tc>
          <w:tcPr>
            <w:tcW w:w="1255" w:type="dxa"/>
            <w:vMerge w:val="continue"/>
            <w:vAlign w:val="center"/>
          </w:tcPr>
          <w:p>
            <w:pPr>
              <w:spacing w:line="280" w:lineRule="exact"/>
              <w:jc w:val="center"/>
              <w:rPr>
                <w:rFonts w:ascii="Times New Roman" w:hAnsi="Times New Roman"/>
                <w:kern w:val="2"/>
              </w:rPr>
            </w:pPr>
          </w:p>
        </w:tc>
        <w:tc>
          <w:tcPr>
            <w:tcW w:w="2236" w:type="dxa"/>
            <w:vAlign w:val="center"/>
          </w:tcPr>
          <w:p>
            <w:pPr>
              <w:spacing w:line="280" w:lineRule="exact"/>
              <w:jc w:val="center"/>
              <w:rPr>
                <w:rFonts w:ascii="Times New Roman" w:hAnsi="Times New Roman"/>
                <w:kern w:val="2"/>
              </w:rPr>
            </w:pPr>
            <w:r>
              <w:rPr>
                <w:rFonts w:ascii="Times New Roman" w:hAnsi="Times New Roman"/>
                <w:kern w:val="2"/>
              </w:rPr>
              <w:t>2256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51" w:type="dxa"/>
            <w:vMerge w:val="continue"/>
            <w:vAlign w:val="center"/>
          </w:tcPr>
          <w:p>
            <w:pPr>
              <w:spacing w:line="280" w:lineRule="exact"/>
              <w:jc w:val="center"/>
              <w:rPr>
                <w:rFonts w:ascii="Times New Roman" w:hAnsi="Times New Roman"/>
                <w:kern w:val="2"/>
              </w:rPr>
            </w:pPr>
          </w:p>
        </w:tc>
        <w:tc>
          <w:tcPr>
            <w:tcW w:w="2270" w:type="dxa"/>
            <w:vAlign w:val="center"/>
          </w:tcPr>
          <w:p>
            <w:pPr>
              <w:jc w:val="center"/>
              <w:rPr>
                <w:rFonts w:ascii="Times New Roman" w:hAnsi="Times New Roman"/>
              </w:rPr>
            </w:pPr>
            <w:r>
              <w:rPr>
                <w:rFonts w:ascii="Times New Roman" w:hAnsi="Times New Roman"/>
              </w:rPr>
              <w:t>苯并[a]蒽</w:t>
            </w:r>
          </w:p>
        </w:tc>
        <w:tc>
          <w:tcPr>
            <w:tcW w:w="1255" w:type="dxa"/>
            <w:vMerge w:val="continue"/>
            <w:vAlign w:val="center"/>
          </w:tcPr>
          <w:p>
            <w:pPr>
              <w:spacing w:line="280" w:lineRule="exact"/>
              <w:jc w:val="center"/>
              <w:rPr>
                <w:rFonts w:ascii="Times New Roman" w:hAnsi="Times New Roman"/>
                <w:kern w:val="2"/>
              </w:rPr>
            </w:pPr>
          </w:p>
        </w:tc>
        <w:tc>
          <w:tcPr>
            <w:tcW w:w="2236" w:type="dxa"/>
            <w:vAlign w:val="center"/>
          </w:tcPr>
          <w:p>
            <w:pPr>
              <w:spacing w:line="280" w:lineRule="exact"/>
              <w:jc w:val="center"/>
              <w:rPr>
                <w:rFonts w:ascii="Times New Roman" w:hAnsi="Times New Roman"/>
                <w:kern w:val="2"/>
              </w:rPr>
            </w:pPr>
            <w:r>
              <w:rPr>
                <w:rFonts w:ascii="Times New Roman" w:hAnsi="Times New Roman"/>
                <w:kern w:val="2"/>
              </w:rPr>
              <w:t>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51" w:type="dxa"/>
            <w:vMerge w:val="continue"/>
            <w:vAlign w:val="center"/>
          </w:tcPr>
          <w:p>
            <w:pPr>
              <w:spacing w:line="280" w:lineRule="exact"/>
              <w:jc w:val="center"/>
              <w:rPr>
                <w:rFonts w:ascii="Times New Roman" w:hAnsi="Times New Roman"/>
                <w:kern w:val="2"/>
              </w:rPr>
            </w:pPr>
          </w:p>
        </w:tc>
        <w:tc>
          <w:tcPr>
            <w:tcW w:w="2270" w:type="dxa"/>
            <w:vAlign w:val="center"/>
          </w:tcPr>
          <w:p>
            <w:pPr>
              <w:jc w:val="center"/>
              <w:rPr>
                <w:rFonts w:ascii="Times New Roman" w:hAnsi="Times New Roman"/>
              </w:rPr>
            </w:pPr>
            <w:r>
              <w:rPr>
                <w:rFonts w:ascii="Times New Roman" w:hAnsi="Times New Roman"/>
              </w:rPr>
              <w:t>苯并[a]芘</w:t>
            </w:r>
          </w:p>
        </w:tc>
        <w:tc>
          <w:tcPr>
            <w:tcW w:w="1255" w:type="dxa"/>
            <w:vMerge w:val="continue"/>
            <w:vAlign w:val="center"/>
          </w:tcPr>
          <w:p>
            <w:pPr>
              <w:spacing w:line="280" w:lineRule="exact"/>
              <w:jc w:val="center"/>
              <w:rPr>
                <w:rFonts w:ascii="Times New Roman" w:hAnsi="Times New Roman"/>
                <w:kern w:val="2"/>
              </w:rPr>
            </w:pPr>
          </w:p>
        </w:tc>
        <w:tc>
          <w:tcPr>
            <w:tcW w:w="2236" w:type="dxa"/>
            <w:vAlign w:val="center"/>
          </w:tcPr>
          <w:p>
            <w:pPr>
              <w:spacing w:line="280" w:lineRule="exact"/>
              <w:jc w:val="center"/>
              <w:rPr>
                <w:rFonts w:ascii="Times New Roman" w:hAnsi="Times New Roman"/>
                <w:kern w:val="2"/>
              </w:rPr>
            </w:pPr>
            <w:r>
              <w:rPr>
                <w:rFonts w:ascii="Times New Roman" w:hAnsi="Times New Roman"/>
                <w:kern w:val="2"/>
              </w:rPr>
              <w:t>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51" w:type="dxa"/>
            <w:vMerge w:val="continue"/>
            <w:vAlign w:val="center"/>
          </w:tcPr>
          <w:p>
            <w:pPr>
              <w:spacing w:line="280" w:lineRule="exact"/>
              <w:jc w:val="center"/>
              <w:rPr>
                <w:rFonts w:ascii="Times New Roman" w:hAnsi="Times New Roman"/>
                <w:kern w:val="2"/>
              </w:rPr>
            </w:pPr>
          </w:p>
        </w:tc>
        <w:tc>
          <w:tcPr>
            <w:tcW w:w="2270" w:type="dxa"/>
            <w:vAlign w:val="center"/>
          </w:tcPr>
          <w:p>
            <w:pPr>
              <w:jc w:val="center"/>
              <w:rPr>
                <w:rFonts w:ascii="Times New Roman" w:hAnsi="Times New Roman"/>
              </w:rPr>
            </w:pPr>
            <w:bookmarkStart w:id="276" w:name="OLE_LINK1"/>
            <w:r>
              <w:rPr>
                <w:rFonts w:ascii="Times New Roman" w:hAnsi="Times New Roman"/>
              </w:rPr>
              <w:t>苯并[b]荧蒽</w:t>
            </w:r>
            <w:bookmarkEnd w:id="276"/>
          </w:p>
        </w:tc>
        <w:tc>
          <w:tcPr>
            <w:tcW w:w="1255" w:type="dxa"/>
            <w:vMerge w:val="continue"/>
            <w:vAlign w:val="center"/>
          </w:tcPr>
          <w:p>
            <w:pPr>
              <w:spacing w:line="280" w:lineRule="exact"/>
              <w:jc w:val="center"/>
              <w:rPr>
                <w:rFonts w:ascii="Times New Roman" w:hAnsi="Times New Roman"/>
                <w:kern w:val="2"/>
              </w:rPr>
            </w:pPr>
          </w:p>
        </w:tc>
        <w:tc>
          <w:tcPr>
            <w:tcW w:w="2236" w:type="dxa"/>
            <w:vAlign w:val="center"/>
          </w:tcPr>
          <w:p>
            <w:pPr>
              <w:spacing w:line="280" w:lineRule="exact"/>
              <w:jc w:val="center"/>
              <w:rPr>
                <w:rFonts w:ascii="Times New Roman" w:hAnsi="Times New Roman"/>
                <w:kern w:val="2"/>
              </w:rPr>
            </w:pPr>
            <w:r>
              <w:rPr>
                <w:rFonts w:ascii="Times New Roman" w:hAnsi="Times New Roman"/>
                <w:kern w:val="2"/>
              </w:rPr>
              <w:t>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51" w:type="dxa"/>
            <w:vMerge w:val="continue"/>
            <w:vAlign w:val="center"/>
          </w:tcPr>
          <w:p>
            <w:pPr>
              <w:spacing w:line="280" w:lineRule="exact"/>
              <w:jc w:val="center"/>
              <w:rPr>
                <w:rFonts w:ascii="Times New Roman" w:hAnsi="Times New Roman"/>
                <w:kern w:val="2"/>
              </w:rPr>
            </w:pPr>
          </w:p>
        </w:tc>
        <w:tc>
          <w:tcPr>
            <w:tcW w:w="2270" w:type="dxa"/>
            <w:vAlign w:val="center"/>
          </w:tcPr>
          <w:p>
            <w:pPr>
              <w:jc w:val="center"/>
              <w:rPr>
                <w:rFonts w:ascii="Times New Roman" w:hAnsi="Times New Roman"/>
              </w:rPr>
            </w:pPr>
            <w:r>
              <w:rPr>
                <w:rFonts w:ascii="Times New Roman" w:hAnsi="Times New Roman"/>
              </w:rPr>
              <w:t>苯并[k]荧蒽</w:t>
            </w:r>
          </w:p>
        </w:tc>
        <w:tc>
          <w:tcPr>
            <w:tcW w:w="1255" w:type="dxa"/>
            <w:vMerge w:val="continue"/>
            <w:vAlign w:val="center"/>
          </w:tcPr>
          <w:p>
            <w:pPr>
              <w:spacing w:line="280" w:lineRule="exact"/>
              <w:jc w:val="center"/>
              <w:rPr>
                <w:rFonts w:ascii="Times New Roman" w:hAnsi="Times New Roman"/>
                <w:kern w:val="2"/>
              </w:rPr>
            </w:pPr>
          </w:p>
        </w:tc>
        <w:tc>
          <w:tcPr>
            <w:tcW w:w="2236" w:type="dxa"/>
            <w:vAlign w:val="center"/>
          </w:tcPr>
          <w:p>
            <w:pPr>
              <w:spacing w:line="280" w:lineRule="exact"/>
              <w:jc w:val="center"/>
              <w:rPr>
                <w:rFonts w:ascii="Times New Roman" w:hAnsi="Times New Roman"/>
                <w:kern w:val="2"/>
              </w:rPr>
            </w:pPr>
            <w:r>
              <w:rPr>
                <w:rFonts w:ascii="Times New Roman" w:hAnsi="Times New Roman"/>
                <w:kern w:val="2"/>
              </w:rPr>
              <w:t>151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51" w:type="dxa"/>
            <w:vMerge w:val="continue"/>
            <w:vAlign w:val="center"/>
          </w:tcPr>
          <w:p>
            <w:pPr>
              <w:spacing w:line="280" w:lineRule="exact"/>
              <w:jc w:val="center"/>
              <w:rPr>
                <w:rFonts w:ascii="Times New Roman" w:hAnsi="Times New Roman"/>
                <w:kern w:val="2"/>
              </w:rPr>
            </w:pPr>
          </w:p>
        </w:tc>
        <w:tc>
          <w:tcPr>
            <w:tcW w:w="2270" w:type="dxa"/>
            <w:vAlign w:val="center"/>
          </w:tcPr>
          <w:p>
            <w:pPr>
              <w:jc w:val="center"/>
              <w:rPr>
                <w:rFonts w:ascii="Times New Roman" w:hAnsi="Times New Roman"/>
              </w:rPr>
            </w:pPr>
            <w:r>
              <w:rPr>
                <w:rFonts w:ascii="Times New Roman" w:hAnsi="Times New Roman"/>
              </w:rPr>
              <w:t>䓛</w:t>
            </w:r>
          </w:p>
        </w:tc>
        <w:tc>
          <w:tcPr>
            <w:tcW w:w="1255" w:type="dxa"/>
            <w:vMerge w:val="continue"/>
            <w:vAlign w:val="center"/>
          </w:tcPr>
          <w:p>
            <w:pPr>
              <w:spacing w:line="280" w:lineRule="exact"/>
              <w:jc w:val="center"/>
              <w:rPr>
                <w:rFonts w:ascii="Times New Roman" w:hAnsi="Times New Roman"/>
                <w:kern w:val="2"/>
              </w:rPr>
            </w:pPr>
          </w:p>
        </w:tc>
        <w:tc>
          <w:tcPr>
            <w:tcW w:w="2236" w:type="dxa"/>
            <w:vAlign w:val="center"/>
          </w:tcPr>
          <w:p>
            <w:pPr>
              <w:spacing w:line="280" w:lineRule="exact"/>
              <w:jc w:val="center"/>
              <w:rPr>
                <w:rFonts w:ascii="Times New Roman" w:hAnsi="Times New Roman"/>
                <w:kern w:val="2"/>
              </w:rPr>
            </w:pPr>
            <w:r>
              <w:rPr>
                <w:rFonts w:ascii="Times New Roman" w:hAnsi="Times New Roman"/>
                <w:kern w:val="2"/>
              </w:rPr>
              <w:t>1293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51" w:type="dxa"/>
            <w:vMerge w:val="continue"/>
            <w:vAlign w:val="center"/>
          </w:tcPr>
          <w:p>
            <w:pPr>
              <w:spacing w:line="280" w:lineRule="exact"/>
              <w:jc w:val="center"/>
              <w:rPr>
                <w:rFonts w:ascii="Times New Roman" w:hAnsi="Times New Roman"/>
                <w:kern w:val="2"/>
              </w:rPr>
            </w:pPr>
          </w:p>
        </w:tc>
        <w:tc>
          <w:tcPr>
            <w:tcW w:w="2270" w:type="dxa"/>
            <w:vAlign w:val="center"/>
          </w:tcPr>
          <w:p>
            <w:pPr>
              <w:jc w:val="center"/>
              <w:rPr>
                <w:rFonts w:ascii="Times New Roman" w:hAnsi="Times New Roman"/>
              </w:rPr>
            </w:pPr>
            <w:r>
              <w:rPr>
                <w:rFonts w:ascii="Times New Roman" w:hAnsi="Times New Roman"/>
              </w:rPr>
              <w:t>二苯并[a，h]蒽</w:t>
            </w:r>
          </w:p>
        </w:tc>
        <w:tc>
          <w:tcPr>
            <w:tcW w:w="1255" w:type="dxa"/>
            <w:vMerge w:val="continue"/>
            <w:vAlign w:val="center"/>
          </w:tcPr>
          <w:p>
            <w:pPr>
              <w:spacing w:line="280" w:lineRule="exact"/>
              <w:jc w:val="center"/>
              <w:rPr>
                <w:rFonts w:ascii="Times New Roman" w:hAnsi="Times New Roman"/>
                <w:kern w:val="2"/>
              </w:rPr>
            </w:pPr>
          </w:p>
        </w:tc>
        <w:tc>
          <w:tcPr>
            <w:tcW w:w="2236" w:type="dxa"/>
            <w:vAlign w:val="center"/>
          </w:tcPr>
          <w:p>
            <w:pPr>
              <w:spacing w:line="280" w:lineRule="exact"/>
              <w:jc w:val="center"/>
              <w:rPr>
                <w:rFonts w:ascii="Times New Roman" w:hAnsi="Times New Roman"/>
                <w:kern w:val="2"/>
              </w:rPr>
            </w:pPr>
            <w:r>
              <w:rPr>
                <w:rFonts w:ascii="Times New Roman" w:hAnsi="Times New Roman"/>
                <w:kern w:val="2"/>
              </w:rPr>
              <w:t>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51" w:type="dxa"/>
            <w:vMerge w:val="continue"/>
            <w:vAlign w:val="center"/>
          </w:tcPr>
          <w:p>
            <w:pPr>
              <w:spacing w:line="280" w:lineRule="exact"/>
              <w:jc w:val="center"/>
              <w:rPr>
                <w:rFonts w:ascii="Times New Roman" w:hAnsi="Times New Roman"/>
                <w:kern w:val="2"/>
              </w:rPr>
            </w:pPr>
          </w:p>
        </w:tc>
        <w:tc>
          <w:tcPr>
            <w:tcW w:w="2270" w:type="dxa"/>
            <w:vAlign w:val="center"/>
          </w:tcPr>
          <w:p>
            <w:pPr>
              <w:jc w:val="center"/>
              <w:rPr>
                <w:rFonts w:ascii="Times New Roman" w:hAnsi="Times New Roman"/>
              </w:rPr>
            </w:pPr>
            <w:r>
              <w:rPr>
                <w:rFonts w:ascii="Times New Roman" w:hAnsi="Times New Roman"/>
              </w:rPr>
              <w:t>茚并[1,2,3-cd]芘</w:t>
            </w:r>
          </w:p>
        </w:tc>
        <w:tc>
          <w:tcPr>
            <w:tcW w:w="1255" w:type="dxa"/>
            <w:vMerge w:val="continue"/>
            <w:vAlign w:val="center"/>
          </w:tcPr>
          <w:p>
            <w:pPr>
              <w:spacing w:line="280" w:lineRule="exact"/>
              <w:jc w:val="center"/>
              <w:rPr>
                <w:rFonts w:ascii="Times New Roman" w:hAnsi="Times New Roman"/>
                <w:kern w:val="2"/>
              </w:rPr>
            </w:pPr>
          </w:p>
        </w:tc>
        <w:tc>
          <w:tcPr>
            <w:tcW w:w="2236" w:type="dxa"/>
            <w:vAlign w:val="center"/>
          </w:tcPr>
          <w:p>
            <w:pPr>
              <w:spacing w:line="280" w:lineRule="exact"/>
              <w:jc w:val="center"/>
              <w:rPr>
                <w:rFonts w:ascii="Times New Roman" w:hAnsi="Times New Roman"/>
                <w:kern w:val="2"/>
              </w:rPr>
            </w:pPr>
            <w:r>
              <w:rPr>
                <w:rFonts w:ascii="Times New Roman" w:hAnsi="Times New Roman"/>
                <w:kern w:val="2"/>
              </w:rPr>
              <w:t>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51" w:type="dxa"/>
            <w:vMerge w:val="continue"/>
            <w:vAlign w:val="center"/>
          </w:tcPr>
          <w:p>
            <w:pPr>
              <w:spacing w:line="280" w:lineRule="exact"/>
              <w:jc w:val="center"/>
              <w:rPr>
                <w:rFonts w:ascii="Times New Roman" w:hAnsi="Times New Roman"/>
                <w:kern w:val="2"/>
              </w:rPr>
            </w:pPr>
          </w:p>
        </w:tc>
        <w:tc>
          <w:tcPr>
            <w:tcW w:w="2270" w:type="dxa"/>
            <w:vAlign w:val="center"/>
          </w:tcPr>
          <w:p>
            <w:pPr>
              <w:jc w:val="center"/>
              <w:rPr>
                <w:rFonts w:ascii="Times New Roman" w:hAnsi="Times New Roman"/>
              </w:rPr>
            </w:pPr>
            <w:r>
              <w:rPr>
                <w:rFonts w:ascii="Times New Roman" w:hAnsi="Times New Roman"/>
              </w:rPr>
              <w:t>萘</w:t>
            </w:r>
          </w:p>
        </w:tc>
        <w:tc>
          <w:tcPr>
            <w:tcW w:w="1255" w:type="dxa"/>
            <w:vMerge w:val="continue"/>
            <w:vAlign w:val="center"/>
          </w:tcPr>
          <w:p>
            <w:pPr>
              <w:spacing w:line="280" w:lineRule="exact"/>
              <w:jc w:val="center"/>
              <w:rPr>
                <w:rFonts w:ascii="Times New Roman" w:hAnsi="Times New Roman"/>
                <w:kern w:val="2"/>
              </w:rPr>
            </w:pPr>
          </w:p>
        </w:tc>
        <w:tc>
          <w:tcPr>
            <w:tcW w:w="2236" w:type="dxa"/>
            <w:vAlign w:val="center"/>
          </w:tcPr>
          <w:p>
            <w:pPr>
              <w:spacing w:line="280" w:lineRule="exact"/>
              <w:jc w:val="center"/>
              <w:rPr>
                <w:rFonts w:ascii="Times New Roman" w:hAnsi="Times New Roman"/>
                <w:kern w:val="2"/>
              </w:rPr>
            </w:pPr>
            <w:r>
              <w:rPr>
                <w:rFonts w:ascii="Times New Roman" w:hAnsi="Times New Roman"/>
                <w:kern w:val="2"/>
              </w:rPr>
              <w:t>70</w:t>
            </w:r>
          </w:p>
        </w:tc>
      </w:tr>
    </w:tbl>
    <w:p>
      <w:pPr>
        <w:pStyle w:val="4"/>
        <w:spacing w:before="120" w:beforeLines="50" w:after="120" w:afterLines="50" w:line="480" w:lineRule="exact"/>
        <w:rPr>
          <w:rFonts w:ascii="Times New Roman" w:hAnsi="Times New Roman" w:eastAsia="黑体"/>
          <w:kern w:val="2"/>
          <w:sz w:val="28"/>
          <w:szCs w:val="32"/>
        </w:rPr>
      </w:pPr>
      <w:bookmarkStart w:id="277" w:name="_Toc10214"/>
      <w:bookmarkStart w:id="278" w:name="_Toc480190422"/>
      <w:bookmarkStart w:id="279" w:name="_Toc458063812"/>
      <w:bookmarkStart w:id="280" w:name="_Toc407350217"/>
      <w:bookmarkStart w:id="281" w:name="_Toc482020585"/>
      <w:bookmarkStart w:id="282" w:name="_Toc27134271"/>
      <w:bookmarkStart w:id="283" w:name="_Toc409529704"/>
      <w:bookmarkStart w:id="284" w:name="_Toc480983803"/>
      <w:bookmarkStart w:id="285" w:name="_Toc4269"/>
      <w:bookmarkStart w:id="286" w:name="_Toc291020930"/>
      <w:bookmarkStart w:id="287" w:name="_Toc527205702"/>
      <w:bookmarkStart w:id="288" w:name="_Toc347586105"/>
      <w:bookmarkStart w:id="289" w:name="_Toc409529904"/>
      <w:bookmarkStart w:id="290" w:name="_Toc530655935"/>
      <w:bookmarkStart w:id="291" w:name="_Toc487111472"/>
      <w:bookmarkStart w:id="292" w:name="_Toc534537590"/>
      <w:bookmarkStart w:id="293" w:name="_Toc486970344"/>
      <w:bookmarkStart w:id="294" w:name="_Toc347495232"/>
      <w:bookmarkStart w:id="295" w:name="_Toc406771983"/>
      <w:bookmarkStart w:id="296" w:name="_Toc9843782"/>
      <w:bookmarkStart w:id="297" w:name="_Toc416966848"/>
      <w:bookmarkStart w:id="298" w:name="_Toc26187995"/>
      <w:bookmarkStart w:id="299" w:name="_Toc466271342"/>
      <w:bookmarkStart w:id="300" w:name="_Toc8784"/>
      <w:bookmarkStart w:id="301" w:name="_Toc497228800"/>
      <w:bookmarkStart w:id="302" w:name="_Toc453708906"/>
      <w:bookmarkStart w:id="303" w:name="_Toc406572441"/>
      <w:bookmarkStart w:id="304" w:name="_Toc23566"/>
      <w:bookmarkStart w:id="305" w:name="_Toc23240"/>
      <w:bookmarkStart w:id="306" w:name="_Toc464036644"/>
      <w:bookmarkStart w:id="307" w:name="_Toc532556575"/>
      <w:r>
        <w:rPr>
          <w:rFonts w:ascii="Times New Roman" w:hAnsi="Times New Roman" w:eastAsia="黑体"/>
          <w:kern w:val="2"/>
          <w:sz w:val="28"/>
          <w:szCs w:val="32"/>
        </w:rPr>
        <w:t>污染物排放标准</w:t>
      </w:r>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p>
    <w:p>
      <w:pPr>
        <w:pStyle w:val="513"/>
        <w:spacing w:line="480" w:lineRule="exact"/>
        <w:ind w:firstLine="480"/>
        <w:rPr>
          <w:rFonts w:ascii="Times New Roman" w:hAnsi="Times New Roman" w:cs="Times New Roman"/>
          <w:kern w:val="0"/>
          <w:szCs w:val="21"/>
        </w:rPr>
      </w:pPr>
      <w:r>
        <w:rPr>
          <w:rFonts w:ascii="Times New Roman" w:hAnsi="Times New Roman" w:cs="Times New Roman"/>
          <w:kern w:val="0"/>
          <w:szCs w:val="21"/>
        </w:rPr>
        <w:t>（1）废气污染物排放标准</w:t>
      </w:r>
    </w:p>
    <w:p>
      <w:pPr>
        <w:pStyle w:val="513"/>
        <w:spacing w:line="480" w:lineRule="exact"/>
        <w:ind w:firstLine="480"/>
        <w:rPr>
          <w:rFonts w:ascii="Times New Roman" w:hAnsi="Times New Roman" w:cs="Times New Roman"/>
          <w:kern w:val="0"/>
          <w:szCs w:val="21"/>
        </w:rPr>
      </w:pPr>
      <w:r>
        <w:rPr>
          <w:rFonts w:hint="eastAsia" w:ascii="Times New Roman" w:hAnsi="Times New Roman" w:cs="Times New Roman"/>
          <w:kern w:val="0"/>
          <w:szCs w:val="21"/>
        </w:rPr>
        <w:t>本项目</w:t>
      </w:r>
      <w:r>
        <w:rPr>
          <w:rFonts w:ascii="Times New Roman" w:hAnsi="Times New Roman" w:cs="Times New Roman"/>
          <w:kern w:val="0"/>
          <w:szCs w:val="21"/>
        </w:rPr>
        <w:t>运营期</w:t>
      </w:r>
      <w:r>
        <w:rPr>
          <w:rFonts w:ascii="Times New Roman" w:hAnsi="Times New Roman" w:cs="Times New Roman"/>
          <w:bCs/>
        </w:rPr>
        <w:t>厂界非甲烷总烃、颗粒物、满足《大气污染物综合排放标准》（GB16297-1996）表2无组织限值要求</w:t>
      </w:r>
      <w:r>
        <w:rPr>
          <w:rFonts w:ascii="Times New Roman" w:hAnsi="Times New Roman" w:cs="Times New Roman"/>
        </w:rPr>
        <w:t>。</w:t>
      </w:r>
      <w:r>
        <w:rPr>
          <w:rFonts w:ascii="Times New Roman" w:hAnsi="Times New Roman" w:cs="Times New Roman"/>
          <w:bCs/>
        </w:rPr>
        <w:t>厂界内（厂房外）非甲烷总烃1h平均浓度值满足《挥发性有机物无组织排放控制标准》（GB37822-2019）10mg/m</w:t>
      </w:r>
      <w:r>
        <w:rPr>
          <w:rFonts w:ascii="Times New Roman" w:hAnsi="Times New Roman" w:cs="Times New Roman"/>
          <w:bCs/>
          <w:vertAlign w:val="superscript"/>
        </w:rPr>
        <w:t>3</w:t>
      </w:r>
      <w:r>
        <w:rPr>
          <w:rFonts w:ascii="Times New Roman" w:hAnsi="Times New Roman" w:cs="Times New Roman"/>
          <w:bCs/>
        </w:rPr>
        <w:t>限值要求，厂界内（厂房外）非甲烷总烃任意一次浓度值满足《挥发性有机物无组织排放控制标准》（GB37822-2019）30mg/m</w:t>
      </w:r>
      <w:r>
        <w:rPr>
          <w:rFonts w:ascii="Times New Roman" w:hAnsi="Times New Roman" w:cs="Times New Roman"/>
          <w:bCs/>
          <w:vertAlign w:val="superscript"/>
        </w:rPr>
        <w:t>3</w:t>
      </w:r>
      <w:r>
        <w:rPr>
          <w:rFonts w:ascii="Times New Roman" w:hAnsi="Times New Roman" w:cs="Times New Roman"/>
          <w:bCs/>
        </w:rPr>
        <w:t>限值要求。</w:t>
      </w:r>
      <w:r>
        <w:rPr>
          <w:rFonts w:hint="eastAsia" w:ascii="Times New Roman" w:hAnsi="Times New Roman" w:cs="Times New Roman"/>
          <w:bCs/>
        </w:rPr>
        <w:t>消毒处理设施1</w:t>
      </w:r>
      <w:r>
        <w:rPr>
          <w:rFonts w:ascii="Times New Roman" w:hAnsi="Times New Roman" w:cs="Times New Roman"/>
          <w:bCs/>
        </w:rPr>
        <w:t>5</w:t>
      </w:r>
      <w:r>
        <w:rPr>
          <w:rFonts w:hint="eastAsia" w:ascii="Times New Roman" w:hAnsi="Times New Roman" w:cs="Times New Roman"/>
          <w:bCs/>
        </w:rPr>
        <w:t>m高排气筒排放的非甲烷总烃满足《医疗废物处理处置污染控制标准》（</w:t>
      </w:r>
      <w:r>
        <w:rPr>
          <w:rFonts w:ascii="Times New Roman" w:hAnsi="Times New Roman" w:cs="Times New Roman"/>
          <w:bCs/>
        </w:rPr>
        <w:t>GB39707-2020）</w:t>
      </w:r>
      <w:r>
        <w:rPr>
          <w:rFonts w:hint="eastAsia" w:ascii="Times New Roman" w:hAnsi="Times New Roman" w:cs="Times New Roman"/>
          <w:bCs/>
        </w:rPr>
        <w:t>中2</w:t>
      </w:r>
      <w:r>
        <w:rPr>
          <w:rFonts w:ascii="Times New Roman" w:hAnsi="Times New Roman" w:cs="Times New Roman"/>
          <w:bCs/>
        </w:rPr>
        <w:t>0</w:t>
      </w:r>
      <w:r>
        <w:t xml:space="preserve"> </w:t>
      </w:r>
      <w:r>
        <w:rPr>
          <w:rFonts w:ascii="Times New Roman" w:hAnsi="Times New Roman" w:cs="Times New Roman"/>
          <w:bCs/>
        </w:rPr>
        <w:t>mg/m3限值要求。</w:t>
      </w:r>
      <w:r>
        <w:rPr>
          <w:rFonts w:ascii="Times New Roman" w:hAnsi="Times New Roman" w:cs="Times New Roman"/>
        </w:rPr>
        <w:t>项目生产工艺产生的硫化氢、氨气、臭气浓度执行《恶臭污染物排放标准》（GB14554-93）中恶臭污染物厂界标准值二级标准要求。</w:t>
      </w:r>
      <w:r>
        <w:rPr>
          <w:rFonts w:hint="eastAsia" w:ascii="Times New Roman" w:hAnsi="Times New Roman" w:cs="Times New Roman"/>
        </w:rPr>
        <w:t>导热油炉</w:t>
      </w:r>
      <w:r>
        <w:rPr>
          <w:rFonts w:ascii="Times New Roman" w:hAnsi="Times New Roman" w:cs="Times New Roman"/>
        </w:rPr>
        <w:t>烟气SO</w:t>
      </w:r>
      <w:r>
        <w:rPr>
          <w:rFonts w:ascii="Times New Roman" w:hAnsi="Times New Roman" w:cs="Times New Roman"/>
          <w:vertAlign w:val="subscript"/>
        </w:rPr>
        <w:t>2</w:t>
      </w:r>
      <w:r>
        <w:rPr>
          <w:rFonts w:ascii="Times New Roman" w:hAnsi="Times New Roman" w:cs="Times New Roman"/>
        </w:rPr>
        <w:t>、NO</w:t>
      </w:r>
      <w:r>
        <w:rPr>
          <w:rFonts w:ascii="Times New Roman" w:hAnsi="Times New Roman" w:cs="Times New Roman"/>
          <w:vertAlign w:val="subscript"/>
        </w:rPr>
        <w:t>X</w:t>
      </w:r>
      <w:r>
        <w:rPr>
          <w:rFonts w:ascii="Times New Roman" w:hAnsi="Times New Roman" w:cs="Times New Roman"/>
        </w:rPr>
        <w:t>、颗粒物</w:t>
      </w:r>
      <w:r>
        <w:rPr>
          <w:rFonts w:hint="eastAsia" w:ascii="Times New Roman" w:hAnsi="Times New Roman" w:cs="Times New Roman"/>
        </w:rPr>
        <w:t>、林格曼黑度</w:t>
      </w:r>
      <w:r>
        <w:rPr>
          <w:rFonts w:ascii="Times New Roman" w:hAnsi="Times New Roman" w:cs="Times New Roman"/>
        </w:rPr>
        <w:t>执行《锅炉大气污染物排放标准》（GB13271-2014）表2中燃油锅炉的排放限值</w:t>
      </w:r>
      <w:r>
        <w:rPr>
          <w:rFonts w:ascii="Times New Roman" w:hAnsi="Times New Roman" w:cs="Times New Roman"/>
          <w:kern w:val="0"/>
          <w:szCs w:val="21"/>
        </w:rPr>
        <w:t>。污水处理站排放的废气执行</w:t>
      </w:r>
      <w:r>
        <w:rPr>
          <w:rFonts w:ascii="Times New Roman" w:hAnsi="Times New Roman" w:cs="Times New Roman"/>
        </w:rPr>
        <w:t>《医疗机构水污染物排放标准》（GB18466-2005）表3标准。</w:t>
      </w:r>
    </w:p>
    <w:p>
      <w:pPr>
        <w:pStyle w:val="513"/>
        <w:spacing w:line="480" w:lineRule="exact"/>
        <w:ind w:firstLine="0" w:firstLineChars="0"/>
        <w:jc w:val="center"/>
        <w:rPr>
          <w:rFonts w:ascii="Times New Roman" w:hAnsi="Times New Roman" w:cs="Times New Roman"/>
          <w:b/>
          <w:kern w:val="0"/>
          <w:sz w:val="21"/>
          <w:szCs w:val="21"/>
        </w:rPr>
      </w:pPr>
      <w:r>
        <w:rPr>
          <w:rFonts w:ascii="Times New Roman" w:hAnsi="Times New Roman" w:cs="Times New Roman"/>
          <w:b/>
          <w:kern w:val="0"/>
          <w:sz w:val="21"/>
          <w:szCs w:val="21"/>
        </w:rPr>
        <w:t>表2.3-8 废气污染物排放标准一览表</w:t>
      </w:r>
    </w:p>
    <w:tbl>
      <w:tblPr>
        <w:tblStyle w:val="77"/>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517"/>
        <w:gridCol w:w="1306"/>
        <w:gridCol w:w="545"/>
        <w:gridCol w:w="1741"/>
        <w:gridCol w:w="1169"/>
        <w:gridCol w:w="125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453" w:type="dxa"/>
            <w:vMerge w:val="restart"/>
            <w:vAlign w:val="center"/>
          </w:tcPr>
          <w:p>
            <w:pPr>
              <w:pStyle w:val="527"/>
              <w:shd w:val="clear" w:color="auto" w:fill="auto"/>
              <w:spacing w:before="0" w:after="0" w:line="240" w:lineRule="auto"/>
              <w:rPr>
                <w:rFonts w:ascii="Times New Roman" w:hAnsi="Times New Roman" w:eastAsia="宋体" w:cs="Times New Roman"/>
                <w:b/>
                <w:kern w:val="2"/>
                <w:sz w:val="21"/>
                <w:szCs w:val="21"/>
              </w:rPr>
            </w:pPr>
            <w:r>
              <w:rPr>
                <w:rFonts w:ascii="Times New Roman" w:hAnsi="Times New Roman" w:eastAsia="宋体" w:cs="Times New Roman"/>
                <w:b/>
                <w:kern w:val="2"/>
                <w:sz w:val="21"/>
                <w:szCs w:val="21"/>
              </w:rPr>
              <w:t>标准名称及级（类）别</w:t>
            </w:r>
          </w:p>
        </w:tc>
        <w:tc>
          <w:tcPr>
            <w:tcW w:w="1273" w:type="dxa"/>
            <w:vMerge w:val="restart"/>
            <w:vAlign w:val="center"/>
          </w:tcPr>
          <w:p>
            <w:pPr>
              <w:pStyle w:val="527"/>
              <w:shd w:val="clear" w:color="auto" w:fill="auto"/>
              <w:spacing w:before="0" w:after="0" w:line="240" w:lineRule="auto"/>
              <w:rPr>
                <w:rFonts w:ascii="Times New Roman" w:hAnsi="Times New Roman" w:eastAsia="宋体" w:cs="Times New Roman"/>
                <w:b/>
                <w:kern w:val="2"/>
                <w:sz w:val="21"/>
                <w:szCs w:val="21"/>
              </w:rPr>
            </w:pPr>
            <w:r>
              <w:rPr>
                <w:rFonts w:ascii="Times New Roman" w:hAnsi="Times New Roman" w:eastAsia="宋体" w:cs="Times New Roman"/>
                <w:b/>
                <w:kern w:val="2"/>
                <w:sz w:val="21"/>
                <w:szCs w:val="21"/>
              </w:rPr>
              <w:t>污染因子</w:t>
            </w:r>
          </w:p>
        </w:tc>
        <w:tc>
          <w:tcPr>
            <w:tcW w:w="4586" w:type="dxa"/>
            <w:gridSpan w:val="4"/>
            <w:vAlign w:val="center"/>
          </w:tcPr>
          <w:p>
            <w:pPr>
              <w:pStyle w:val="527"/>
              <w:shd w:val="clear" w:color="auto" w:fill="auto"/>
              <w:spacing w:before="0" w:after="0" w:line="240" w:lineRule="auto"/>
              <w:rPr>
                <w:rFonts w:ascii="Times New Roman" w:hAnsi="Times New Roman" w:eastAsia="宋体" w:cs="Times New Roman"/>
                <w:b/>
                <w:kern w:val="2"/>
                <w:sz w:val="21"/>
                <w:szCs w:val="21"/>
              </w:rPr>
            </w:pPr>
            <w:r>
              <w:rPr>
                <w:rFonts w:ascii="Times New Roman" w:hAnsi="Times New Roman" w:eastAsia="宋体" w:cs="Times New Roman"/>
                <w:b/>
                <w:kern w:val="2"/>
                <w:sz w:val="21"/>
                <w:szCs w:val="21"/>
              </w:rPr>
              <w:t>标准值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453" w:type="dxa"/>
            <w:vMerge w:val="continue"/>
            <w:vAlign w:val="center"/>
          </w:tcPr>
          <w:p>
            <w:pPr>
              <w:pStyle w:val="527"/>
              <w:shd w:val="clear" w:color="auto" w:fill="auto"/>
              <w:spacing w:before="0" w:after="0" w:line="240" w:lineRule="auto"/>
              <w:rPr>
                <w:rFonts w:ascii="Times New Roman" w:hAnsi="Times New Roman" w:eastAsia="宋体" w:cs="Times New Roman"/>
                <w:kern w:val="2"/>
                <w:sz w:val="21"/>
                <w:szCs w:val="21"/>
              </w:rPr>
            </w:pPr>
          </w:p>
        </w:tc>
        <w:tc>
          <w:tcPr>
            <w:tcW w:w="1273" w:type="dxa"/>
            <w:vMerge w:val="continue"/>
            <w:vAlign w:val="center"/>
          </w:tcPr>
          <w:p>
            <w:pPr>
              <w:pStyle w:val="527"/>
              <w:shd w:val="clear" w:color="auto" w:fill="auto"/>
              <w:spacing w:before="0" w:after="0" w:line="240" w:lineRule="auto"/>
              <w:rPr>
                <w:rFonts w:ascii="Times New Roman" w:hAnsi="Times New Roman" w:eastAsia="宋体" w:cs="Times New Roman"/>
                <w:kern w:val="2"/>
                <w:sz w:val="21"/>
                <w:szCs w:val="21"/>
              </w:rPr>
            </w:pPr>
          </w:p>
        </w:tc>
        <w:tc>
          <w:tcPr>
            <w:tcW w:w="3367" w:type="dxa"/>
            <w:gridSpan w:val="3"/>
            <w:vAlign w:val="center"/>
          </w:tcPr>
          <w:p>
            <w:pPr>
              <w:pStyle w:val="527"/>
              <w:shd w:val="clear" w:color="auto" w:fill="auto"/>
              <w:spacing w:before="0" w:after="0" w:line="240" w:lineRule="auto"/>
              <w:rPr>
                <w:rFonts w:ascii="Times New Roman" w:hAnsi="Times New Roman" w:eastAsia="宋体" w:cs="Times New Roman"/>
                <w:b/>
                <w:kern w:val="2"/>
                <w:sz w:val="21"/>
                <w:szCs w:val="21"/>
              </w:rPr>
            </w:pPr>
            <w:r>
              <w:rPr>
                <w:rFonts w:ascii="Times New Roman" w:hAnsi="Times New Roman" w:eastAsia="宋体" w:cs="Times New Roman"/>
                <w:b/>
                <w:kern w:val="2"/>
                <w:sz w:val="21"/>
                <w:szCs w:val="21"/>
              </w:rPr>
              <w:t>单位</w:t>
            </w:r>
          </w:p>
        </w:tc>
        <w:tc>
          <w:tcPr>
            <w:tcW w:w="1219" w:type="dxa"/>
            <w:vAlign w:val="center"/>
          </w:tcPr>
          <w:p>
            <w:pPr>
              <w:pStyle w:val="527"/>
              <w:shd w:val="clear" w:color="auto" w:fill="auto"/>
              <w:spacing w:before="0" w:after="0" w:line="240" w:lineRule="auto"/>
              <w:rPr>
                <w:rFonts w:ascii="Times New Roman" w:hAnsi="Times New Roman" w:eastAsia="宋体" w:cs="Times New Roman"/>
                <w:b/>
                <w:kern w:val="2"/>
                <w:sz w:val="21"/>
                <w:szCs w:val="21"/>
              </w:rPr>
            </w:pPr>
            <w:r>
              <w:rPr>
                <w:rFonts w:ascii="Times New Roman" w:hAnsi="Times New Roman" w:eastAsia="宋体" w:cs="Times New Roman"/>
                <w:b/>
                <w:kern w:val="2"/>
                <w:sz w:val="21"/>
                <w:szCs w:val="21"/>
              </w:rPr>
              <w:t>数值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453" w:type="dxa"/>
            <w:vMerge w:val="restart"/>
            <w:vAlign w:val="center"/>
          </w:tcPr>
          <w:p>
            <w:pPr>
              <w:pStyle w:val="527"/>
              <w:shd w:val="clear" w:color="auto" w:fill="auto"/>
              <w:spacing w:before="0" w:after="0" w:line="240" w:lineRule="auto"/>
              <w:jc w:val="both"/>
              <w:rPr>
                <w:rFonts w:ascii="Times New Roman" w:hAnsi="Times New Roman" w:eastAsia="宋体" w:cs="Times New Roman"/>
                <w:kern w:val="2"/>
                <w:sz w:val="21"/>
                <w:szCs w:val="21"/>
              </w:rPr>
            </w:pPr>
            <w:r>
              <w:rPr>
                <w:rFonts w:ascii="Times New Roman" w:hAnsi="Times New Roman" w:eastAsia="宋体" w:cs="Times New Roman"/>
                <w:kern w:val="2"/>
                <w:sz w:val="21"/>
                <w:szCs w:val="21"/>
              </w:rPr>
              <w:t>《大气污染物综合排放标准》（GB16297-1996）表2中二级标准</w:t>
            </w:r>
          </w:p>
        </w:tc>
        <w:tc>
          <w:tcPr>
            <w:tcW w:w="1273" w:type="dxa"/>
            <w:vMerge w:val="restart"/>
            <w:vAlign w:val="center"/>
          </w:tcPr>
          <w:p>
            <w:pPr>
              <w:pStyle w:val="527"/>
              <w:shd w:val="clear" w:color="auto" w:fill="auto"/>
              <w:spacing w:before="0" w:after="0" w:line="240" w:lineRule="auto"/>
              <w:rPr>
                <w:rFonts w:ascii="Times New Roman" w:hAnsi="Times New Roman" w:eastAsia="宋体" w:cs="Times New Roman"/>
                <w:kern w:val="2"/>
                <w:sz w:val="21"/>
                <w:szCs w:val="21"/>
              </w:rPr>
            </w:pPr>
            <w:r>
              <w:rPr>
                <w:rFonts w:ascii="Times New Roman" w:hAnsi="Times New Roman" w:eastAsia="宋体" w:cs="Times New Roman"/>
                <w:kern w:val="2"/>
                <w:sz w:val="21"/>
                <w:szCs w:val="21"/>
              </w:rPr>
              <w:t>颗粒物</w:t>
            </w:r>
          </w:p>
        </w:tc>
        <w:tc>
          <w:tcPr>
            <w:tcW w:w="2228" w:type="dxa"/>
            <w:gridSpan w:val="2"/>
            <w:vAlign w:val="center"/>
          </w:tcPr>
          <w:p>
            <w:pPr>
              <w:pStyle w:val="527"/>
              <w:spacing w:before="0" w:after="0" w:line="240" w:lineRule="auto"/>
              <w:rPr>
                <w:rFonts w:ascii="Times New Roman" w:hAnsi="Times New Roman" w:eastAsia="宋体" w:cs="Times New Roman"/>
                <w:kern w:val="2"/>
                <w:sz w:val="21"/>
                <w:szCs w:val="21"/>
              </w:rPr>
            </w:pPr>
            <w:r>
              <w:rPr>
                <w:rFonts w:ascii="Times New Roman" w:hAnsi="Times New Roman" w:eastAsia="宋体" w:cs="Times New Roman"/>
                <w:kern w:val="2"/>
                <w:sz w:val="21"/>
                <w:szCs w:val="21"/>
              </w:rPr>
              <w:t xml:space="preserve">厂界外浓度最高点 </w:t>
            </w:r>
          </w:p>
        </w:tc>
        <w:tc>
          <w:tcPr>
            <w:tcW w:w="1139" w:type="dxa"/>
            <w:vAlign w:val="center"/>
          </w:tcPr>
          <w:p>
            <w:pPr>
              <w:pStyle w:val="527"/>
              <w:spacing w:before="0" w:after="0" w:line="240" w:lineRule="auto"/>
              <w:rPr>
                <w:rFonts w:ascii="Times New Roman" w:hAnsi="Times New Roman" w:eastAsia="宋体" w:cs="Times New Roman"/>
                <w:kern w:val="2"/>
                <w:sz w:val="21"/>
                <w:szCs w:val="21"/>
              </w:rPr>
            </w:pPr>
            <w:r>
              <w:rPr>
                <w:rFonts w:ascii="Times New Roman" w:hAnsi="Times New Roman" w:eastAsia="宋体" w:cs="Times New Roman"/>
                <w:kern w:val="2"/>
                <w:sz w:val="21"/>
                <w:szCs w:val="21"/>
              </w:rPr>
              <w:t>mg/m</w:t>
            </w:r>
            <w:r>
              <w:rPr>
                <w:rFonts w:ascii="Times New Roman" w:hAnsi="Times New Roman" w:eastAsia="宋体" w:cs="Times New Roman"/>
                <w:kern w:val="2"/>
                <w:sz w:val="21"/>
                <w:szCs w:val="21"/>
                <w:vertAlign w:val="superscript"/>
              </w:rPr>
              <w:t>3</w:t>
            </w:r>
          </w:p>
        </w:tc>
        <w:tc>
          <w:tcPr>
            <w:tcW w:w="1219" w:type="dxa"/>
            <w:vAlign w:val="center"/>
          </w:tcPr>
          <w:p>
            <w:pPr>
              <w:pStyle w:val="527"/>
              <w:shd w:val="clear" w:color="auto" w:fill="auto"/>
              <w:spacing w:before="0" w:after="0" w:line="240" w:lineRule="auto"/>
              <w:rPr>
                <w:rFonts w:ascii="Times New Roman" w:hAnsi="Times New Roman" w:eastAsia="宋体" w:cs="Times New Roman"/>
                <w:kern w:val="2"/>
                <w:sz w:val="21"/>
                <w:szCs w:val="21"/>
              </w:rPr>
            </w:pPr>
            <w:r>
              <w:rPr>
                <w:rFonts w:ascii="Times New Roman" w:hAnsi="Times New Roman" w:eastAsia="宋体" w:cs="Times New Roman"/>
                <w:kern w:val="2"/>
                <w:sz w:val="21"/>
                <w:szCs w:val="21"/>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453" w:type="dxa"/>
            <w:vMerge w:val="continue"/>
            <w:vAlign w:val="center"/>
          </w:tcPr>
          <w:p>
            <w:pPr>
              <w:pStyle w:val="527"/>
              <w:shd w:val="clear" w:color="auto" w:fill="auto"/>
              <w:spacing w:before="0" w:after="0" w:line="240" w:lineRule="auto"/>
              <w:rPr>
                <w:rFonts w:ascii="Times New Roman" w:hAnsi="Times New Roman" w:eastAsia="宋体" w:cs="Times New Roman"/>
                <w:kern w:val="2"/>
                <w:sz w:val="21"/>
                <w:szCs w:val="21"/>
              </w:rPr>
            </w:pPr>
          </w:p>
        </w:tc>
        <w:tc>
          <w:tcPr>
            <w:tcW w:w="1273" w:type="dxa"/>
            <w:vMerge w:val="continue"/>
            <w:vAlign w:val="center"/>
          </w:tcPr>
          <w:p>
            <w:pPr>
              <w:pStyle w:val="527"/>
              <w:shd w:val="clear" w:color="auto" w:fill="auto"/>
              <w:spacing w:before="0" w:after="0" w:line="240" w:lineRule="auto"/>
              <w:rPr>
                <w:rFonts w:ascii="Times New Roman" w:hAnsi="Times New Roman" w:eastAsia="宋体" w:cs="Times New Roman"/>
                <w:kern w:val="2"/>
                <w:sz w:val="21"/>
                <w:szCs w:val="21"/>
              </w:rPr>
            </w:pPr>
          </w:p>
        </w:tc>
        <w:tc>
          <w:tcPr>
            <w:tcW w:w="2228" w:type="dxa"/>
            <w:gridSpan w:val="2"/>
            <w:vMerge w:val="restart"/>
            <w:vAlign w:val="center"/>
          </w:tcPr>
          <w:p>
            <w:pPr>
              <w:pStyle w:val="527"/>
              <w:spacing w:before="0" w:after="0" w:line="240" w:lineRule="auto"/>
              <w:rPr>
                <w:rFonts w:ascii="Times New Roman" w:hAnsi="Times New Roman" w:eastAsia="宋体" w:cs="Times New Roman"/>
                <w:kern w:val="2"/>
                <w:sz w:val="21"/>
                <w:szCs w:val="21"/>
              </w:rPr>
            </w:pPr>
            <w:r>
              <w:rPr>
                <w:rFonts w:ascii="Times New Roman" w:hAnsi="Times New Roman" w:eastAsia="宋体" w:cs="Times New Roman"/>
                <w:kern w:val="2"/>
                <w:sz w:val="21"/>
                <w:szCs w:val="21"/>
              </w:rPr>
              <w:t xml:space="preserve">15m排气筒 </w:t>
            </w:r>
          </w:p>
        </w:tc>
        <w:tc>
          <w:tcPr>
            <w:tcW w:w="1139" w:type="dxa"/>
            <w:vAlign w:val="center"/>
          </w:tcPr>
          <w:p>
            <w:pPr>
              <w:pStyle w:val="527"/>
              <w:spacing w:before="0" w:after="0" w:line="240" w:lineRule="auto"/>
              <w:rPr>
                <w:rFonts w:ascii="Times New Roman" w:hAnsi="Times New Roman" w:eastAsia="宋体" w:cs="Times New Roman"/>
                <w:kern w:val="2"/>
                <w:sz w:val="21"/>
                <w:szCs w:val="21"/>
              </w:rPr>
            </w:pPr>
            <w:r>
              <w:rPr>
                <w:rFonts w:ascii="Times New Roman" w:hAnsi="Times New Roman" w:eastAsia="宋体" w:cs="Times New Roman"/>
                <w:kern w:val="2"/>
                <w:sz w:val="21"/>
                <w:szCs w:val="21"/>
              </w:rPr>
              <w:t>kg/h</w:t>
            </w:r>
          </w:p>
        </w:tc>
        <w:tc>
          <w:tcPr>
            <w:tcW w:w="1219" w:type="dxa"/>
            <w:vAlign w:val="center"/>
          </w:tcPr>
          <w:p>
            <w:pPr>
              <w:pStyle w:val="527"/>
              <w:shd w:val="clear" w:color="auto" w:fill="auto"/>
              <w:spacing w:before="0" w:after="0" w:line="240" w:lineRule="auto"/>
              <w:rPr>
                <w:rFonts w:ascii="Times New Roman" w:hAnsi="Times New Roman" w:eastAsia="宋体" w:cs="Times New Roman"/>
                <w:kern w:val="2"/>
                <w:sz w:val="21"/>
                <w:szCs w:val="21"/>
              </w:rPr>
            </w:pPr>
            <w:r>
              <w:rPr>
                <w:rFonts w:ascii="Times New Roman" w:hAnsi="Times New Roman" w:eastAsia="宋体" w:cs="Times New Roman"/>
                <w:kern w:val="2"/>
                <w:sz w:val="21"/>
                <w:szCs w:val="21"/>
              </w:rPr>
              <w:t>3.5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453" w:type="dxa"/>
            <w:vMerge w:val="continue"/>
            <w:vAlign w:val="center"/>
          </w:tcPr>
          <w:p>
            <w:pPr>
              <w:pStyle w:val="527"/>
              <w:shd w:val="clear" w:color="auto" w:fill="auto"/>
              <w:spacing w:before="0" w:after="0" w:line="240" w:lineRule="auto"/>
              <w:rPr>
                <w:rFonts w:ascii="Times New Roman" w:hAnsi="Times New Roman" w:eastAsia="宋体" w:cs="Times New Roman"/>
                <w:kern w:val="2"/>
                <w:sz w:val="21"/>
                <w:szCs w:val="21"/>
              </w:rPr>
            </w:pPr>
          </w:p>
        </w:tc>
        <w:tc>
          <w:tcPr>
            <w:tcW w:w="1273" w:type="dxa"/>
            <w:vMerge w:val="continue"/>
            <w:vAlign w:val="center"/>
          </w:tcPr>
          <w:p>
            <w:pPr>
              <w:pStyle w:val="527"/>
              <w:shd w:val="clear" w:color="auto" w:fill="auto"/>
              <w:spacing w:before="0" w:after="0" w:line="240" w:lineRule="auto"/>
              <w:rPr>
                <w:rFonts w:ascii="Times New Roman" w:hAnsi="Times New Roman" w:eastAsia="宋体" w:cs="Times New Roman"/>
                <w:kern w:val="2"/>
                <w:sz w:val="21"/>
                <w:szCs w:val="21"/>
              </w:rPr>
            </w:pPr>
          </w:p>
        </w:tc>
        <w:tc>
          <w:tcPr>
            <w:tcW w:w="2228" w:type="dxa"/>
            <w:gridSpan w:val="2"/>
            <w:vMerge w:val="continue"/>
            <w:vAlign w:val="center"/>
          </w:tcPr>
          <w:p>
            <w:pPr>
              <w:pStyle w:val="527"/>
              <w:spacing w:before="0" w:after="0" w:line="240" w:lineRule="auto"/>
              <w:rPr>
                <w:rFonts w:ascii="Times New Roman" w:hAnsi="Times New Roman" w:eastAsia="宋体" w:cs="Times New Roman"/>
                <w:kern w:val="2"/>
                <w:sz w:val="21"/>
                <w:szCs w:val="21"/>
              </w:rPr>
            </w:pPr>
          </w:p>
        </w:tc>
        <w:tc>
          <w:tcPr>
            <w:tcW w:w="1139" w:type="dxa"/>
            <w:vAlign w:val="center"/>
          </w:tcPr>
          <w:p>
            <w:pPr>
              <w:pStyle w:val="527"/>
              <w:spacing w:before="0" w:after="0" w:line="240" w:lineRule="auto"/>
              <w:rPr>
                <w:rFonts w:ascii="Times New Roman" w:hAnsi="Times New Roman" w:eastAsia="宋体" w:cs="Times New Roman"/>
                <w:kern w:val="2"/>
                <w:sz w:val="21"/>
                <w:szCs w:val="21"/>
              </w:rPr>
            </w:pPr>
            <w:r>
              <w:rPr>
                <w:rFonts w:ascii="Times New Roman" w:hAnsi="Times New Roman" w:eastAsia="宋体" w:cs="Times New Roman"/>
                <w:kern w:val="2"/>
                <w:sz w:val="21"/>
                <w:szCs w:val="21"/>
              </w:rPr>
              <w:t>mg/m</w:t>
            </w:r>
            <w:r>
              <w:rPr>
                <w:rFonts w:ascii="Times New Roman" w:hAnsi="Times New Roman" w:eastAsia="宋体" w:cs="Times New Roman"/>
                <w:kern w:val="2"/>
                <w:sz w:val="21"/>
                <w:szCs w:val="21"/>
                <w:vertAlign w:val="superscript"/>
              </w:rPr>
              <w:t>3</w:t>
            </w:r>
          </w:p>
        </w:tc>
        <w:tc>
          <w:tcPr>
            <w:tcW w:w="1219" w:type="dxa"/>
            <w:vAlign w:val="center"/>
          </w:tcPr>
          <w:p>
            <w:pPr>
              <w:pStyle w:val="527"/>
              <w:shd w:val="clear" w:color="auto" w:fill="auto"/>
              <w:spacing w:before="0" w:after="0" w:line="240" w:lineRule="auto"/>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1</w:t>
            </w:r>
            <w:r>
              <w:rPr>
                <w:rFonts w:ascii="Times New Roman" w:hAnsi="Times New Roman" w:eastAsia="宋体" w:cs="Times New Roman"/>
                <w:kern w:val="2"/>
                <w:sz w:val="21"/>
                <w:szCs w:val="21"/>
              </w:rPr>
              <w:t>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69" w:hRule="atLeast"/>
          <w:jc w:val="center"/>
        </w:trPr>
        <w:tc>
          <w:tcPr>
            <w:tcW w:w="2453" w:type="dxa"/>
            <w:vMerge w:val="continue"/>
            <w:vAlign w:val="center"/>
          </w:tcPr>
          <w:p>
            <w:pPr>
              <w:pStyle w:val="527"/>
              <w:shd w:val="clear" w:color="auto" w:fill="auto"/>
              <w:spacing w:before="0" w:after="0" w:line="240" w:lineRule="auto"/>
              <w:rPr>
                <w:rFonts w:ascii="Times New Roman" w:hAnsi="Times New Roman" w:eastAsia="宋体" w:cs="Times New Roman"/>
                <w:kern w:val="2"/>
                <w:sz w:val="21"/>
                <w:szCs w:val="21"/>
              </w:rPr>
            </w:pPr>
          </w:p>
        </w:tc>
        <w:tc>
          <w:tcPr>
            <w:tcW w:w="1273" w:type="dxa"/>
            <w:tcBorders>
              <w:top w:val="single" w:color="auto" w:sz="4" w:space="0"/>
            </w:tcBorders>
            <w:vAlign w:val="center"/>
          </w:tcPr>
          <w:p>
            <w:pPr>
              <w:pStyle w:val="527"/>
              <w:shd w:val="clear" w:color="auto" w:fill="auto"/>
              <w:spacing w:before="0" w:after="0" w:line="240" w:lineRule="auto"/>
              <w:rPr>
                <w:rFonts w:ascii="Times New Roman" w:hAnsi="Times New Roman" w:eastAsia="宋体" w:cs="Times New Roman"/>
                <w:kern w:val="2"/>
                <w:sz w:val="21"/>
                <w:szCs w:val="21"/>
              </w:rPr>
            </w:pPr>
            <w:r>
              <w:rPr>
                <w:rFonts w:ascii="Times New Roman" w:hAnsi="Times New Roman" w:eastAsia="宋体" w:cs="Times New Roman"/>
                <w:kern w:val="2"/>
                <w:sz w:val="21"/>
                <w:szCs w:val="21"/>
              </w:rPr>
              <w:t>非甲烷总烃</w:t>
            </w:r>
          </w:p>
        </w:tc>
        <w:tc>
          <w:tcPr>
            <w:tcW w:w="2228" w:type="dxa"/>
            <w:gridSpan w:val="2"/>
            <w:vAlign w:val="center"/>
          </w:tcPr>
          <w:p>
            <w:pPr>
              <w:pStyle w:val="527"/>
              <w:spacing w:before="0" w:after="0" w:line="240" w:lineRule="auto"/>
              <w:rPr>
                <w:rFonts w:ascii="Times New Roman" w:hAnsi="Times New Roman" w:eastAsia="宋体" w:cs="Times New Roman"/>
                <w:kern w:val="2"/>
                <w:sz w:val="21"/>
                <w:szCs w:val="21"/>
              </w:rPr>
            </w:pPr>
            <w:r>
              <w:rPr>
                <w:rFonts w:ascii="Times New Roman" w:hAnsi="Times New Roman" w:eastAsia="宋体" w:cs="Times New Roman"/>
                <w:kern w:val="2"/>
                <w:sz w:val="21"/>
                <w:szCs w:val="21"/>
              </w:rPr>
              <w:t xml:space="preserve">厂界外浓度最高点 </w:t>
            </w:r>
          </w:p>
        </w:tc>
        <w:tc>
          <w:tcPr>
            <w:tcW w:w="1139" w:type="dxa"/>
            <w:vAlign w:val="center"/>
          </w:tcPr>
          <w:p>
            <w:pPr>
              <w:pStyle w:val="527"/>
              <w:spacing w:before="0" w:after="0" w:line="240" w:lineRule="auto"/>
              <w:rPr>
                <w:rFonts w:ascii="Times New Roman" w:hAnsi="Times New Roman" w:eastAsia="宋体" w:cs="Times New Roman"/>
                <w:kern w:val="2"/>
                <w:sz w:val="21"/>
                <w:szCs w:val="21"/>
              </w:rPr>
            </w:pPr>
            <w:r>
              <w:rPr>
                <w:rFonts w:ascii="Times New Roman" w:hAnsi="Times New Roman" w:eastAsia="宋体" w:cs="Times New Roman"/>
                <w:kern w:val="2"/>
                <w:sz w:val="21"/>
                <w:szCs w:val="21"/>
              </w:rPr>
              <w:t>mg/m</w:t>
            </w:r>
            <w:r>
              <w:rPr>
                <w:rFonts w:ascii="Times New Roman" w:hAnsi="Times New Roman" w:eastAsia="宋体" w:cs="Times New Roman"/>
                <w:kern w:val="2"/>
                <w:sz w:val="21"/>
                <w:szCs w:val="21"/>
                <w:vertAlign w:val="superscript"/>
              </w:rPr>
              <w:t>3</w:t>
            </w:r>
          </w:p>
        </w:tc>
        <w:tc>
          <w:tcPr>
            <w:tcW w:w="1219" w:type="dxa"/>
            <w:vAlign w:val="center"/>
          </w:tcPr>
          <w:p>
            <w:pPr>
              <w:pStyle w:val="527"/>
              <w:shd w:val="clear" w:color="auto" w:fill="auto"/>
              <w:spacing w:before="0" w:after="0" w:line="240" w:lineRule="auto"/>
              <w:rPr>
                <w:rFonts w:ascii="Times New Roman" w:hAnsi="Times New Roman" w:eastAsia="宋体" w:cs="Times New Roman"/>
                <w:kern w:val="2"/>
                <w:sz w:val="21"/>
                <w:szCs w:val="21"/>
              </w:rPr>
            </w:pPr>
            <w:r>
              <w:rPr>
                <w:rFonts w:ascii="Times New Roman" w:hAnsi="Times New Roman" w:eastAsia="宋体" w:cs="Times New Roman"/>
                <w:kern w:val="2"/>
                <w:sz w:val="21"/>
                <w:szCs w:val="21"/>
              </w:rPr>
              <w:t>4.0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453" w:type="dxa"/>
            <w:vAlign w:val="center"/>
          </w:tcPr>
          <w:p>
            <w:pPr>
              <w:pStyle w:val="527"/>
              <w:shd w:val="clear" w:color="auto" w:fill="auto"/>
              <w:spacing w:before="0" w:after="0" w:line="240" w:lineRule="auto"/>
              <w:rPr>
                <w:rFonts w:ascii="Times New Roman" w:hAnsi="Times New Roman" w:eastAsia="宋体" w:cs="Times New Roman"/>
                <w:sz w:val="21"/>
                <w:szCs w:val="21"/>
              </w:rPr>
            </w:pPr>
            <w:r>
              <w:rPr>
                <w:rFonts w:ascii="Times New Roman" w:hAnsi="Times New Roman" w:eastAsia="宋体" w:cs="Times New Roman"/>
                <w:sz w:val="21"/>
                <w:szCs w:val="21"/>
              </w:rPr>
              <w:t>《医疗废物处理处置污染控制标准》（GB39707—2020）</w:t>
            </w:r>
          </w:p>
        </w:tc>
        <w:tc>
          <w:tcPr>
            <w:tcW w:w="1273" w:type="dxa"/>
            <w:vAlign w:val="center"/>
          </w:tcPr>
          <w:p>
            <w:pPr>
              <w:pStyle w:val="527"/>
              <w:shd w:val="clear" w:color="auto" w:fill="auto"/>
              <w:spacing w:before="0" w:after="0" w:line="240" w:lineRule="auto"/>
              <w:rPr>
                <w:rFonts w:ascii="Times New Roman" w:hAnsi="Times New Roman" w:eastAsia="宋体" w:cs="Times New Roman"/>
                <w:sz w:val="21"/>
                <w:szCs w:val="21"/>
              </w:rPr>
            </w:pPr>
            <w:r>
              <w:rPr>
                <w:rFonts w:ascii="Times New Roman" w:hAnsi="Times New Roman" w:eastAsia="宋体" w:cs="Times New Roman"/>
                <w:sz w:val="21"/>
                <w:szCs w:val="21"/>
              </w:rPr>
              <w:t>非甲烷总烃</w:t>
            </w:r>
          </w:p>
        </w:tc>
        <w:tc>
          <w:tcPr>
            <w:tcW w:w="2228" w:type="dxa"/>
            <w:gridSpan w:val="2"/>
            <w:vAlign w:val="center"/>
          </w:tcPr>
          <w:p>
            <w:pPr>
              <w:pStyle w:val="527"/>
              <w:shd w:val="clear" w:color="auto" w:fill="auto"/>
              <w:spacing w:before="0" w:after="0" w:line="240" w:lineRule="auto"/>
              <w:rPr>
                <w:rFonts w:ascii="Times New Roman" w:hAnsi="Times New Roman" w:eastAsia="宋体" w:cs="Times New Roman"/>
                <w:kern w:val="2"/>
                <w:sz w:val="21"/>
                <w:szCs w:val="21"/>
              </w:rPr>
            </w:pPr>
            <w:r>
              <w:rPr>
                <w:rFonts w:ascii="Times New Roman" w:hAnsi="Times New Roman" w:eastAsia="宋体" w:cs="Times New Roman"/>
                <w:kern w:val="2"/>
                <w:sz w:val="21"/>
                <w:szCs w:val="21"/>
              </w:rPr>
              <w:t>消毒处理设施15</w:t>
            </w:r>
            <w:r>
              <w:rPr>
                <w:rFonts w:hint="eastAsia" w:ascii="Times New Roman" w:hAnsi="Times New Roman" w:eastAsia="宋体" w:cs="Times New Roman"/>
                <w:kern w:val="2"/>
                <w:sz w:val="21"/>
                <w:szCs w:val="21"/>
              </w:rPr>
              <w:t>m排气筒</w:t>
            </w:r>
          </w:p>
        </w:tc>
        <w:tc>
          <w:tcPr>
            <w:tcW w:w="1139" w:type="dxa"/>
            <w:vAlign w:val="center"/>
          </w:tcPr>
          <w:p>
            <w:pPr>
              <w:pStyle w:val="527"/>
              <w:shd w:val="clear" w:color="auto" w:fill="auto"/>
              <w:spacing w:before="0" w:after="0" w:line="240" w:lineRule="auto"/>
              <w:rPr>
                <w:rFonts w:ascii="Times New Roman" w:hAnsi="Times New Roman" w:eastAsia="宋体" w:cs="Times New Roman"/>
                <w:kern w:val="2"/>
                <w:sz w:val="21"/>
                <w:szCs w:val="21"/>
              </w:rPr>
            </w:pPr>
            <w:r>
              <w:rPr>
                <w:rFonts w:ascii="Times New Roman" w:hAnsi="Times New Roman" w:eastAsia="宋体" w:cs="Times New Roman"/>
                <w:kern w:val="2"/>
                <w:sz w:val="21"/>
                <w:szCs w:val="21"/>
              </w:rPr>
              <w:t>mg/m</w:t>
            </w:r>
            <w:r>
              <w:rPr>
                <w:rFonts w:ascii="Times New Roman" w:hAnsi="Times New Roman" w:eastAsia="宋体" w:cs="Times New Roman"/>
                <w:kern w:val="2"/>
                <w:sz w:val="21"/>
                <w:szCs w:val="21"/>
                <w:vertAlign w:val="superscript"/>
              </w:rPr>
              <w:t>3</w:t>
            </w:r>
          </w:p>
        </w:tc>
        <w:tc>
          <w:tcPr>
            <w:tcW w:w="1219" w:type="dxa"/>
            <w:vAlign w:val="center"/>
          </w:tcPr>
          <w:p>
            <w:pPr>
              <w:pStyle w:val="527"/>
              <w:shd w:val="clear" w:color="auto" w:fill="auto"/>
              <w:spacing w:before="0" w:after="0" w:line="240" w:lineRule="auto"/>
              <w:rPr>
                <w:rFonts w:ascii="Times New Roman" w:hAnsi="Times New Roman" w:eastAsia="宋体" w:cs="Times New Roman"/>
                <w:kern w:val="2"/>
                <w:sz w:val="21"/>
                <w:szCs w:val="21"/>
              </w:rPr>
            </w:pPr>
            <w:r>
              <w:rPr>
                <w:rFonts w:ascii="Times New Roman" w:hAnsi="Times New Roman" w:eastAsia="宋体" w:cs="Times New Roman"/>
                <w:kern w:val="2"/>
                <w:sz w:val="21"/>
                <w:szCs w:val="21"/>
              </w:rPr>
              <w:t>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453" w:type="dxa"/>
            <w:vMerge w:val="restart"/>
            <w:vAlign w:val="center"/>
          </w:tcPr>
          <w:p>
            <w:pPr>
              <w:pStyle w:val="527"/>
              <w:spacing w:before="0" w:after="0" w:line="240" w:lineRule="auto"/>
              <w:jc w:val="both"/>
              <w:rPr>
                <w:rFonts w:ascii="Times New Roman" w:hAnsi="Times New Roman" w:eastAsia="宋体" w:cs="Times New Roman"/>
                <w:kern w:val="2"/>
                <w:sz w:val="21"/>
                <w:szCs w:val="21"/>
              </w:rPr>
            </w:pPr>
            <w:r>
              <w:rPr>
                <w:rFonts w:ascii="Times New Roman" w:hAnsi="Times New Roman" w:eastAsia="宋体" w:cs="Times New Roman"/>
                <w:kern w:val="2"/>
                <w:sz w:val="21"/>
                <w:szCs w:val="21"/>
              </w:rPr>
              <w:t>《锅炉大气污染物排放标准》（GB13271-2014）</w:t>
            </w:r>
          </w:p>
        </w:tc>
        <w:tc>
          <w:tcPr>
            <w:tcW w:w="1273" w:type="dxa"/>
            <w:vAlign w:val="center"/>
          </w:tcPr>
          <w:p>
            <w:pPr>
              <w:pStyle w:val="527"/>
              <w:shd w:val="clear" w:color="auto" w:fill="auto"/>
              <w:spacing w:before="0" w:after="0" w:line="240" w:lineRule="auto"/>
              <w:rPr>
                <w:rFonts w:ascii="Times New Roman" w:hAnsi="Times New Roman" w:eastAsia="宋体" w:cs="Times New Roman"/>
                <w:kern w:val="2"/>
                <w:sz w:val="21"/>
                <w:szCs w:val="21"/>
              </w:rPr>
            </w:pPr>
            <w:r>
              <w:rPr>
                <w:rFonts w:ascii="Times New Roman" w:hAnsi="Times New Roman" w:eastAsia="宋体" w:cs="Times New Roman"/>
                <w:kern w:val="2"/>
                <w:sz w:val="21"/>
                <w:szCs w:val="21"/>
              </w:rPr>
              <w:t>SO</w:t>
            </w:r>
            <w:r>
              <w:rPr>
                <w:rFonts w:ascii="Times New Roman" w:hAnsi="Times New Roman" w:eastAsia="宋体" w:cs="Times New Roman"/>
                <w:kern w:val="2"/>
                <w:sz w:val="21"/>
                <w:szCs w:val="21"/>
                <w:vertAlign w:val="subscript"/>
              </w:rPr>
              <w:t>2</w:t>
            </w:r>
          </w:p>
        </w:tc>
        <w:tc>
          <w:tcPr>
            <w:tcW w:w="2228" w:type="dxa"/>
            <w:gridSpan w:val="2"/>
            <w:vMerge w:val="restart"/>
            <w:vAlign w:val="center"/>
          </w:tcPr>
          <w:p>
            <w:pPr>
              <w:pStyle w:val="527"/>
              <w:shd w:val="clear" w:color="auto" w:fill="auto"/>
              <w:spacing w:before="0" w:after="0" w:line="240" w:lineRule="auto"/>
              <w:rPr>
                <w:rFonts w:ascii="Times New Roman" w:hAnsi="Times New Roman" w:eastAsia="宋体" w:cs="Times New Roman"/>
                <w:kern w:val="2"/>
                <w:sz w:val="21"/>
                <w:szCs w:val="21"/>
              </w:rPr>
            </w:pPr>
            <w:r>
              <w:rPr>
                <w:rFonts w:ascii="Times New Roman" w:hAnsi="Times New Roman" w:eastAsia="宋体" w:cs="Times New Roman"/>
                <w:kern w:val="2"/>
                <w:sz w:val="21"/>
                <w:szCs w:val="21"/>
              </w:rPr>
              <w:t>15m排气筒</w:t>
            </w:r>
          </w:p>
        </w:tc>
        <w:tc>
          <w:tcPr>
            <w:tcW w:w="1139" w:type="dxa"/>
            <w:vMerge w:val="restart"/>
            <w:vAlign w:val="center"/>
          </w:tcPr>
          <w:p>
            <w:pPr>
              <w:pStyle w:val="527"/>
              <w:spacing w:before="0" w:after="0" w:line="240" w:lineRule="auto"/>
              <w:rPr>
                <w:rFonts w:ascii="Times New Roman" w:hAnsi="Times New Roman" w:eastAsia="宋体" w:cs="Times New Roman"/>
                <w:kern w:val="2"/>
                <w:sz w:val="21"/>
                <w:szCs w:val="21"/>
              </w:rPr>
            </w:pPr>
            <w:r>
              <w:rPr>
                <w:rFonts w:ascii="Times New Roman" w:hAnsi="Times New Roman" w:eastAsia="宋体" w:cs="Times New Roman"/>
                <w:kern w:val="2"/>
                <w:sz w:val="21"/>
                <w:szCs w:val="21"/>
              </w:rPr>
              <w:t>mg/m</w:t>
            </w:r>
            <w:r>
              <w:rPr>
                <w:rFonts w:ascii="Times New Roman" w:hAnsi="Times New Roman" w:eastAsia="宋体" w:cs="Times New Roman"/>
                <w:kern w:val="2"/>
                <w:sz w:val="21"/>
                <w:szCs w:val="21"/>
                <w:vertAlign w:val="superscript"/>
              </w:rPr>
              <w:t>3</w:t>
            </w:r>
          </w:p>
        </w:tc>
        <w:tc>
          <w:tcPr>
            <w:tcW w:w="1219" w:type="dxa"/>
            <w:vAlign w:val="center"/>
          </w:tcPr>
          <w:p>
            <w:pPr>
              <w:pStyle w:val="527"/>
              <w:shd w:val="clear" w:color="auto" w:fill="auto"/>
              <w:spacing w:before="0" w:after="0" w:line="240" w:lineRule="auto"/>
              <w:rPr>
                <w:rFonts w:ascii="Times New Roman" w:hAnsi="Times New Roman" w:eastAsia="宋体" w:cs="Times New Roman"/>
                <w:kern w:val="2"/>
                <w:sz w:val="21"/>
                <w:szCs w:val="21"/>
              </w:rPr>
            </w:pPr>
            <w:r>
              <w:rPr>
                <w:rFonts w:ascii="Times New Roman" w:hAnsi="Times New Roman" w:eastAsia="宋体" w:cs="Times New Roman"/>
                <w:kern w:val="2"/>
                <w:sz w:val="21"/>
                <w:szCs w:val="21"/>
              </w:rPr>
              <w:t>200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453" w:type="dxa"/>
            <w:vMerge w:val="continue"/>
            <w:vAlign w:val="center"/>
          </w:tcPr>
          <w:p>
            <w:pPr>
              <w:pStyle w:val="527"/>
              <w:shd w:val="clear" w:color="auto" w:fill="auto"/>
              <w:spacing w:before="0" w:after="0" w:line="240" w:lineRule="auto"/>
              <w:rPr>
                <w:rFonts w:ascii="Times New Roman" w:hAnsi="Times New Roman" w:eastAsia="宋体" w:cs="Times New Roman"/>
                <w:kern w:val="2"/>
                <w:sz w:val="21"/>
                <w:szCs w:val="21"/>
              </w:rPr>
            </w:pPr>
          </w:p>
        </w:tc>
        <w:tc>
          <w:tcPr>
            <w:tcW w:w="1273" w:type="dxa"/>
            <w:vAlign w:val="center"/>
          </w:tcPr>
          <w:p>
            <w:pPr>
              <w:pStyle w:val="527"/>
              <w:shd w:val="clear" w:color="auto" w:fill="auto"/>
              <w:spacing w:before="0" w:after="0" w:line="240" w:lineRule="auto"/>
              <w:rPr>
                <w:rFonts w:ascii="Times New Roman" w:hAnsi="Times New Roman" w:eastAsia="宋体" w:cs="Times New Roman"/>
                <w:kern w:val="2"/>
                <w:sz w:val="21"/>
                <w:szCs w:val="21"/>
              </w:rPr>
            </w:pPr>
            <w:r>
              <w:rPr>
                <w:rFonts w:ascii="Times New Roman" w:hAnsi="Times New Roman" w:eastAsia="宋体" w:cs="Times New Roman"/>
                <w:kern w:val="2"/>
                <w:sz w:val="21"/>
                <w:szCs w:val="21"/>
              </w:rPr>
              <w:t>NO</w:t>
            </w:r>
            <w:r>
              <w:rPr>
                <w:rFonts w:ascii="Times New Roman" w:hAnsi="Times New Roman" w:eastAsia="宋体" w:cs="Times New Roman"/>
                <w:kern w:val="2"/>
                <w:sz w:val="21"/>
                <w:szCs w:val="21"/>
                <w:vertAlign w:val="subscript"/>
              </w:rPr>
              <w:t>x</w:t>
            </w:r>
          </w:p>
        </w:tc>
        <w:tc>
          <w:tcPr>
            <w:tcW w:w="2228" w:type="dxa"/>
            <w:gridSpan w:val="2"/>
            <w:vMerge w:val="continue"/>
            <w:vAlign w:val="center"/>
          </w:tcPr>
          <w:p>
            <w:pPr>
              <w:pStyle w:val="527"/>
              <w:shd w:val="clear" w:color="auto" w:fill="auto"/>
              <w:spacing w:before="0" w:after="0" w:line="240" w:lineRule="auto"/>
              <w:rPr>
                <w:rFonts w:ascii="Times New Roman" w:hAnsi="Times New Roman" w:eastAsia="宋体" w:cs="Times New Roman"/>
                <w:kern w:val="2"/>
                <w:sz w:val="21"/>
                <w:szCs w:val="21"/>
              </w:rPr>
            </w:pPr>
          </w:p>
        </w:tc>
        <w:tc>
          <w:tcPr>
            <w:tcW w:w="1139" w:type="dxa"/>
            <w:vMerge w:val="continue"/>
            <w:vAlign w:val="center"/>
          </w:tcPr>
          <w:p>
            <w:pPr>
              <w:pStyle w:val="527"/>
              <w:spacing w:before="0" w:after="0" w:line="240" w:lineRule="auto"/>
              <w:rPr>
                <w:rFonts w:ascii="Times New Roman" w:hAnsi="Times New Roman" w:eastAsia="宋体" w:cs="Times New Roman"/>
                <w:kern w:val="2"/>
                <w:sz w:val="21"/>
                <w:szCs w:val="21"/>
              </w:rPr>
            </w:pPr>
          </w:p>
        </w:tc>
        <w:tc>
          <w:tcPr>
            <w:tcW w:w="1219" w:type="dxa"/>
            <w:vAlign w:val="center"/>
          </w:tcPr>
          <w:p>
            <w:pPr>
              <w:pStyle w:val="527"/>
              <w:shd w:val="clear" w:color="auto" w:fill="auto"/>
              <w:spacing w:before="0" w:after="0" w:line="240" w:lineRule="auto"/>
              <w:rPr>
                <w:rFonts w:ascii="Times New Roman" w:hAnsi="Times New Roman" w:eastAsia="宋体" w:cs="Times New Roman"/>
                <w:kern w:val="2"/>
                <w:sz w:val="21"/>
                <w:szCs w:val="21"/>
              </w:rPr>
            </w:pPr>
            <w:r>
              <w:rPr>
                <w:rFonts w:ascii="Times New Roman" w:hAnsi="Times New Roman" w:eastAsia="宋体" w:cs="Times New Roman"/>
                <w:kern w:val="2"/>
                <w:sz w:val="21"/>
                <w:szCs w:val="21"/>
              </w:rPr>
              <w:t>250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453" w:type="dxa"/>
            <w:vMerge w:val="continue"/>
            <w:vAlign w:val="center"/>
          </w:tcPr>
          <w:p>
            <w:pPr>
              <w:pStyle w:val="527"/>
              <w:shd w:val="clear" w:color="auto" w:fill="auto"/>
              <w:spacing w:before="0" w:after="0" w:line="240" w:lineRule="auto"/>
              <w:rPr>
                <w:rFonts w:ascii="Times New Roman" w:hAnsi="Times New Roman" w:eastAsia="宋体" w:cs="Times New Roman"/>
                <w:kern w:val="2"/>
                <w:sz w:val="21"/>
                <w:szCs w:val="21"/>
              </w:rPr>
            </w:pPr>
          </w:p>
        </w:tc>
        <w:tc>
          <w:tcPr>
            <w:tcW w:w="1273" w:type="dxa"/>
            <w:vAlign w:val="center"/>
          </w:tcPr>
          <w:p>
            <w:pPr>
              <w:pStyle w:val="527"/>
              <w:shd w:val="clear" w:color="auto" w:fill="auto"/>
              <w:spacing w:before="0" w:after="0" w:line="240" w:lineRule="auto"/>
              <w:rPr>
                <w:rFonts w:ascii="Times New Roman" w:hAnsi="Times New Roman" w:eastAsia="宋体" w:cs="Times New Roman"/>
                <w:kern w:val="2"/>
                <w:sz w:val="21"/>
                <w:szCs w:val="21"/>
              </w:rPr>
            </w:pPr>
            <w:r>
              <w:rPr>
                <w:rFonts w:ascii="Times New Roman" w:hAnsi="Times New Roman" w:eastAsia="宋体" w:cs="Times New Roman"/>
                <w:kern w:val="2"/>
                <w:sz w:val="21"/>
                <w:szCs w:val="21"/>
              </w:rPr>
              <w:t>颗粒物</w:t>
            </w:r>
          </w:p>
        </w:tc>
        <w:tc>
          <w:tcPr>
            <w:tcW w:w="2228" w:type="dxa"/>
            <w:gridSpan w:val="2"/>
            <w:vMerge w:val="continue"/>
            <w:vAlign w:val="center"/>
          </w:tcPr>
          <w:p>
            <w:pPr>
              <w:pStyle w:val="527"/>
              <w:shd w:val="clear" w:color="auto" w:fill="auto"/>
              <w:spacing w:before="0" w:after="0" w:line="240" w:lineRule="auto"/>
              <w:rPr>
                <w:rFonts w:ascii="Times New Roman" w:hAnsi="Times New Roman" w:eastAsia="宋体" w:cs="Times New Roman"/>
                <w:kern w:val="2"/>
                <w:sz w:val="21"/>
                <w:szCs w:val="21"/>
              </w:rPr>
            </w:pPr>
          </w:p>
        </w:tc>
        <w:tc>
          <w:tcPr>
            <w:tcW w:w="1139" w:type="dxa"/>
            <w:vMerge w:val="continue"/>
            <w:vAlign w:val="center"/>
          </w:tcPr>
          <w:p>
            <w:pPr>
              <w:pStyle w:val="527"/>
              <w:shd w:val="clear" w:color="auto" w:fill="auto"/>
              <w:spacing w:before="0" w:after="0" w:line="240" w:lineRule="auto"/>
              <w:rPr>
                <w:rFonts w:ascii="Times New Roman" w:hAnsi="Times New Roman" w:eastAsia="宋体" w:cs="Times New Roman"/>
                <w:kern w:val="2"/>
                <w:sz w:val="21"/>
                <w:szCs w:val="21"/>
              </w:rPr>
            </w:pPr>
          </w:p>
        </w:tc>
        <w:tc>
          <w:tcPr>
            <w:tcW w:w="1219" w:type="dxa"/>
            <w:vAlign w:val="center"/>
          </w:tcPr>
          <w:p>
            <w:pPr>
              <w:pStyle w:val="527"/>
              <w:shd w:val="clear" w:color="auto" w:fill="auto"/>
              <w:spacing w:before="0" w:after="0" w:line="240" w:lineRule="auto"/>
              <w:rPr>
                <w:rFonts w:ascii="Times New Roman" w:hAnsi="Times New Roman" w:eastAsia="宋体" w:cs="Times New Roman"/>
                <w:kern w:val="2"/>
                <w:sz w:val="21"/>
                <w:szCs w:val="21"/>
              </w:rPr>
            </w:pPr>
            <w:r>
              <w:rPr>
                <w:rFonts w:ascii="Times New Roman" w:hAnsi="Times New Roman" w:eastAsia="宋体" w:cs="Times New Roman"/>
                <w:kern w:val="2"/>
                <w:sz w:val="21"/>
                <w:szCs w:val="21"/>
              </w:rPr>
              <w:t>30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453" w:type="dxa"/>
            <w:vMerge w:val="continue"/>
            <w:vAlign w:val="center"/>
          </w:tcPr>
          <w:p>
            <w:pPr>
              <w:pStyle w:val="527"/>
              <w:shd w:val="clear" w:color="auto" w:fill="auto"/>
              <w:spacing w:before="0" w:after="0" w:line="240" w:lineRule="auto"/>
              <w:rPr>
                <w:rFonts w:ascii="Times New Roman" w:hAnsi="Times New Roman" w:eastAsia="宋体" w:cs="Times New Roman"/>
                <w:kern w:val="2"/>
                <w:sz w:val="21"/>
                <w:szCs w:val="21"/>
              </w:rPr>
            </w:pPr>
          </w:p>
        </w:tc>
        <w:tc>
          <w:tcPr>
            <w:tcW w:w="1273" w:type="dxa"/>
            <w:vAlign w:val="center"/>
          </w:tcPr>
          <w:p>
            <w:pPr>
              <w:pStyle w:val="527"/>
              <w:shd w:val="clear" w:color="auto" w:fill="auto"/>
              <w:spacing w:before="0" w:after="0" w:line="240" w:lineRule="auto"/>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林格曼黑度</w:t>
            </w:r>
          </w:p>
        </w:tc>
        <w:tc>
          <w:tcPr>
            <w:tcW w:w="2228" w:type="dxa"/>
            <w:gridSpan w:val="2"/>
            <w:vMerge w:val="continue"/>
            <w:vAlign w:val="center"/>
          </w:tcPr>
          <w:p>
            <w:pPr>
              <w:pStyle w:val="527"/>
              <w:shd w:val="clear" w:color="auto" w:fill="auto"/>
              <w:spacing w:before="0" w:after="0" w:line="240" w:lineRule="auto"/>
              <w:rPr>
                <w:rFonts w:ascii="Times New Roman" w:hAnsi="Times New Roman" w:eastAsia="宋体" w:cs="Times New Roman"/>
                <w:kern w:val="2"/>
                <w:sz w:val="21"/>
                <w:szCs w:val="21"/>
              </w:rPr>
            </w:pPr>
          </w:p>
        </w:tc>
        <w:tc>
          <w:tcPr>
            <w:tcW w:w="1139" w:type="dxa"/>
            <w:vAlign w:val="center"/>
          </w:tcPr>
          <w:p>
            <w:pPr>
              <w:pStyle w:val="527"/>
              <w:shd w:val="clear" w:color="auto" w:fill="auto"/>
              <w:spacing w:before="0" w:after="0" w:line="240" w:lineRule="auto"/>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级</w:t>
            </w:r>
          </w:p>
        </w:tc>
        <w:tc>
          <w:tcPr>
            <w:tcW w:w="1219" w:type="dxa"/>
            <w:vAlign w:val="center"/>
          </w:tcPr>
          <w:p>
            <w:pPr>
              <w:pStyle w:val="527"/>
              <w:shd w:val="clear" w:color="auto" w:fill="auto"/>
              <w:spacing w:before="0" w:after="0" w:line="240" w:lineRule="auto"/>
              <w:rPr>
                <w:rFonts w:ascii="Times New Roman" w:hAnsi="Times New Roman" w:eastAsia="宋体" w:cs="Times New Roman"/>
                <w:kern w:val="2"/>
                <w:sz w:val="21"/>
                <w:szCs w:val="21"/>
              </w:rPr>
            </w:pPr>
            <w:r>
              <w:rPr>
                <w:rFonts w:hint="eastAsia" w:ascii="宋体" w:hAnsi="宋体" w:eastAsia="宋体" w:cs="Times New Roman"/>
                <w:kern w:val="2"/>
                <w:sz w:val="21"/>
                <w:szCs w:val="21"/>
              </w:rPr>
              <w:t>≤</w:t>
            </w:r>
            <w:r>
              <w:rPr>
                <w:rFonts w:hint="eastAsia" w:ascii="Times New Roman" w:hAnsi="Times New Roman" w:eastAsia="宋体" w:cs="Times New Roman"/>
                <w:kern w:val="2"/>
                <w:sz w:val="21"/>
                <w:szCs w:val="21"/>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453" w:type="dxa"/>
            <w:vMerge w:val="restart"/>
            <w:vAlign w:val="center"/>
          </w:tcPr>
          <w:p>
            <w:pPr>
              <w:pStyle w:val="527"/>
              <w:shd w:val="clear" w:color="auto" w:fill="auto"/>
              <w:spacing w:before="0" w:after="0" w:line="240" w:lineRule="auto"/>
              <w:rPr>
                <w:rFonts w:ascii="Times New Roman" w:hAnsi="Times New Roman" w:eastAsia="宋体" w:cs="Times New Roman"/>
                <w:kern w:val="2"/>
                <w:sz w:val="21"/>
                <w:szCs w:val="21"/>
              </w:rPr>
            </w:pPr>
            <w:r>
              <w:rPr>
                <w:rFonts w:ascii="Times New Roman" w:hAnsi="Times New Roman" w:eastAsia="宋体" w:cs="Times New Roman"/>
                <w:kern w:val="2"/>
                <w:sz w:val="21"/>
                <w:szCs w:val="21"/>
              </w:rPr>
              <w:t>《挥发性有机物无组织排放控制标准》（GB37822-2019）</w:t>
            </w:r>
          </w:p>
        </w:tc>
        <w:tc>
          <w:tcPr>
            <w:tcW w:w="1273" w:type="dxa"/>
            <w:vMerge w:val="restart"/>
            <w:vAlign w:val="center"/>
          </w:tcPr>
          <w:p>
            <w:pPr>
              <w:pStyle w:val="527"/>
              <w:shd w:val="clear" w:color="auto" w:fill="auto"/>
              <w:spacing w:before="0" w:after="0" w:line="240" w:lineRule="auto"/>
              <w:rPr>
                <w:rFonts w:ascii="Times New Roman" w:hAnsi="Times New Roman" w:eastAsia="宋体" w:cs="Times New Roman"/>
                <w:kern w:val="2"/>
                <w:sz w:val="21"/>
                <w:szCs w:val="21"/>
              </w:rPr>
            </w:pPr>
            <w:r>
              <w:rPr>
                <w:rFonts w:ascii="Times New Roman" w:hAnsi="Times New Roman" w:eastAsia="宋体" w:cs="Times New Roman"/>
                <w:kern w:val="2"/>
                <w:sz w:val="21"/>
                <w:szCs w:val="21"/>
              </w:rPr>
              <w:t>非甲烷总烃</w:t>
            </w:r>
          </w:p>
        </w:tc>
        <w:tc>
          <w:tcPr>
            <w:tcW w:w="531" w:type="dxa"/>
            <w:vMerge w:val="restart"/>
            <w:vAlign w:val="center"/>
          </w:tcPr>
          <w:p>
            <w:pPr>
              <w:jc w:val="center"/>
              <w:rPr>
                <w:rFonts w:ascii="Times New Roman" w:hAnsi="Times New Roman"/>
              </w:rPr>
            </w:pPr>
            <w:r>
              <w:rPr>
                <w:rFonts w:ascii="Times New Roman" w:hAnsi="Times New Roman"/>
              </w:rPr>
              <w:t>厂房外</w:t>
            </w:r>
          </w:p>
        </w:tc>
        <w:tc>
          <w:tcPr>
            <w:tcW w:w="1697" w:type="dxa"/>
            <w:vAlign w:val="center"/>
          </w:tcPr>
          <w:p>
            <w:pPr>
              <w:jc w:val="center"/>
              <w:rPr>
                <w:rFonts w:ascii="Times New Roman" w:hAnsi="Times New Roman"/>
              </w:rPr>
            </w:pPr>
            <w:r>
              <w:rPr>
                <w:rFonts w:ascii="Times New Roman" w:hAnsi="Times New Roman"/>
              </w:rPr>
              <w:t>监控点处1h</w:t>
            </w:r>
          </w:p>
          <w:p>
            <w:pPr>
              <w:jc w:val="center"/>
              <w:rPr>
                <w:rFonts w:ascii="Times New Roman" w:hAnsi="Times New Roman"/>
              </w:rPr>
            </w:pPr>
            <w:r>
              <w:rPr>
                <w:rFonts w:ascii="Times New Roman" w:hAnsi="Times New Roman"/>
              </w:rPr>
              <w:t>平均浓度值</w:t>
            </w:r>
          </w:p>
        </w:tc>
        <w:tc>
          <w:tcPr>
            <w:tcW w:w="1139" w:type="dxa"/>
            <w:vMerge w:val="restart"/>
            <w:vAlign w:val="center"/>
          </w:tcPr>
          <w:p>
            <w:pPr>
              <w:pStyle w:val="527"/>
              <w:shd w:val="clear" w:color="auto" w:fill="auto"/>
              <w:spacing w:before="0" w:after="0" w:line="240" w:lineRule="auto"/>
              <w:rPr>
                <w:rFonts w:ascii="Times New Roman" w:hAnsi="Times New Roman" w:eastAsia="宋体" w:cs="Times New Roman"/>
                <w:kern w:val="2"/>
                <w:sz w:val="21"/>
                <w:szCs w:val="21"/>
              </w:rPr>
            </w:pPr>
            <w:r>
              <w:rPr>
                <w:rFonts w:ascii="Times New Roman" w:hAnsi="Times New Roman" w:eastAsia="宋体" w:cs="Times New Roman"/>
                <w:kern w:val="2"/>
                <w:sz w:val="21"/>
                <w:szCs w:val="21"/>
              </w:rPr>
              <w:t>mg/m</w:t>
            </w:r>
            <w:r>
              <w:rPr>
                <w:rFonts w:ascii="Times New Roman" w:hAnsi="Times New Roman" w:eastAsia="宋体" w:cs="Times New Roman"/>
                <w:kern w:val="2"/>
                <w:sz w:val="21"/>
                <w:szCs w:val="21"/>
                <w:vertAlign w:val="superscript"/>
              </w:rPr>
              <w:t>3</w:t>
            </w:r>
          </w:p>
        </w:tc>
        <w:tc>
          <w:tcPr>
            <w:tcW w:w="1219" w:type="dxa"/>
            <w:vAlign w:val="center"/>
          </w:tcPr>
          <w:p>
            <w:pPr>
              <w:pStyle w:val="160"/>
              <w:rPr>
                <w:rFonts w:cs="Times New Roman"/>
                <w:szCs w:val="21"/>
              </w:rPr>
            </w:pPr>
            <w:r>
              <w:rPr>
                <w:rFonts w:cs="Times New Roman"/>
                <w:szCs w:val="21"/>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453" w:type="dxa"/>
            <w:vMerge w:val="continue"/>
            <w:vAlign w:val="center"/>
          </w:tcPr>
          <w:p>
            <w:pPr>
              <w:pStyle w:val="527"/>
              <w:shd w:val="clear" w:color="auto" w:fill="auto"/>
              <w:spacing w:before="0" w:after="0" w:line="240" w:lineRule="auto"/>
              <w:rPr>
                <w:rFonts w:ascii="Times New Roman" w:hAnsi="Times New Roman" w:eastAsia="宋体" w:cs="Times New Roman"/>
                <w:kern w:val="2"/>
                <w:sz w:val="21"/>
                <w:szCs w:val="21"/>
              </w:rPr>
            </w:pPr>
          </w:p>
        </w:tc>
        <w:tc>
          <w:tcPr>
            <w:tcW w:w="1273" w:type="dxa"/>
            <w:vMerge w:val="continue"/>
            <w:vAlign w:val="center"/>
          </w:tcPr>
          <w:p>
            <w:pPr>
              <w:pStyle w:val="527"/>
              <w:shd w:val="clear" w:color="auto" w:fill="auto"/>
              <w:spacing w:before="0" w:after="0" w:line="240" w:lineRule="auto"/>
              <w:rPr>
                <w:rFonts w:ascii="Times New Roman" w:hAnsi="Times New Roman" w:eastAsia="宋体" w:cs="Times New Roman"/>
                <w:kern w:val="2"/>
                <w:sz w:val="21"/>
                <w:szCs w:val="21"/>
              </w:rPr>
            </w:pPr>
          </w:p>
        </w:tc>
        <w:tc>
          <w:tcPr>
            <w:tcW w:w="531" w:type="dxa"/>
            <w:vMerge w:val="continue"/>
            <w:vAlign w:val="center"/>
          </w:tcPr>
          <w:p>
            <w:pPr>
              <w:jc w:val="center"/>
              <w:rPr>
                <w:rFonts w:ascii="Times New Roman" w:hAnsi="Times New Roman"/>
              </w:rPr>
            </w:pPr>
          </w:p>
        </w:tc>
        <w:tc>
          <w:tcPr>
            <w:tcW w:w="1697" w:type="dxa"/>
            <w:vAlign w:val="center"/>
          </w:tcPr>
          <w:p>
            <w:pPr>
              <w:jc w:val="center"/>
              <w:rPr>
                <w:rFonts w:ascii="Times New Roman" w:hAnsi="Times New Roman"/>
              </w:rPr>
            </w:pPr>
            <w:r>
              <w:rPr>
                <w:rFonts w:ascii="Times New Roman" w:hAnsi="Times New Roman"/>
              </w:rPr>
              <w:t>监控点处任意一次浓度值</w:t>
            </w:r>
          </w:p>
        </w:tc>
        <w:tc>
          <w:tcPr>
            <w:tcW w:w="1139" w:type="dxa"/>
            <w:vMerge w:val="continue"/>
            <w:vAlign w:val="center"/>
          </w:tcPr>
          <w:p>
            <w:pPr>
              <w:pStyle w:val="527"/>
              <w:shd w:val="clear" w:color="auto" w:fill="auto"/>
              <w:spacing w:before="0" w:after="0" w:line="240" w:lineRule="auto"/>
              <w:rPr>
                <w:rFonts w:ascii="Times New Roman" w:hAnsi="Times New Roman" w:eastAsia="宋体" w:cs="Times New Roman"/>
                <w:kern w:val="2"/>
                <w:sz w:val="21"/>
                <w:szCs w:val="21"/>
              </w:rPr>
            </w:pPr>
          </w:p>
        </w:tc>
        <w:tc>
          <w:tcPr>
            <w:tcW w:w="1219" w:type="dxa"/>
            <w:vAlign w:val="center"/>
          </w:tcPr>
          <w:p>
            <w:pPr>
              <w:pStyle w:val="160"/>
              <w:rPr>
                <w:rFonts w:cs="Times New Roman"/>
                <w:szCs w:val="21"/>
              </w:rPr>
            </w:pPr>
            <w:r>
              <w:rPr>
                <w:rFonts w:cs="Times New Roman"/>
                <w:szCs w:val="21"/>
              </w:rPr>
              <w:t>30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453" w:type="dxa"/>
            <w:vMerge w:val="restart"/>
            <w:vAlign w:val="center"/>
          </w:tcPr>
          <w:p>
            <w:pPr>
              <w:pStyle w:val="527"/>
              <w:shd w:val="clear" w:color="auto" w:fill="auto"/>
              <w:spacing w:before="0" w:after="0" w:line="240" w:lineRule="auto"/>
              <w:rPr>
                <w:rFonts w:ascii="Times New Roman" w:hAnsi="Times New Roman" w:eastAsia="宋体" w:cs="Times New Roman"/>
                <w:kern w:val="2"/>
                <w:sz w:val="21"/>
                <w:szCs w:val="21"/>
              </w:rPr>
            </w:pPr>
            <w:r>
              <w:rPr>
                <w:rFonts w:ascii="Times New Roman" w:hAnsi="Times New Roman" w:eastAsia="宋体" w:cs="Times New Roman"/>
                <w:kern w:val="2"/>
                <w:sz w:val="21"/>
                <w:szCs w:val="21"/>
              </w:rPr>
              <w:t>《恶臭污染物排放标准》（GB14554-93）</w:t>
            </w:r>
          </w:p>
        </w:tc>
        <w:tc>
          <w:tcPr>
            <w:tcW w:w="1273" w:type="dxa"/>
            <w:vAlign w:val="center"/>
          </w:tcPr>
          <w:p>
            <w:pPr>
              <w:spacing w:line="280" w:lineRule="exact"/>
              <w:jc w:val="center"/>
              <w:rPr>
                <w:rFonts w:ascii="Times New Roman" w:hAnsi="Times New Roman"/>
                <w:kern w:val="2"/>
              </w:rPr>
            </w:pPr>
            <w:r>
              <w:rPr>
                <w:rFonts w:ascii="Times New Roman" w:hAnsi="Times New Roman"/>
                <w:kern w:val="2"/>
              </w:rPr>
              <w:t>氨</w:t>
            </w:r>
          </w:p>
        </w:tc>
        <w:tc>
          <w:tcPr>
            <w:tcW w:w="2228" w:type="dxa"/>
            <w:gridSpan w:val="2"/>
            <w:vMerge w:val="restart"/>
            <w:vAlign w:val="center"/>
          </w:tcPr>
          <w:p>
            <w:pPr>
              <w:jc w:val="center"/>
              <w:rPr>
                <w:rFonts w:ascii="Times New Roman" w:hAnsi="Times New Roman"/>
              </w:rPr>
            </w:pPr>
            <w:r>
              <w:rPr>
                <w:rFonts w:ascii="Times New Roman" w:hAnsi="Times New Roman"/>
                <w:kern w:val="2"/>
              </w:rPr>
              <w:t>15m排气筒</w:t>
            </w:r>
          </w:p>
        </w:tc>
        <w:tc>
          <w:tcPr>
            <w:tcW w:w="1139" w:type="dxa"/>
            <w:vMerge w:val="restart"/>
            <w:vAlign w:val="center"/>
          </w:tcPr>
          <w:p>
            <w:pPr>
              <w:pStyle w:val="527"/>
              <w:shd w:val="clear" w:color="auto" w:fill="auto"/>
              <w:spacing w:before="0" w:after="0" w:line="240" w:lineRule="auto"/>
              <w:rPr>
                <w:rFonts w:ascii="Times New Roman" w:hAnsi="Times New Roman" w:eastAsia="宋体" w:cs="Times New Roman"/>
                <w:kern w:val="2"/>
                <w:sz w:val="21"/>
                <w:szCs w:val="21"/>
              </w:rPr>
            </w:pPr>
            <w:r>
              <w:rPr>
                <w:rFonts w:ascii="Times New Roman" w:hAnsi="Times New Roman" w:eastAsia="宋体" w:cs="Times New Roman"/>
                <w:kern w:val="2"/>
                <w:sz w:val="21"/>
                <w:szCs w:val="21"/>
              </w:rPr>
              <w:t>kg/h</w:t>
            </w:r>
          </w:p>
        </w:tc>
        <w:tc>
          <w:tcPr>
            <w:tcW w:w="1219" w:type="dxa"/>
            <w:vAlign w:val="center"/>
          </w:tcPr>
          <w:p>
            <w:pPr>
              <w:pStyle w:val="160"/>
              <w:rPr>
                <w:rFonts w:cs="Times New Roman"/>
                <w:szCs w:val="21"/>
              </w:rPr>
            </w:pPr>
            <w:r>
              <w:rPr>
                <w:rFonts w:cs="Times New Roman"/>
                <w:szCs w:val="21"/>
              </w:rPr>
              <w:t>14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453" w:type="dxa"/>
            <w:vMerge w:val="continue"/>
            <w:vAlign w:val="center"/>
          </w:tcPr>
          <w:p>
            <w:pPr>
              <w:pStyle w:val="527"/>
              <w:shd w:val="clear" w:color="auto" w:fill="auto"/>
              <w:spacing w:before="0" w:after="0" w:line="240" w:lineRule="auto"/>
              <w:rPr>
                <w:rFonts w:ascii="Times New Roman" w:hAnsi="Times New Roman" w:eastAsia="宋体" w:cs="Times New Roman"/>
                <w:kern w:val="2"/>
                <w:sz w:val="21"/>
                <w:szCs w:val="21"/>
              </w:rPr>
            </w:pPr>
          </w:p>
        </w:tc>
        <w:tc>
          <w:tcPr>
            <w:tcW w:w="1273" w:type="dxa"/>
            <w:vAlign w:val="center"/>
          </w:tcPr>
          <w:p>
            <w:pPr>
              <w:spacing w:line="280" w:lineRule="exact"/>
              <w:jc w:val="center"/>
              <w:rPr>
                <w:rFonts w:ascii="Times New Roman" w:hAnsi="Times New Roman"/>
                <w:kern w:val="2"/>
              </w:rPr>
            </w:pPr>
            <w:r>
              <w:rPr>
                <w:rFonts w:ascii="Times New Roman" w:hAnsi="Times New Roman"/>
                <w:kern w:val="2"/>
              </w:rPr>
              <w:t>硫化氢</w:t>
            </w:r>
          </w:p>
        </w:tc>
        <w:tc>
          <w:tcPr>
            <w:tcW w:w="2228" w:type="dxa"/>
            <w:gridSpan w:val="2"/>
            <w:vMerge w:val="continue"/>
            <w:vAlign w:val="center"/>
          </w:tcPr>
          <w:p>
            <w:pPr>
              <w:jc w:val="center"/>
              <w:rPr>
                <w:rFonts w:ascii="Times New Roman" w:hAnsi="Times New Roman"/>
              </w:rPr>
            </w:pPr>
          </w:p>
        </w:tc>
        <w:tc>
          <w:tcPr>
            <w:tcW w:w="1139" w:type="dxa"/>
            <w:vMerge w:val="continue"/>
            <w:vAlign w:val="center"/>
          </w:tcPr>
          <w:p>
            <w:pPr>
              <w:pStyle w:val="527"/>
              <w:shd w:val="clear" w:color="auto" w:fill="auto"/>
              <w:spacing w:before="0" w:after="0" w:line="240" w:lineRule="auto"/>
              <w:rPr>
                <w:rFonts w:ascii="Times New Roman" w:hAnsi="Times New Roman" w:eastAsia="宋体" w:cs="Times New Roman"/>
                <w:kern w:val="2"/>
                <w:sz w:val="21"/>
                <w:szCs w:val="21"/>
              </w:rPr>
            </w:pPr>
          </w:p>
        </w:tc>
        <w:tc>
          <w:tcPr>
            <w:tcW w:w="1219" w:type="dxa"/>
            <w:vAlign w:val="center"/>
          </w:tcPr>
          <w:p>
            <w:pPr>
              <w:pStyle w:val="160"/>
              <w:rPr>
                <w:rFonts w:cs="Times New Roman"/>
                <w:szCs w:val="21"/>
              </w:rPr>
            </w:pPr>
            <w:r>
              <w:rPr>
                <w:rFonts w:cs="Times New Roman"/>
                <w:szCs w:val="21"/>
              </w:rPr>
              <w:t>0.90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453" w:type="dxa"/>
            <w:vMerge w:val="continue"/>
            <w:vAlign w:val="center"/>
          </w:tcPr>
          <w:p>
            <w:pPr>
              <w:pStyle w:val="527"/>
              <w:shd w:val="clear" w:color="auto" w:fill="auto"/>
              <w:spacing w:before="0" w:after="0" w:line="240" w:lineRule="auto"/>
              <w:rPr>
                <w:rFonts w:ascii="Times New Roman" w:hAnsi="Times New Roman" w:eastAsia="宋体" w:cs="Times New Roman"/>
                <w:kern w:val="2"/>
                <w:sz w:val="21"/>
                <w:szCs w:val="21"/>
              </w:rPr>
            </w:pPr>
          </w:p>
        </w:tc>
        <w:tc>
          <w:tcPr>
            <w:tcW w:w="1273" w:type="dxa"/>
            <w:vAlign w:val="center"/>
          </w:tcPr>
          <w:p>
            <w:pPr>
              <w:pStyle w:val="527"/>
              <w:shd w:val="clear" w:color="auto" w:fill="auto"/>
              <w:spacing w:before="0" w:after="0" w:line="240" w:lineRule="auto"/>
              <w:rPr>
                <w:rFonts w:ascii="Times New Roman" w:hAnsi="Times New Roman" w:eastAsia="宋体" w:cs="Times New Roman"/>
                <w:kern w:val="2"/>
                <w:sz w:val="21"/>
                <w:szCs w:val="21"/>
              </w:rPr>
            </w:pPr>
            <w:r>
              <w:rPr>
                <w:rFonts w:ascii="Times New Roman" w:hAnsi="Times New Roman" w:eastAsia="宋体" w:cs="Times New Roman"/>
                <w:kern w:val="2"/>
                <w:sz w:val="21"/>
                <w:szCs w:val="21"/>
              </w:rPr>
              <w:t>臭气浓度</w:t>
            </w:r>
          </w:p>
        </w:tc>
        <w:tc>
          <w:tcPr>
            <w:tcW w:w="2228" w:type="dxa"/>
            <w:gridSpan w:val="2"/>
            <w:vMerge w:val="continue"/>
            <w:vAlign w:val="center"/>
          </w:tcPr>
          <w:p>
            <w:pPr>
              <w:jc w:val="center"/>
              <w:rPr>
                <w:rFonts w:ascii="Times New Roman" w:hAnsi="Times New Roman"/>
              </w:rPr>
            </w:pPr>
          </w:p>
        </w:tc>
        <w:tc>
          <w:tcPr>
            <w:tcW w:w="1139" w:type="dxa"/>
            <w:vAlign w:val="center"/>
          </w:tcPr>
          <w:p>
            <w:pPr>
              <w:pStyle w:val="527"/>
              <w:shd w:val="clear" w:color="auto" w:fill="auto"/>
              <w:spacing w:before="0" w:after="0" w:line="240" w:lineRule="auto"/>
              <w:rPr>
                <w:rFonts w:ascii="Times New Roman" w:hAnsi="Times New Roman" w:eastAsia="宋体" w:cs="Times New Roman"/>
                <w:kern w:val="2"/>
                <w:sz w:val="21"/>
                <w:szCs w:val="21"/>
              </w:rPr>
            </w:pPr>
            <w:r>
              <w:rPr>
                <w:rFonts w:ascii="Times New Roman" w:hAnsi="Times New Roman" w:eastAsia="宋体" w:cs="Times New Roman"/>
                <w:kern w:val="2"/>
                <w:sz w:val="21"/>
                <w:szCs w:val="21"/>
              </w:rPr>
              <w:t>无量纲</w:t>
            </w:r>
          </w:p>
        </w:tc>
        <w:tc>
          <w:tcPr>
            <w:tcW w:w="1219" w:type="dxa"/>
            <w:vAlign w:val="center"/>
          </w:tcPr>
          <w:p>
            <w:pPr>
              <w:pStyle w:val="160"/>
              <w:rPr>
                <w:rFonts w:cs="Times New Roman"/>
                <w:szCs w:val="21"/>
              </w:rPr>
            </w:pPr>
            <w:r>
              <w:rPr>
                <w:rFonts w:cs="Times New Roman"/>
                <w:szCs w:val="21"/>
              </w:rPr>
              <w:t>6000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453" w:type="dxa"/>
            <w:vMerge w:val="continue"/>
            <w:vAlign w:val="center"/>
          </w:tcPr>
          <w:p>
            <w:pPr>
              <w:pStyle w:val="527"/>
              <w:shd w:val="clear" w:color="auto" w:fill="auto"/>
              <w:spacing w:before="0" w:after="0" w:line="240" w:lineRule="auto"/>
              <w:rPr>
                <w:rFonts w:ascii="Times New Roman" w:hAnsi="Times New Roman" w:eastAsia="宋体" w:cs="Times New Roman"/>
                <w:kern w:val="2"/>
                <w:sz w:val="21"/>
                <w:szCs w:val="21"/>
              </w:rPr>
            </w:pPr>
          </w:p>
        </w:tc>
        <w:tc>
          <w:tcPr>
            <w:tcW w:w="1273" w:type="dxa"/>
            <w:vAlign w:val="center"/>
          </w:tcPr>
          <w:p>
            <w:pPr>
              <w:spacing w:line="280" w:lineRule="exact"/>
              <w:jc w:val="center"/>
              <w:rPr>
                <w:rFonts w:ascii="Times New Roman" w:hAnsi="Times New Roman"/>
                <w:kern w:val="2"/>
              </w:rPr>
            </w:pPr>
            <w:r>
              <w:rPr>
                <w:rFonts w:ascii="Times New Roman" w:hAnsi="Times New Roman"/>
                <w:kern w:val="2"/>
              </w:rPr>
              <w:t>氨</w:t>
            </w:r>
          </w:p>
        </w:tc>
        <w:tc>
          <w:tcPr>
            <w:tcW w:w="2228" w:type="dxa"/>
            <w:gridSpan w:val="2"/>
            <w:vMerge w:val="restart"/>
            <w:vAlign w:val="center"/>
          </w:tcPr>
          <w:p>
            <w:pPr>
              <w:jc w:val="center"/>
              <w:rPr>
                <w:rFonts w:ascii="Times New Roman" w:hAnsi="Times New Roman"/>
              </w:rPr>
            </w:pPr>
            <w:r>
              <w:rPr>
                <w:rFonts w:ascii="Times New Roman" w:hAnsi="Times New Roman"/>
              </w:rPr>
              <w:t>厂界浓度</w:t>
            </w:r>
          </w:p>
        </w:tc>
        <w:tc>
          <w:tcPr>
            <w:tcW w:w="1139" w:type="dxa"/>
            <w:vMerge w:val="restart"/>
            <w:vAlign w:val="center"/>
          </w:tcPr>
          <w:p>
            <w:pPr>
              <w:jc w:val="center"/>
              <w:rPr>
                <w:rFonts w:ascii="Times New Roman" w:hAnsi="Times New Roman"/>
                <w:kern w:val="2"/>
              </w:rPr>
            </w:pPr>
            <w:r>
              <w:rPr>
                <w:rFonts w:ascii="Times New Roman" w:hAnsi="Times New Roman"/>
                <w:kern w:val="2"/>
              </w:rPr>
              <w:t>mg/m</w:t>
            </w:r>
            <w:r>
              <w:rPr>
                <w:rFonts w:ascii="Times New Roman" w:hAnsi="Times New Roman"/>
                <w:kern w:val="2"/>
                <w:vertAlign w:val="superscript"/>
              </w:rPr>
              <w:t>3</w:t>
            </w:r>
          </w:p>
        </w:tc>
        <w:tc>
          <w:tcPr>
            <w:tcW w:w="1219" w:type="dxa"/>
            <w:vAlign w:val="center"/>
          </w:tcPr>
          <w:p>
            <w:pPr>
              <w:pStyle w:val="160"/>
              <w:rPr>
                <w:rFonts w:cs="Times New Roman"/>
                <w:szCs w:val="21"/>
              </w:rPr>
            </w:pPr>
            <w:r>
              <w:rPr>
                <w:rFonts w:cs="Times New Roman"/>
                <w:szCs w:val="21"/>
              </w:rPr>
              <w:t>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453" w:type="dxa"/>
            <w:vMerge w:val="continue"/>
            <w:vAlign w:val="center"/>
          </w:tcPr>
          <w:p>
            <w:pPr>
              <w:pStyle w:val="527"/>
              <w:shd w:val="clear" w:color="auto" w:fill="auto"/>
              <w:spacing w:before="0" w:after="0" w:line="240" w:lineRule="auto"/>
              <w:rPr>
                <w:rFonts w:ascii="Times New Roman" w:hAnsi="Times New Roman" w:eastAsia="宋体" w:cs="Times New Roman"/>
                <w:kern w:val="2"/>
                <w:sz w:val="21"/>
                <w:szCs w:val="21"/>
              </w:rPr>
            </w:pPr>
          </w:p>
        </w:tc>
        <w:tc>
          <w:tcPr>
            <w:tcW w:w="1273" w:type="dxa"/>
            <w:vAlign w:val="center"/>
          </w:tcPr>
          <w:p>
            <w:pPr>
              <w:spacing w:line="280" w:lineRule="exact"/>
              <w:jc w:val="center"/>
              <w:rPr>
                <w:rFonts w:ascii="Times New Roman" w:hAnsi="Times New Roman"/>
                <w:kern w:val="2"/>
              </w:rPr>
            </w:pPr>
            <w:r>
              <w:rPr>
                <w:rFonts w:ascii="Times New Roman" w:hAnsi="Times New Roman"/>
                <w:kern w:val="2"/>
              </w:rPr>
              <w:t>硫化氢</w:t>
            </w:r>
          </w:p>
        </w:tc>
        <w:tc>
          <w:tcPr>
            <w:tcW w:w="2228" w:type="dxa"/>
            <w:gridSpan w:val="2"/>
            <w:vMerge w:val="continue"/>
            <w:vAlign w:val="center"/>
          </w:tcPr>
          <w:p>
            <w:pPr>
              <w:jc w:val="center"/>
              <w:rPr>
                <w:rFonts w:ascii="Times New Roman" w:hAnsi="Times New Roman"/>
              </w:rPr>
            </w:pPr>
          </w:p>
        </w:tc>
        <w:tc>
          <w:tcPr>
            <w:tcW w:w="1139" w:type="dxa"/>
            <w:vMerge w:val="continue"/>
            <w:vAlign w:val="center"/>
          </w:tcPr>
          <w:p>
            <w:pPr>
              <w:jc w:val="center"/>
              <w:rPr>
                <w:rFonts w:ascii="Times New Roman" w:hAnsi="Times New Roman"/>
                <w:kern w:val="2"/>
              </w:rPr>
            </w:pPr>
          </w:p>
        </w:tc>
        <w:tc>
          <w:tcPr>
            <w:tcW w:w="1219" w:type="dxa"/>
            <w:vAlign w:val="center"/>
          </w:tcPr>
          <w:p>
            <w:pPr>
              <w:pStyle w:val="160"/>
              <w:rPr>
                <w:rFonts w:cs="Times New Roman"/>
                <w:szCs w:val="21"/>
              </w:rPr>
            </w:pPr>
            <w:r>
              <w:rPr>
                <w:rFonts w:cs="Times New Roman"/>
                <w:szCs w:val="21"/>
              </w:rPr>
              <w:t>0.06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453" w:type="dxa"/>
            <w:vMerge w:val="continue"/>
            <w:vAlign w:val="center"/>
          </w:tcPr>
          <w:p>
            <w:pPr>
              <w:pStyle w:val="527"/>
              <w:shd w:val="clear" w:color="auto" w:fill="auto"/>
              <w:spacing w:before="0" w:after="0" w:line="240" w:lineRule="auto"/>
              <w:rPr>
                <w:rFonts w:ascii="Times New Roman" w:hAnsi="Times New Roman" w:eastAsia="宋体" w:cs="Times New Roman"/>
                <w:kern w:val="2"/>
                <w:sz w:val="21"/>
                <w:szCs w:val="21"/>
              </w:rPr>
            </w:pPr>
          </w:p>
        </w:tc>
        <w:tc>
          <w:tcPr>
            <w:tcW w:w="1273" w:type="dxa"/>
            <w:vAlign w:val="center"/>
          </w:tcPr>
          <w:p>
            <w:pPr>
              <w:pStyle w:val="527"/>
              <w:shd w:val="clear" w:color="auto" w:fill="auto"/>
              <w:spacing w:before="0" w:after="0" w:line="240" w:lineRule="auto"/>
              <w:rPr>
                <w:rFonts w:ascii="Times New Roman" w:hAnsi="Times New Roman" w:eastAsia="宋体" w:cs="Times New Roman"/>
                <w:kern w:val="2"/>
                <w:sz w:val="21"/>
                <w:szCs w:val="21"/>
              </w:rPr>
            </w:pPr>
            <w:r>
              <w:rPr>
                <w:rFonts w:ascii="Times New Roman" w:hAnsi="Times New Roman" w:eastAsia="宋体" w:cs="Times New Roman"/>
                <w:kern w:val="2"/>
                <w:sz w:val="21"/>
                <w:szCs w:val="21"/>
              </w:rPr>
              <w:t>臭气浓度</w:t>
            </w:r>
          </w:p>
        </w:tc>
        <w:tc>
          <w:tcPr>
            <w:tcW w:w="2228" w:type="dxa"/>
            <w:gridSpan w:val="2"/>
            <w:vMerge w:val="continue"/>
            <w:vAlign w:val="center"/>
          </w:tcPr>
          <w:p>
            <w:pPr>
              <w:jc w:val="center"/>
              <w:rPr>
                <w:rFonts w:ascii="Times New Roman" w:hAnsi="Times New Roman"/>
              </w:rPr>
            </w:pPr>
          </w:p>
        </w:tc>
        <w:tc>
          <w:tcPr>
            <w:tcW w:w="1139" w:type="dxa"/>
            <w:vAlign w:val="center"/>
          </w:tcPr>
          <w:p>
            <w:pPr>
              <w:pStyle w:val="527"/>
              <w:shd w:val="clear" w:color="auto" w:fill="auto"/>
              <w:spacing w:before="0" w:after="0" w:line="240" w:lineRule="auto"/>
              <w:rPr>
                <w:rFonts w:ascii="Times New Roman" w:hAnsi="Times New Roman" w:eastAsia="宋体" w:cs="Times New Roman"/>
                <w:kern w:val="2"/>
                <w:sz w:val="21"/>
                <w:szCs w:val="21"/>
              </w:rPr>
            </w:pPr>
            <w:r>
              <w:rPr>
                <w:rFonts w:ascii="Times New Roman" w:hAnsi="Times New Roman" w:eastAsia="宋体" w:cs="Times New Roman"/>
                <w:kern w:val="2"/>
                <w:sz w:val="21"/>
                <w:szCs w:val="21"/>
              </w:rPr>
              <w:t>无量纲</w:t>
            </w:r>
          </w:p>
        </w:tc>
        <w:tc>
          <w:tcPr>
            <w:tcW w:w="1219" w:type="dxa"/>
            <w:vAlign w:val="center"/>
          </w:tcPr>
          <w:p>
            <w:pPr>
              <w:pStyle w:val="160"/>
              <w:rPr>
                <w:rFonts w:cs="Times New Roman"/>
                <w:szCs w:val="21"/>
              </w:rPr>
            </w:pPr>
            <w:r>
              <w:rPr>
                <w:rFonts w:cs="Times New Roman"/>
                <w:szCs w:val="21"/>
              </w:rPr>
              <w:t>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453" w:type="dxa"/>
            <w:vMerge w:val="restart"/>
            <w:vAlign w:val="center"/>
          </w:tcPr>
          <w:p>
            <w:pPr>
              <w:pStyle w:val="527"/>
              <w:shd w:val="clear" w:color="auto" w:fill="auto"/>
              <w:spacing w:before="0" w:after="0" w:line="240" w:lineRule="auto"/>
              <w:rPr>
                <w:rFonts w:ascii="Times New Roman" w:hAnsi="Times New Roman" w:eastAsia="宋体" w:cs="Times New Roman"/>
                <w:kern w:val="2"/>
                <w:sz w:val="21"/>
                <w:szCs w:val="21"/>
              </w:rPr>
            </w:pPr>
            <w:r>
              <w:rPr>
                <w:rFonts w:ascii="Times New Roman" w:hAnsi="Times New Roman" w:eastAsia="宋体" w:cs="Times New Roman"/>
                <w:kern w:val="2"/>
                <w:sz w:val="21"/>
                <w:szCs w:val="21"/>
              </w:rPr>
              <w:t>《医疗机构水污染物排放标准》（GB18466-2005）</w:t>
            </w:r>
          </w:p>
        </w:tc>
        <w:tc>
          <w:tcPr>
            <w:tcW w:w="1273" w:type="dxa"/>
            <w:vAlign w:val="center"/>
          </w:tcPr>
          <w:p>
            <w:pPr>
              <w:spacing w:line="280" w:lineRule="exact"/>
              <w:jc w:val="center"/>
              <w:rPr>
                <w:rFonts w:ascii="Times New Roman" w:hAnsi="Times New Roman"/>
                <w:kern w:val="2"/>
              </w:rPr>
            </w:pPr>
            <w:r>
              <w:rPr>
                <w:rFonts w:ascii="Times New Roman" w:hAnsi="Times New Roman"/>
                <w:kern w:val="2"/>
              </w:rPr>
              <w:t>氨</w:t>
            </w:r>
          </w:p>
        </w:tc>
        <w:tc>
          <w:tcPr>
            <w:tcW w:w="2228" w:type="dxa"/>
            <w:gridSpan w:val="2"/>
            <w:vMerge w:val="restart"/>
            <w:vAlign w:val="center"/>
          </w:tcPr>
          <w:p>
            <w:pPr>
              <w:jc w:val="center"/>
              <w:rPr>
                <w:rFonts w:ascii="Times New Roman" w:hAnsi="Times New Roman"/>
              </w:rPr>
            </w:pPr>
            <w:r>
              <w:rPr>
                <w:rFonts w:ascii="Times New Roman" w:hAnsi="Times New Roman"/>
              </w:rPr>
              <w:t>污水处理站周边</w:t>
            </w:r>
          </w:p>
        </w:tc>
        <w:tc>
          <w:tcPr>
            <w:tcW w:w="1139" w:type="dxa"/>
            <w:vAlign w:val="center"/>
          </w:tcPr>
          <w:p>
            <w:pPr>
              <w:jc w:val="center"/>
              <w:rPr>
                <w:rFonts w:ascii="Times New Roman" w:hAnsi="Times New Roman"/>
                <w:kern w:val="2"/>
              </w:rPr>
            </w:pPr>
            <w:r>
              <w:rPr>
                <w:rFonts w:ascii="Times New Roman" w:hAnsi="Times New Roman"/>
                <w:kern w:val="2"/>
              </w:rPr>
              <w:t>mg/m</w:t>
            </w:r>
            <w:r>
              <w:rPr>
                <w:rFonts w:ascii="Times New Roman" w:hAnsi="Times New Roman"/>
                <w:kern w:val="2"/>
                <w:vertAlign w:val="superscript"/>
              </w:rPr>
              <w:t>3</w:t>
            </w:r>
          </w:p>
        </w:tc>
        <w:tc>
          <w:tcPr>
            <w:tcW w:w="1219" w:type="dxa"/>
            <w:vAlign w:val="center"/>
          </w:tcPr>
          <w:p>
            <w:pPr>
              <w:pStyle w:val="160"/>
              <w:rPr>
                <w:rFonts w:cs="Times New Roman"/>
                <w:szCs w:val="21"/>
              </w:rPr>
            </w:pPr>
            <w:r>
              <w:rPr>
                <w:rFonts w:cs="Times New Roman"/>
                <w:szCs w:val="21"/>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453" w:type="dxa"/>
            <w:vMerge w:val="continue"/>
            <w:vAlign w:val="center"/>
          </w:tcPr>
          <w:p>
            <w:pPr>
              <w:pStyle w:val="527"/>
              <w:shd w:val="clear" w:color="auto" w:fill="auto"/>
              <w:spacing w:before="0" w:after="0" w:line="240" w:lineRule="auto"/>
              <w:rPr>
                <w:rFonts w:ascii="Times New Roman" w:hAnsi="Times New Roman" w:eastAsia="宋体" w:cs="Times New Roman"/>
                <w:kern w:val="2"/>
                <w:sz w:val="21"/>
                <w:szCs w:val="21"/>
              </w:rPr>
            </w:pPr>
          </w:p>
        </w:tc>
        <w:tc>
          <w:tcPr>
            <w:tcW w:w="1273" w:type="dxa"/>
            <w:vAlign w:val="center"/>
          </w:tcPr>
          <w:p>
            <w:pPr>
              <w:spacing w:line="280" w:lineRule="exact"/>
              <w:jc w:val="center"/>
              <w:rPr>
                <w:rFonts w:ascii="Times New Roman" w:hAnsi="Times New Roman"/>
                <w:kern w:val="2"/>
              </w:rPr>
            </w:pPr>
            <w:r>
              <w:rPr>
                <w:rFonts w:ascii="Times New Roman" w:hAnsi="Times New Roman"/>
                <w:kern w:val="2"/>
              </w:rPr>
              <w:t>硫化氢</w:t>
            </w:r>
          </w:p>
        </w:tc>
        <w:tc>
          <w:tcPr>
            <w:tcW w:w="2228" w:type="dxa"/>
            <w:gridSpan w:val="2"/>
            <w:vMerge w:val="continue"/>
            <w:vAlign w:val="center"/>
          </w:tcPr>
          <w:p>
            <w:pPr>
              <w:jc w:val="center"/>
              <w:rPr>
                <w:rFonts w:ascii="Times New Roman" w:hAnsi="Times New Roman"/>
              </w:rPr>
            </w:pPr>
          </w:p>
        </w:tc>
        <w:tc>
          <w:tcPr>
            <w:tcW w:w="1139" w:type="dxa"/>
            <w:vAlign w:val="center"/>
          </w:tcPr>
          <w:p>
            <w:pPr>
              <w:jc w:val="center"/>
              <w:rPr>
                <w:rFonts w:ascii="Times New Roman" w:hAnsi="Times New Roman"/>
                <w:kern w:val="2"/>
              </w:rPr>
            </w:pPr>
            <w:r>
              <w:rPr>
                <w:rFonts w:ascii="Times New Roman" w:hAnsi="Times New Roman"/>
                <w:kern w:val="2"/>
              </w:rPr>
              <w:t>mg/m</w:t>
            </w:r>
            <w:r>
              <w:rPr>
                <w:rFonts w:ascii="Times New Roman" w:hAnsi="Times New Roman"/>
                <w:kern w:val="2"/>
                <w:vertAlign w:val="superscript"/>
              </w:rPr>
              <w:t>3</w:t>
            </w:r>
          </w:p>
        </w:tc>
        <w:tc>
          <w:tcPr>
            <w:tcW w:w="1219" w:type="dxa"/>
            <w:vAlign w:val="center"/>
          </w:tcPr>
          <w:p>
            <w:pPr>
              <w:pStyle w:val="160"/>
              <w:rPr>
                <w:rFonts w:cs="Times New Roman"/>
                <w:szCs w:val="21"/>
              </w:rPr>
            </w:pPr>
            <w:r>
              <w:rPr>
                <w:rFonts w:cs="Times New Roman"/>
                <w:szCs w:val="21"/>
              </w:rPr>
              <w:t>0.03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453" w:type="dxa"/>
            <w:vMerge w:val="continue"/>
            <w:vAlign w:val="center"/>
          </w:tcPr>
          <w:p>
            <w:pPr>
              <w:pStyle w:val="527"/>
              <w:shd w:val="clear" w:color="auto" w:fill="auto"/>
              <w:spacing w:before="0" w:after="0" w:line="240" w:lineRule="auto"/>
              <w:rPr>
                <w:rFonts w:ascii="Times New Roman" w:hAnsi="Times New Roman" w:eastAsia="宋体" w:cs="Times New Roman"/>
                <w:kern w:val="2"/>
                <w:sz w:val="21"/>
                <w:szCs w:val="21"/>
              </w:rPr>
            </w:pPr>
          </w:p>
        </w:tc>
        <w:tc>
          <w:tcPr>
            <w:tcW w:w="1273" w:type="dxa"/>
            <w:vAlign w:val="center"/>
          </w:tcPr>
          <w:p>
            <w:pPr>
              <w:pStyle w:val="527"/>
              <w:shd w:val="clear" w:color="auto" w:fill="auto"/>
              <w:spacing w:before="0" w:after="0" w:line="240" w:lineRule="auto"/>
              <w:rPr>
                <w:rFonts w:ascii="Times New Roman" w:hAnsi="Times New Roman" w:eastAsia="宋体" w:cs="Times New Roman"/>
                <w:kern w:val="2"/>
                <w:sz w:val="21"/>
                <w:szCs w:val="21"/>
              </w:rPr>
            </w:pPr>
            <w:r>
              <w:rPr>
                <w:rFonts w:ascii="Times New Roman" w:hAnsi="Times New Roman" w:eastAsia="宋体" w:cs="Times New Roman"/>
                <w:kern w:val="2"/>
                <w:sz w:val="21"/>
                <w:szCs w:val="21"/>
              </w:rPr>
              <w:t>臭气浓度</w:t>
            </w:r>
          </w:p>
        </w:tc>
        <w:tc>
          <w:tcPr>
            <w:tcW w:w="2228" w:type="dxa"/>
            <w:gridSpan w:val="2"/>
            <w:vMerge w:val="continue"/>
            <w:vAlign w:val="center"/>
          </w:tcPr>
          <w:p>
            <w:pPr>
              <w:jc w:val="center"/>
              <w:rPr>
                <w:rFonts w:ascii="Times New Roman" w:hAnsi="Times New Roman"/>
              </w:rPr>
            </w:pPr>
          </w:p>
        </w:tc>
        <w:tc>
          <w:tcPr>
            <w:tcW w:w="1139" w:type="dxa"/>
            <w:vAlign w:val="center"/>
          </w:tcPr>
          <w:p>
            <w:pPr>
              <w:pStyle w:val="527"/>
              <w:shd w:val="clear" w:color="auto" w:fill="auto"/>
              <w:spacing w:before="0" w:after="0" w:line="240" w:lineRule="auto"/>
              <w:rPr>
                <w:rFonts w:ascii="Times New Roman" w:hAnsi="Times New Roman" w:eastAsia="宋体" w:cs="Times New Roman"/>
                <w:kern w:val="2"/>
                <w:sz w:val="21"/>
                <w:szCs w:val="21"/>
              </w:rPr>
            </w:pPr>
            <w:r>
              <w:rPr>
                <w:rFonts w:ascii="Times New Roman" w:hAnsi="Times New Roman" w:eastAsia="宋体" w:cs="Times New Roman"/>
                <w:kern w:val="2"/>
                <w:sz w:val="21"/>
                <w:szCs w:val="21"/>
              </w:rPr>
              <w:t>无量纲</w:t>
            </w:r>
          </w:p>
        </w:tc>
        <w:tc>
          <w:tcPr>
            <w:tcW w:w="1219" w:type="dxa"/>
            <w:vAlign w:val="center"/>
          </w:tcPr>
          <w:p>
            <w:pPr>
              <w:pStyle w:val="160"/>
              <w:rPr>
                <w:rFonts w:cs="Times New Roman"/>
                <w:szCs w:val="21"/>
              </w:rPr>
            </w:pPr>
            <w:r>
              <w:rPr>
                <w:rFonts w:cs="Times New Roman"/>
                <w:szCs w:val="21"/>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453" w:type="dxa"/>
            <w:vMerge w:val="continue"/>
            <w:vAlign w:val="center"/>
          </w:tcPr>
          <w:p>
            <w:pPr>
              <w:pStyle w:val="527"/>
              <w:shd w:val="clear" w:color="auto" w:fill="auto"/>
              <w:spacing w:before="0" w:after="0" w:line="240" w:lineRule="auto"/>
              <w:rPr>
                <w:rFonts w:ascii="Times New Roman" w:hAnsi="Times New Roman" w:eastAsia="宋体" w:cs="Times New Roman"/>
                <w:kern w:val="2"/>
                <w:sz w:val="21"/>
                <w:szCs w:val="21"/>
              </w:rPr>
            </w:pPr>
          </w:p>
        </w:tc>
        <w:tc>
          <w:tcPr>
            <w:tcW w:w="1273" w:type="dxa"/>
            <w:vAlign w:val="center"/>
          </w:tcPr>
          <w:p>
            <w:pPr>
              <w:pStyle w:val="527"/>
              <w:shd w:val="clear" w:color="auto" w:fill="auto"/>
              <w:spacing w:before="0" w:after="0" w:line="240" w:lineRule="auto"/>
              <w:rPr>
                <w:rFonts w:ascii="Times New Roman" w:hAnsi="Times New Roman" w:eastAsia="宋体" w:cs="Times New Roman"/>
                <w:kern w:val="2"/>
                <w:sz w:val="21"/>
                <w:szCs w:val="21"/>
              </w:rPr>
            </w:pPr>
            <w:r>
              <w:rPr>
                <w:rFonts w:ascii="Times New Roman" w:hAnsi="Times New Roman" w:eastAsia="宋体" w:cs="Times New Roman"/>
                <w:kern w:val="2"/>
                <w:sz w:val="21"/>
                <w:szCs w:val="21"/>
              </w:rPr>
              <w:t>甲烷</w:t>
            </w:r>
          </w:p>
        </w:tc>
        <w:tc>
          <w:tcPr>
            <w:tcW w:w="2228" w:type="dxa"/>
            <w:gridSpan w:val="2"/>
            <w:vMerge w:val="continue"/>
            <w:vAlign w:val="center"/>
          </w:tcPr>
          <w:p>
            <w:pPr>
              <w:jc w:val="center"/>
              <w:rPr>
                <w:rFonts w:ascii="Times New Roman" w:hAnsi="Times New Roman"/>
              </w:rPr>
            </w:pPr>
          </w:p>
        </w:tc>
        <w:tc>
          <w:tcPr>
            <w:tcW w:w="1139" w:type="dxa"/>
            <w:vAlign w:val="center"/>
          </w:tcPr>
          <w:p>
            <w:pPr>
              <w:jc w:val="center"/>
              <w:rPr>
                <w:rFonts w:ascii="Times New Roman" w:hAnsi="Times New Roman"/>
                <w:kern w:val="2"/>
              </w:rPr>
            </w:pPr>
            <w:r>
              <w:rPr>
                <w:rFonts w:ascii="Times New Roman" w:hAnsi="Times New Roman"/>
                <w:kern w:val="2"/>
              </w:rPr>
              <w:t>%</w:t>
            </w:r>
          </w:p>
        </w:tc>
        <w:tc>
          <w:tcPr>
            <w:tcW w:w="1219" w:type="dxa"/>
            <w:vAlign w:val="center"/>
          </w:tcPr>
          <w:p>
            <w:pPr>
              <w:pStyle w:val="160"/>
              <w:rPr>
                <w:rFonts w:cs="Times New Roman"/>
                <w:szCs w:val="21"/>
              </w:rPr>
            </w:pPr>
            <w:r>
              <w:rPr>
                <w:rFonts w:cs="Times New Roman"/>
                <w:szCs w:val="21"/>
              </w:rPr>
              <w:t>1</w:t>
            </w:r>
          </w:p>
        </w:tc>
      </w:tr>
    </w:tbl>
    <w:p>
      <w:pPr>
        <w:pStyle w:val="513"/>
        <w:spacing w:line="480" w:lineRule="exact"/>
        <w:ind w:firstLine="480"/>
        <w:rPr>
          <w:rFonts w:ascii="Times New Roman" w:hAnsi="Times New Roman" w:cs="Times New Roman"/>
          <w:kern w:val="0"/>
          <w:szCs w:val="21"/>
        </w:rPr>
      </w:pPr>
      <w:r>
        <w:rPr>
          <w:rFonts w:ascii="Times New Roman" w:hAnsi="Times New Roman" w:cs="Times New Roman"/>
          <w:kern w:val="0"/>
          <w:szCs w:val="21"/>
        </w:rPr>
        <w:t>（2）废水污染物排放标准</w:t>
      </w:r>
    </w:p>
    <w:p>
      <w:pPr>
        <w:widowControl/>
        <w:kinsoku w:val="0"/>
        <w:autoSpaceDE w:val="0"/>
        <w:autoSpaceDN w:val="0"/>
        <w:adjustRightInd w:val="0"/>
        <w:snapToGrid w:val="0"/>
        <w:spacing w:before="108" w:line="333" w:lineRule="auto"/>
        <w:ind w:left="29" w:firstLine="569"/>
        <w:textAlignment w:val="baseline"/>
        <w:rPr>
          <w:rFonts w:ascii="Times New Roman" w:hAnsi="Times New Roman"/>
          <w:bCs/>
          <w:kern w:val="2"/>
          <w:sz w:val="24"/>
          <w:szCs w:val="24"/>
        </w:rPr>
      </w:pPr>
      <w:r>
        <w:rPr>
          <w:rFonts w:ascii="Times New Roman" w:hAnsi="Times New Roman"/>
          <w:bCs/>
          <w:kern w:val="2"/>
          <w:sz w:val="24"/>
          <w:szCs w:val="24"/>
        </w:rPr>
        <w:t>本项目污水处理站出水回用于车间地面消毒和清洗、转运车消毒 和清洗、周转箱消毒和清洗，《城市污水再生利用 城市杂用水水质》 (GB/T18920-2020) 中“车辆冲洗”标准严格于“道路清扫”和“城 市绿化”标准，亦严格于《医疗机构水污染物排放标准》( GB18466-2005 ) 表 2 中排放标准， 因此，本项目污水处理站出水执行《城市污水再生利用 城市杂用水水质》( GB/T18920-2020)中“车辆冲洗”标准。</w:t>
      </w:r>
    </w:p>
    <w:p>
      <w:pPr>
        <w:pStyle w:val="513"/>
        <w:spacing w:line="480" w:lineRule="exact"/>
        <w:ind w:firstLine="0" w:firstLineChars="0"/>
        <w:jc w:val="center"/>
        <w:rPr>
          <w:rFonts w:ascii="Times New Roman" w:hAnsi="Times New Roman" w:cs="Times New Roman"/>
          <w:b/>
          <w:kern w:val="0"/>
          <w:sz w:val="21"/>
          <w:szCs w:val="21"/>
        </w:rPr>
      </w:pPr>
      <w:r>
        <w:rPr>
          <w:rFonts w:ascii="Times New Roman" w:hAnsi="Times New Roman" w:cs="Times New Roman"/>
          <w:b/>
          <w:kern w:val="0"/>
          <w:sz w:val="21"/>
          <w:szCs w:val="21"/>
        </w:rPr>
        <w:t>表2.3-9 《城市污水再生利用 城市杂用水水质》(GB/T18920-2020)</w:t>
      </w:r>
    </w:p>
    <w:tbl>
      <w:tblPr>
        <w:tblStyle w:val="77"/>
        <w:tblW w:w="5000" w:type="pct"/>
        <w:tblInd w:w="0" w:type="dxa"/>
        <w:tblBorders>
          <w:top w:val="single" w:color="auto" w:sz="12" w:space="0"/>
          <w:left w:val="none" w:color="auto" w:sz="0" w:space="0"/>
          <w:bottom w:val="single" w:color="auto" w:sz="12" w:space="0"/>
          <w:right w:val="none" w:color="auto" w:sz="0" w:space="0"/>
          <w:insideH w:val="single" w:color="000000" w:sz="2" w:space="0"/>
          <w:insideV w:val="single" w:color="000000" w:sz="2" w:space="0"/>
        </w:tblBorders>
        <w:tblLayout w:type="autofit"/>
        <w:tblCellMar>
          <w:top w:w="0" w:type="dxa"/>
          <w:left w:w="0" w:type="dxa"/>
          <w:bottom w:w="0" w:type="dxa"/>
          <w:right w:w="0" w:type="dxa"/>
        </w:tblCellMar>
      </w:tblPr>
      <w:tblGrid>
        <w:gridCol w:w="1174"/>
        <w:gridCol w:w="2588"/>
        <w:gridCol w:w="1647"/>
        <w:gridCol w:w="2903"/>
      </w:tblGrid>
      <w:tr>
        <w:tblPrEx>
          <w:tblBorders>
            <w:top w:val="single" w:color="auto" w:sz="12" w:space="0"/>
            <w:left w:val="none" w:color="auto" w:sz="0" w:space="0"/>
            <w:bottom w:val="single" w:color="auto"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50" w:hRule="atLeast"/>
        </w:trPr>
        <w:tc>
          <w:tcPr>
            <w:tcW w:w="706" w:type="pct"/>
            <w:vAlign w:val="center"/>
          </w:tcPr>
          <w:p>
            <w:pPr>
              <w:pStyle w:val="527"/>
              <w:shd w:val="clear" w:color="auto" w:fill="auto"/>
              <w:spacing w:before="0" w:after="0" w:line="240" w:lineRule="auto"/>
              <w:rPr>
                <w:rFonts w:ascii="Times New Roman" w:hAnsi="Times New Roman" w:eastAsia="宋体" w:cs="Times New Roman"/>
                <w:snapToGrid w:val="0"/>
                <w:kern w:val="2"/>
                <w:sz w:val="21"/>
                <w:szCs w:val="21"/>
              </w:rPr>
            </w:pPr>
            <w:r>
              <w:rPr>
                <w:rFonts w:ascii="Times New Roman" w:hAnsi="Times New Roman" w:eastAsia="宋体" w:cs="Times New Roman"/>
                <w:snapToGrid w:val="0"/>
                <w:kern w:val="2"/>
                <w:sz w:val="21"/>
                <w:szCs w:val="21"/>
              </w:rPr>
              <w:t>序号</w:t>
            </w:r>
          </w:p>
        </w:tc>
        <w:tc>
          <w:tcPr>
            <w:tcW w:w="1557" w:type="pct"/>
            <w:vAlign w:val="center"/>
          </w:tcPr>
          <w:p>
            <w:pPr>
              <w:pStyle w:val="527"/>
              <w:shd w:val="clear" w:color="auto" w:fill="auto"/>
              <w:spacing w:before="0" w:after="0" w:line="240" w:lineRule="auto"/>
              <w:rPr>
                <w:rFonts w:ascii="Times New Roman" w:hAnsi="Times New Roman" w:eastAsia="宋体" w:cs="Times New Roman"/>
                <w:snapToGrid w:val="0"/>
                <w:kern w:val="2"/>
                <w:sz w:val="21"/>
                <w:szCs w:val="21"/>
              </w:rPr>
            </w:pPr>
            <w:r>
              <w:rPr>
                <w:rFonts w:ascii="Times New Roman" w:hAnsi="Times New Roman" w:eastAsia="宋体" w:cs="Times New Roman"/>
                <w:snapToGrid w:val="0"/>
                <w:kern w:val="2"/>
                <w:sz w:val="21"/>
                <w:szCs w:val="21"/>
              </w:rPr>
              <w:t>项目</w:t>
            </w:r>
          </w:p>
        </w:tc>
        <w:tc>
          <w:tcPr>
            <w:tcW w:w="991" w:type="pct"/>
            <w:vAlign w:val="center"/>
          </w:tcPr>
          <w:p>
            <w:pPr>
              <w:pStyle w:val="527"/>
              <w:shd w:val="clear" w:color="auto" w:fill="auto"/>
              <w:spacing w:before="0" w:after="0" w:line="240" w:lineRule="auto"/>
              <w:rPr>
                <w:rFonts w:ascii="Times New Roman" w:hAnsi="Times New Roman" w:eastAsia="宋体" w:cs="Times New Roman"/>
                <w:snapToGrid w:val="0"/>
                <w:kern w:val="2"/>
                <w:sz w:val="21"/>
                <w:szCs w:val="21"/>
              </w:rPr>
            </w:pPr>
            <w:r>
              <w:rPr>
                <w:rFonts w:ascii="Times New Roman" w:hAnsi="Times New Roman" w:eastAsia="宋体" w:cs="Times New Roman"/>
                <w:snapToGrid w:val="0"/>
                <w:kern w:val="2"/>
                <w:sz w:val="21"/>
                <w:szCs w:val="21"/>
              </w:rPr>
              <w:t>单位</w:t>
            </w:r>
          </w:p>
        </w:tc>
        <w:tc>
          <w:tcPr>
            <w:tcW w:w="1746" w:type="pct"/>
            <w:vAlign w:val="center"/>
          </w:tcPr>
          <w:p>
            <w:pPr>
              <w:pStyle w:val="527"/>
              <w:shd w:val="clear" w:color="auto" w:fill="auto"/>
              <w:spacing w:before="0" w:after="0" w:line="240" w:lineRule="auto"/>
              <w:rPr>
                <w:rFonts w:ascii="Times New Roman" w:hAnsi="Times New Roman" w:eastAsia="宋体" w:cs="Times New Roman"/>
                <w:snapToGrid w:val="0"/>
                <w:kern w:val="2"/>
                <w:sz w:val="21"/>
                <w:szCs w:val="21"/>
              </w:rPr>
            </w:pPr>
            <w:r>
              <w:rPr>
                <w:rFonts w:ascii="Times New Roman" w:hAnsi="Times New Roman" w:eastAsia="宋体" w:cs="Times New Roman"/>
                <w:snapToGrid w:val="0"/>
                <w:kern w:val="2"/>
                <w:sz w:val="21"/>
                <w:szCs w:val="21"/>
              </w:rPr>
              <w:t>车辆冲洗</w:t>
            </w:r>
          </w:p>
        </w:tc>
      </w:tr>
      <w:tr>
        <w:tblPrEx>
          <w:tblBorders>
            <w:top w:val="single" w:color="auto" w:sz="12" w:space="0"/>
            <w:left w:val="none" w:color="auto" w:sz="0" w:space="0"/>
            <w:bottom w:val="single" w:color="auto"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24" w:hRule="atLeast"/>
        </w:trPr>
        <w:tc>
          <w:tcPr>
            <w:tcW w:w="706" w:type="pct"/>
            <w:vAlign w:val="center"/>
          </w:tcPr>
          <w:p>
            <w:pPr>
              <w:pStyle w:val="527"/>
              <w:shd w:val="clear" w:color="auto" w:fill="auto"/>
              <w:spacing w:before="0" w:after="0" w:line="240" w:lineRule="auto"/>
              <w:rPr>
                <w:rFonts w:ascii="Times New Roman" w:hAnsi="Times New Roman" w:eastAsia="宋体" w:cs="Times New Roman"/>
                <w:snapToGrid w:val="0"/>
                <w:kern w:val="2"/>
                <w:sz w:val="21"/>
                <w:szCs w:val="21"/>
              </w:rPr>
            </w:pPr>
            <w:r>
              <w:rPr>
                <w:rFonts w:ascii="Times New Roman" w:hAnsi="Times New Roman" w:eastAsia="宋体" w:cs="Times New Roman"/>
                <w:snapToGrid w:val="0"/>
                <w:kern w:val="2"/>
                <w:sz w:val="21"/>
                <w:szCs w:val="21"/>
              </w:rPr>
              <w:t>1</w:t>
            </w:r>
          </w:p>
        </w:tc>
        <w:tc>
          <w:tcPr>
            <w:tcW w:w="1557" w:type="pct"/>
            <w:vAlign w:val="center"/>
          </w:tcPr>
          <w:p>
            <w:pPr>
              <w:pStyle w:val="527"/>
              <w:shd w:val="clear" w:color="auto" w:fill="auto"/>
              <w:spacing w:before="0" w:after="0" w:line="240" w:lineRule="auto"/>
              <w:rPr>
                <w:rFonts w:ascii="Times New Roman" w:hAnsi="Times New Roman" w:eastAsia="宋体" w:cs="Times New Roman"/>
                <w:snapToGrid w:val="0"/>
                <w:kern w:val="2"/>
                <w:sz w:val="21"/>
                <w:szCs w:val="21"/>
              </w:rPr>
            </w:pPr>
            <w:r>
              <w:rPr>
                <w:rFonts w:ascii="Times New Roman" w:hAnsi="Times New Roman" w:eastAsia="宋体" w:cs="Times New Roman"/>
                <w:snapToGrid w:val="0"/>
                <w:kern w:val="2"/>
                <w:sz w:val="21"/>
                <w:szCs w:val="21"/>
              </w:rPr>
              <w:t>BOD</w:t>
            </w:r>
            <w:r>
              <w:rPr>
                <w:rFonts w:ascii="Times New Roman" w:hAnsi="Times New Roman" w:eastAsia="宋体" w:cs="Times New Roman"/>
                <w:snapToGrid w:val="0"/>
                <w:kern w:val="2"/>
                <w:sz w:val="21"/>
                <w:szCs w:val="21"/>
                <w:vertAlign w:val="subscript"/>
              </w:rPr>
              <w:t>5</w:t>
            </w:r>
          </w:p>
        </w:tc>
        <w:tc>
          <w:tcPr>
            <w:tcW w:w="991" w:type="pct"/>
            <w:vMerge w:val="restart"/>
            <w:vAlign w:val="center"/>
          </w:tcPr>
          <w:p>
            <w:pPr>
              <w:pStyle w:val="527"/>
              <w:shd w:val="clear" w:color="auto" w:fill="auto"/>
              <w:spacing w:before="0" w:after="0" w:line="240" w:lineRule="auto"/>
              <w:rPr>
                <w:rFonts w:ascii="Times New Roman" w:hAnsi="Times New Roman" w:eastAsia="宋体" w:cs="Times New Roman"/>
                <w:snapToGrid w:val="0"/>
                <w:kern w:val="2"/>
                <w:sz w:val="21"/>
                <w:szCs w:val="21"/>
              </w:rPr>
            </w:pPr>
          </w:p>
          <w:p>
            <w:pPr>
              <w:pStyle w:val="527"/>
              <w:shd w:val="clear" w:color="auto" w:fill="auto"/>
              <w:spacing w:before="0" w:after="0" w:line="240" w:lineRule="auto"/>
              <w:rPr>
                <w:rFonts w:ascii="Times New Roman" w:hAnsi="Times New Roman" w:eastAsia="宋体" w:cs="Times New Roman"/>
                <w:snapToGrid w:val="0"/>
                <w:kern w:val="2"/>
                <w:sz w:val="21"/>
                <w:szCs w:val="21"/>
              </w:rPr>
            </w:pPr>
          </w:p>
          <w:p>
            <w:pPr>
              <w:pStyle w:val="527"/>
              <w:shd w:val="clear" w:color="auto" w:fill="auto"/>
              <w:spacing w:before="0" w:after="0" w:line="240" w:lineRule="auto"/>
              <w:rPr>
                <w:rFonts w:ascii="Times New Roman" w:hAnsi="Times New Roman" w:eastAsia="宋体" w:cs="Times New Roman"/>
                <w:snapToGrid w:val="0"/>
                <w:kern w:val="2"/>
                <w:sz w:val="21"/>
                <w:szCs w:val="21"/>
              </w:rPr>
            </w:pPr>
          </w:p>
          <w:p>
            <w:pPr>
              <w:pStyle w:val="527"/>
              <w:shd w:val="clear" w:color="auto" w:fill="auto"/>
              <w:spacing w:before="0" w:after="0" w:line="240" w:lineRule="auto"/>
              <w:rPr>
                <w:rFonts w:ascii="Times New Roman" w:hAnsi="Times New Roman" w:eastAsia="宋体" w:cs="Times New Roman"/>
                <w:snapToGrid w:val="0"/>
                <w:kern w:val="2"/>
                <w:sz w:val="21"/>
                <w:szCs w:val="21"/>
              </w:rPr>
            </w:pPr>
            <w:r>
              <w:rPr>
                <w:rFonts w:ascii="Times New Roman" w:hAnsi="Times New Roman" w:eastAsia="宋体" w:cs="Times New Roman"/>
                <w:snapToGrid w:val="0"/>
                <w:kern w:val="2"/>
                <w:sz w:val="21"/>
                <w:szCs w:val="21"/>
              </w:rPr>
              <w:t>mg/L</w:t>
            </w:r>
          </w:p>
        </w:tc>
        <w:tc>
          <w:tcPr>
            <w:tcW w:w="1746" w:type="pct"/>
            <w:vAlign w:val="center"/>
          </w:tcPr>
          <w:p>
            <w:pPr>
              <w:pStyle w:val="527"/>
              <w:shd w:val="clear" w:color="auto" w:fill="auto"/>
              <w:spacing w:before="0" w:after="0" w:line="240" w:lineRule="auto"/>
              <w:rPr>
                <w:rFonts w:ascii="Times New Roman" w:hAnsi="Times New Roman" w:eastAsia="宋体" w:cs="Times New Roman"/>
                <w:snapToGrid w:val="0"/>
                <w:kern w:val="2"/>
                <w:sz w:val="21"/>
                <w:szCs w:val="21"/>
              </w:rPr>
            </w:pPr>
            <w:r>
              <w:rPr>
                <w:rFonts w:ascii="Times New Roman" w:hAnsi="Times New Roman" w:eastAsia="宋体" w:cs="Times New Roman"/>
                <w:snapToGrid w:val="0"/>
                <w:kern w:val="2"/>
                <w:sz w:val="21"/>
                <w:szCs w:val="21"/>
              </w:rPr>
              <w:t>10</w:t>
            </w:r>
          </w:p>
        </w:tc>
      </w:tr>
      <w:tr>
        <w:tblPrEx>
          <w:tblBorders>
            <w:top w:val="single" w:color="auto" w:sz="12" w:space="0"/>
            <w:left w:val="none" w:color="auto" w:sz="0" w:space="0"/>
            <w:bottom w:val="single" w:color="auto"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24" w:hRule="atLeast"/>
        </w:trPr>
        <w:tc>
          <w:tcPr>
            <w:tcW w:w="706" w:type="pct"/>
            <w:vAlign w:val="center"/>
          </w:tcPr>
          <w:p>
            <w:pPr>
              <w:pStyle w:val="527"/>
              <w:shd w:val="clear" w:color="auto" w:fill="auto"/>
              <w:spacing w:before="0" w:after="0" w:line="240" w:lineRule="auto"/>
              <w:rPr>
                <w:rFonts w:ascii="Times New Roman" w:hAnsi="Times New Roman" w:eastAsia="宋体" w:cs="Times New Roman"/>
                <w:snapToGrid w:val="0"/>
                <w:kern w:val="2"/>
                <w:sz w:val="21"/>
                <w:szCs w:val="21"/>
              </w:rPr>
            </w:pPr>
            <w:r>
              <w:rPr>
                <w:rFonts w:ascii="Times New Roman" w:hAnsi="Times New Roman" w:eastAsia="宋体" w:cs="Times New Roman"/>
                <w:snapToGrid w:val="0"/>
                <w:kern w:val="2"/>
                <w:sz w:val="21"/>
                <w:szCs w:val="21"/>
              </w:rPr>
              <w:t>2</w:t>
            </w:r>
          </w:p>
        </w:tc>
        <w:tc>
          <w:tcPr>
            <w:tcW w:w="1557" w:type="pct"/>
            <w:vAlign w:val="center"/>
          </w:tcPr>
          <w:p>
            <w:pPr>
              <w:pStyle w:val="527"/>
              <w:shd w:val="clear" w:color="auto" w:fill="auto"/>
              <w:spacing w:before="0" w:after="0" w:line="240" w:lineRule="auto"/>
              <w:rPr>
                <w:rFonts w:ascii="Times New Roman" w:hAnsi="Times New Roman" w:eastAsia="宋体" w:cs="Times New Roman"/>
                <w:snapToGrid w:val="0"/>
                <w:kern w:val="2"/>
                <w:sz w:val="21"/>
                <w:szCs w:val="21"/>
              </w:rPr>
            </w:pPr>
            <w:r>
              <w:rPr>
                <w:rFonts w:ascii="Times New Roman" w:hAnsi="Times New Roman" w:eastAsia="宋体" w:cs="Times New Roman"/>
                <w:snapToGrid w:val="0"/>
                <w:kern w:val="2"/>
                <w:sz w:val="21"/>
                <w:szCs w:val="21"/>
              </w:rPr>
              <w:t>氨氮</w:t>
            </w:r>
          </w:p>
        </w:tc>
        <w:tc>
          <w:tcPr>
            <w:tcW w:w="991" w:type="pct"/>
            <w:vMerge w:val="continue"/>
            <w:vAlign w:val="center"/>
          </w:tcPr>
          <w:p>
            <w:pPr>
              <w:pStyle w:val="527"/>
              <w:shd w:val="clear" w:color="auto" w:fill="auto"/>
              <w:spacing w:before="0" w:after="0" w:line="240" w:lineRule="auto"/>
              <w:rPr>
                <w:rFonts w:ascii="Times New Roman" w:hAnsi="Times New Roman" w:eastAsia="宋体" w:cs="Times New Roman"/>
                <w:snapToGrid w:val="0"/>
                <w:kern w:val="2"/>
                <w:sz w:val="21"/>
                <w:szCs w:val="21"/>
              </w:rPr>
            </w:pPr>
          </w:p>
        </w:tc>
        <w:tc>
          <w:tcPr>
            <w:tcW w:w="1746" w:type="pct"/>
            <w:vAlign w:val="center"/>
          </w:tcPr>
          <w:p>
            <w:pPr>
              <w:pStyle w:val="527"/>
              <w:shd w:val="clear" w:color="auto" w:fill="auto"/>
              <w:spacing w:before="0" w:after="0" w:line="240" w:lineRule="auto"/>
              <w:rPr>
                <w:rFonts w:ascii="Times New Roman" w:hAnsi="Times New Roman" w:eastAsia="宋体" w:cs="Times New Roman"/>
                <w:snapToGrid w:val="0"/>
                <w:kern w:val="2"/>
                <w:sz w:val="21"/>
                <w:szCs w:val="21"/>
              </w:rPr>
            </w:pPr>
            <w:r>
              <w:rPr>
                <w:rFonts w:ascii="Times New Roman" w:hAnsi="Times New Roman" w:eastAsia="宋体" w:cs="Times New Roman"/>
                <w:snapToGrid w:val="0"/>
                <w:kern w:val="2"/>
                <w:sz w:val="21"/>
                <w:szCs w:val="21"/>
              </w:rPr>
              <w:t>5</w:t>
            </w:r>
          </w:p>
        </w:tc>
      </w:tr>
      <w:tr>
        <w:tblPrEx>
          <w:tblBorders>
            <w:top w:val="single" w:color="auto" w:sz="12" w:space="0"/>
            <w:left w:val="none" w:color="auto" w:sz="0" w:space="0"/>
            <w:bottom w:val="single" w:color="auto"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24" w:hRule="atLeast"/>
        </w:trPr>
        <w:tc>
          <w:tcPr>
            <w:tcW w:w="706" w:type="pct"/>
            <w:vAlign w:val="center"/>
          </w:tcPr>
          <w:p>
            <w:pPr>
              <w:pStyle w:val="527"/>
              <w:shd w:val="clear" w:color="auto" w:fill="auto"/>
              <w:spacing w:before="0" w:after="0" w:line="240" w:lineRule="auto"/>
              <w:rPr>
                <w:rFonts w:ascii="Times New Roman" w:hAnsi="Times New Roman" w:eastAsia="宋体" w:cs="Times New Roman"/>
                <w:snapToGrid w:val="0"/>
                <w:kern w:val="2"/>
                <w:sz w:val="21"/>
                <w:szCs w:val="21"/>
              </w:rPr>
            </w:pPr>
            <w:r>
              <w:rPr>
                <w:rFonts w:ascii="Times New Roman" w:hAnsi="Times New Roman" w:eastAsia="宋体" w:cs="Times New Roman"/>
                <w:snapToGrid w:val="0"/>
                <w:kern w:val="2"/>
                <w:sz w:val="21"/>
                <w:szCs w:val="21"/>
              </w:rPr>
              <w:t>3</w:t>
            </w:r>
          </w:p>
        </w:tc>
        <w:tc>
          <w:tcPr>
            <w:tcW w:w="1557" w:type="pct"/>
            <w:vAlign w:val="center"/>
          </w:tcPr>
          <w:p>
            <w:pPr>
              <w:pStyle w:val="527"/>
              <w:shd w:val="clear" w:color="auto" w:fill="auto"/>
              <w:spacing w:before="0" w:after="0" w:line="240" w:lineRule="auto"/>
              <w:rPr>
                <w:rFonts w:ascii="Times New Roman" w:hAnsi="Times New Roman" w:eastAsia="宋体" w:cs="Times New Roman"/>
                <w:snapToGrid w:val="0"/>
                <w:kern w:val="2"/>
                <w:sz w:val="21"/>
                <w:szCs w:val="21"/>
              </w:rPr>
            </w:pPr>
            <w:r>
              <w:rPr>
                <w:rFonts w:ascii="Times New Roman" w:hAnsi="Times New Roman" w:eastAsia="宋体" w:cs="Times New Roman"/>
                <w:snapToGrid w:val="0"/>
                <w:kern w:val="2"/>
                <w:sz w:val="21"/>
                <w:szCs w:val="21"/>
              </w:rPr>
              <w:t>溶解性总固体</w:t>
            </w:r>
          </w:p>
        </w:tc>
        <w:tc>
          <w:tcPr>
            <w:tcW w:w="991" w:type="pct"/>
            <w:vMerge w:val="continue"/>
            <w:vAlign w:val="center"/>
          </w:tcPr>
          <w:p>
            <w:pPr>
              <w:pStyle w:val="527"/>
              <w:shd w:val="clear" w:color="auto" w:fill="auto"/>
              <w:spacing w:before="0" w:after="0" w:line="240" w:lineRule="auto"/>
              <w:rPr>
                <w:rFonts w:ascii="Times New Roman" w:hAnsi="Times New Roman" w:eastAsia="宋体" w:cs="Times New Roman"/>
                <w:snapToGrid w:val="0"/>
                <w:kern w:val="2"/>
                <w:sz w:val="21"/>
                <w:szCs w:val="21"/>
              </w:rPr>
            </w:pPr>
          </w:p>
        </w:tc>
        <w:tc>
          <w:tcPr>
            <w:tcW w:w="1746" w:type="pct"/>
            <w:vAlign w:val="center"/>
          </w:tcPr>
          <w:p>
            <w:pPr>
              <w:pStyle w:val="527"/>
              <w:shd w:val="clear" w:color="auto" w:fill="auto"/>
              <w:spacing w:before="0" w:after="0" w:line="240" w:lineRule="auto"/>
              <w:rPr>
                <w:rFonts w:ascii="Times New Roman" w:hAnsi="Times New Roman" w:eastAsia="宋体" w:cs="Times New Roman"/>
                <w:snapToGrid w:val="0"/>
                <w:kern w:val="2"/>
                <w:sz w:val="21"/>
                <w:szCs w:val="21"/>
              </w:rPr>
            </w:pPr>
            <w:r>
              <w:rPr>
                <w:rFonts w:ascii="Times New Roman" w:hAnsi="Times New Roman" w:eastAsia="宋体" w:cs="Times New Roman"/>
                <w:snapToGrid w:val="0"/>
                <w:kern w:val="2"/>
                <w:sz w:val="21"/>
                <w:szCs w:val="21"/>
              </w:rPr>
              <w:t>1000</w:t>
            </w:r>
          </w:p>
        </w:tc>
      </w:tr>
      <w:tr>
        <w:tblPrEx>
          <w:tblBorders>
            <w:top w:val="single" w:color="auto" w:sz="12" w:space="0"/>
            <w:left w:val="none" w:color="auto" w:sz="0" w:space="0"/>
            <w:bottom w:val="single" w:color="auto"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26" w:hRule="atLeast"/>
        </w:trPr>
        <w:tc>
          <w:tcPr>
            <w:tcW w:w="706" w:type="pct"/>
            <w:vAlign w:val="center"/>
          </w:tcPr>
          <w:p>
            <w:pPr>
              <w:pStyle w:val="527"/>
              <w:shd w:val="clear" w:color="auto" w:fill="auto"/>
              <w:spacing w:before="0" w:after="0" w:line="240" w:lineRule="auto"/>
              <w:rPr>
                <w:rFonts w:ascii="Times New Roman" w:hAnsi="Times New Roman" w:eastAsia="宋体" w:cs="Times New Roman"/>
                <w:snapToGrid w:val="0"/>
                <w:kern w:val="2"/>
                <w:sz w:val="21"/>
                <w:szCs w:val="21"/>
              </w:rPr>
            </w:pPr>
            <w:r>
              <w:rPr>
                <w:rFonts w:ascii="Times New Roman" w:hAnsi="Times New Roman" w:eastAsia="宋体" w:cs="Times New Roman"/>
                <w:snapToGrid w:val="0"/>
                <w:kern w:val="2"/>
                <w:sz w:val="21"/>
                <w:szCs w:val="21"/>
              </w:rPr>
              <w:t>4</w:t>
            </w:r>
          </w:p>
        </w:tc>
        <w:tc>
          <w:tcPr>
            <w:tcW w:w="1557" w:type="pct"/>
            <w:vAlign w:val="center"/>
          </w:tcPr>
          <w:p>
            <w:pPr>
              <w:pStyle w:val="527"/>
              <w:shd w:val="clear" w:color="auto" w:fill="auto"/>
              <w:spacing w:before="0" w:after="0" w:line="240" w:lineRule="auto"/>
              <w:rPr>
                <w:rFonts w:ascii="Times New Roman" w:hAnsi="Times New Roman" w:eastAsia="宋体" w:cs="Times New Roman"/>
                <w:snapToGrid w:val="0"/>
                <w:kern w:val="2"/>
                <w:sz w:val="21"/>
                <w:szCs w:val="21"/>
              </w:rPr>
            </w:pPr>
            <w:r>
              <w:rPr>
                <w:rFonts w:ascii="Times New Roman" w:hAnsi="Times New Roman" w:eastAsia="宋体" w:cs="Times New Roman"/>
                <w:snapToGrid w:val="0"/>
                <w:kern w:val="2"/>
                <w:sz w:val="21"/>
                <w:szCs w:val="21"/>
              </w:rPr>
              <w:t>铁</w:t>
            </w:r>
          </w:p>
        </w:tc>
        <w:tc>
          <w:tcPr>
            <w:tcW w:w="991" w:type="pct"/>
            <w:vMerge w:val="continue"/>
            <w:vAlign w:val="center"/>
          </w:tcPr>
          <w:p>
            <w:pPr>
              <w:pStyle w:val="527"/>
              <w:shd w:val="clear" w:color="auto" w:fill="auto"/>
              <w:spacing w:before="0" w:after="0" w:line="240" w:lineRule="auto"/>
              <w:rPr>
                <w:rFonts w:ascii="Times New Roman" w:hAnsi="Times New Roman" w:eastAsia="宋体" w:cs="Times New Roman"/>
                <w:snapToGrid w:val="0"/>
                <w:kern w:val="2"/>
                <w:sz w:val="21"/>
                <w:szCs w:val="21"/>
              </w:rPr>
            </w:pPr>
          </w:p>
        </w:tc>
        <w:tc>
          <w:tcPr>
            <w:tcW w:w="1746" w:type="pct"/>
            <w:vAlign w:val="center"/>
          </w:tcPr>
          <w:p>
            <w:pPr>
              <w:pStyle w:val="527"/>
              <w:shd w:val="clear" w:color="auto" w:fill="auto"/>
              <w:spacing w:before="0" w:after="0" w:line="240" w:lineRule="auto"/>
              <w:rPr>
                <w:rFonts w:ascii="Times New Roman" w:hAnsi="Times New Roman" w:eastAsia="宋体" w:cs="Times New Roman"/>
                <w:snapToGrid w:val="0"/>
                <w:kern w:val="2"/>
                <w:sz w:val="21"/>
                <w:szCs w:val="21"/>
              </w:rPr>
            </w:pPr>
            <w:r>
              <w:rPr>
                <w:rFonts w:ascii="Times New Roman" w:hAnsi="Times New Roman" w:eastAsia="宋体" w:cs="Times New Roman"/>
                <w:snapToGrid w:val="0"/>
                <w:kern w:val="2"/>
                <w:sz w:val="21"/>
                <w:szCs w:val="21"/>
              </w:rPr>
              <w:t>0.3</w:t>
            </w:r>
          </w:p>
        </w:tc>
      </w:tr>
      <w:tr>
        <w:tblPrEx>
          <w:tblBorders>
            <w:top w:val="single" w:color="auto" w:sz="12" w:space="0"/>
            <w:left w:val="none" w:color="auto" w:sz="0" w:space="0"/>
            <w:bottom w:val="single" w:color="auto"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48" w:hRule="atLeast"/>
        </w:trPr>
        <w:tc>
          <w:tcPr>
            <w:tcW w:w="706" w:type="pct"/>
            <w:vAlign w:val="center"/>
          </w:tcPr>
          <w:p>
            <w:pPr>
              <w:pStyle w:val="527"/>
              <w:shd w:val="clear" w:color="auto" w:fill="auto"/>
              <w:spacing w:before="0" w:after="0" w:line="240" w:lineRule="auto"/>
              <w:rPr>
                <w:rFonts w:ascii="Times New Roman" w:hAnsi="Times New Roman" w:eastAsia="宋体" w:cs="Times New Roman"/>
                <w:snapToGrid w:val="0"/>
                <w:kern w:val="2"/>
                <w:sz w:val="21"/>
                <w:szCs w:val="21"/>
              </w:rPr>
            </w:pPr>
            <w:r>
              <w:rPr>
                <w:rFonts w:ascii="Times New Roman" w:hAnsi="Times New Roman" w:eastAsia="宋体" w:cs="Times New Roman"/>
                <w:snapToGrid w:val="0"/>
                <w:kern w:val="2"/>
                <w:sz w:val="21"/>
                <w:szCs w:val="21"/>
              </w:rPr>
              <w:t>5</w:t>
            </w:r>
          </w:p>
        </w:tc>
        <w:tc>
          <w:tcPr>
            <w:tcW w:w="1557" w:type="pct"/>
            <w:vAlign w:val="center"/>
          </w:tcPr>
          <w:p>
            <w:pPr>
              <w:pStyle w:val="527"/>
              <w:shd w:val="clear" w:color="auto" w:fill="auto"/>
              <w:spacing w:before="0" w:after="0" w:line="240" w:lineRule="auto"/>
              <w:rPr>
                <w:rFonts w:ascii="Times New Roman" w:hAnsi="Times New Roman" w:eastAsia="宋体" w:cs="Times New Roman"/>
                <w:snapToGrid w:val="0"/>
                <w:kern w:val="2"/>
                <w:sz w:val="21"/>
                <w:szCs w:val="21"/>
              </w:rPr>
            </w:pPr>
            <w:r>
              <w:rPr>
                <w:rFonts w:ascii="Times New Roman" w:hAnsi="Times New Roman" w:eastAsia="宋体" w:cs="Times New Roman"/>
                <w:snapToGrid w:val="0"/>
                <w:kern w:val="2"/>
                <w:sz w:val="21"/>
                <w:szCs w:val="21"/>
              </w:rPr>
              <w:t>锰</w:t>
            </w:r>
          </w:p>
        </w:tc>
        <w:tc>
          <w:tcPr>
            <w:tcW w:w="991" w:type="pct"/>
            <w:vMerge w:val="continue"/>
            <w:vAlign w:val="center"/>
          </w:tcPr>
          <w:p>
            <w:pPr>
              <w:pStyle w:val="527"/>
              <w:shd w:val="clear" w:color="auto" w:fill="auto"/>
              <w:spacing w:before="0" w:after="0" w:line="240" w:lineRule="auto"/>
              <w:rPr>
                <w:rFonts w:ascii="Times New Roman" w:hAnsi="Times New Roman" w:eastAsia="宋体" w:cs="Times New Roman"/>
                <w:snapToGrid w:val="0"/>
                <w:kern w:val="2"/>
                <w:sz w:val="21"/>
                <w:szCs w:val="21"/>
              </w:rPr>
            </w:pPr>
          </w:p>
        </w:tc>
        <w:tc>
          <w:tcPr>
            <w:tcW w:w="1746" w:type="pct"/>
            <w:vAlign w:val="center"/>
          </w:tcPr>
          <w:p>
            <w:pPr>
              <w:pStyle w:val="527"/>
              <w:shd w:val="clear" w:color="auto" w:fill="auto"/>
              <w:spacing w:before="0" w:after="0" w:line="240" w:lineRule="auto"/>
              <w:rPr>
                <w:rFonts w:ascii="Times New Roman" w:hAnsi="Times New Roman" w:eastAsia="宋体" w:cs="Times New Roman"/>
                <w:snapToGrid w:val="0"/>
                <w:kern w:val="2"/>
                <w:sz w:val="21"/>
                <w:szCs w:val="21"/>
              </w:rPr>
            </w:pPr>
            <w:r>
              <w:rPr>
                <w:rFonts w:ascii="Times New Roman" w:hAnsi="Times New Roman" w:eastAsia="宋体" w:cs="Times New Roman"/>
                <w:snapToGrid w:val="0"/>
                <w:kern w:val="2"/>
                <w:sz w:val="21"/>
                <w:szCs w:val="21"/>
              </w:rPr>
              <w:t>0.1</w:t>
            </w:r>
          </w:p>
        </w:tc>
      </w:tr>
    </w:tbl>
    <w:p>
      <w:pPr>
        <w:pStyle w:val="513"/>
        <w:spacing w:line="480" w:lineRule="exact"/>
        <w:ind w:firstLine="480"/>
        <w:rPr>
          <w:rFonts w:ascii="Times New Roman" w:hAnsi="Times New Roman" w:cs="Times New Roman"/>
          <w:kern w:val="0"/>
          <w:szCs w:val="21"/>
        </w:rPr>
      </w:pPr>
      <w:r>
        <w:rPr>
          <w:rFonts w:ascii="Times New Roman" w:hAnsi="Times New Roman" w:cs="Times New Roman"/>
          <w:kern w:val="0"/>
          <w:szCs w:val="21"/>
        </w:rPr>
        <w:t>（3）噪声污染物排放标准</w:t>
      </w:r>
    </w:p>
    <w:p>
      <w:pPr>
        <w:pStyle w:val="513"/>
        <w:spacing w:line="480" w:lineRule="exact"/>
        <w:ind w:firstLine="480"/>
        <w:rPr>
          <w:rFonts w:ascii="Times New Roman" w:hAnsi="Times New Roman" w:cs="Times New Roman"/>
          <w:kern w:val="0"/>
          <w:szCs w:val="21"/>
        </w:rPr>
      </w:pPr>
      <w:r>
        <w:rPr>
          <w:rFonts w:hint="eastAsia" w:ascii="Times New Roman" w:hAnsi="Times New Roman" w:cs="Times New Roman"/>
          <w:kern w:val="0"/>
          <w:szCs w:val="21"/>
        </w:rPr>
        <w:t>施工期噪声执行标准见表2</w:t>
      </w:r>
      <w:r>
        <w:rPr>
          <w:rFonts w:ascii="Times New Roman" w:hAnsi="Times New Roman" w:cs="Times New Roman"/>
          <w:kern w:val="0"/>
          <w:szCs w:val="21"/>
        </w:rPr>
        <w:t>.3</w:t>
      </w:r>
      <w:r>
        <w:rPr>
          <w:rFonts w:hint="eastAsia" w:ascii="Times New Roman" w:hAnsi="Times New Roman" w:cs="Times New Roman"/>
          <w:kern w:val="0"/>
          <w:szCs w:val="21"/>
        </w:rPr>
        <w:t>-</w:t>
      </w:r>
      <w:r>
        <w:rPr>
          <w:rFonts w:ascii="Times New Roman" w:hAnsi="Times New Roman" w:cs="Times New Roman"/>
          <w:kern w:val="0"/>
          <w:szCs w:val="21"/>
        </w:rPr>
        <w:t>10</w:t>
      </w:r>
      <w:r>
        <w:rPr>
          <w:rFonts w:hint="eastAsia" w:ascii="Times New Roman" w:hAnsi="Times New Roman" w:cs="Times New Roman"/>
          <w:kern w:val="0"/>
          <w:szCs w:val="21"/>
        </w:rPr>
        <w:t>。</w:t>
      </w:r>
      <w:r>
        <w:rPr>
          <w:rFonts w:ascii="Times New Roman" w:hAnsi="Times New Roman" w:cs="Times New Roman"/>
          <w:kern w:val="0"/>
          <w:szCs w:val="21"/>
        </w:rPr>
        <w:t>运营期</w:t>
      </w:r>
      <w:r>
        <w:rPr>
          <w:rFonts w:ascii="Times New Roman" w:hAnsi="Times New Roman" w:cs="Times New Roman"/>
          <w:bCs/>
        </w:rPr>
        <w:t>厂界噪声执行《工业企业厂界环境噪声排放标准》（GB12348-2008）2类区标准。</w:t>
      </w:r>
      <w:r>
        <w:rPr>
          <w:rFonts w:ascii="Times New Roman" w:hAnsi="Times New Roman" w:cs="Times New Roman"/>
          <w:kern w:val="0"/>
          <w:szCs w:val="21"/>
        </w:rPr>
        <w:t>具体见表2.3-11。</w:t>
      </w:r>
    </w:p>
    <w:p>
      <w:pPr>
        <w:pStyle w:val="513"/>
        <w:spacing w:line="480" w:lineRule="exact"/>
        <w:ind w:firstLine="0" w:firstLineChars="0"/>
        <w:jc w:val="center"/>
        <w:rPr>
          <w:rFonts w:ascii="Times New Roman" w:hAnsi="Times New Roman" w:cs="Times New Roman"/>
          <w:b/>
          <w:kern w:val="0"/>
          <w:sz w:val="21"/>
          <w:szCs w:val="21"/>
        </w:rPr>
      </w:pPr>
      <w:r>
        <w:rPr>
          <w:rFonts w:hint="eastAsia" w:ascii="Times New Roman" w:hAnsi="Times New Roman" w:cs="Times New Roman"/>
          <w:b/>
          <w:kern w:val="0"/>
          <w:sz w:val="21"/>
          <w:szCs w:val="21"/>
        </w:rPr>
        <w:t>表</w:t>
      </w:r>
      <w:r>
        <w:rPr>
          <w:rFonts w:ascii="Times New Roman" w:hAnsi="Times New Roman" w:cs="Times New Roman"/>
          <w:b/>
          <w:kern w:val="0"/>
          <w:sz w:val="21"/>
          <w:szCs w:val="21"/>
        </w:rPr>
        <w:t>2.3</w:t>
      </w:r>
      <w:r>
        <w:rPr>
          <w:rFonts w:hint="eastAsia" w:ascii="Times New Roman" w:hAnsi="Times New Roman" w:cs="Times New Roman"/>
          <w:b/>
          <w:kern w:val="0"/>
          <w:sz w:val="21"/>
          <w:szCs w:val="21"/>
        </w:rPr>
        <w:t>-</w:t>
      </w:r>
      <w:r>
        <w:rPr>
          <w:rFonts w:ascii="Times New Roman" w:hAnsi="Times New Roman" w:cs="Times New Roman"/>
          <w:b/>
          <w:kern w:val="0"/>
          <w:sz w:val="21"/>
          <w:szCs w:val="21"/>
        </w:rPr>
        <w:t>10</w:t>
      </w:r>
      <w:r>
        <w:rPr>
          <w:rFonts w:hint="eastAsia" w:ascii="Times New Roman" w:hAnsi="Times New Roman" w:cs="Times New Roman"/>
          <w:b/>
          <w:kern w:val="0"/>
          <w:sz w:val="21"/>
          <w:szCs w:val="21"/>
        </w:rPr>
        <w:t xml:space="preserve">  《</w:t>
      </w:r>
      <w:r>
        <w:rPr>
          <w:rFonts w:ascii="Times New Roman" w:hAnsi="Times New Roman" w:cs="Times New Roman"/>
          <w:b/>
          <w:kern w:val="0"/>
          <w:sz w:val="21"/>
          <w:szCs w:val="21"/>
        </w:rPr>
        <w:t>建筑施工场界环境噪声排放标准</w:t>
      </w:r>
      <w:r>
        <w:rPr>
          <w:rFonts w:hint="eastAsia" w:ascii="Times New Roman" w:hAnsi="Times New Roman" w:cs="Times New Roman"/>
          <w:b/>
          <w:kern w:val="0"/>
          <w:sz w:val="21"/>
          <w:szCs w:val="21"/>
        </w:rPr>
        <w:t>》（</w:t>
      </w:r>
      <w:r>
        <w:rPr>
          <w:rFonts w:ascii="Times New Roman" w:hAnsi="Times New Roman" w:cs="Times New Roman"/>
          <w:b/>
          <w:kern w:val="0"/>
          <w:sz w:val="21"/>
          <w:szCs w:val="21"/>
        </w:rPr>
        <w:t>GB12523－2011</w:t>
      </w:r>
      <w:r>
        <w:rPr>
          <w:rFonts w:hint="eastAsia" w:ascii="Times New Roman" w:hAnsi="Times New Roman" w:cs="Times New Roman"/>
          <w:b/>
          <w:kern w:val="0"/>
          <w:sz w:val="21"/>
          <w:szCs w:val="21"/>
        </w:rPr>
        <w:t>）</w:t>
      </w:r>
    </w:p>
    <w:tbl>
      <w:tblPr>
        <w:tblStyle w:val="77"/>
        <w:tblW w:w="0" w:type="auto"/>
        <w:tblInd w:w="108"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52"/>
        <w:gridCol w:w="425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52" w:type="dxa"/>
          </w:tcPr>
          <w:p>
            <w:pPr>
              <w:pStyle w:val="527"/>
              <w:shd w:val="clear" w:color="auto" w:fill="auto"/>
              <w:spacing w:before="0" w:after="0" w:line="240" w:lineRule="auto"/>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昼间</w:t>
            </w:r>
          </w:p>
        </w:tc>
        <w:tc>
          <w:tcPr>
            <w:tcW w:w="4253" w:type="dxa"/>
          </w:tcPr>
          <w:p>
            <w:pPr>
              <w:pStyle w:val="527"/>
              <w:shd w:val="clear" w:color="auto" w:fill="auto"/>
              <w:spacing w:before="0" w:after="0" w:line="240" w:lineRule="auto"/>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52" w:type="dxa"/>
          </w:tcPr>
          <w:p>
            <w:pPr>
              <w:pStyle w:val="527"/>
              <w:shd w:val="clear" w:color="auto" w:fill="auto"/>
              <w:spacing w:before="0" w:after="0" w:line="240" w:lineRule="auto"/>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70dB（A）</w:t>
            </w:r>
          </w:p>
        </w:tc>
        <w:tc>
          <w:tcPr>
            <w:tcW w:w="4253" w:type="dxa"/>
          </w:tcPr>
          <w:p>
            <w:pPr>
              <w:pStyle w:val="527"/>
              <w:shd w:val="clear" w:color="auto" w:fill="auto"/>
              <w:spacing w:before="0" w:after="0" w:line="240" w:lineRule="auto"/>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55dB（A）</w:t>
            </w:r>
          </w:p>
        </w:tc>
      </w:tr>
    </w:tbl>
    <w:p>
      <w:pPr>
        <w:pStyle w:val="513"/>
        <w:spacing w:line="480" w:lineRule="exact"/>
        <w:ind w:firstLine="0" w:firstLineChars="0"/>
        <w:jc w:val="center"/>
        <w:rPr>
          <w:rFonts w:ascii="Times New Roman" w:hAnsi="Times New Roman" w:cs="Times New Roman"/>
          <w:kern w:val="0"/>
          <w:szCs w:val="21"/>
        </w:rPr>
      </w:pPr>
      <w:r>
        <w:rPr>
          <w:rFonts w:ascii="Times New Roman" w:hAnsi="Times New Roman" w:cs="Times New Roman"/>
          <w:b/>
          <w:kern w:val="0"/>
          <w:sz w:val="21"/>
          <w:szCs w:val="21"/>
        </w:rPr>
        <w:t>表2.3-11 噪声污染物排放标准一览表</w:t>
      </w:r>
    </w:p>
    <w:tbl>
      <w:tblPr>
        <w:tblStyle w:val="77"/>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3192"/>
        <w:gridCol w:w="1068"/>
        <w:gridCol w:w="1082"/>
        <w:gridCol w:w="1561"/>
        <w:gridCol w:w="162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3111" w:type="dxa"/>
            <w:vMerge w:val="restart"/>
            <w:vAlign w:val="center"/>
          </w:tcPr>
          <w:p>
            <w:pPr>
              <w:pStyle w:val="527"/>
              <w:shd w:val="clear" w:color="auto" w:fill="auto"/>
              <w:spacing w:before="0" w:after="0" w:line="240" w:lineRule="auto"/>
              <w:rPr>
                <w:rFonts w:ascii="Times New Roman" w:hAnsi="Times New Roman" w:eastAsia="宋体" w:cs="Times New Roman"/>
                <w:b/>
                <w:kern w:val="2"/>
                <w:sz w:val="21"/>
                <w:szCs w:val="21"/>
              </w:rPr>
            </w:pPr>
            <w:r>
              <w:rPr>
                <w:rFonts w:ascii="Times New Roman" w:hAnsi="Times New Roman" w:eastAsia="宋体" w:cs="Times New Roman"/>
                <w:b/>
                <w:kern w:val="2"/>
                <w:sz w:val="21"/>
                <w:szCs w:val="21"/>
              </w:rPr>
              <w:t>标准名称及级（类）别</w:t>
            </w:r>
          </w:p>
        </w:tc>
        <w:tc>
          <w:tcPr>
            <w:tcW w:w="2096" w:type="dxa"/>
            <w:gridSpan w:val="2"/>
            <w:vMerge w:val="restart"/>
            <w:vAlign w:val="center"/>
          </w:tcPr>
          <w:p>
            <w:pPr>
              <w:pStyle w:val="527"/>
              <w:shd w:val="clear" w:color="auto" w:fill="auto"/>
              <w:spacing w:before="0" w:after="0" w:line="240" w:lineRule="auto"/>
              <w:rPr>
                <w:rFonts w:ascii="Times New Roman" w:hAnsi="Times New Roman" w:eastAsia="宋体" w:cs="Times New Roman"/>
                <w:b/>
                <w:kern w:val="2"/>
                <w:sz w:val="21"/>
                <w:szCs w:val="21"/>
              </w:rPr>
            </w:pPr>
            <w:r>
              <w:rPr>
                <w:rFonts w:ascii="Times New Roman" w:hAnsi="Times New Roman" w:eastAsia="宋体" w:cs="Times New Roman"/>
                <w:b/>
                <w:kern w:val="2"/>
                <w:sz w:val="21"/>
                <w:szCs w:val="21"/>
              </w:rPr>
              <w:t>污染因子</w:t>
            </w:r>
          </w:p>
        </w:tc>
        <w:tc>
          <w:tcPr>
            <w:tcW w:w="3105" w:type="dxa"/>
            <w:gridSpan w:val="2"/>
            <w:vAlign w:val="center"/>
          </w:tcPr>
          <w:p>
            <w:pPr>
              <w:pStyle w:val="527"/>
              <w:shd w:val="clear" w:color="auto" w:fill="auto"/>
              <w:spacing w:before="0" w:after="0" w:line="240" w:lineRule="auto"/>
              <w:rPr>
                <w:rFonts w:ascii="Times New Roman" w:hAnsi="Times New Roman" w:eastAsia="宋体" w:cs="Times New Roman"/>
                <w:b/>
                <w:kern w:val="2"/>
                <w:sz w:val="21"/>
                <w:szCs w:val="21"/>
              </w:rPr>
            </w:pPr>
            <w:r>
              <w:rPr>
                <w:rFonts w:ascii="Times New Roman" w:hAnsi="Times New Roman" w:eastAsia="宋体" w:cs="Times New Roman"/>
                <w:b/>
                <w:kern w:val="2"/>
                <w:sz w:val="21"/>
                <w:szCs w:val="21"/>
              </w:rPr>
              <w:t>标准值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3111" w:type="dxa"/>
            <w:vMerge w:val="continue"/>
            <w:vAlign w:val="center"/>
          </w:tcPr>
          <w:p>
            <w:pPr>
              <w:pStyle w:val="527"/>
              <w:shd w:val="clear" w:color="auto" w:fill="auto"/>
              <w:spacing w:before="0" w:after="0" w:line="240" w:lineRule="auto"/>
              <w:rPr>
                <w:rFonts w:ascii="Times New Roman" w:hAnsi="Times New Roman" w:eastAsia="宋体" w:cs="Times New Roman"/>
                <w:kern w:val="2"/>
                <w:sz w:val="21"/>
                <w:szCs w:val="21"/>
              </w:rPr>
            </w:pPr>
          </w:p>
        </w:tc>
        <w:tc>
          <w:tcPr>
            <w:tcW w:w="2096" w:type="dxa"/>
            <w:gridSpan w:val="2"/>
            <w:vMerge w:val="continue"/>
            <w:vAlign w:val="center"/>
          </w:tcPr>
          <w:p>
            <w:pPr>
              <w:pStyle w:val="527"/>
              <w:shd w:val="clear" w:color="auto" w:fill="auto"/>
              <w:spacing w:before="0" w:after="0" w:line="240" w:lineRule="auto"/>
              <w:rPr>
                <w:rFonts w:ascii="Times New Roman" w:hAnsi="Times New Roman" w:eastAsia="宋体" w:cs="Times New Roman"/>
                <w:kern w:val="2"/>
                <w:sz w:val="21"/>
                <w:szCs w:val="21"/>
              </w:rPr>
            </w:pPr>
          </w:p>
        </w:tc>
        <w:tc>
          <w:tcPr>
            <w:tcW w:w="1521" w:type="dxa"/>
            <w:vAlign w:val="center"/>
          </w:tcPr>
          <w:p>
            <w:pPr>
              <w:pStyle w:val="527"/>
              <w:shd w:val="clear" w:color="auto" w:fill="auto"/>
              <w:spacing w:before="0" w:after="0" w:line="240" w:lineRule="auto"/>
              <w:rPr>
                <w:rFonts w:ascii="Times New Roman" w:hAnsi="Times New Roman" w:eastAsia="宋体" w:cs="Times New Roman"/>
                <w:b/>
                <w:kern w:val="2"/>
                <w:sz w:val="21"/>
                <w:szCs w:val="21"/>
              </w:rPr>
            </w:pPr>
            <w:r>
              <w:rPr>
                <w:rFonts w:ascii="Times New Roman" w:hAnsi="Times New Roman" w:eastAsia="宋体" w:cs="Times New Roman"/>
                <w:b/>
                <w:kern w:val="2"/>
                <w:sz w:val="21"/>
                <w:szCs w:val="21"/>
              </w:rPr>
              <w:t>单位</w:t>
            </w:r>
          </w:p>
        </w:tc>
        <w:tc>
          <w:tcPr>
            <w:tcW w:w="1584" w:type="dxa"/>
            <w:vAlign w:val="center"/>
          </w:tcPr>
          <w:p>
            <w:pPr>
              <w:pStyle w:val="527"/>
              <w:shd w:val="clear" w:color="auto" w:fill="auto"/>
              <w:spacing w:before="0" w:after="0" w:line="240" w:lineRule="auto"/>
              <w:rPr>
                <w:rFonts w:ascii="Times New Roman" w:hAnsi="Times New Roman" w:eastAsia="宋体" w:cs="Times New Roman"/>
                <w:b/>
                <w:kern w:val="2"/>
                <w:sz w:val="21"/>
                <w:szCs w:val="21"/>
              </w:rPr>
            </w:pPr>
            <w:r>
              <w:rPr>
                <w:rFonts w:ascii="Times New Roman" w:hAnsi="Times New Roman" w:eastAsia="宋体" w:cs="Times New Roman"/>
                <w:b/>
                <w:kern w:val="2"/>
                <w:sz w:val="21"/>
                <w:szCs w:val="21"/>
              </w:rPr>
              <w:t>数值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3111" w:type="dxa"/>
            <w:vMerge w:val="restart"/>
            <w:vAlign w:val="center"/>
          </w:tcPr>
          <w:p>
            <w:pPr>
              <w:pStyle w:val="527"/>
              <w:shd w:val="clear" w:color="auto" w:fill="auto"/>
              <w:spacing w:before="0" w:after="0" w:line="240" w:lineRule="auto"/>
              <w:rPr>
                <w:rFonts w:ascii="Times New Roman" w:hAnsi="Times New Roman" w:eastAsia="宋体" w:cs="Times New Roman"/>
                <w:kern w:val="2"/>
                <w:sz w:val="21"/>
                <w:szCs w:val="21"/>
              </w:rPr>
            </w:pPr>
            <w:r>
              <w:rPr>
                <w:rFonts w:ascii="Times New Roman" w:hAnsi="Times New Roman" w:eastAsia="宋体" w:cs="Times New Roman"/>
                <w:kern w:val="2"/>
                <w:sz w:val="21"/>
                <w:szCs w:val="21"/>
              </w:rPr>
              <w:t>《工业企业厂界环境噪声</w:t>
            </w:r>
          </w:p>
          <w:p>
            <w:pPr>
              <w:pStyle w:val="527"/>
              <w:shd w:val="clear" w:color="auto" w:fill="auto"/>
              <w:spacing w:before="0" w:after="0" w:line="240" w:lineRule="auto"/>
              <w:rPr>
                <w:rFonts w:ascii="Times New Roman" w:hAnsi="Times New Roman" w:eastAsia="宋体" w:cs="Times New Roman"/>
                <w:kern w:val="2"/>
                <w:sz w:val="21"/>
                <w:szCs w:val="21"/>
              </w:rPr>
            </w:pPr>
            <w:r>
              <w:rPr>
                <w:rFonts w:ascii="Times New Roman" w:hAnsi="Times New Roman" w:eastAsia="宋体" w:cs="Times New Roman"/>
                <w:kern w:val="2"/>
                <w:sz w:val="21"/>
                <w:szCs w:val="21"/>
              </w:rPr>
              <w:t>排放标准》（GB12348-2008）</w:t>
            </w:r>
          </w:p>
        </w:tc>
        <w:tc>
          <w:tcPr>
            <w:tcW w:w="1041" w:type="dxa"/>
            <w:vMerge w:val="restart"/>
            <w:vAlign w:val="center"/>
          </w:tcPr>
          <w:p>
            <w:pPr>
              <w:pStyle w:val="527"/>
              <w:shd w:val="clear" w:color="auto" w:fill="auto"/>
              <w:spacing w:before="0" w:after="0" w:line="240" w:lineRule="auto"/>
              <w:rPr>
                <w:rFonts w:ascii="Times New Roman" w:hAnsi="Times New Roman" w:eastAsia="宋体" w:cs="Times New Roman"/>
                <w:kern w:val="2"/>
                <w:sz w:val="21"/>
                <w:szCs w:val="21"/>
              </w:rPr>
            </w:pPr>
            <w:r>
              <w:rPr>
                <w:rFonts w:ascii="Times New Roman" w:hAnsi="Times New Roman" w:eastAsia="宋体" w:cs="Times New Roman"/>
                <w:kern w:val="2"/>
                <w:sz w:val="21"/>
                <w:szCs w:val="21"/>
              </w:rPr>
              <w:t>2类</w:t>
            </w:r>
          </w:p>
        </w:tc>
        <w:tc>
          <w:tcPr>
            <w:tcW w:w="1055" w:type="dxa"/>
            <w:vAlign w:val="center"/>
          </w:tcPr>
          <w:p>
            <w:pPr>
              <w:pStyle w:val="527"/>
              <w:shd w:val="clear" w:color="auto" w:fill="auto"/>
              <w:spacing w:before="0" w:after="0" w:line="240" w:lineRule="auto"/>
              <w:rPr>
                <w:rFonts w:ascii="Times New Roman" w:hAnsi="Times New Roman" w:eastAsia="宋体" w:cs="Times New Roman"/>
                <w:kern w:val="2"/>
                <w:sz w:val="21"/>
                <w:szCs w:val="21"/>
              </w:rPr>
            </w:pPr>
            <w:r>
              <w:rPr>
                <w:rFonts w:ascii="Times New Roman" w:hAnsi="Times New Roman" w:eastAsia="宋体" w:cs="Times New Roman"/>
                <w:kern w:val="2"/>
                <w:sz w:val="21"/>
                <w:szCs w:val="21"/>
              </w:rPr>
              <w:t>昼间</w:t>
            </w:r>
          </w:p>
        </w:tc>
        <w:tc>
          <w:tcPr>
            <w:tcW w:w="1521" w:type="dxa"/>
            <w:vMerge w:val="restart"/>
            <w:vAlign w:val="center"/>
          </w:tcPr>
          <w:p>
            <w:pPr>
              <w:pStyle w:val="527"/>
              <w:shd w:val="clear" w:color="auto" w:fill="auto"/>
              <w:spacing w:before="0" w:after="0" w:line="240" w:lineRule="auto"/>
              <w:rPr>
                <w:rFonts w:ascii="Times New Roman" w:hAnsi="Times New Roman" w:eastAsia="宋体" w:cs="Times New Roman"/>
                <w:kern w:val="2"/>
                <w:sz w:val="21"/>
                <w:szCs w:val="21"/>
              </w:rPr>
            </w:pPr>
            <w:r>
              <w:rPr>
                <w:rFonts w:ascii="Times New Roman" w:hAnsi="Times New Roman" w:eastAsia="宋体" w:cs="Times New Roman"/>
                <w:kern w:val="2"/>
                <w:sz w:val="21"/>
                <w:szCs w:val="21"/>
              </w:rPr>
              <w:t>dB（A）</w:t>
            </w:r>
          </w:p>
        </w:tc>
        <w:tc>
          <w:tcPr>
            <w:tcW w:w="1584" w:type="dxa"/>
            <w:vAlign w:val="center"/>
          </w:tcPr>
          <w:p>
            <w:pPr>
              <w:pStyle w:val="527"/>
              <w:shd w:val="clear" w:color="auto" w:fill="auto"/>
              <w:spacing w:before="0" w:after="0" w:line="240" w:lineRule="auto"/>
              <w:rPr>
                <w:rFonts w:ascii="Times New Roman" w:hAnsi="Times New Roman" w:eastAsia="宋体" w:cs="Times New Roman"/>
                <w:kern w:val="2"/>
                <w:sz w:val="21"/>
                <w:szCs w:val="21"/>
              </w:rPr>
            </w:pPr>
            <w:r>
              <w:rPr>
                <w:rFonts w:ascii="Times New Roman" w:hAnsi="Times New Roman" w:eastAsia="宋体" w:cs="Times New Roman"/>
                <w:kern w:val="2"/>
                <w:sz w:val="21"/>
                <w:szCs w:val="21"/>
              </w:rPr>
              <w:t>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3111" w:type="dxa"/>
            <w:vMerge w:val="continue"/>
            <w:vAlign w:val="center"/>
          </w:tcPr>
          <w:p>
            <w:pPr>
              <w:pStyle w:val="527"/>
              <w:shd w:val="clear" w:color="auto" w:fill="auto"/>
              <w:spacing w:before="0" w:after="0" w:line="240" w:lineRule="auto"/>
              <w:rPr>
                <w:rFonts w:ascii="Times New Roman" w:hAnsi="Times New Roman" w:eastAsia="宋体" w:cs="Times New Roman"/>
                <w:kern w:val="2"/>
                <w:sz w:val="21"/>
                <w:szCs w:val="21"/>
              </w:rPr>
            </w:pPr>
          </w:p>
        </w:tc>
        <w:tc>
          <w:tcPr>
            <w:tcW w:w="1041" w:type="dxa"/>
            <w:vMerge w:val="continue"/>
            <w:vAlign w:val="center"/>
          </w:tcPr>
          <w:p>
            <w:pPr>
              <w:pStyle w:val="527"/>
              <w:shd w:val="clear" w:color="auto" w:fill="auto"/>
              <w:spacing w:before="0" w:after="0" w:line="240" w:lineRule="auto"/>
              <w:rPr>
                <w:rFonts w:ascii="Times New Roman" w:hAnsi="Times New Roman" w:eastAsia="宋体" w:cs="Times New Roman"/>
                <w:kern w:val="2"/>
                <w:sz w:val="21"/>
                <w:szCs w:val="21"/>
              </w:rPr>
            </w:pPr>
          </w:p>
        </w:tc>
        <w:tc>
          <w:tcPr>
            <w:tcW w:w="1055" w:type="dxa"/>
            <w:vAlign w:val="center"/>
          </w:tcPr>
          <w:p>
            <w:pPr>
              <w:pStyle w:val="527"/>
              <w:shd w:val="clear" w:color="auto" w:fill="auto"/>
              <w:spacing w:before="0" w:after="0" w:line="240" w:lineRule="auto"/>
              <w:rPr>
                <w:rFonts w:ascii="Times New Roman" w:hAnsi="Times New Roman" w:eastAsia="宋体" w:cs="Times New Roman"/>
                <w:kern w:val="2"/>
                <w:sz w:val="21"/>
                <w:szCs w:val="21"/>
              </w:rPr>
            </w:pPr>
            <w:r>
              <w:rPr>
                <w:rFonts w:ascii="Times New Roman" w:hAnsi="Times New Roman" w:eastAsia="宋体" w:cs="Times New Roman"/>
                <w:kern w:val="2"/>
                <w:sz w:val="21"/>
                <w:szCs w:val="21"/>
              </w:rPr>
              <w:t>夜间</w:t>
            </w:r>
          </w:p>
        </w:tc>
        <w:tc>
          <w:tcPr>
            <w:tcW w:w="1521" w:type="dxa"/>
            <w:vMerge w:val="continue"/>
            <w:vAlign w:val="center"/>
          </w:tcPr>
          <w:p>
            <w:pPr>
              <w:pStyle w:val="527"/>
              <w:shd w:val="clear" w:color="auto" w:fill="auto"/>
              <w:spacing w:before="0" w:after="0" w:line="240" w:lineRule="auto"/>
              <w:rPr>
                <w:rFonts w:ascii="Times New Roman" w:hAnsi="Times New Roman" w:eastAsia="宋体" w:cs="Times New Roman"/>
                <w:kern w:val="2"/>
                <w:sz w:val="21"/>
                <w:szCs w:val="21"/>
              </w:rPr>
            </w:pPr>
          </w:p>
        </w:tc>
        <w:tc>
          <w:tcPr>
            <w:tcW w:w="1584" w:type="dxa"/>
            <w:vAlign w:val="center"/>
          </w:tcPr>
          <w:p>
            <w:pPr>
              <w:pStyle w:val="527"/>
              <w:shd w:val="clear" w:color="auto" w:fill="auto"/>
              <w:spacing w:before="0" w:after="0" w:line="240" w:lineRule="auto"/>
              <w:rPr>
                <w:rFonts w:ascii="Times New Roman" w:hAnsi="Times New Roman" w:eastAsia="宋体" w:cs="Times New Roman"/>
                <w:kern w:val="2"/>
                <w:sz w:val="21"/>
                <w:szCs w:val="21"/>
              </w:rPr>
            </w:pPr>
            <w:r>
              <w:rPr>
                <w:rFonts w:ascii="Times New Roman" w:hAnsi="Times New Roman" w:eastAsia="宋体" w:cs="Times New Roman"/>
                <w:kern w:val="2"/>
                <w:sz w:val="21"/>
                <w:szCs w:val="21"/>
              </w:rPr>
              <w:t>50</w:t>
            </w:r>
          </w:p>
        </w:tc>
      </w:tr>
    </w:tbl>
    <w:p>
      <w:pPr>
        <w:pStyle w:val="513"/>
        <w:spacing w:line="480" w:lineRule="exact"/>
        <w:ind w:firstLine="480"/>
        <w:rPr>
          <w:rFonts w:ascii="Times New Roman" w:hAnsi="Times New Roman" w:cs="Times New Roman"/>
          <w:kern w:val="0"/>
          <w:szCs w:val="21"/>
        </w:rPr>
      </w:pPr>
      <w:r>
        <w:rPr>
          <w:rFonts w:ascii="Times New Roman" w:hAnsi="Times New Roman" w:cs="Times New Roman"/>
          <w:kern w:val="0"/>
          <w:szCs w:val="21"/>
        </w:rPr>
        <w:t>（4）固体废物污染物排放标准</w:t>
      </w:r>
    </w:p>
    <w:p>
      <w:pPr>
        <w:pStyle w:val="513"/>
        <w:spacing w:line="480" w:lineRule="exact"/>
        <w:ind w:firstLine="480"/>
        <w:rPr>
          <w:rFonts w:ascii="Times New Roman" w:hAnsi="Times New Roman" w:cs="Times New Roman"/>
          <w:kern w:val="0"/>
          <w:szCs w:val="21"/>
        </w:rPr>
      </w:pPr>
      <w:r>
        <w:rPr>
          <w:rFonts w:ascii="Times New Roman" w:hAnsi="Times New Roman" w:cs="Times New Roman"/>
          <w:kern w:val="0"/>
          <w:szCs w:val="21"/>
        </w:rPr>
        <w:t>本项目一般固体废物执行《</w:t>
      </w:r>
      <w:r>
        <w:rPr>
          <w:rFonts w:hint="eastAsia" w:ascii="Times New Roman" w:hAnsi="Times New Roman" w:cs="Times New Roman"/>
          <w:kern w:val="0"/>
          <w:szCs w:val="21"/>
        </w:rPr>
        <w:t>一般工业固体废物贮存和填埋污染物控制标准</w:t>
      </w:r>
      <w:r>
        <w:rPr>
          <w:rFonts w:ascii="Times New Roman" w:hAnsi="Times New Roman" w:cs="Times New Roman"/>
          <w:kern w:val="0"/>
          <w:szCs w:val="21"/>
        </w:rPr>
        <w:t>》（GB18599-2020）相关规定及</w:t>
      </w:r>
      <w:r>
        <w:rPr>
          <w:rFonts w:hint="eastAsia" w:ascii="Times New Roman" w:hAnsi="Times New Roman" w:cs="Times New Roman"/>
          <w:kern w:val="0"/>
          <w:szCs w:val="21"/>
        </w:rPr>
        <w:t>《</w:t>
      </w:r>
      <w:r>
        <w:rPr>
          <w:rFonts w:hint="eastAsia"/>
        </w:rPr>
        <w:t>一般固体废物分类与代码</w:t>
      </w:r>
      <w:r>
        <w:rPr>
          <w:rFonts w:hint="eastAsia" w:ascii="Times New Roman" w:hAnsi="Times New Roman" w:cs="Times New Roman"/>
          <w:kern w:val="0"/>
          <w:szCs w:val="21"/>
        </w:rPr>
        <w:t>》</w:t>
      </w:r>
      <w:r>
        <w:rPr>
          <w:rFonts w:hint="eastAsia"/>
        </w:rPr>
        <w:t>（GB/T39198-2020）</w:t>
      </w:r>
      <w:r>
        <w:rPr>
          <w:rFonts w:ascii="Times New Roman" w:hAnsi="Times New Roman" w:cs="Times New Roman"/>
          <w:kern w:val="0"/>
          <w:szCs w:val="21"/>
        </w:rPr>
        <w:t>；医疗废物执行《医疗废物处理处置污染控制标准》（GB39707-2020）；危险废物执行危险废物执行《危险废物贮存污染控制标准》（GB18597-2001）及其修改单。</w:t>
      </w:r>
    </w:p>
    <w:p>
      <w:pPr>
        <w:pStyle w:val="3"/>
        <w:spacing w:before="120" w:beforeLines="50" w:after="120" w:afterLines="50" w:line="480" w:lineRule="exact"/>
        <w:ind w:left="-11"/>
        <w:rPr>
          <w:rFonts w:ascii="Times New Roman" w:hAnsi="Times New Roman" w:eastAsia="黑体"/>
          <w:sz w:val="30"/>
          <w:szCs w:val="30"/>
        </w:rPr>
      </w:pPr>
      <w:bookmarkStart w:id="308" w:name="_Toc291021131"/>
      <w:bookmarkStart w:id="309" w:name="_Toc116379699"/>
      <w:bookmarkStart w:id="310" w:name="_Toc140485008"/>
      <w:bookmarkStart w:id="311" w:name="_Toc291021129"/>
      <w:r>
        <w:rPr>
          <w:rFonts w:ascii="Times New Roman" w:hAnsi="Times New Roman" w:eastAsia="黑体"/>
          <w:sz w:val="30"/>
          <w:szCs w:val="30"/>
        </w:rPr>
        <w:t>评价工作等级</w:t>
      </w:r>
      <w:bookmarkEnd w:id="308"/>
      <w:r>
        <w:rPr>
          <w:rFonts w:ascii="Times New Roman" w:hAnsi="Times New Roman" w:eastAsia="黑体"/>
          <w:sz w:val="30"/>
          <w:szCs w:val="30"/>
        </w:rPr>
        <w:t>与评价范围</w:t>
      </w:r>
      <w:bookmarkEnd w:id="309"/>
    </w:p>
    <w:p>
      <w:pPr>
        <w:pStyle w:val="4"/>
        <w:spacing w:before="120" w:beforeLines="50" w:after="120" w:afterLines="50" w:line="480" w:lineRule="exact"/>
        <w:rPr>
          <w:rFonts w:ascii="Times New Roman" w:hAnsi="Times New Roman" w:eastAsia="黑体"/>
          <w:kern w:val="2"/>
          <w:sz w:val="28"/>
          <w:szCs w:val="32"/>
        </w:rPr>
      </w:pPr>
      <w:bookmarkStart w:id="312" w:name="_Toc534537592"/>
      <w:bookmarkStart w:id="313" w:name="_Toc497228802"/>
      <w:bookmarkStart w:id="314" w:name="_Toc535348431"/>
      <w:bookmarkStart w:id="315" w:name="_Toc535168877"/>
      <w:bookmarkStart w:id="316" w:name="_Toc530655937"/>
      <w:bookmarkStart w:id="317" w:name="_Toc532556577"/>
      <w:bookmarkStart w:id="318" w:name="_Toc487111474"/>
      <w:bookmarkStart w:id="319" w:name="_Toc527205704"/>
      <w:bookmarkStart w:id="320" w:name="_Toc26187997"/>
      <w:bookmarkStart w:id="321" w:name="_Toc27134273"/>
      <w:bookmarkStart w:id="322" w:name="_Toc3587"/>
      <w:bookmarkStart w:id="323" w:name="_Toc2650"/>
      <w:bookmarkStart w:id="324" w:name="_Toc9843784"/>
      <w:bookmarkStart w:id="325" w:name="_Toc24107"/>
      <w:bookmarkStart w:id="326" w:name="_Toc29132"/>
      <w:bookmarkStart w:id="327" w:name="_Toc30490"/>
      <w:r>
        <w:rPr>
          <w:rFonts w:ascii="Times New Roman" w:hAnsi="Times New Roman" w:eastAsia="黑体"/>
          <w:kern w:val="2"/>
          <w:sz w:val="28"/>
          <w:szCs w:val="32"/>
        </w:rPr>
        <w:t>评价工作等级</w:t>
      </w:r>
      <w:bookmarkEnd w:id="312"/>
      <w:bookmarkEnd w:id="313"/>
      <w:bookmarkEnd w:id="314"/>
      <w:bookmarkEnd w:id="315"/>
      <w:bookmarkEnd w:id="316"/>
      <w:bookmarkEnd w:id="317"/>
      <w:bookmarkEnd w:id="318"/>
      <w:bookmarkEnd w:id="319"/>
      <w:r>
        <w:rPr>
          <w:rFonts w:ascii="Times New Roman" w:hAnsi="Times New Roman" w:eastAsia="黑体"/>
          <w:kern w:val="2"/>
          <w:sz w:val="28"/>
          <w:szCs w:val="32"/>
        </w:rPr>
        <w:t>的判定</w:t>
      </w:r>
      <w:bookmarkEnd w:id="320"/>
      <w:bookmarkEnd w:id="321"/>
      <w:bookmarkEnd w:id="322"/>
      <w:bookmarkEnd w:id="323"/>
      <w:bookmarkEnd w:id="324"/>
      <w:bookmarkEnd w:id="325"/>
      <w:bookmarkEnd w:id="326"/>
      <w:bookmarkEnd w:id="327"/>
    </w:p>
    <w:p>
      <w:pPr>
        <w:widowControl/>
        <w:spacing w:line="480" w:lineRule="exact"/>
        <w:outlineLvl w:val="3"/>
        <w:rPr>
          <w:rFonts w:ascii="Times New Roman" w:hAnsi="Times New Roman" w:eastAsia="黑体"/>
          <w:sz w:val="24"/>
        </w:rPr>
      </w:pPr>
      <w:bookmarkStart w:id="328" w:name="_Toc486970353"/>
      <w:bookmarkStart w:id="329" w:name="_Toc409529713"/>
      <w:bookmarkStart w:id="330" w:name="_Toc464036651"/>
      <w:bookmarkStart w:id="331" w:name="_Toc409529913"/>
      <w:bookmarkStart w:id="332" w:name="_Toc406771992"/>
      <w:bookmarkStart w:id="333" w:name="_Toc407350226"/>
      <w:bookmarkStart w:id="334" w:name="_Toc480190429"/>
      <w:bookmarkStart w:id="335" w:name="_Toc406572450"/>
      <w:bookmarkStart w:id="336" w:name="_Toc466271349"/>
      <w:bookmarkStart w:id="337" w:name="_Toc480983810"/>
      <w:bookmarkStart w:id="338" w:name="_Toc416966863"/>
      <w:bookmarkStart w:id="339" w:name="_Toc482020592"/>
      <w:bookmarkStart w:id="340" w:name="_Toc453708921"/>
      <w:bookmarkStart w:id="341" w:name="_Toc458063821"/>
      <w:r>
        <w:rPr>
          <w:rFonts w:ascii="Times New Roman" w:hAnsi="Times New Roman" w:eastAsia="黑体"/>
          <w:sz w:val="24"/>
        </w:rPr>
        <w:t>2.4.1.1.环境空气</w:t>
      </w:r>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p>
    <w:p>
      <w:pPr>
        <w:spacing w:line="480" w:lineRule="exact"/>
        <w:ind w:firstLine="480" w:firstLineChars="200"/>
        <w:rPr>
          <w:rFonts w:ascii="Times New Roman" w:hAnsi="Times New Roman"/>
          <w:sz w:val="24"/>
        </w:rPr>
      </w:pPr>
      <w:r>
        <w:rPr>
          <w:rFonts w:ascii="Times New Roman" w:hAnsi="Times New Roman"/>
          <w:sz w:val="24"/>
        </w:rPr>
        <w:t>根据《环境影响评价技术导则 大气环境》（HJ2.2-2018）中5.3节工作等级的确定方法，结合项目工程分析结果，选择正常排放的主要污染物及排放参数，采用附录A推荐模型中的AERSCREEN模式计算项目污染源的最大环境影响，然后按评价工作分级判据进行分级。</w:t>
      </w:r>
    </w:p>
    <w:p>
      <w:pPr>
        <w:spacing w:line="480" w:lineRule="exact"/>
        <w:ind w:firstLine="480" w:firstLineChars="200"/>
        <w:rPr>
          <w:rFonts w:ascii="Times New Roman" w:hAnsi="Times New Roman"/>
          <w:sz w:val="24"/>
        </w:rPr>
      </w:pPr>
      <w:r>
        <w:rPr>
          <w:rFonts w:ascii="Times New Roman" w:hAnsi="Times New Roman"/>
          <w:sz w:val="24"/>
        </w:rPr>
        <w:t>（1）P</w:t>
      </w:r>
      <w:r>
        <w:rPr>
          <w:rFonts w:ascii="Times New Roman" w:hAnsi="Times New Roman"/>
          <w:sz w:val="24"/>
          <w:vertAlign w:val="subscript"/>
        </w:rPr>
        <w:t>max</w:t>
      </w:r>
      <w:r>
        <w:rPr>
          <w:rFonts w:ascii="Times New Roman" w:hAnsi="Times New Roman"/>
          <w:sz w:val="24"/>
        </w:rPr>
        <w:t>及D</w:t>
      </w:r>
      <w:r>
        <w:rPr>
          <w:rFonts w:ascii="Times New Roman" w:hAnsi="Times New Roman"/>
          <w:sz w:val="24"/>
          <w:vertAlign w:val="subscript"/>
        </w:rPr>
        <w:t>10%</w:t>
      </w:r>
      <w:r>
        <w:rPr>
          <w:rFonts w:ascii="Times New Roman" w:hAnsi="Times New Roman"/>
          <w:sz w:val="24"/>
        </w:rPr>
        <w:t>的确定</w:t>
      </w:r>
    </w:p>
    <w:p>
      <w:pPr>
        <w:spacing w:line="480" w:lineRule="exact"/>
        <w:ind w:firstLine="480" w:firstLineChars="200"/>
        <w:rPr>
          <w:rFonts w:ascii="Times New Roman" w:hAnsi="Times New Roman"/>
          <w:sz w:val="24"/>
        </w:rPr>
      </w:pPr>
      <w:r>
        <w:rPr>
          <w:rFonts w:ascii="Times New Roman" w:hAnsi="Times New Roman"/>
          <w:sz w:val="24"/>
        </w:rPr>
        <w:t>根据《环境影响评价技术导则 大气环境》（HJ2.2-2018）中最大地面浓度占标率P</w:t>
      </w:r>
      <w:r>
        <w:rPr>
          <w:rFonts w:ascii="Times New Roman" w:hAnsi="Times New Roman"/>
          <w:sz w:val="24"/>
          <w:vertAlign w:val="subscript"/>
        </w:rPr>
        <w:t>i</w:t>
      </w:r>
      <w:r>
        <w:rPr>
          <w:rFonts w:ascii="Times New Roman" w:hAnsi="Times New Roman"/>
          <w:sz w:val="24"/>
        </w:rPr>
        <w:t>定义如下：</w:t>
      </w:r>
    </w:p>
    <w:p>
      <w:pPr>
        <w:jc w:val="center"/>
        <w:rPr>
          <w:rFonts w:ascii="Times New Roman" w:hAnsi="Times New Roman"/>
          <w:sz w:val="24"/>
        </w:rPr>
      </w:pPr>
      <w:r>
        <w:rPr>
          <w:rFonts w:ascii="Times New Roman" w:hAnsi="Times New Roman"/>
        </w:rPr>
        <w:drawing>
          <wp:inline distT="0" distB="0" distL="114300" distR="114300">
            <wp:extent cx="1145540" cy="427355"/>
            <wp:effectExtent l="0" t="0" r="6985" b="1270"/>
            <wp:docPr id="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
                    <pic:cNvPicPr>
                      <a:picLocks noChangeAspect="1"/>
                    </pic:cNvPicPr>
                  </pic:nvPicPr>
                  <pic:blipFill>
                    <a:blip r:embed="rId22"/>
                    <a:stretch>
                      <a:fillRect/>
                    </a:stretch>
                  </pic:blipFill>
                  <pic:spPr>
                    <a:xfrm>
                      <a:off x="0" y="0"/>
                      <a:ext cx="1145540" cy="427355"/>
                    </a:xfrm>
                    <a:prstGeom prst="rect">
                      <a:avLst/>
                    </a:prstGeom>
                    <a:noFill/>
                    <a:ln>
                      <a:noFill/>
                    </a:ln>
                  </pic:spPr>
                </pic:pic>
              </a:graphicData>
            </a:graphic>
          </wp:inline>
        </w:drawing>
      </w:r>
    </w:p>
    <w:p>
      <w:pPr>
        <w:pStyle w:val="477"/>
        <w:spacing w:line="480" w:lineRule="exact"/>
        <w:ind w:firstLine="480"/>
        <w:rPr>
          <w:rFonts w:cs="Times New Roman"/>
        </w:rPr>
      </w:pPr>
      <w:r>
        <w:rPr>
          <w:rFonts w:cs="Times New Roman"/>
        </w:rPr>
        <w:t>式中：P</w:t>
      </w:r>
      <w:r>
        <w:rPr>
          <w:rFonts w:cs="Times New Roman"/>
          <w:vertAlign w:val="subscript"/>
        </w:rPr>
        <w:t>i</w:t>
      </w:r>
      <w:r>
        <w:rPr>
          <w:rFonts w:cs="Times New Roman"/>
        </w:rPr>
        <w:t>—第i个污染物的最大地面空气质量浓度占标率，%；</w:t>
      </w:r>
    </w:p>
    <w:p>
      <w:pPr>
        <w:pStyle w:val="432"/>
        <w:spacing w:line="480" w:lineRule="exact"/>
        <w:ind w:firstLine="1200" w:firstLineChars="500"/>
        <w:rPr>
          <w:rFonts w:cs="Times New Roman"/>
        </w:rPr>
      </w:pPr>
      <w:r>
        <w:rPr>
          <w:rFonts w:cs="Times New Roman"/>
          <w:szCs w:val="24"/>
        </w:rPr>
        <w:t>C</w:t>
      </w:r>
      <w:r>
        <w:rPr>
          <w:rFonts w:cs="Times New Roman"/>
          <w:szCs w:val="24"/>
          <w:vertAlign w:val="subscript"/>
        </w:rPr>
        <w:t>i</w:t>
      </w:r>
      <w:r>
        <w:rPr>
          <w:rFonts w:cs="Times New Roman"/>
        </w:rPr>
        <w:t>—采用估算模式计算出的第i个污染物的最大1h地面空气质量浓度，μg/m</w:t>
      </w:r>
      <w:r>
        <w:rPr>
          <w:rFonts w:cs="Times New Roman"/>
          <w:vertAlign w:val="superscript"/>
        </w:rPr>
        <w:t>3</w:t>
      </w:r>
      <w:r>
        <w:rPr>
          <w:rFonts w:cs="Times New Roman"/>
        </w:rPr>
        <w:t>；</w:t>
      </w:r>
    </w:p>
    <w:p>
      <w:pPr>
        <w:pStyle w:val="420"/>
        <w:spacing w:line="480" w:lineRule="exact"/>
        <w:ind w:firstLine="1200" w:firstLineChars="500"/>
        <w:rPr>
          <w:rFonts w:cs="Times New Roman"/>
        </w:rPr>
      </w:pPr>
      <w:r>
        <w:rPr>
          <w:rFonts w:cs="Times New Roman"/>
        </w:rPr>
        <w:t>C</w:t>
      </w:r>
      <w:r>
        <w:rPr>
          <w:rFonts w:cs="Times New Roman"/>
          <w:vertAlign w:val="subscript"/>
        </w:rPr>
        <w:t>oi</w:t>
      </w:r>
      <w:r>
        <w:rPr>
          <w:rFonts w:cs="Times New Roman"/>
        </w:rPr>
        <w:t>—第i个污染物的环境空气质量浓度标准，μg/m</w:t>
      </w:r>
      <w:r>
        <w:rPr>
          <w:rFonts w:cs="Times New Roman"/>
          <w:vertAlign w:val="superscript"/>
        </w:rPr>
        <w:t>3</w:t>
      </w:r>
      <w:r>
        <w:rPr>
          <w:rFonts w:cs="Times New Roman"/>
        </w:rPr>
        <w:t>。一般选用GB3095中1h平均质量浓度的二级标准的浓度限值，如项目位于一类环境空气功能区，应选择相应的一级浓度限值；对该标准中未包含的无污染，使用评价标准确定的各评价因子1h平均质量浓度限值。对仅有8h平均质量浓度限值、日平均质量浓度限值或年平均质量限值的，可分别按2倍、3倍、6倍折算为1h平均质量浓度限值。</w:t>
      </w:r>
    </w:p>
    <w:p>
      <w:pPr>
        <w:spacing w:line="480" w:lineRule="exact"/>
        <w:ind w:firstLine="480" w:firstLineChars="200"/>
        <w:rPr>
          <w:rFonts w:ascii="Times New Roman" w:hAnsi="Times New Roman"/>
          <w:sz w:val="24"/>
        </w:rPr>
      </w:pPr>
      <w:r>
        <w:rPr>
          <w:rFonts w:ascii="Times New Roman" w:hAnsi="Times New Roman"/>
          <w:sz w:val="24"/>
        </w:rPr>
        <w:t>（2）评价等级判别</w:t>
      </w:r>
    </w:p>
    <w:p>
      <w:pPr>
        <w:spacing w:line="480" w:lineRule="exact"/>
        <w:ind w:firstLine="480" w:firstLineChars="200"/>
        <w:rPr>
          <w:rFonts w:ascii="Times New Roman" w:hAnsi="Times New Roman"/>
          <w:sz w:val="24"/>
        </w:rPr>
      </w:pPr>
      <w:r>
        <w:rPr>
          <w:rFonts w:ascii="Times New Roman" w:hAnsi="Times New Roman"/>
          <w:sz w:val="24"/>
        </w:rPr>
        <w:t>评价等级按表2.4-1的分级判据进行划分。</w:t>
      </w:r>
    </w:p>
    <w:p>
      <w:pPr>
        <w:spacing w:line="480" w:lineRule="exact"/>
        <w:jc w:val="center"/>
        <w:rPr>
          <w:rFonts w:ascii="Times New Roman" w:hAnsi="Times New Roman"/>
          <w:b/>
        </w:rPr>
      </w:pPr>
      <w:r>
        <w:rPr>
          <w:rFonts w:ascii="Times New Roman" w:hAnsi="Times New Roman"/>
          <w:b/>
        </w:rPr>
        <w:t>表2.4-1 环境空气影响评价工作等级</w:t>
      </w:r>
    </w:p>
    <w:tbl>
      <w:tblPr>
        <w:tblStyle w:val="77"/>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936"/>
        <w:gridCol w:w="459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36" w:type="dxa"/>
            <w:vAlign w:val="center"/>
          </w:tcPr>
          <w:p>
            <w:pPr>
              <w:pStyle w:val="420"/>
              <w:spacing w:line="280" w:lineRule="exact"/>
              <w:ind w:firstLine="0" w:firstLineChars="0"/>
              <w:jc w:val="center"/>
              <w:rPr>
                <w:rFonts w:cs="Times New Roman"/>
                <w:b/>
                <w:sz w:val="21"/>
                <w:szCs w:val="21"/>
              </w:rPr>
            </w:pPr>
            <w:r>
              <w:rPr>
                <w:rFonts w:cs="Times New Roman"/>
                <w:b/>
                <w:sz w:val="21"/>
                <w:szCs w:val="21"/>
              </w:rPr>
              <w:t>评价工作等级</w:t>
            </w:r>
          </w:p>
        </w:tc>
        <w:tc>
          <w:tcPr>
            <w:tcW w:w="4592" w:type="dxa"/>
            <w:vAlign w:val="center"/>
          </w:tcPr>
          <w:p>
            <w:pPr>
              <w:pStyle w:val="202"/>
              <w:keepNext/>
              <w:spacing w:before="0" w:after="0" w:line="280" w:lineRule="exact"/>
              <w:ind w:left="0" w:firstLine="0"/>
              <w:jc w:val="center"/>
              <w:rPr>
                <w:b/>
                <w:sz w:val="21"/>
                <w:szCs w:val="21"/>
                <w:lang w:val="en-GB"/>
              </w:rPr>
            </w:pPr>
            <w:r>
              <w:rPr>
                <w:b/>
                <w:sz w:val="21"/>
                <w:szCs w:val="21"/>
                <w:lang w:val="en-GB"/>
              </w:rPr>
              <w:t>评价工作分级判据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36" w:type="dxa"/>
            <w:vAlign w:val="center"/>
          </w:tcPr>
          <w:p>
            <w:pPr>
              <w:pStyle w:val="420"/>
              <w:spacing w:line="280" w:lineRule="exact"/>
              <w:ind w:firstLine="0" w:firstLineChars="0"/>
              <w:jc w:val="center"/>
              <w:rPr>
                <w:rFonts w:cs="Times New Roman"/>
                <w:sz w:val="21"/>
                <w:szCs w:val="21"/>
              </w:rPr>
            </w:pPr>
            <w:r>
              <w:rPr>
                <w:rFonts w:cs="Times New Roman"/>
                <w:sz w:val="21"/>
                <w:szCs w:val="21"/>
              </w:rPr>
              <w:t>一级评价</w:t>
            </w:r>
          </w:p>
        </w:tc>
        <w:tc>
          <w:tcPr>
            <w:tcW w:w="4592" w:type="dxa"/>
            <w:vAlign w:val="center"/>
          </w:tcPr>
          <w:p>
            <w:pPr>
              <w:pStyle w:val="202"/>
              <w:keepNext/>
              <w:spacing w:before="0" w:after="0" w:line="280" w:lineRule="exact"/>
              <w:ind w:left="0" w:firstLine="0"/>
              <w:jc w:val="center"/>
              <w:rPr>
                <w:sz w:val="21"/>
                <w:szCs w:val="21"/>
                <w:lang w:val="en-GB"/>
              </w:rPr>
            </w:pPr>
            <w:r>
              <w:rPr>
                <w:sz w:val="21"/>
                <w:szCs w:val="21"/>
                <w:lang w:val="en-GB"/>
              </w:rPr>
              <w:t>P</w:t>
            </w:r>
            <w:r>
              <w:rPr>
                <w:sz w:val="21"/>
                <w:szCs w:val="21"/>
                <w:vertAlign w:val="subscript"/>
                <w:lang w:val="en-GB"/>
              </w:rPr>
              <w:t>max</w:t>
            </w:r>
            <w:r>
              <w:rPr>
                <w:kern w:val="2"/>
              </w:rPr>
              <w:t>≥</w:t>
            </w:r>
            <w:r>
              <w:rPr>
                <w:sz w:val="21"/>
                <w:szCs w:val="21"/>
                <w:lang w:val="en-GB"/>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36" w:type="dxa"/>
            <w:vAlign w:val="center"/>
          </w:tcPr>
          <w:p>
            <w:pPr>
              <w:pStyle w:val="420"/>
              <w:spacing w:line="280" w:lineRule="exact"/>
              <w:ind w:firstLine="0" w:firstLineChars="0"/>
              <w:jc w:val="center"/>
              <w:rPr>
                <w:rFonts w:cs="Times New Roman"/>
                <w:sz w:val="21"/>
                <w:szCs w:val="21"/>
              </w:rPr>
            </w:pPr>
            <w:r>
              <w:rPr>
                <w:rFonts w:cs="Times New Roman"/>
                <w:sz w:val="21"/>
                <w:szCs w:val="21"/>
              </w:rPr>
              <w:t>二级评价</w:t>
            </w:r>
          </w:p>
        </w:tc>
        <w:tc>
          <w:tcPr>
            <w:tcW w:w="4592" w:type="dxa"/>
            <w:vAlign w:val="center"/>
          </w:tcPr>
          <w:p>
            <w:pPr>
              <w:pStyle w:val="202"/>
              <w:keepNext/>
              <w:spacing w:before="0" w:after="0" w:line="280" w:lineRule="exact"/>
              <w:ind w:left="0" w:firstLine="0"/>
              <w:jc w:val="center"/>
              <w:rPr>
                <w:sz w:val="21"/>
                <w:szCs w:val="21"/>
                <w:lang w:val="en-GB"/>
              </w:rPr>
            </w:pPr>
            <w:r>
              <w:rPr>
                <w:sz w:val="21"/>
                <w:szCs w:val="21"/>
                <w:lang w:val="en-GB"/>
              </w:rPr>
              <w:t>1%≤P</w:t>
            </w:r>
            <w:r>
              <w:rPr>
                <w:sz w:val="21"/>
                <w:szCs w:val="21"/>
                <w:vertAlign w:val="subscript"/>
                <w:lang w:val="en-GB"/>
              </w:rPr>
              <w:t>max</w:t>
            </w:r>
            <w:r>
              <w:rPr>
                <w:sz w:val="21"/>
                <w:szCs w:val="21"/>
                <w:lang w:val="en-GB"/>
              </w:rPr>
              <w:t>&lt;10%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36" w:type="dxa"/>
            <w:vAlign w:val="center"/>
          </w:tcPr>
          <w:p>
            <w:pPr>
              <w:pStyle w:val="420"/>
              <w:spacing w:line="280" w:lineRule="exact"/>
              <w:ind w:firstLine="0" w:firstLineChars="0"/>
              <w:jc w:val="center"/>
              <w:rPr>
                <w:rFonts w:cs="Times New Roman"/>
                <w:sz w:val="21"/>
                <w:szCs w:val="21"/>
              </w:rPr>
            </w:pPr>
            <w:r>
              <w:rPr>
                <w:rFonts w:cs="Times New Roman"/>
                <w:sz w:val="21"/>
                <w:szCs w:val="21"/>
              </w:rPr>
              <w:t>三级评价</w:t>
            </w:r>
          </w:p>
        </w:tc>
        <w:tc>
          <w:tcPr>
            <w:tcW w:w="4592" w:type="dxa"/>
            <w:vAlign w:val="center"/>
          </w:tcPr>
          <w:p>
            <w:pPr>
              <w:pStyle w:val="202"/>
              <w:keepNext/>
              <w:spacing w:before="0" w:after="0" w:line="280" w:lineRule="exact"/>
              <w:ind w:left="0" w:firstLine="0"/>
              <w:jc w:val="center"/>
              <w:rPr>
                <w:sz w:val="21"/>
                <w:szCs w:val="21"/>
                <w:lang w:val="en-GB"/>
              </w:rPr>
            </w:pPr>
            <w:r>
              <w:rPr>
                <w:sz w:val="21"/>
                <w:szCs w:val="21"/>
                <w:lang w:val="en-GB"/>
              </w:rPr>
              <w:t>P</w:t>
            </w:r>
            <w:r>
              <w:rPr>
                <w:sz w:val="21"/>
                <w:szCs w:val="21"/>
                <w:vertAlign w:val="subscript"/>
                <w:lang w:val="en-GB"/>
              </w:rPr>
              <w:t>max</w:t>
            </w:r>
            <w:r>
              <w:rPr>
                <w:sz w:val="21"/>
                <w:szCs w:val="21"/>
                <w:lang w:val="en-GB"/>
              </w:rPr>
              <w:t>&lt;1%</w:t>
            </w:r>
          </w:p>
        </w:tc>
      </w:tr>
    </w:tbl>
    <w:p>
      <w:pPr>
        <w:pStyle w:val="155"/>
        <w:ind w:firstLine="480"/>
      </w:pPr>
      <w:r>
        <w:t>（3）污染物评价标准</w:t>
      </w:r>
    </w:p>
    <w:p>
      <w:pPr>
        <w:pStyle w:val="400"/>
        <w:spacing w:before="0" w:after="0" w:line="480" w:lineRule="exact"/>
        <w:ind w:firstLine="480" w:firstLineChars="200"/>
        <w:rPr>
          <w:rFonts w:cs="Times New Roman"/>
        </w:rPr>
      </w:pPr>
      <w:r>
        <w:rPr>
          <w:rFonts w:cs="Times New Roman"/>
        </w:rPr>
        <w:t>本项目运营期污染物评价标准和来源见表2.4-2。</w:t>
      </w:r>
    </w:p>
    <w:p>
      <w:pPr>
        <w:pStyle w:val="155"/>
        <w:spacing w:line="480" w:lineRule="exact"/>
        <w:ind w:firstLine="0" w:firstLineChars="0"/>
        <w:jc w:val="center"/>
        <w:rPr>
          <w:b/>
          <w:kern w:val="0"/>
          <w:sz w:val="21"/>
          <w:szCs w:val="21"/>
        </w:rPr>
      </w:pPr>
      <w:r>
        <w:rPr>
          <w:b/>
          <w:kern w:val="0"/>
          <w:sz w:val="21"/>
          <w:szCs w:val="21"/>
        </w:rPr>
        <w:t>表2.4-2 污染物评价标准</w:t>
      </w:r>
    </w:p>
    <w:tbl>
      <w:tblPr>
        <w:tblStyle w:val="77"/>
        <w:tblW w:w="5000" w:type="pct"/>
        <w:tblInd w:w="108"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99"/>
        <w:gridCol w:w="1111"/>
        <w:gridCol w:w="1091"/>
        <w:gridCol w:w="1751"/>
        <w:gridCol w:w="327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96" w:type="dxa"/>
            <w:vAlign w:val="center"/>
          </w:tcPr>
          <w:p>
            <w:pPr>
              <w:spacing w:line="280" w:lineRule="atLeast"/>
              <w:jc w:val="center"/>
              <w:rPr>
                <w:rFonts w:ascii="Times New Roman" w:hAnsi="Times New Roman"/>
                <w:b/>
              </w:rPr>
            </w:pPr>
            <w:r>
              <w:rPr>
                <w:rFonts w:ascii="Times New Roman" w:hAnsi="Times New Roman"/>
                <w:b/>
              </w:rPr>
              <w:t>污染物名称</w:t>
            </w:r>
          </w:p>
        </w:tc>
        <w:tc>
          <w:tcPr>
            <w:tcW w:w="1109" w:type="dxa"/>
            <w:vAlign w:val="center"/>
          </w:tcPr>
          <w:p>
            <w:pPr>
              <w:spacing w:line="280" w:lineRule="atLeast"/>
              <w:jc w:val="center"/>
              <w:rPr>
                <w:rFonts w:ascii="Times New Roman" w:hAnsi="Times New Roman"/>
                <w:b/>
              </w:rPr>
            </w:pPr>
            <w:r>
              <w:rPr>
                <w:rFonts w:ascii="Times New Roman" w:hAnsi="Times New Roman"/>
                <w:b/>
              </w:rPr>
              <w:t>功能区</w:t>
            </w:r>
          </w:p>
        </w:tc>
        <w:tc>
          <w:tcPr>
            <w:tcW w:w="1088" w:type="dxa"/>
            <w:vAlign w:val="center"/>
          </w:tcPr>
          <w:p>
            <w:pPr>
              <w:spacing w:line="280" w:lineRule="atLeast"/>
              <w:jc w:val="center"/>
              <w:rPr>
                <w:rFonts w:ascii="Times New Roman" w:hAnsi="Times New Roman"/>
                <w:b/>
              </w:rPr>
            </w:pPr>
            <w:r>
              <w:rPr>
                <w:rFonts w:ascii="Times New Roman" w:hAnsi="Times New Roman"/>
                <w:b/>
              </w:rPr>
              <w:t>取值时间</w:t>
            </w:r>
          </w:p>
        </w:tc>
        <w:tc>
          <w:tcPr>
            <w:tcW w:w="1752" w:type="dxa"/>
            <w:vAlign w:val="center"/>
          </w:tcPr>
          <w:p>
            <w:pPr>
              <w:spacing w:line="280" w:lineRule="atLeast"/>
              <w:jc w:val="center"/>
              <w:rPr>
                <w:rFonts w:ascii="Times New Roman" w:hAnsi="Times New Roman"/>
                <w:b/>
              </w:rPr>
            </w:pPr>
            <w:bookmarkStart w:id="342" w:name="OLE_LINK4"/>
            <w:bookmarkStart w:id="343" w:name="OLE_LINK5"/>
            <w:r>
              <w:rPr>
                <w:rFonts w:ascii="Times New Roman" w:hAnsi="Times New Roman"/>
                <w:b/>
              </w:rPr>
              <w:t>标准值</w:t>
            </w:r>
            <w:bookmarkEnd w:id="342"/>
            <w:bookmarkEnd w:id="343"/>
            <w:bookmarkStart w:id="344" w:name="OLE_LINK14"/>
            <w:bookmarkStart w:id="345" w:name="OLE_LINK15"/>
            <w:r>
              <w:rPr>
                <w:rFonts w:ascii="Times New Roman" w:hAnsi="Times New Roman"/>
                <w:b/>
              </w:rPr>
              <w:t>（μg/m</w:t>
            </w:r>
            <w:r>
              <w:rPr>
                <w:rFonts w:ascii="Times New Roman" w:hAnsi="Times New Roman"/>
                <w:b/>
                <w:vertAlign w:val="superscript"/>
              </w:rPr>
              <w:t>3</w:t>
            </w:r>
            <w:bookmarkEnd w:id="344"/>
            <w:bookmarkEnd w:id="345"/>
            <w:r>
              <w:rPr>
                <w:rFonts w:ascii="Times New Roman" w:hAnsi="Times New Roman"/>
                <w:b/>
              </w:rPr>
              <w:t>）</w:t>
            </w:r>
          </w:p>
        </w:tc>
        <w:tc>
          <w:tcPr>
            <w:tcW w:w="3283" w:type="dxa"/>
            <w:vAlign w:val="center"/>
          </w:tcPr>
          <w:p>
            <w:pPr>
              <w:spacing w:line="280" w:lineRule="atLeast"/>
              <w:jc w:val="center"/>
              <w:rPr>
                <w:rFonts w:ascii="Times New Roman" w:hAnsi="Times New Roman"/>
                <w:b/>
              </w:rPr>
            </w:pPr>
            <w:r>
              <w:rPr>
                <w:rFonts w:ascii="Times New Roman" w:hAnsi="Times New Roman"/>
                <w:b/>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96" w:type="dxa"/>
            <w:vAlign w:val="center"/>
          </w:tcPr>
          <w:p>
            <w:pPr>
              <w:spacing w:line="280" w:lineRule="atLeast"/>
              <w:jc w:val="center"/>
              <w:rPr>
                <w:rFonts w:ascii="Times New Roman" w:hAnsi="Times New Roman"/>
              </w:rPr>
            </w:pPr>
            <w:r>
              <w:rPr>
                <w:rFonts w:ascii="Times New Roman" w:hAnsi="Times New Roman"/>
              </w:rPr>
              <w:t>PM</w:t>
            </w:r>
            <w:r>
              <w:rPr>
                <w:rFonts w:ascii="Times New Roman" w:hAnsi="Times New Roman"/>
                <w:vertAlign w:val="subscript"/>
              </w:rPr>
              <w:t>10</w:t>
            </w:r>
          </w:p>
        </w:tc>
        <w:tc>
          <w:tcPr>
            <w:tcW w:w="1109" w:type="dxa"/>
            <w:vAlign w:val="center"/>
          </w:tcPr>
          <w:p>
            <w:pPr>
              <w:spacing w:line="280" w:lineRule="atLeast"/>
              <w:jc w:val="center"/>
              <w:rPr>
                <w:rFonts w:ascii="Times New Roman" w:hAnsi="Times New Roman"/>
              </w:rPr>
            </w:pPr>
            <w:r>
              <w:rPr>
                <w:rFonts w:ascii="Times New Roman" w:hAnsi="Times New Roman"/>
              </w:rPr>
              <w:t>二类限区</w:t>
            </w:r>
          </w:p>
        </w:tc>
        <w:tc>
          <w:tcPr>
            <w:tcW w:w="1088" w:type="dxa"/>
            <w:vAlign w:val="center"/>
          </w:tcPr>
          <w:p>
            <w:pPr>
              <w:spacing w:line="280" w:lineRule="atLeast"/>
              <w:jc w:val="center"/>
              <w:rPr>
                <w:rFonts w:ascii="Times New Roman" w:hAnsi="Times New Roman"/>
              </w:rPr>
            </w:pPr>
            <w:r>
              <w:rPr>
                <w:rFonts w:ascii="Times New Roman" w:hAnsi="Times New Roman"/>
              </w:rPr>
              <w:t>日均</w:t>
            </w:r>
          </w:p>
        </w:tc>
        <w:tc>
          <w:tcPr>
            <w:tcW w:w="1752" w:type="dxa"/>
            <w:vAlign w:val="center"/>
          </w:tcPr>
          <w:p>
            <w:pPr>
              <w:spacing w:line="280" w:lineRule="atLeast"/>
              <w:jc w:val="center"/>
              <w:rPr>
                <w:rFonts w:ascii="Times New Roman" w:hAnsi="Times New Roman"/>
              </w:rPr>
            </w:pPr>
            <w:r>
              <w:rPr>
                <w:rFonts w:ascii="Times New Roman" w:hAnsi="Times New Roman"/>
              </w:rPr>
              <w:t>150.0</w:t>
            </w:r>
          </w:p>
        </w:tc>
        <w:tc>
          <w:tcPr>
            <w:tcW w:w="3283" w:type="dxa"/>
            <w:vMerge w:val="restart"/>
            <w:vAlign w:val="center"/>
          </w:tcPr>
          <w:p>
            <w:pPr>
              <w:spacing w:line="280" w:lineRule="atLeast"/>
              <w:jc w:val="center"/>
              <w:rPr>
                <w:rFonts w:ascii="Times New Roman" w:hAnsi="Times New Roman"/>
              </w:rPr>
            </w:pPr>
            <w:r>
              <w:rPr>
                <w:rFonts w:ascii="Times New Roman" w:hAnsi="Times New Roman"/>
              </w:rPr>
              <w:t>《环境空气质量标准》（GB3095-2012）二级标准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96" w:type="dxa"/>
            <w:vAlign w:val="center"/>
          </w:tcPr>
          <w:p>
            <w:pPr>
              <w:spacing w:line="280" w:lineRule="atLeast"/>
              <w:jc w:val="center"/>
              <w:rPr>
                <w:rFonts w:ascii="Times New Roman" w:hAnsi="Times New Roman"/>
              </w:rPr>
            </w:pPr>
            <w:r>
              <w:rPr>
                <w:rFonts w:ascii="Times New Roman" w:hAnsi="Times New Roman"/>
              </w:rPr>
              <w:t>SO</w:t>
            </w:r>
            <w:r>
              <w:rPr>
                <w:rFonts w:ascii="Times New Roman" w:hAnsi="Times New Roman"/>
                <w:vertAlign w:val="subscript"/>
              </w:rPr>
              <w:t>2</w:t>
            </w:r>
          </w:p>
        </w:tc>
        <w:tc>
          <w:tcPr>
            <w:tcW w:w="1109" w:type="dxa"/>
            <w:vAlign w:val="center"/>
          </w:tcPr>
          <w:p>
            <w:pPr>
              <w:spacing w:line="280" w:lineRule="atLeast"/>
              <w:jc w:val="center"/>
              <w:rPr>
                <w:rFonts w:ascii="Times New Roman" w:hAnsi="Times New Roman"/>
              </w:rPr>
            </w:pPr>
            <w:r>
              <w:rPr>
                <w:rFonts w:ascii="Times New Roman" w:hAnsi="Times New Roman"/>
              </w:rPr>
              <w:t>二类限区</w:t>
            </w:r>
          </w:p>
        </w:tc>
        <w:tc>
          <w:tcPr>
            <w:tcW w:w="1088" w:type="dxa"/>
            <w:vAlign w:val="center"/>
          </w:tcPr>
          <w:p>
            <w:pPr>
              <w:spacing w:line="280" w:lineRule="atLeast"/>
              <w:jc w:val="center"/>
              <w:rPr>
                <w:rFonts w:ascii="Times New Roman" w:hAnsi="Times New Roman"/>
              </w:rPr>
            </w:pPr>
            <w:r>
              <w:rPr>
                <w:rFonts w:ascii="Times New Roman" w:hAnsi="Times New Roman"/>
              </w:rPr>
              <w:t>一小时</w:t>
            </w:r>
          </w:p>
        </w:tc>
        <w:tc>
          <w:tcPr>
            <w:tcW w:w="1752" w:type="dxa"/>
            <w:vAlign w:val="center"/>
          </w:tcPr>
          <w:p>
            <w:pPr>
              <w:spacing w:line="280" w:lineRule="atLeast"/>
              <w:jc w:val="center"/>
              <w:rPr>
                <w:rFonts w:ascii="Times New Roman" w:hAnsi="Times New Roman"/>
              </w:rPr>
            </w:pPr>
            <w:r>
              <w:rPr>
                <w:rFonts w:ascii="Times New Roman" w:hAnsi="Times New Roman"/>
              </w:rPr>
              <w:t>500.0</w:t>
            </w:r>
          </w:p>
        </w:tc>
        <w:tc>
          <w:tcPr>
            <w:tcW w:w="3283" w:type="dxa"/>
            <w:vMerge w:val="continue"/>
            <w:vAlign w:val="center"/>
          </w:tcPr>
          <w:p>
            <w:pPr>
              <w:spacing w:line="280" w:lineRule="atLeast"/>
              <w:jc w:val="center"/>
              <w:rPr>
                <w:rFonts w:ascii="Times New Roman" w:hAnsi="Times New Roma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96" w:type="dxa"/>
            <w:vAlign w:val="center"/>
          </w:tcPr>
          <w:p>
            <w:pPr>
              <w:spacing w:line="280" w:lineRule="atLeast"/>
              <w:jc w:val="center"/>
              <w:rPr>
                <w:rFonts w:ascii="Times New Roman" w:hAnsi="Times New Roman"/>
              </w:rPr>
            </w:pPr>
            <w:r>
              <w:rPr>
                <w:rFonts w:ascii="Times New Roman" w:hAnsi="Times New Roman"/>
              </w:rPr>
              <w:t>NO</w:t>
            </w:r>
            <w:r>
              <w:rPr>
                <w:rFonts w:ascii="Times New Roman" w:hAnsi="Times New Roman"/>
                <w:vertAlign w:val="subscript"/>
              </w:rPr>
              <w:t>2</w:t>
            </w:r>
          </w:p>
        </w:tc>
        <w:tc>
          <w:tcPr>
            <w:tcW w:w="1109" w:type="dxa"/>
            <w:vAlign w:val="center"/>
          </w:tcPr>
          <w:p>
            <w:pPr>
              <w:spacing w:line="280" w:lineRule="atLeast"/>
              <w:jc w:val="center"/>
              <w:rPr>
                <w:rFonts w:ascii="Times New Roman" w:hAnsi="Times New Roman"/>
              </w:rPr>
            </w:pPr>
            <w:r>
              <w:rPr>
                <w:rFonts w:ascii="Times New Roman" w:hAnsi="Times New Roman"/>
              </w:rPr>
              <w:t>二类限区</w:t>
            </w:r>
          </w:p>
        </w:tc>
        <w:tc>
          <w:tcPr>
            <w:tcW w:w="1088" w:type="dxa"/>
            <w:vAlign w:val="center"/>
          </w:tcPr>
          <w:p>
            <w:pPr>
              <w:spacing w:line="280" w:lineRule="atLeast"/>
              <w:jc w:val="center"/>
              <w:rPr>
                <w:rFonts w:ascii="Times New Roman" w:hAnsi="Times New Roman"/>
              </w:rPr>
            </w:pPr>
            <w:r>
              <w:rPr>
                <w:rFonts w:ascii="Times New Roman" w:hAnsi="Times New Roman"/>
              </w:rPr>
              <w:t>一小时</w:t>
            </w:r>
          </w:p>
        </w:tc>
        <w:tc>
          <w:tcPr>
            <w:tcW w:w="1752" w:type="dxa"/>
            <w:vAlign w:val="center"/>
          </w:tcPr>
          <w:p>
            <w:pPr>
              <w:spacing w:line="280" w:lineRule="atLeast"/>
              <w:jc w:val="center"/>
              <w:rPr>
                <w:rFonts w:ascii="Times New Roman" w:hAnsi="Times New Roman"/>
              </w:rPr>
            </w:pPr>
            <w:r>
              <w:rPr>
                <w:rFonts w:ascii="Times New Roman" w:hAnsi="Times New Roman"/>
              </w:rPr>
              <w:t>200.0</w:t>
            </w:r>
          </w:p>
        </w:tc>
        <w:tc>
          <w:tcPr>
            <w:tcW w:w="3283" w:type="dxa"/>
            <w:vMerge w:val="continue"/>
            <w:vAlign w:val="center"/>
          </w:tcPr>
          <w:p>
            <w:pPr>
              <w:spacing w:line="280" w:lineRule="atLeast"/>
              <w:jc w:val="center"/>
              <w:rPr>
                <w:rFonts w:ascii="Times New Roman" w:hAnsi="Times New Roma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96" w:type="dxa"/>
            <w:vAlign w:val="center"/>
          </w:tcPr>
          <w:p>
            <w:pPr>
              <w:spacing w:line="280" w:lineRule="atLeast"/>
              <w:jc w:val="center"/>
              <w:rPr>
                <w:rFonts w:ascii="Times New Roman" w:hAnsi="Times New Roman"/>
              </w:rPr>
            </w:pPr>
            <w:r>
              <w:rPr>
                <w:rFonts w:ascii="Times New Roman" w:hAnsi="Times New Roman"/>
              </w:rPr>
              <w:t>非甲烷总烃</w:t>
            </w:r>
          </w:p>
        </w:tc>
        <w:tc>
          <w:tcPr>
            <w:tcW w:w="1109" w:type="dxa"/>
            <w:vAlign w:val="center"/>
          </w:tcPr>
          <w:p>
            <w:pPr>
              <w:spacing w:line="280" w:lineRule="atLeast"/>
              <w:jc w:val="center"/>
              <w:rPr>
                <w:rFonts w:ascii="Times New Roman" w:hAnsi="Times New Roman"/>
              </w:rPr>
            </w:pPr>
            <w:r>
              <w:rPr>
                <w:rFonts w:ascii="Times New Roman" w:hAnsi="Times New Roman"/>
              </w:rPr>
              <w:t>二类限区</w:t>
            </w:r>
          </w:p>
        </w:tc>
        <w:tc>
          <w:tcPr>
            <w:tcW w:w="1088" w:type="dxa"/>
            <w:vAlign w:val="center"/>
          </w:tcPr>
          <w:p>
            <w:pPr>
              <w:spacing w:line="280" w:lineRule="atLeast"/>
              <w:jc w:val="center"/>
              <w:rPr>
                <w:rFonts w:ascii="Times New Roman" w:hAnsi="Times New Roman"/>
              </w:rPr>
            </w:pPr>
            <w:r>
              <w:rPr>
                <w:rFonts w:ascii="Times New Roman" w:hAnsi="Times New Roman"/>
              </w:rPr>
              <w:t>一小时</w:t>
            </w:r>
          </w:p>
        </w:tc>
        <w:tc>
          <w:tcPr>
            <w:tcW w:w="1752" w:type="dxa"/>
            <w:vAlign w:val="center"/>
          </w:tcPr>
          <w:p>
            <w:pPr>
              <w:spacing w:line="280" w:lineRule="atLeast"/>
              <w:jc w:val="center"/>
              <w:rPr>
                <w:rFonts w:ascii="Times New Roman" w:hAnsi="Times New Roman"/>
              </w:rPr>
            </w:pPr>
            <w:r>
              <w:rPr>
                <w:rFonts w:ascii="Times New Roman" w:hAnsi="Times New Roman"/>
              </w:rPr>
              <w:t>2000.0</w:t>
            </w:r>
          </w:p>
        </w:tc>
        <w:tc>
          <w:tcPr>
            <w:tcW w:w="3283" w:type="dxa"/>
            <w:vAlign w:val="center"/>
          </w:tcPr>
          <w:p>
            <w:pPr>
              <w:spacing w:line="280" w:lineRule="atLeast"/>
              <w:jc w:val="center"/>
              <w:rPr>
                <w:rFonts w:ascii="Times New Roman" w:hAnsi="Times New Roman"/>
              </w:rPr>
            </w:pPr>
            <w:r>
              <w:rPr>
                <w:rFonts w:ascii="Times New Roman" w:hAnsi="Times New Roman"/>
              </w:rPr>
              <w:t>《大气污染物综合排放标准详解》（国家环境保护局科技标准司）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96" w:type="dxa"/>
            <w:vAlign w:val="center"/>
          </w:tcPr>
          <w:p>
            <w:pPr>
              <w:spacing w:line="280" w:lineRule="atLeast"/>
              <w:jc w:val="center"/>
              <w:rPr>
                <w:rFonts w:ascii="Times New Roman" w:hAnsi="Times New Roman"/>
              </w:rPr>
            </w:pPr>
            <w:r>
              <w:rPr>
                <w:rFonts w:ascii="Times New Roman" w:hAnsi="Times New Roman"/>
              </w:rPr>
              <w:t>TSP</w:t>
            </w:r>
          </w:p>
        </w:tc>
        <w:tc>
          <w:tcPr>
            <w:tcW w:w="1109" w:type="dxa"/>
            <w:vAlign w:val="center"/>
          </w:tcPr>
          <w:p>
            <w:pPr>
              <w:spacing w:line="280" w:lineRule="atLeast"/>
              <w:jc w:val="center"/>
              <w:rPr>
                <w:rFonts w:ascii="Times New Roman" w:hAnsi="Times New Roman"/>
              </w:rPr>
            </w:pPr>
            <w:r>
              <w:rPr>
                <w:rFonts w:ascii="Times New Roman" w:hAnsi="Times New Roman"/>
              </w:rPr>
              <w:t>二类限区</w:t>
            </w:r>
          </w:p>
        </w:tc>
        <w:tc>
          <w:tcPr>
            <w:tcW w:w="1088" w:type="dxa"/>
            <w:vAlign w:val="center"/>
          </w:tcPr>
          <w:p>
            <w:pPr>
              <w:spacing w:line="280" w:lineRule="atLeast"/>
              <w:jc w:val="center"/>
              <w:rPr>
                <w:rFonts w:ascii="Times New Roman" w:hAnsi="Times New Roman"/>
              </w:rPr>
            </w:pPr>
            <w:r>
              <w:rPr>
                <w:rFonts w:ascii="Times New Roman" w:hAnsi="Times New Roman"/>
              </w:rPr>
              <w:t>日均</w:t>
            </w:r>
          </w:p>
        </w:tc>
        <w:tc>
          <w:tcPr>
            <w:tcW w:w="1752" w:type="dxa"/>
            <w:vAlign w:val="center"/>
          </w:tcPr>
          <w:p>
            <w:pPr>
              <w:spacing w:line="280" w:lineRule="atLeast"/>
              <w:jc w:val="center"/>
              <w:rPr>
                <w:rFonts w:ascii="Times New Roman" w:hAnsi="Times New Roman"/>
              </w:rPr>
            </w:pPr>
            <w:r>
              <w:rPr>
                <w:rFonts w:ascii="Times New Roman" w:hAnsi="Times New Roman"/>
              </w:rPr>
              <w:t>300.0</w:t>
            </w:r>
          </w:p>
        </w:tc>
        <w:tc>
          <w:tcPr>
            <w:tcW w:w="3283" w:type="dxa"/>
            <w:vAlign w:val="center"/>
          </w:tcPr>
          <w:p>
            <w:pPr>
              <w:jc w:val="center"/>
              <w:rPr>
                <w:rFonts w:ascii="Times New Roman" w:hAnsi="Times New Roman"/>
              </w:rPr>
            </w:pPr>
            <w:r>
              <w:rPr>
                <w:rFonts w:ascii="Times New Roman" w:hAnsi="Times New Roman"/>
              </w:rPr>
              <w:t>《环境空气质量标准》（GB3095-2012）二级标准</w:t>
            </w:r>
          </w:p>
        </w:tc>
      </w:tr>
    </w:tbl>
    <w:p>
      <w:pPr>
        <w:pStyle w:val="400"/>
        <w:spacing w:before="0" w:after="0" w:line="480" w:lineRule="exact"/>
        <w:ind w:firstLine="0" w:firstLineChars="0"/>
        <w:rPr>
          <w:rFonts w:cs="Times New Roman"/>
          <w:shd w:val="clear" w:color="FFFFFF" w:fill="D9D9D9"/>
        </w:rPr>
      </w:pPr>
    </w:p>
    <w:p>
      <w:pPr>
        <w:pStyle w:val="400"/>
        <w:spacing w:before="0" w:after="0" w:line="480" w:lineRule="exact"/>
        <w:ind w:firstLine="480" w:firstLineChars="200"/>
        <w:rPr>
          <w:rFonts w:cs="Times New Roman"/>
          <w:shd w:val="clear" w:color="FFFFFF" w:fill="D9D9D9"/>
        </w:rPr>
        <w:sectPr>
          <w:pgSz w:w="11906" w:h="16838"/>
          <w:pgMar w:top="1440" w:right="1797" w:bottom="1440" w:left="1797" w:header="851" w:footer="850" w:gutter="0"/>
          <w:cols w:space="720" w:num="1"/>
          <w:docGrid w:linePitch="312" w:charSpace="0"/>
        </w:sectPr>
      </w:pPr>
    </w:p>
    <w:p>
      <w:pPr>
        <w:pStyle w:val="400"/>
        <w:spacing w:before="0" w:after="0" w:line="480" w:lineRule="exact"/>
        <w:ind w:firstLine="480" w:firstLineChars="200"/>
        <w:rPr>
          <w:rFonts w:cs="Times New Roman"/>
        </w:rPr>
      </w:pPr>
      <w:r>
        <w:rPr>
          <w:rFonts w:cs="Times New Roman"/>
        </w:rPr>
        <w:t>（4）污染源参数</w:t>
      </w:r>
    </w:p>
    <w:p>
      <w:pPr>
        <w:pStyle w:val="400"/>
        <w:spacing w:before="0" w:after="0" w:line="480" w:lineRule="exact"/>
        <w:ind w:firstLine="480" w:firstLineChars="200"/>
        <w:rPr>
          <w:rFonts w:cs="Times New Roman"/>
        </w:rPr>
      </w:pPr>
      <w:r>
        <w:rPr>
          <w:rFonts w:cs="Times New Roman"/>
        </w:rPr>
        <w:t>主要废气污染源排放参数见表2.4-3。</w:t>
      </w:r>
    </w:p>
    <w:p>
      <w:pPr>
        <w:spacing w:line="300" w:lineRule="exact"/>
        <w:ind w:firstLine="371" w:firstLineChars="176"/>
        <w:jc w:val="center"/>
        <w:rPr>
          <w:rFonts w:ascii="Times New Roman" w:hAnsi="Times New Roman"/>
          <w:b/>
        </w:rPr>
      </w:pPr>
      <w:bookmarkStart w:id="346" w:name="_Hlk116371100"/>
      <w:r>
        <w:rPr>
          <w:rFonts w:ascii="Times New Roman" w:hAnsi="Times New Roman"/>
          <w:b/>
        </w:rPr>
        <w:t>表2.4-3 正常工况下有组织污染源预测参数表</w:t>
      </w:r>
    </w:p>
    <w:tbl>
      <w:tblPr>
        <w:tblStyle w:val="77"/>
        <w:tblW w:w="5000" w:type="pct"/>
        <w:tblInd w:w="108"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75"/>
        <w:gridCol w:w="547"/>
        <w:gridCol w:w="1294"/>
        <w:gridCol w:w="1152"/>
        <w:gridCol w:w="1179"/>
        <w:gridCol w:w="944"/>
        <w:gridCol w:w="1076"/>
        <w:gridCol w:w="1076"/>
        <w:gridCol w:w="944"/>
        <w:gridCol w:w="1076"/>
        <w:gridCol w:w="680"/>
        <w:gridCol w:w="1208"/>
        <w:gridCol w:w="120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596" w:type="dxa"/>
            <w:gridSpan w:val="2"/>
            <w:vMerge w:val="restart"/>
            <w:vAlign w:val="center"/>
          </w:tcPr>
          <w:p>
            <w:pPr>
              <w:spacing w:line="280" w:lineRule="exact"/>
              <w:jc w:val="center"/>
              <w:rPr>
                <w:rFonts w:ascii="Times New Roman" w:hAnsi="Times New Roman"/>
                <w:b/>
              </w:rPr>
            </w:pPr>
            <w:r>
              <w:rPr>
                <w:rFonts w:ascii="Times New Roman" w:hAnsi="Times New Roman"/>
                <w:b/>
              </w:rPr>
              <w:t>污染源名称</w:t>
            </w:r>
          </w:p>
        </w:tc>
        <w:tc>
          <w:tcPr>
            <w:tcW w:w="2407" w:type="dxa"/>
            <w:gridSpan w:val="2"/>
            <w:vAlign w:val="center"/>
          </w:tcPr>
          <w:p>
            <w:pPr>
              <w:spacing w:line="280" w:lineRule="exact"/>
              <w:jc w:val="center"/>
              <w:rPr>
                <w:rFonts w:ascii="Times New Roman" w:hAnsi="Times New Roman"/>
                <w:b/>
              </w:rPr>
            </w:pPr>
            <w:r>
              <w:rPr>
                <w:rFonts w:ascii="Times New Roman" w:hAnsi="Times New Roman"/>
                <w:b/>
              </w:rPr>
              <w:t>排气筒底部中心坐标(</w:t>
            </w:r>
            <w:r>
              <w:rPr>
                <w:rFonts w:ascii="Times New Roman" w:hAnsi="Times New Roman"/>
                <w:b/>
                <w:vertAlign w:val="superscript"/>
              </w:rPr>
              <w:t>o</w:t>
            </w:r>
            <w:r>
              <w:rPr>
                <w:rFonts w:ascii="Times New Roman" w:hAnsi="Times New Roman"/>
                <w:b/>
              </w:rPr>
              <w:t>)</w:t>
            </w:r>
          </w:p>
        </w:tc>
        <w:tc>
          <w:tcPr>
            <w:tcW w:w="1160" w:type="dxa"/>
            <w:vMerge w:val="restart"/>
            <w:vAlign w:val="center"/>
          </w:tcPr>
          <w:p>
            <w:pPr>
              <w:spacing w:line="280" w:lineRule="exact"/>
              <w:jc w:val="center"/>
              <w:rPr>
                <w:rFonts w:ascii="Times New Roman" w:hAnsi="Times New Roman"/>
                <w:b/>
              </w:rPr>
            </w:pPr>
            <w:r>
              <w:rPr>
                <w:rFonts w:ascii="Times New Roman" w:hAnsi="Times New Roman"/>
                <w:b/>
              </w:rPr>
              <w:t>排气筒底部海拔高度/m</w:t>
            </w:r>
          </w:p>
        </w:tc>
        <w:tc>
          <w:tcPr>
            <w:tcW w:w="929" w:type="dxa"/>
            <w:vMerge w:val="restart"/>
            <w:vAlign w:val="center"/>
          </w:tcPr>
          <w:p>
            <w:pPr>
              <w:spacing w:line="280" w:lineRule="exact"/>
              <w:jc w:val="center"/>
              <w:rPr>
                <w:rFonts w:ascii="Times New Roman" w:hAnsi="Times New Roman"/>
                <w:b/>
              </w:rPr>
            </w:pPr>
            <w:r>
              <w:rPr>
                <w:rFonts w:ascii="Times New Roman" w:hAnsi="Times New Roman"/>
                <w:b/>
              </w:rPr>
              <w:t>排气筒</w:t>
            </w:r>
          </w:p>
          <w:p>
            <w:pPr>
              <w:spacing w:line="280" w:lineRule="exact"/>
              <w:jc w:val="center"/>
              <w:rPr>
                <w:rFonts w:ascii="Times New Roman" w:hAnsi="Times New Roman"/>
                <w:b/>
              </w:rPr>
            </w:pPr>
            <w:r>
              <w:rPr>
                <w:rFonts w:ascii="Times New Roman" w:hAnsi="Times New Roman"/>
                <w:b/>
              </w:rPr>
              <w:t>高度/m</w:t>
            </w:r>
          </w:p>
        </w:tc>
        <w:tc>
          <w:tcPr>
            <w:tcW w:w="1059" w:type="dxa"/>
            <w:vMerge w:val="restart"/>
            <w:vAlign w:val="center"/>
          </w:tcPr>
          <w:p>
            <w:pPr>
              <w:spacing w:line="280" w:lineRule="exact"/>
              <w:jc w:val="center"/>
              <w:rPr>
                <w:rFonts w:ascii="Times New Roman" w:hAnsi="Times New Roman"/>
                <w:b/>
              </w:rPr>
            </w:pPr>
            <w:r>
              <w:rPr>
                <w:rFonts w:ascii="Times New Roman" w:hAnsi="Times New Roman"/>
                <w:b/>
              </w:rPr>
              <w:t>排气筒出口内径/m</w:t>
            </w:r>
          </w:p>
        </w:tc>
        <w:tc>
          <w:tcPr>
            <w:tcW w:w="1059" w:type="dxa"/>
            <w:vMerge w:val="restart"/>
            <w:vAlign w:val="center"/>
          </w:tcPr>
          <w:p>
            <w:pPr>
              <w:spacing w:line="280" w:lineRule="exact"/>
              <w:jc w:val="center"/>
              <w:rPr>
                <w:rFonts w:ascii="Times New Roman" w:hAnsi="Times New Roman"/>
                <w:b/>
              </w:rPr>
            </w:pPr>
            <w:r>
              <w:rPr>
                <w:rFonts w:ascii="Times New Roman" w:hAnsi="Times New Roman"/>
                <w:b/>
              </w:rPr>
              <w:t>烟气流速/(m/s)</w:t>
            </w:r>
          </w:p>
        </w:tc>
        <w:tc>
          <w:tcPr>
            <w:tcW w:w="929" w:type="dxa"/>
            <w:vMerge w:val="restart"/>
            <w:vAlign w:val="center"/>
          </w:tcPr>
          <w:p>
            <w:pPr>
              <w:spacing w:line="280" w:lineRule="exact"/>
              <w:jc w:val="center"/>
              <w:rPr>
                <w:rFonts w:ascii="Times New Roman" w:hAnsi="Times New Roman"/>
                <w:b/>
              </w:rPr>
            </w:pPr>
            <w:r>
              <w:rPr>
                <w:rFonts w:ascii="Times New Roman" w:hAnsi="Times New Roman"/>
                <w:b/>
              </w:rPr>
              <w:t>烟气</w:t>
            </w:r>
          </w:p>
          <w:p>
            <w:pPr>
              <w:spacing w:line="280" w:lineRule="exact"/>
              <w:jc w:val="center"/>
              <w:rPr>
                <w:rFonts w:ascii="Times New Roman" w:hAnsi="Times New Roman"/>
                <w:b/>
              </w:rPr>
            </w:pPr>
            <w:r>
              <w:rPr>
                <w:rFonts w:ascii="Times New Roman" w:hAnsi="Times New Roman"/>
                <w:b/>
              </w:rPr>
              <w:t>温度/℃</w:t>
            </w:r>
          </w:p>
        </w:tc>
        <w:tc>
          <w:tcPr>
            <w:tcW w:w="1059" w:type="dxa"/>
            <w:vMerge w:val="restart"/>
            <w:vAlign w:val="center"/>
          </w:tcPr>
          <w:p>
            <w:pPr>
              <w:spacing w:line="280" w:lineRule="exact"/>
              <w:jc w:val="center"/>
              <w:rPr>
                <w:rFonts w:ascii="Times New Roman" w:hAnsi="Times New Roman"/>
                <w:b/>
              </w:rPr>
            </w:pPr>
            <w:r>
              <w:rPr>
                <w:rFonts w:ascii="Times New Roman" w:hAnsi="Times New Roman"/>
                <w:b/>
              </w:rPr>
              <w:t>年排放</w:t>
            </w:r>
          </w:p>
          <w:p>
            <w:pPr>
              <w:spacing w:line="280" w:lineRule="exact"/>
              <w:jc w:val="center"/>
              <w:rPr>
                <w:rFonts w:ascii="Times New Roman" w:hAnsi="Times New Roman"/>
                <w:b/>
              </w:rPr>
            </w:pPr>
            <w:r>
              <w:rPr>
                <w:rFonts w:ascii="Times New Roman" w:hAnsi="Times New Roman"/>
                <w:b/>
              </w:rPr>
              <w:t>小时数/h</w:t>
            </w:r>
          </w:p>
        </w:tc>
        <w:tc>
          <w:tcPr>
            <w:tcW w:w="669" w:type="dxa"/>
            <w:vMerge w:val="restart"/>
            <w:vAlign w:val="center"/>
          </w:tcPr>
          <w:p>
            <w:pPr>
              <w:spacing w:line="280" w:lineRule="exact"/>
              <w:jc w:val="center"/>
              <w:rPr>
                <w:rFonts w:ascii="Times New Roman" w:hAnsi="Times New Roman"/>
                <w:b/>
              </w:rPr>
            </w:pPr>
            <w:r>
              <w:rPr>
                <w:rFonts w:ascii="Times New Roman" w:hAnsi="Times New Roman"/>
                <w:b/>
              </w:rPr>
              <w:t>排放</w:t>
            </w:r>
          </w:p>
          <w:p>
            <w:pPr>
              <w:spacing w:line="280" w:lineRule="exact"/>
              <w:jc w:val="center"/>
              <w:rPr>
                <w:rFonts w:ascii="Times New Roman" w:hAnsi="Times New Roman"/>
                <w:b/>
              </w:rPr>
            </w:pPr>
            <w:r>
              <w:rPr>
                <w:rFonts w:ascii="Times New Roman" w:hAnsi="Times New Roman"/>
                <w:b/>
              </w:rPr>
              <w:t>工况</w:t>
            </w:r>
          </w:p>
        </w:tc>
        <w:tc>
          <w:tcPr>
            <w:tcW w:w="1189" w:type="dxa"/>
            <w:vMerge w:val="restart"/>
            <w:vAlign w:val="center"/>
          </w:tcPr>
          <w:p>
            <w:pPr>
              <w:spacing w:line="280" w:lineRule="exact"/>
              <w:jc w:val="center"/>
              <w:rPr>
                <w:rFonts w:ascii="Times New Roman" w:hAnsi="Times New Roman"/>
                <w:b/>
              </w:rPr>
            </w:pPr>
            <w:r>
              <w:rPr>
                <w:rFonts w:ascii="Times New Roman" w:hAnsi="Times New Roman"/>
                <w:b/>
              </w:rPr>
              <w:t>污染物名称</w:t>
            </w:r>
          </w:p>
        </w:tc>
        <w:tc>
          <w:tcPr>
            <w:tcW w:w="1188" w:type="dxa"/>
            <w:vMerge w:val="restart"/>
            <w:vAlign w:val="center"/>
          </w:tcPr>
          <w:p>
            <w:pPr>
              <w:spacing w:line="280" w:lineRule="exact"/>
              <w:jc w:val="center"/>
              <w:rPr>
                <w:rFonts w:ascii="Times New Roman" w:hAnsi="Times New Roman"/>
                <w:b/>
              </w:rPr>
            </w:pPr>
            <w:r>
              <w:rPr>
                <w:rFonts w:ascii="Times New Roman" w:hAnsi="Times New Roman"/>
                <w:b/>
              </w:rPr>
              <w:t>污染物排放速率/(kg/h)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596" w:type="dxa"/>
            <w:gridSpan w:val="2"/>
            <w:vMerge w:val="continue"/>
            <w:vAlign w:val="center"/>
          </w:tcPr>
          <w:p>
            <w:pPr>
              <w:spacing w:line="280" w:lineRule="exact"/>
              <w:jc w:val="center"/>
              <w:rPr>
                <w:rFonts w:ascii="Times New Roman" w:hAnsi="Times New Roman"/>
              </w:rPr>
            </w:pPr>
          </w:p>
        </w:tc>
        <w:tc>
          <w:tcPr>
            <w:tcW w:w="1273" w:type="dxa"/>
            <w:vAlign w:val="center"/>
          </w:tcPr>
          <w:p>
            <w:pPr>
              <w:spacing w:line="280" w:lineRule="exact"/>
              <w:jc w:val="center"/>
              <w:rPr>
                <w:rFonts w:ascii="Times New Roman" w:hAnsi="Times New Roman"/>
                <w:b/>
              </w:rPr>
            </w:pPr>
            <w:r>
              <w:rPr>
                <w:rFonts w:ascii="Times New Roman" w:hAnsi="Times New Roman"/>
                <w:b/>
              </w:rPr>
              <w:t>经度</w:t>
            </w:r>
          </w:p>
        </w:tc>
        <w:tc>
          <w:tcPr>
            <w:tcW w:w="1134" w:type="dxa"/>
            <w:vAlign w:val="center"/>
          </w:tcPr>
          <w:p>
            <w:pPr>
              <w:spacing w:line="280" w:lineRule="exact"/>
              <w:jc w:val="center"/>
              <w:rPr>
                <w:rFonts w:ascii="Times New Roman" w:hAnsi="Times New Roman"/>
                <w:b/>
              </w:rPr>
            </w:pPr>
            <w:r>
              <w:rPr>
                <w:rFonts w:ascii="Times New Roman" w:hAnsi="Times New Roman"/>
                <w:b/>
              </w:rPr>
              <w:t>纬度</w:t>
            </w:r>
          </w:p>
        </w:tc>
        <w:tc>
          <w:tcPr>
            <w:tcW w:w="1160" w:type="dxa"/>
            <w:vMerge w:val="continue"/>
            <w:vAlign w:val="center"/>
          </w:tcPr>
          <w:p>
            <w:pPr>
              <w:spacing w:line="280" w:lineRule="exact"/>
              <w:jc w:val="center"/>
              <w:rPr>
                <w:rFonts w:ascii="Times New Roman" w:hAnsi="Times New Roman"/>
              </w:rPr>
            </w:pPr>
          </w:p>
        </w:tc>
        <w:tc>
          <w:tcPr>
            <w:tcW w:w="929" w:type="dxa"/>
            <w:vMerge w:val="continue"/>
            <w:vAlign w:val="center"/>
          </w:tcPr>
          <w:p>
            <w:pPr>
              <w:spacing w:line="280" w:lineRule="exact"/>
              <w:jc w:val="center"/>
              <w:rPr>
                <w:rFonts w:ascii="Times New Roman" w:hAnsi="Times New Roman"/>
              </w:rPr>
            </w:pPr>
          </w:p>
        </w:tc>
        <w:tc>
          <w:tcPr>
            <w:tcW w:w="1059" w:type="dxa"/>
            <w:vMerge w:val="continue"/>
            <w:vAlign w:val="center"/>
          </w:tcPr>
          <w:p>
            <w:pPr>
              <w:spacing w:line="280" w:lineRule="exact"/>
              <w:jc w:val="center"/>
              <w:rPr>
                <w:rFonts w:ascii="Times New Roman" w:hAnsi="Times New Roman"/>
              </w:rPr>
            </w:pPr>
          </w:p>
        </w:tc>
        <w:tc>
          <w:tcPr>
            <w:tcW w:w="1059" w:type="dxa"/>
            <w:vMerge w:val="continue"/>
            <w:vAlign w:val="center"/>
          </w:tcPr>
          <w:p>
            <w:pPr>
              <w:spacing w:line="280" w:lineRule="exact"/>
              <w:jc w:val="center"/>
              <w:rPr>
                <w:rFonts w:ascii="Times New Roman" w:hAnsi="Times New Roman"/>
              </w:rPr>
            </w:pPr>
          </w:p>
        </w:tc>
        <w:tc>
          <w:tcPr>
            <w:tcW w:w="929" w:type="dxa"/>
            <w:vMerge w:val="continue"/>
            <w:vAlign w:val="center"/>
          </w:tcPr>
          <w:p>
            <w:pPr>
              <w:spacing w:line="280" w:lineRule="exact"/>
              <w:jc w:val="center"/>
              <w:rPr>
                <w:rFonts w:ascii="Times New Roman" w:hAnsi="Times New Roman"/>
              </w:rPr>
            </w:pPr>
          </w:p>
        </w:tc>
        <w:tc>
          <w:tcPr>
            <w:tcW w:w="1059" w:type="dxa"/>
            <w:vMerge w:val="continue"/>
            <w:vAlign w:val="center"/>
          </w:tcPr>
          <w:p>
            <w:pPr>
              <w:spacing w:line="280" w:lineRule="exact"/>
              <w:jc w:val="center"/>
              <w:rPr>
                <w:rFonts w:ascii="Times New Roman" w:hAnsi="Times New Roman"/>
              </w:rPr>
            </w:pPr>
          </w:p>
        </w:tc>
        <w:tc>
          <w:tcPr>
            <w:tcW w:w="669" w:type="dxa"/>
            <w:vMerge w:val="continue"/>
            <w:vAlign w:val="center"/>
          </w:tcPr>
          <w:p>
            <w:pPr>
              <w:spacing w:line="280" w:lineRule="exact"/>
              <w:jc w:val="center"/>
              <w:rPr>
                <w:rFonts w:ascii="Times New Roman" w:hAnsi="Times New Roman"/>
              </w:rPr>
            </w:pPr>
          </w:p>
        </w:tc>
        <w:tc>
          <w:tcPr>
            <w:tcW w:w="1189" w:type="dxa"/>
            <w:vMerge w:val="continue"/>
            <w:vAlign w:val="center"/>
          </w:tcPr>
          <w:p>
            <w:pPr>
              <w:spacing w:line="280" w:lineRule="exact"/>
              <w:jc w:val="center"/>
              <w:rPr>
                <w:rFonts w:ascii="Times New Roman" w:hAnsi="Times New Roman"/>
              </w:rPr>
            </w:pPr>
          </w:p>
        </w:tc>
        <w:tc>
          <w:tcPr>
            <w:tcW w:w="1188" w:type="dxa"/>
            <w:vMerge w:val="continue"/>
            <w:vAlign w:val="center"/>
          </w:tcPr>
          <w:p>
            <w:pPr>
              <w:spacing w:line="280" w:lineRule="exact"/>
              <w:jc w:val="center"/>
              <w:rPr>
                <w:rFonts w:ascii="Times New Roman" w:hAnsi="Times New Roma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58" w:type="dxa"/>
            <w:vMerge w:val="restart"/>
            <w:vAlign w:val="center"/>
          </w:tcPr>
          <w:p>
            <w:pPr>
              <w:spacing w:line="280" w:lineRule="exact"/>
              <w:jc w:val="center"/>
              <w:rPr>
                <w:rFonts w:ascii="Times New Roman" w:hAnsi="Times New Roman"/>
              </w:rPr>
            </w:pPr>
            <w:r>
              <w:rPr>
                <w:rFonts w:ascii="Times New Roman" w:hAnsi="Times New Roman"/>
              </w:rPr>
              <w:t>高温干热系统废气</w:t>
            </w:r>
          </w:p>
        </w:tc>
        <w:tc>
          <w:tcPr>
            <w:tcW w:w="538" w:type="dxa"/>
            <w:vMerge w:val="restart"/>
            <w:vAlign w:val="center"/>
          </w:tcPr>
          <w:p>
            <w:pPr>
              <w:spacing w:line="280" w:lineRule="exact"/>
              <w:jc w:val="center"/>
              <w:rPr>
                <w:rFonts w:ascii="Times New Roman" w:hAnsi="Times New Roman"/>
              </w:rPr>
            </w:pPr>
            <w:r>
              <w:rPr>
                <w:rFonts w:ascii="Times New Roman" w:hAnsi="Times New Roman"/>
              </w:rPr>
              <w:t>DA002</w:t>
            </w:r>
          </w:p>
        </w:tc>
        <w:tc>
          <w:tcPr>
            <w:tcW w:w="1273" w:type="dxa"/>
            <w:vMerge w:val="restart"/>
            <w:vAlign w:val="center"/>
          </w:tcPr>
          <w:p>
            <w:pPr>
              <w:spacing w:line="280" w:lineRule="exact"/>
              <w:jc w:val="center"/>
              <w:rPr>
                <w:rFonts w:ascii="Times New Roman" w:hAnsi="Times New Roman"/>
              </w:rPr>
            </w:pPr>
            <w:r>
              <w:rPr>
                <w:rFonts w:ascii="Times New Roman" w:hAnsi="Times New Roman"/>
              </w:rPr>
              <w:t>131.301442</w:t>
            </w:r>
          </w:p>
        </w:tc>
        <w:tc>
          <w:tcPr>
            <w:tcW w:w="1134" w:type="dxa"/>
            <w:vMerge w:val="restart"/>
            <w:vAlign w:val="center"/>
          </w:tcPr>
          <w:p>
            <w:pPr>
              <w:spacing w:line="280" w:lineRule="exact"/>
              <w:jc w:val="center"/>
              <w:rPr>
                <w:rFonts w:ascii="Times New Roman" w:hAnsi="Times New Roman"/>
              </w:rPr>
            </w:pPr>
            <w:r>
              <w:rPr>
                <w:rFonts w:ascii="Times New Roman" w:hAnsi="Times New Roman"/>
              </w:rPr>
              <w:t>46.633456</w:t>
            </w:r>
          </w:p>
        </w:tc>
        <w:tc>
          <w:tcPr>
            <w:tcW w:w="1160" w:type="dxa"/>
            <w:vMerge w:val="restart"/>
            <w:vAlign w:val="center"/>
          </w:tcPr>
          <w:p>
            <w:pPr>
              <w:spacing w:line="280" w:lineRule="exact"/>
              <w:jc w:val="center"/>
              <w:rPr>
                <w:rFonts w:ascii="Times New Roman" w:hAnsi="Times New Roman"/>
              </w:rPr>
            </w:pPr>
            <w:r>
              <w:rPr>
                <w:rFonts w:ascii="Times New Roman" w:hAnsi="Times New Roman"/>
              </w:rPr>
              <w:t>211</w:t>
            </w:r>
          </w:p>
        </w:tc>
        <w:tc>
          <w:tcPr>
            <w:tcW w:w="929" w:type="dxa"/>
            <w:vMerge w:val="restart"/>
            <w:vAlign w:val="center"/>
          </w:tcPr>
          <w:p>
            <w:pPr>
              <w:spacing w:line="280" w:lineRule="exact"/>
              <w:jc w:val="center"/>
              <w:rPr>
                <w:rFonts w:ascii="Times New Roman" w:hAnsi="Times New Roman"/>
              </w:rPr>
            </w:pPr>
            <w:r>
              <w:rPr>
                <w:rFonts w:ascii="Times New Roman" w:hAnsi="Times New Roman"/>
              </w:rPr>
              <w:t>15</w:t>
            </w:r>
          </w:p>
        </w:tc>
        <w:tc>
          <w:tcPr>
            <w:tcW w:w="1059" w:type="dxa"/>
            <w:vMerge w:val="restart"/>
            <w:vAlign w:val="center"/>
          </w:tcPr>
          <w:p>
            <w:pPr>
              <w:spacing w:line="280" w:lineRule="exact"/>
              <w:jc w:val="center"/>
              <w:rPr>
                <w:rFonts w:ascii="Times New Roman" w:hAnsi="Times New Roman"/>
              </w:rPr>
            </w:pPr>
            <w:r>
              <w:rPr>
                <w:rFonts w:ascii="Times New Roman" w:hAnsi="Times New Roman"/>
              </w:rPr>
              <w:t>0.5</w:t>
            </w:r>
          </w:p>
        </w:tc>
        <w:tc>
          <w:tcPr>
            <w:tcW w:w="1059" w:type="dxa"/>
            <w:vMerge w:val="restart"/>
            <w:vAlign w:val="center"/>
          </w:tcPr>
          <w:p>
            <w:pPr>
              <w:spacing w:line="280" w:lineRule="exact"/>
              <w:jc w:val="center"/>
              <w:rPr>
                <w:rFonts w:ascii="Times New Roman" w:hAnsi="Times New Roman"/>
              </w:rPr>
            </w:pPr>
            <w:r>
              <w:rPr>
                <w:rFonts w:ascii="Times New Roman" w:hAnsi="Times New Roman"/>
              </w:rPr>
              <w:t>10.87</w:t>
            </w:r>
          </w:p>
        </w:tc>
        <w:tc>
          <w:tcPr>
            <w:tcW w:w="929" w:type="dxa"/>
            <w:vMerge w:val="restart"/>
            <w:vAlign w:val="center"/>
          </w:tcPr>
          <w:p>
            <w:pPr>
              <w:spacing w:line="280" w:lineRule="exact"/>
              <w:jc w:val="center"/>
              <w:rPr>
                <w:rFonts w:ascii="Times New Roman" w:hAnsi="Times New Roman"/>
              </w:rPr>
            </w:pPr>
            <w:r>
              <w:rPr>
                <w:rFonts w:ascii="Times New Roman" w:hAnsi="Times New Roman"/>
              </w:rPr>
              <w:t>120</w:t>
            </w:r>
          </w:p>
        </w:tc>
        <w:tc>
          <w:tcPr>
            <w:tcW w:w="1059" w:type="dxa"/>
            <w:vMerge w:val="restart"/>
            <w:vAlign w:val="center"/>
          </w:tcPr>
          <w:p>
            <w:pPr>
              <w:spacing w:line="280" w:lineRule="exact"/>
              <w:jc w:val="center"/>
              <w:rPr>
                <w:rFonts w:ascii="Times New Roman" w:hAnsi="Times New Roman"/>
              </w:rPr>
            </w:pPr>
            <w:r>
              <w:rPr>
                <w:rFonts w:ascii="Times New Roman" w:hAnsi="Times New Roman"/>
              </w:rPr>
              <w:t>5840</w:t>
            </w:r>
          </w:p>
        </w:tc>
        <w:tc>
          <w:tcPr>
            <w:tcW w:w="669" w:type="dxa"/>
            <w:vMerge w:val="restart"/>
            <w:vAlign w:val="center"/>
          </w:tcPr>
          <w:p>
            <w:pPr>
              <w:spacing w:line="280" w:lineRule="exact"/>
              <w:jc w:val="center"/>
              <w:rPr>
                <w:rFonts w:ascii="Times New Roman" w:hAnsi="Times New Roman"/>
              </w:rPr>
            </w:pPr>
            <w:r>
              <w:rPr>
                <w:rFonts w:ascii="Times New Roman" w:hAnsi="Times New Roman"/>
              </w:rPr>
              <w:t>正常</w:t>
            </w:r>
          </w:p>
        </w:tc>
        <w:tc>
          <w:tcPr>
            <w:tcW w:w="1189" w:type="dxa"/>
            <w:vAlign w:val="center"/>
          </w:tcPr>
          <w:p>
            <w:pPr>
              <w:jc w:val="center"/>
              <w:rPr>
                <w:rFonts w:ascii="Times New Roman" w:hAnsi="Times New Roman"/>
              </w:rPr>
            </w:pPr>
            <w:r>
              <w:rPr>
                <w:rFonts w:ascii="Times New Roman" w:hAnsi="Times New Roman"/>
                <w:bCs/>
              </w:rPr>
              <w:t>NH</w:t>
            </w:r>
            <w:r>
              <w:rPr>
                <w:rFonts w:ascii="Times New Roman" w:hAnsi="Times New Roman"/>
                <w:bCs/>
                <w:vertAlign w:val="subscript"/>
              </w:rPr>
              <w:t>3</w:t>
            </w:r>
          </w:p>
        </w:tc>
        <w:tc>
          <w:tcPr>
            <w:tcW w:w="1188" w:type="dxa"/>
            <w:vAlign w:val="center"/>
          </w:tcPr>
          <w:p>
            <w:pPr>
              <w:spacing w:line="280" w:lineRule="exact"/>
              <w:jc w:val="center"/>
              <w:rPr>
                <w:rFonts w:ascii="Times New Roman" w:hAnsi="Times New Roman"/>
              </w:rPr>
            </w:pPr>
            <w:r>
              <w:rPr>
                <w:rFonts w:ascii="Times New Roman" w:hAnsi="Times New Roman"/>
                <w:kern w:val="2"/>
              </w:rPr>
              <w:t>0.054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58" w:type="dxa"/>
            <w:vMerge w:val="continue"/>
            <w:vAlign w:val="center"/>
          </w:tcPr>
          <w:p>
            <w:pPr>
              <w:spacing w:line="280" w:lineRule="exact"/>
              <w:jc w:val="center"/>
              <w:rPr>
                <w:rFonts w:ascii="Times New Roman" w:hAnsi="Times New Roman"/>
              </w:rPr>
            </w:pPr>
          </w:p>
        </w:tc>
        <w:tc>
          <w:tcPr>
            <w:tcW w:w="538" w:type="dxa"/>
            <w:vMerge w:val="continue"/>
            <w:vAlign w:val="center"/>
          </w:tcPr>
          <w:p>
            <w:pPr>
              <w:spacing w:line="280" w:lineRule="exact"/>
              <w:jc w:val="center"/>
              <w:rPr>
                <w:rFonts w:ascii="Times New Roman" w:hAnsi="Times New Roman"/>
              </w:rPr>
            </w:pPr>
          </w:p>
        </w:tc>
        <w:tc>
          <w:tcPr>
            <w:tcW w:w="1273" w:type="dxa"/>
            <w:vMerge w:val="continue"/>
            <w:vAlign w:val="center"/>
          </w:tcPr>
          <w:p>
            <w:pPr>
              <w:spacing w:line="280" w:lineRule="exact"/>
              <w:jc w:val="center"/>
              <w:rPr>
                <w:rFonts w:ascii="Times New Roman" w:hAnsi="Times New Roman"/>
              </w:rPr>
            </w:pPr>
          </w:p>
        </w:tc>
        <w:tc>
          <w:tcPr>
            <w:tcW w:w="1134" w:type="dxa"/>
            <w:vMerge w:val="continue"/>
            <w:vAlign w:val="center"/>
          </w:tcPr>
          <w:p>
            <w:pPr>
              <w:spacing w:line="280" w:lineRule="exact"/>
              <w:jc w:val="center"/>
              <w:rPr>
                <w:rFonts w:ascii="Times New Roman" w:hAnsi="Times New Roman"/>
              </w:rPr>
            </w:pPr>
          </w:p>
        </w:tc>
        <w:tc>
          <w:tcPr>
            <w:tcW w:w="1160" w:type="dxa"/>
            <w:vMerge w:val="continue"/>
            <w:vAlign w:val="center"/>
          </w:tcPr>
          <w:p>
            <w:pPr>
              <w:spacing w:line="280" w:lineRule="exact"/>
              <w:jc w:val="center"/>
              <w:rPr>
                <w:rFonts w:ascii="Times New Roman" w:hAnsi="Times New Roman"/>
              </w:rPr>
            </w:pPr>
          </w:p>
        </w:tc>
        <w:tc>
          <w:tcPr>
            <w:tcW w:w="929" w:type="dxa"/>
            <w:vMerge w:val="continue"/>
            <w:vAlign w:val="center"/>
          </w:tcPr>
          <w:p>
            <w:pPr>
              <w:spacing w:line="280" w:lineRule="exact"/>
              <w:jc w:val="center"/>
              <w:rPr>
                <w:rFonts w:ascii="Times New Roman" w:hAnsi="Times New Roman"/>
              </w:rPr>
            </w:pPr>
          </w:p>
        </w:tc>
        <w:tc>
          <w:tcPr>
            <w:tcW w:w="1059" w:type="dxa"/>
            <w:vMerge w:val="continue"/>
            <w:vAlign w:val="center"/>
          </w:tcPr>
          <w:p>
            <w:pPr>
              <w:spacing w:line="280" w:lineRule="exact"/>
              <w:jc w:val="center"/>
              <w:rPr>
                <w:rFonts w:ascii="Times New Roman" w:hAnsi="Times New Roman"/>
              </w:rPr>
            </w:pPr>
          </w:p>
        </w:tc>
        <w:tc>
          <w:tcPr>
            <w:tcW w:w="1059" w:type="dxa"/>
            <w:vMerge w:val="continue"/>
            <w:vAlign w:val="center"/>
          </w:tcPr>
          <w:p>
            <w:pPr>
              <w:spacing w:line="280" w:lineRule="exact"/>
              <w:jc w:val="center"/>
              <w:rPr>
                <w:rFonts w:ascii="Times New Roman" w:hAnsi="Times New Roman"/>
              </w:rPr>
            </w:pPr>
          </w:p>
        </w:tc>
        <w:tc>
          <w:tcPr>
            <w:tcW w:w="929" w:type="dxa"/>
            <w:vMerge w:val="continue"/>
            <w:vAlign w:val="center"/>
          </w:tcPr>
          <w:p>
            <w:pPr>
              <w:spacing w:line="280" w:lineRule="exact"/>
              <w:jc w:val="center"/>
              <w:rPr>
                <w:rFonts w:ascii="Times New Roman" w:hAnsi="Times New Roman"/>
              </w:rPr>
            </w:pPr>
          </w:p>
        </w:tc>
        <w:tc>
          <w:tcPr>
            <w:tcW w:w="1059" w:type="dxa"/>
            <w:vMerge w:val="continue"/>
            <w:vAlign w:val="center"/>
          </w:tcPr>
          <w:p>
            <w:pPr>
              <w:spacing w:line="280" w:lineRule="exact"/>
              <w:jc w:val="center"/>
              <w:rPr>
                <w:rFonts w:ascii="Times New Roman" w:hAnsi="Times New Roman"/>
              </w:rPr>
            </w:pPr>
          </w:p>
        </w:tc>
        <w:tc>
          <w:tcPr>
            <w:tcW w:w="669" w:type="dxa"/>
            <w:vMerge w:val="continue"/>
            <w:vAlign w:val="center"/>
          </w:tcPr>
          <w:p>
            <w:pPr>
              <w:spacing w:line="280" w:lineRule="exact"/>
              <w:jc w:val="center"/>
              <w:rPr>
                <w:rFonts w:ascii="Times New Roman" w:hAnsi="Times New Roman"/>
              </w:rPr>
            </w:pPr>
          </w:p>
        </w:tc>
        <w:tc>
          <w:tcPr>
            <w:tcW w:w="1189" w:type="dxa"/>
            <w:vAlign w:val="center"/>
          </w:tcPr>
          <w:p>
            <w:pPr>
              <w:jc w:val="center"/>
              <w:rPr>
                <w:rFonts w:ascii="Times New Roman" w:hAnsi="Times New Roman"/>
              </w:rPr>
            </w:pPr>
            <w:r>
              <w:rPr>
                <w:rFonts w:ascii="Times New Roman" w:hAnsi="Times New Roman"/>
                <w:bCs/>
              </w:rPr>
              <w:t>H</w:t>
            </w:r>
            <w:r>
              <w:rPr>
                <w:rFonts w:ascii="Times New Roman" w:hAnsi="Times New Roman"/>
                <w:bCs/>
                <w:vertAlign w:val="subscript"/>
              </w:rPr>
              <w:t>2</w:t>
            </w:r>
            <w:r>
              <w:rPr>
                <w:rFonts w:ascii="Times New Roman" w:hAnsi="Times New Roman"/>
                <w:bCs/>
              </w:rPr>
              <w:t>S</w:t>
            </w:r>
          </w:p>
        </w:tc>
        <w:tc>
          <w:tcPr>
            <w:tcW w:w="1188" w:type="dxa"/>
            <w:vAlign w:val="center"/>
          </w:tcPr>
          <w:p>
            <w:pPr>
              <w:spacing w:line="280" w:lineRule="exact"/>
              <w:jc w:val="center"/>
              <w:rPr>
                <w:rFonts w:ascii="Times New Roman" w:hAnsi="Times New Roman"/>
              </w:rPr>
            </w:pPr>
            <w:r>
              <w:rPr>
                <w:rFonts w:ascii="Times New Roman" w:hAnsi="Times New Roman"/>
                <w:kern w:val="2"/>
              </w:rPr>
              <w:t>0.0058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0" w:hRule="atLeast"/>
        </w:trPr>
        <w:tc>
          <w:tcPr>
            <w:tcW w:w="1058" w:type="dxa"/>
            <w:vMerge w:val="continue"/>
            <w:vAlign w:val="center"/>
          </w:tcPr>
          <w:p>
            <w:pPr>
              <w:spacing w:line="280" w:lineRule="exact"/>
              <w:jc w:val="center"/>
              <w:rPr>
                <w:rFonts w:ascii="Times New Roman" w:hAnsi="Times New Roman"/>
              </w:rPr>
            </w:pPr>
          </w:p>
        </w:tc>
        <w:tc>
          <w:tcPr>
            <w:tcW w:w="538" w:type="dxa"/>
            <w:vMerge w:val="continue"/>
            <w:vAlign w:val="center"/>
          </w:tcPr>
          <w:p>
            <w:pPr>
              <w:spacing w:line="280" w:lineRule="exact"/>
              <w:jc w:val="center"/>
              <w:rPr>
                <w:rFonts w:ascii="Times New Roman" w:hAnsi="Times New Roman"/>
              </w:rPr>
            </w:pPr>
          </w:p>
        </w:tc>
        <w:tc>
          <w:tcPr>
            <w:tcW w:w="1273" w:type="dxa"/>
            <w:vMerge w:val="continue"/>
            <w:vAlign w:val="center"/>
          </w:tcPr>
          <w:p>
            <w:pPr>
              <w:spacing w:line="280" w:lineRule="exact"/>
              <w:jc w:val="center"/>
              <w:rPr>
                <w:rFonts w:ascii="Times New Roman" w:hAnsi="Times New Roman"/>
              </w:rPr>
            </w:pPr>
          </w:p>
        </w:tc>
        <w:tc>
          <w:tcPr>
            <w:tcW w:w="1134" w:type="dxa"/>
            <w:vMerge w:val="continue"/>
            <w:vAlign w:val="center"/>
          </w:tcPr>
          <w:p>
            <w:pPr>
              <w:spacing w:line="280" w:lineRule="exact"/>
              <w:jc w:val="center"/>
              <w:rPr>
                <w:rFonts w:ascii="Times New Roman" w:hAnsi="Times New Roman"/>
              </w:rPr>
            </w:pPr>
          </w:p>
        </w:tc>
        <w:tc>
          <w:tcPr>
            <w:tcW w:w="1160" w:type="dxa"/>
            <w:vMerge w:val="continue"/>
            <w:vAlign w:val="center"/>
          </w:tcPr>
          <w:p>
            <w:pPr>
              <w:spacing w:line="280" w:lineRule="exact"/>
              <w:jc w:val="center"/>
              <w:rPr>
                <w:rFonts w:ascii="Times New Roman" w:hAnsi="Times New Roman"/>
              </w:rPr>
            </w:pPr>
          </w:p>
        </w:tc>
        <w:tc>
          <w:tcPr>
            <w:tcW w:w="929" w:type="dxa"/>
            <w:vMerge w:val="continue"/>
            <w:vAlign w:val="center"/>
          </w:tcPr>
          <w:p>
            <w:pPr>
              <w:spacing w:line="280" w:lineRule="exact"/>
              <w:jc w:val="center"/>
              <w:rPr>
                <w:rFonts w:ascii="Times New Roman" w:hAnsi="Times New Roman"/>
              </w:rPr>
            </w:pPr>
          </w:p>
        </w:tc>
        <w:tc>
          <w:tcPr>
            <w:tcW w:w="1059" w:type="dxa"/>
            <w:vMerge w:val="continue"/>
            <w:vAlign w:val="center"/>
          </w:tcPr>
          <w:p>
            <w:pPr>
              <w:spacing w:line="280" w:lineRule="exact"/>
              <w:jc w:val="center"/>
              <w:rPr>
                <w:rFonts w:ascii="Times New Roman" w:hAnsi="Times New Roman"/>
              </w:rPr>
            </w:pPr>
          </w:p>
        </w:tc>
        <w:tc>
          <w:tcPr>
            <w:tcW w:w="1059" w:type="dxa"/>
            <w:vMerge w:val="continue"/>
            <w:vAlign w:val="center"/>
          </w:tcPr>
          <w:p>
            <w:pPr>
              <w:spacing w:line="280" w:lineRule="exact"/>
              <w:jc w:val="center"/>
              <w:rPr>
                <w:rFonts w:ascii="Times New Roman" w:hAnsi="Times New Roman"/>
              </w:rPr>
            </w:pPr>
          </w:p>
        </w:tc>
        <w:tc>
          <w:tcPr>
            <w:tcW w:w="929" w:type="dxa"/>
            <w:vMerge w:val="continue"/>
            <w:vAlign w:val="center"/>
          </w:tcPr>
          <w:p>
            <w:pPr>
              <w:spacing w:line="280" w:lineRule="exact"/>
              <w:jc w:val="center"/>
              <w:rPr>
                <w:rFonts w:ascii="Times New Roman" w:hAnsi="Times New Roman"/>
              </w:rPr>
            </w:pPr>
          </w:p>
        </w:tc>
        <w:tc>
          <w:tcPr>
            <w:tcW w:w="1059" w:type="dxa"/>
            <w:vMerge w:val="continue"/>
            <w:vAlign w:val="center"/>
          </w:tcPr>
          <w:p>
            <w:pPr>
              <w:spacing w:line="280" w:lineRule="exact"/>
              <w:jc w:val="center"/>
              <w:rPr>
                <w:rFonts w:ascii="Times New Roman" w:hAnsi="Times New Roman"/>
              </w:rPr>
            </w:pPr>
          </w:p>
        </w:tc>
        <w:tc>
          <w:tcPr>
            <w:tcW w:w="669" w:type="dxa"/>
            <w:vMerge w:val="continue"/>
            <w:vAlign w:val="center"/>
          </w:tcPr>
          <w:p>
            <w:pPr>
              <w:spacing w:line="280" w:lineRule="exact"/>
              <w:jc w:val="center"/>
              <w:rPr>
                <w:rFonts w:ascii="Times New Roman" w:hAnsi="Times New Roman"/>
              </w:rPr>
            </w:pPr>
          </w:p>
        </w:tc>
        <w:tc>
          <w:tcPr>
            <w:tcW w:w="1189" w:type="dxa"/>
            <w:vAlign w:val="center"/>
          </w:tcPr>
          <w:p>
            <w:pPr>
              <w:spacing w:line="280" w:lineRule="exact"/>
              <w:jc w:val="center"/>
              <w:rPr>
                <w:rFonts w:ascii="Times New Roman" w:hAnsi="Times New Roman"/>
              </w:rPr>
            </w:pPr>
            <w:r>
              <w:rPr>
                <w:rFonts w:ascii="Times New Roman" w:hAnsi="Times New Roman"/>
                <w:bCs/>
              </w:rPr>
              <w:t>非甲烷总烃</w:t>
            </w:r>
          </w:p>
        </w:tc>
        <w:tc>
          <w:tcPr>
            <w:tcW w:w="1188" w:type="dxa"/>
            <w:vAlign w:val="center"/>
          </w:tcPr>
          <w:p>
            <w:pPr>
              <w:spacing w:line="280" w:lineRule="exact"/>
              <w:jc w:val="center"/>
              <w:rPr>
                <w:rFonts w:ascii="Times New Roman" w:hAnsi="Times New Roman"/>
              </w:rPr>
            </w:pPr>
            <w:r>
              <w:rPr>
                <w:rFonts w:ascii="Times New Roman" w:hAnsi="Times New Roman"/>
                <w:kern w:val="2"/>
              </w:rPr>
              <w:t>0.0017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 w:hRule="atLeast"/>
        </w:trPr>
        <w:tc>
          <w:tcPr>
            <w:tcW w:w="1058" w:type="dxa"/>
            <w:vMerge w:val="continue"/>
            <w:vAlign w:val="center"/>
          </w:tcPr>
          <w:p>
            <w:pPr>
              <w:spacing w:line="280" w:lineRule="exact"/>
              <w:jc w:val="center"/>
              <w:rPr>
                <w:rFonts w:ascii="Times New Roman" w:hAnsi="Times New Roman"/>
              </w:rPr>
            </w:pPr>
          </w:p>
        </w:tc>
        <w:tc>
          <w:tcPr>
            <w:tcW w:w="538" w:type="dxa"/>
            <w:vMerge w:val="continue"/>
            <w:vAlign w:val="center"/>
          </w:tcPr>
          <w:p>
            <w:pPr>
              <w:spacing w:line="280" w:lineRule="exact"/>
              <w:jc w:val="center"/>
              <w:rPr>
                <w:rFonts w:ascii="Times New Roman" w:hAnsi="Times New Roman"/>
              </w:rPr>
            </w:pPr>
          </w:p>
        </w:tc>
        <w:tc>
          <w:tcPr>
            <w:tcW w:w="1273" w:type="dxa"/>
            <w:vMerge w:val="continue"/>
            <w:vAlign w:val="center"/>
          </w:tcPr>
          <w:p>
            <w:pPr>
              <w:spacing w:line="280" w:lineRule="exact"/>
              <w:jc w:val="center"/>
              <w:rPr>
                <w:rFonts w:ascii="Times New Roman" w:hAnsi="Times New Roman"/>
              </w:rPr>
            </w:pPr>
          </w:p>
        </w:tc>
        <w:tc>
          <w:tcPr>
            <w:tcW w:w="1134" w:type="dxa"/>
            <w:vMerge w:val="continue"/>
            <w:vAlign w:val="center"/>
          </w:tcPr>
          <w:p>
            <w:pPr>
              <w:spacing w:line="280" w:lineRule="exact"/>
              <w:jc w:val="center"/>
              <w:rPr>
                <w:rFonts w:ascii="Times New Roman" w:hAnsi="Times New Roman"/>
              </w:rPr>
            </w:pPr>
          </w:p>
        </w:tc>
        <w:tc>
          <w:tcPr>
            <w:tcW w:w="1160" w:type="dxa"/>
            <w:vMerge w:val="continue"/>
            <w:vAlign w:val="center"/>
          </w:tcPr>
          <w:p>
            <w:pPr>
              <w:spacing w:line="280" w:lineRule="exact"/>
              <w:jc w:val="center"/>
              <w:rPr>
                <w:rFonts w:ascii="Times New Roman" w:hAnsi="Times New Roman"/>
              </w:rPr>
            </w:pPr>
          </w:p>
        </w:tc>
        <w:tc>
          <w:tcPr>
            <w:tcW w:w="929" w:type="dxa"/>
            <w:vMerge w:val="continue"/>
            <w:vAlign w:val="center"/>
          </w:tcPr>
          <w:p>
            <w:pPr>
              <w:spacing w:line="280" w:lineRule="exact"/>
              <w:jc w:val="center"/>
              <w:rPr>
                <w:rFonts w:ascii="Times New Roman" w:hAnsi="Times New Roman"/>
              </w:rPr>
            </w:pPr>
          </w:p>
        </w:tc>
        <w:tc>
          <w:tcPr>
            <w:tcW w:w="1059" w:type="dxa"/>
            <w:vMerge w:val="continue"/>
            <w:vAlign w:val="center"/>
          </w:tcPr>
          <w:p>
            <w:pPr>
              <w:spacing w:line="280" w:lineRule="exact"/>
              <w:jc w:val="center"/>
              <w:rPr>
                <w:rFonts w:ascii="Times New Roman" w:hAnsi="Times New Roman"/>
              </w:rPr>
            </w:pPr>
          </w:p>
        </w:tc>
        <w:tc>
          <w:tcPr>
            <w:tcW w:w="1059" w:type="dxa"/>
            <w:vMerge w:val="continue"/>
            <w:vAlign w:val="center"/>
          </w:tcPr>
          <w:p>
            <w:pPr>
              <w:spacing w:line="280" w:lineRule="exact"/>
              <w:jc w:val="center"/>
              <w:rPr>
                <w:rFonts w:ascii="Times New Roman" w:hAnsi="Times New Roman"/>
              </w:rPr>
            </w:pPr>
          </w:p>
        </w:tc>
        <w:tc>
          <w:tcPr>
            <w:tcW w:w="929" w:type="dxa"/>
            <w:vMerge w:val="continue"/>
            <w:vAlign w:val="center"/>
          </w:tcPr>
          <w:p>
            <w:pPr>
              <w:spacing w:line="280" w:lineRule="exact"/>
              <w:jc w:val="center"/>
              <w:rPr>
                <w:rFonts w:ascii="Times New Roman" w:hAnsi="Times New Roman"/>
              </w:rPr>
            </w:pPr>
          </w:p>
        </w:tc>
        <w:tc>
          <w:tcPr>
            <w:tcW w:w="1059" w:type="dxa"/>
            <w:vMerge w:val="continue"/>
            <w:vAlign w:val="center"/>
          </w:tcPr>
          <w:p>
            <w:pPr>
              <w:spacing w:line="280" w:lineRule="exact"/>
              <w:jc w:val="center"/>
              <w:rPr>
                <w:rFonts w:ascii="Times New Roman" w:hAnsi="Times New Roman"/>
              </w:rPr>
            </w:pPr>
          </w:p>
        </w:tc>
        <w:tc>
          <w:tcPr>
            <w:tcW w:w="669" w:type="dxa"/>
            <w:vMerge w:val="continue"/>
            <w:vAlign w:val="center"/>
          </w:tcPr>
          <w:p>
            <w:pPr>
              <w:spacing w:line="280" w:lineRule="exact"/>
              <w:jc w:val="center"/>
              <w:rPr>
                <w:rFonts w:ascii="Times New Roman" w:hAnsi="Times New Roman"/>
              </w:rPr>
            </w:pPr>
          </w:p>
        </w:tc>
        <w:tc>
          <w:tcPr>
            <w:tcW w:w="1189" w:type="dxa"/>
            <w:vAlign w:val="center"/>
          </w:tcPr>
          <w:p>
            <w:pPr>
              <w:spacing w:line="280" w:lineRule="exact"/>
              <w:jc w:val="center"/>
              <w:rPr>
                <w:rFonts w:ascii="Times New Roman" w:hAnsi="Times New Roman"/>
                <w:bCs/>
              </w:rPr>
            </w:pPr>
            <w:r>
              <w:rPr>
                <w:rFonts w:hint="eastAsia" w:ascii="Times New Roman" w:hAnsi="Times New Roman"/>
                <w:bCs/>
              </w:rPr>
              <w:t>P</w:t>
            </w:r>
            <w:r>
              <w:rPr>
                <w:rFonts w:ascii="Times New Roman" w:hAnsi="Times New Roman"/>
                <w:bCs/>
              </w:rPr>
              <w:t>M10</w:t>
            </w:r>
          </w:p>
        </w:tc>
        <w:tc>
          <w:tcPr>
            <w:tcW w:w="1188" w:type="dxa"/>
            <w:vAlign w:val="center"/>
          </w:tcPr>
          <w:p>
            <w:pPr>
              <w:spacing w:line="280" w:lineRule="exact"/>
              <w:jc w:val="center"/>
              <w:rPr>
                <w:rFonts w:ascii="Times New Roman" w:hAnsi="Times New Roman"/>
                <w:bCs/>
                <w:kern w:val="2"/>
              </w:rPr>
            </w:pPr>
            <w:r>
              <w:rPr>
                <w:rFonts w:ascii="Times New Roman" w:hAnsi="Times New Roman"/>
                <w:kern w:val="2"/>
              </w:rPr>
              <w:t>0.0529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 w:hRule="atLeast"/>
        </w:trPr>
        <w:tc>
          <w:tcPr>
            <w:tcW w:w="1058" w:type="dxa"/>
            <w:vMerge w:val="continue"/>
            <w:vAlign w:val="center"/>
          </w:tcPr>
          <w:p>
            <w:pPr>
              <w:spacing w:line="280" w:lineRule="exact"/>
              <w:jc w:val="center"/>
              <w:rPr>
                <w:rFonts w:ascii="Times New Roman" w:hAnsi="Times New Roman"/>
              </w:rPr>
            </w:pPr>
          </w:p>
        </w:tc>
        <w:tc>
          <w:tcPr>
            <w:tcW w:w="538" w:type="dxa"/>
            <w:vMerge w:val="continue"/>
            <w:vAlign w:val="center"/>
          </w:tcPr>
          <w:p>
            <w:pPr>
              <w:spacing w:line="280" w:lineRule="exact"/>
              <w:jc w:val="center"/>
              <w:rPr>
                <w:rFonts w:ascii="Times New Roman" w:hAnsi="Times New Roman"/>
              </w:rPr>
            </w:pPr>
          </w:p>
        </w:tc>
        <w:tc>
          <w:tcPr>
            <w:tcW w:w="1273" w:type="dxa"/>
            <w:vMerge w:val="continue"/>
            <w:vAlign w:val="center"/>
          </w:tcPr>
          <w:p>
            <w:pPr>
              <w:spacing w:line="280" w:lineRule="exact"/>
              <w:jc w:val="center"/>
              <w:rPr>
                <w:rFonts w:ascii="Times New Roman" w:hAnsi="Times New Roman"/>
              </w:rPr>
            </w:pPr>
          </w:p>
        </w:tc>
        <w:tc>
          <w:tcPr>
            <w:tcW w:w="1134" w:type="dxa"/>
            <w:vMerge w:val="continue"/>
            <w:vAlign w:val="center"/>
          </w:tcPr>
          <w:p>
            <w:pPr>
              <w:spacing w:line="280" w:lineRule="exact"/>
              <w:jc w:val="center"/>
              <w:rPr>
                <w:rFonts w:ascii="Times New Roman" w:hAnsi="Times New Roman"/>
              </w:rPr>
            </w:pPr>
          </w:p>
        </w:tc>
        <w:tc>
          <w:tcPr>
            <w:tcW w:w="1160" w:type="dxa"/>
            <w:vMerge w:val="continue"/>
            <w:vAlign w:val="center"/>
          </w:tcPr>
          <w:p>
            <w:pPr>
              <w:spacing w:line="280" w:lineRule="exact"/>
              <w:jc w:val="center"/>
              <w:rPr>
                <w:rFonts w:ascii="Times New Roman" w:hAnsi="Times New Roman"/>
              </w:rPr>
            </w:pPr>
          </w:p>
        </w:tc>
        <w:tc>
          <w:tcPr>
            <w:tcW w:w="929" w:type="dxa"/>
            <w:vMerge w:val="continue"/>
            <w:vAlign w:val="center"/>
          </w:tcPr>
          <w:p>
            <w:pPr>
              <w:spacing w:line="280" w:lineRule="exact"/>
              <w:jc w:val="center"/>
              <w:rPr>
                <w:rFonts w:ascii="Times New Roman" w:hAnsi="Times New Roman"/>
              </w:rPr>
            </w:pPr>
          </w:p>
        </w:tc>
        <w:tc>
          <w:tcPr>
            <w:tcW w:w="1059" w:type="dxa"/>
            <w:vMerge w:val="continue"/>
            <w:vAlign w:val="center"/>
          </w:tcPr>
          <w:p>
            <w:pPr>
              <w:spacing w:line="280" w:lineRule="exact"/>
              <w:jc w:val="center"/>
              <w:rPr>
                <w:rFonts w:ascii="Times New Roman" w:hAnsi="Times New Roman"/>
              </w:rPr>
            </w:pPr>
          </w:p>
        </w:tc>
        <w:tc>
          <w:tcPr>
            <w:tcW w:w="1059" w:type="dxa"/>
            <w:vMerge w:val="continue"/>
            <w:vAlign w:val="center"/>
          </w:tcPr>
          <w:p>
            <w:pPr>
              <w:spacing w:line="280" w:lineRule="exact"/>
              <w:jc w:val="center"/>
              <w:rPr>
                <w:rFonts w:ascii="Times New Roman" w:hAnsi="Times New Roman"/>
              </w:rPr>
            </w:pPr>
          </w:p>
        </w:tc>
        <w:tc>
          <w:tcPr>
            <w:tcW w:w="929" w:type="dxa"/>
            <w:vMerge w:val="continue"/>
            <w:vAlign w:val="center"/>
          </w:tcPr>
          <w:p>
            <w:pPr>
              <w:spacing w:line="280" w:lineRule="exact"/>
              <w:jc w:val="center"/>
              <w:rPr>
                <w:rFonts w:ascii="Times New Roman" w:hAnsi="Times New Roman"/>
              </w:rPr>
            </w:pPr>
          </w:p>
        </w:tc>
        <w:tc>
          <w:tcPr>
            <w:tcW w:w="1059" w:type="dxa"/>
            <w:vMerge w:val="continue"/>
            <w:vAlign w:val="center"/>
          </w:tcPr>
          <w:p>
            <w:pPr>
              <w:spacing w:line="280" w:lineRule="exact"/>
              <w:jc w:val="center"/>
              <w:rPr>
                <w:rFonts w:ascii="Times New Roman" w:hAnsi="Times New Roman"/>
              </w:rPr>
            </w:pPr>
          </w:p>
        </w:tc>
        <w:tc>
          <w:tcPr>
            <w:tcW w:w="669" w:type="dxa"/>
            <w:vMerge w:val="continue"/>
            <w:vAlign w:val="center"/>
          </w:tcPr>
          <w:p>
            <w:pPr>
              <w:spacing w:line="280" w:lineRule="exact"/>
              <w:jc w:val="center"/>
              <w:rPr>
                <w:rFonts w:ascii="Times New Roman" w:hAnsi="Times New Roman"/>
              </w:rPr>
            </w:pPr>
          </w:p>
        </w:tc>
        <w:tc>
          <w:tcPr>
            <w:tcW w:w="1189" w:type="dxa"/>
            <w:vAlign w:val="center"/>
          </w:tcPr>
          <w:p>
            <w:pPr>
              <w:spacing w:line="280" w:lineRule="exact"/>
              <w:jc w:val="center"/>
              <w:rPr>
                <w:rFonts w:ascii="Times New Roman" w:hAnsi="Times New Roman"/>
                <w:bCs/>
              </w:rPr>
            </w:pPr>
            <w:r>
              <w:rPr>
                <w:rFonts w:ascii="Times New Roman" w:hAnsi="Times New Roman"/>
                <w:kern w:val="2"/>
              </w:rPr>
              <w:t>SO</w:t>
            </w:r>
            <w:r>
              <w:rPr>
                <w:rFonts w:ascii="Times New Roman" w:hAnsi="Times New Roman"/>
                <w:kern w:val="2"/>
                <w:vertAlign w:val="subscript"/>
              </w:rPr>
              <w:t>2</w:t>
            </w:r>
          </w:p>
        </w:tc>
        <w:tc>
          <w:tcPr>
            <w:tcW w:w="1188" w:type="dxa"/>
            <w:vAlign w:val="center"/>
          </w:tcPr>
          <w:p>
            <w:pPr>
              <w:spacing w:line="280" w:lineRule="exact"/>
              <w:jc w:val="center"/>
              <w:rPr>
                <w:rFonts w:ascii="Times New Roman" w:hAnsi="Times New Roman"/>
                <w:kern w:val="2"/>
              </w:rPr>
            </w:pPr>
            <w:r>
              <w:rPr>
                <w:rFonts w:ascii="Times New Roman" w:hAnsi="Times New Roman"/>
              </w:rPr>
              <w:t>0.000096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 w:hRule="atLeast"/>
        </w:trPr>
        <w:tc>
          <w:tcPr>
            <w:tcW w:w="1058" w:type="dxa"/>
            <w:vMerge w:val="continue"/>
            <w:vAlign w:val="center"/>
          </w:tcPr>
          <w:p>
            <w:pPr>
              <w:spacing w:line="280" w:lineRule="exact"/>
              <w:jc w:val="center"/>
              <w:rPr>
                <w:rFonts w:ascii="Times New Roman" w:hAnsi="Times New Roman"/>
              </w:rPr>
            </w:pPr>
          </w:p>
        </w:tc>
        <w:tc>
          <w:tcPr>
            <w:tcW w:w="538" w:type="dxa"/>
            <w:vMerge w:val="continue"/>
            <w:vAlign w:val="center"/>
          </w:tcPr>
          <w:p>
            <w:pPr>
              <w:spacing w:line="280" w:lineRule="exact"/>
              <w:jc w:val="center"/>
              <w:rPr>
                <w:rFonts w:ascii="Times New Roman" w:hAnsi="Times New Roman"/>
              </w:rPr>
            </w:pPr>
          </w:p>
        </w:tc>
        <w:tc>
          <w:tcPr>
            <w:tcW w:w="1273" w:type="dxa"/>
            <w:vMerge w:val="continue"/>
            <w:vAlign w:val="center"/>
          </w:tcPr>
          <w:p>
            <w:pPr>
              <w:spacing w:line="280" w:lineRule="exact"/>
              <w:jc w:val="center"/>
              <w:rPr>
                <w:rFonts w:ascii="Times New Roman" w:hAnsi="Times New Roman"/>
              </w:rPr>
            </w:pPr>
          </w:p>
        </w:tc>
        <w:tc>
          <w:tcPr>
            <w:tcW w:w="1134" w:type="dxa"/>
            <w:vMerge w:val="continue"/>
            <w:vAlign w:val="center"/>
          </w:tcPr>
          <w:p>
            <w:pPr>
              <w:spacing w:line="280" w:lineRule="exact"/>
              <w:jc w:val="center"/>
              <w:rPr>
                <w:rFonts w:ascii="Times New Roman" w:hAnsi="Times New Roman"/>
              </w:rPr>
            </w:pPr>
          </w:p>
        </w:tc>
        <w:tc>
          <w:tcPr>
            <w:tcW w:w="1160" w:type="dxa"/>
            <w:vMerge w:val="continue"/>
            <w:vAlign w:val="center"/>
          </w:tcPr>
          <w:p>
            <w:pPr>
              <w:spacing w:line="280" w:lineRule="exact"/>
              <w:jc w:val="center"/>
              <w:rPr>
                <w:rFonts w:ascii="Times New Roman" w:hAnsi="Times New Roman"/>
              </w:rPr>
            </w:pPr>
          </w:p>
        </w:tc>
        <w:tc>
          <w:tcPr>
            <w:tcW w:w="929" w:type="dxa"/>
            <w:vMerge w:val="continue"/>
            <w:vAlign w:val="center"/>
          </w:tcPr>
          <w:p>
            <w:pPr>
              <w:spacing w:line="280" w:lineRule="exact"/>
              <w:jc w:val="center"/>
              <w:rPr>
                <w:rFonts w:ascii="Times New Roman" w:hAnsi="Times New Roman"/>
              </w:rPr>
            </w:pPr>
          </w:p>
        </w:tc>
        <w:tc>
          <w:tcPr>
            <w:tcW w:w="1059" w:type="dxa"/>
            <w:vMerge w:val="continue"/>
            <w:vAlign w:val="center"/>
          </w:tcPr>
          <w:p>
            <w:pPr>
              <w:spacing w:line="280" w:lineRule="exact"/>
              <w:jc w:val="center"/>
              <w:rPr>
                <w:rFonts w:ascii="Times New Roman" w:hAnsi="Times New Roman"/>
              </w:rPr>
            </w:pPr>
          </w:p>
        </w:tc>
        <w:tc>
          <w:tcPr>
            <w:tcW w:w="1059" w:type="dxa"/>
            <w:vMerge w:val="continue"/>
            <w:vAlign w:val="center"/>
          </w:tcPr>
          <w:p>
            <w:pPr>
              <w:spacing w:line="280" w:lineRule="exact"/>
              <w:jc w:val="center"/>
              <w:rPr>
                <w:rFonts w:ascii="Times New Roman" w:hAnsi="Times New Roman"/>
              </w:rPr>
            </w:pPr>
          </w:p>
        </w:tc>
        <w:tc>
          <w:tcPr>
            <w:tcW w:w="929" w:type="dxa"/>
            <w:vMerge w:val="continue"/>
            <w:vAlign w:val="center"/>
          </w:tcPr>
          <w:p>
            <w:pPr>
              <w:spacing w:line="280" w:lineRule="exact"/>
              <w:jc w:val="center"/>
              <w:rPr>
                <w:rFonts w:ascii="Times New Roman" w:hAnsi="Times New Roman"/>
              </w:rPr>
            </w:pPr>
          </w:p>
        </w:tc>
        <w:tc>
          <w:tcPr>
            <w:tcW w:w="1059" w:type="dxa"/>
            <w:vMerge w:val="continue"/>
            <w:vAlign w:val="center"/>
          </w:tcPr>
          <w:p>
            <w:pPr>
              <w:spacing w:line="280" w:lineRule="exact"/>
              <w:jc w:val="center"/>
              <w:rPr>
                <w:rFonts w:ascii="Times New Roman" w:hAnsi="Times New Roman"/>
              </w:rPr>
            </w:pPr>
          </w:p>
        </w:tc>
        <w:tc>
          <w:tcPr>
            <w:tcW w:w="669" w:type="dxa"/>
            <w:vMerge w:val="continue"/>
            <w:vAlign w:val="center"/>
          </w:tcPr>
          <w:p>
            <w:pPr>
              <w:spacing w:line="280" w:lineRule="exact"/>
              <w:jc w:val="center"/>
              <w:rPr>
                <w:rFonts w:ascii="Times New Roman" w:hAnsi="Times New Roman"/>
              </w:rPr>
            </w:pPr>
          </w:p>
        </w:tc>
        <w:tc>
          <w:tcPr>
            <w:tcW w:w="1189" w:type="dxa"/>
            <w:vAlign w:val="center"/>
          </w:tcPr>
          <w:p>
            <w:pPr>
              <w:spacing w:line="280" w:lineRule="exact"/>
              <w:jc w:val="center"/>
              <w:rPr>
                <w:rFonts w:ascii="Times New Roman" w:hAnsi="Times New Roman"/>
                <w:bCs/>
              </w:rPr>
            </w:pPr>
            <w:r>
              <w:rPr>
                <w:rFonts w:ascii="Times New Roman" w:hAnsi="Times New Roman"/>
                <w:kern w:val="2"/>
              </w:rPr>
              <w:t>NO</w:t>
            </w:r>
            <w:r>
              <w:rPr>
                <w:rFonts w:ascii="Times New Roman" w:hAnsi="Times New Roman"/>
                <w:kern w:val="2"/>
                <w:vertAlign w:val="subscript"/>
              </w:rPr>
              <w:t>2</w:t>
            </w:r>
          </w:p>
        </w:tc>
        <w:tc>
          <w:tcPr>
            <w:tcW w:w="1188" w:type="dxa"/>
            <w:vAlign w:val="center"/>
          </w:tcPr>
          <w:p>
            <w:pPr>
              <w:spacing w:line="280" w:lineRule="exact"/>
              <w:jc w:val="center"/>
              <w:rPr>
                <w:rFonts w:ascii="Times New Roman" w:hAnsi="Times New Roman"/>
                <w:kern w:val="2"/>
              </w:rPr>
            </w:pPr>
            <w:r>
              <w:rPr>
                <w:rFonts w:ascii="Times New Roman" w:hAnsi="Times New Roman"/>
              </w:rPr>
              <w:t>0.0023</w:t>
            </w:r>
          </w:p>
        </w:tc>
      </w:tr>
    </w:tbl>
    <w:p>
      <w:pPr>
        <w:spacing w:line="300" w:lineRule="exact"/>
        <w:ind w:firstLine="371" w:firstLineChars="176"/>
        <w:rPr>
          <w:rFonts w:ascii="Times New Roman" w:hAnsi="Times New Roman"/>
          <w:b/>
        </w:rPr>
      </w:pPr>
      <w:r>
        <w:rPr>
          <w:rFonts w:ascii="Times New Roman" w:hAnsi="Times New Roman"/>
          <w:b/>
        </w:rPr>
        <w:t>注：NO</w:t>
      </w:r>
      <w:r>
        <w:rPr>
          <w:rFonts w:ascii="Times New Roman" w:hAnsi="Times New Roman"/>
          <w:b/>
          <w:vertAlign w:val="subscript"/>
        </w:rPr>
        <w:t>x</w:t>
      </w:r>
      <w:r>
        <w:rPr>
          <w:rFonts w:ascii="Times New Roman" w:hAnsi="Times New Roman"/>
          <w:b/>
        </w:rPr>
        <w:t>和NO</w:t>
      </w:r>
      <w:r>
        <w:rPr>
          <w:rFonts w:ascii="Times New Roman" w:hAnsi="Times New Roman"/>
          <w:b/>
          <w:vertAlign w:val="subscript"/>
        </w:rPr>
        <w:t>2</w:t>
      </w:r>
      <w:r>
        <w:rPr>
          <w:rFonts w:ascii="Times New Roman" w:hAnsi="Times New Roman"/>
          <w:b/>
        </w:rPr>
        <w:t>的转化按0.9计。</w:t>
      </w:r>
    </w:p>
    <w:bookmarkEnd w:id="346"/>
    <w:p>
      <w:pPr>
        <w:pStyle w:val="400"/>
        <w:spacing w:before="0" w:after="0" w:line="480" w:lineRule="exact"/>
        <w:ind w:firstLine="0" w:firstLineChars="0"/>
        <w:rPr>
          <w:rFonts w:cs="Times New Roman"/>
        </w:rPr>
        <w:sectPr>
          <w:pgSz w:w="16838" w:h="11906" w:orient="landscape"/>
          <w:pgMar w:top="1440" w:right="1797" w:bottom="1440" w:left="1797" w:header="851" w:footer="850" w:gutter="0"/>
          <w:cols w:space="720" w:num="1"/>
          <w:docGrid w:linePitch="312" w:charSpace="0"/>
        </w:sectPr>
      </w:pPr>
    </w:p>
    <w:p>
      <w:pPr>
        <w:pStyle w:val="155"/>
        <w:spacing w:line="480" w:lineRule="exact"/>
        <w:ind w:firstLine="480"/>
      </w:pPr>
      <w:r>
        <w:t>（5）项目参数</w:t>
      </w:r>
    </w:p>
    <w:p>
      <w:p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估算模式所用参数见表2.4-4。</w:t>
      </w:r>
    </w:p>
    <w:p>
      <w:pPr>
        <w:adjustRightInd w:val="0"/>
        <w:snapToGrid w:val="0"/>
        <w:spacing w:line="480" w:lineRule="exact"/>
        <w:jc w:val="center"/>
        <w:rPr>
          <w:rFonts w:ascii="Times New Roman" w:hAnsi="Times New Roman"/>
          <w:b/>
        </w:rPr>
      </w:pPr>
      <w:r>
        <w:rPr>
          <w:rFonts w:ascii="Times New Roman" w:hAnsi="Times New Roman"/>
          <w:b/>
        </w:rPr>
        <w:t>表2.4-4 估算模型参数表</w:t>
      </w:r>
    </w:p>
    <w:tbl>
      <w:tblPr>
        <w:tblStyle w:val="7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53"/>
        <w:gridCol w:w="1469"/>
        <w:gridCol w:w="1243"/>
        <w:gridCol w:w="456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595" w:type="pct"/>
            <w:gridSpan w:val="2"/>
            <w:tcBorders>
              <w:top w:val="single" w:color="auto" w:sz="12" w:space="0"/>
            </w:tcBorders>
            <w:vAlign w:val="center"/>
          </w:tcPr>
          <w:p>
            <w:pPr>
              <w:jc w:val="center"/>
              <w:rPr>
                <w:rFonts w:ascii="Times New Roman" w:hAnsi="Times New Roman"/>
                <w:b/>
              </w:rPr>
            </w:pPr>
            <w:r>
              <w:rPr>
                <w:rFonts w:ascii="Times New Roman" w:hAnsi="Times New Roman"/>
                <w:b/>
              </w:rPr>
              <w:t>参数</w:t>
            </w:r>
          </w:p>
        </w:tc>
        <w:tc>
          <w:tcPr>
            <w:tcW w:w="729" w:type="pct"/>
            <w:tcBorders>
              <w:top w:val="single" w:color="auto" w:sz="12" w:space="0"/>
            </w:tcBorders>
            <w:vAlign w:val="center"/>
          </w:tcPr>
          <w:p>
            <w:pPr>
              <w:jc w:val="center"/>
              <w:rPr>
                <w:rFonts w:ascii="Times New Roman" w:hAnsi="Times New Roman"/>
                <w:b/>
              </w:rPr>
            </w:pPr>
            <w:r>
              <w:rPr>
                <w:rFonts w:ascii="Times New Roman" w:hAnsi="Times New Roman"/>
                <w:b/>
              </w:rPr>
              <w:t>取值</w:t>
            </w:r>
          </w:p>
        </w:tc>
        <w:tc>
          <w:tcPr>
            <w:tcW w:w="2674" w:type="pct"/>
            <w:tcBorders>
              <w:top w:val="single" w:color="auto" w:sz="12" w:space="0"/>
            </w:tcBorders>
            <w:vAlign w:val="center"/>
          </w:tcPr>
          <w:p>
            <w:pPr>
              <w:jc w:val="center"/>
              <w:rPr>
                <w:rFonts w:ascii="Times New Roman" w:hAnsi="Times New Roman"/>
                <w:b/>
              </w:rPr>
            </w:pPr>
            <w:r>
              <w:rPr>
                <w:rFonts w:ascii="Times New Roman" w:hAnsi="Times New Roman"/>
                <w:b/>
              </w:rPr>
              <w:t>参数选取依据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34" w:type="pct"/>
            <w:vMerge w:val="restart"/>
            <w:vAlign w:val="center"/>
          </w:tcPr>
          <w:p>
            <w:pPr>
              <w:jc w:val="center"/>
              <w:rPr>
                <w:rFonts w:ascii="Times New Roman" w:hAnsi="Times New Roman"/>
              </w:rPr>
            </w:pPr>
            <w:r>
              <w:rPr>
                <w:rFonts w:ascii="Times New Roman" w:hAnsi="Times New Roman"/>
              </w:rPr>
              <w:t>城市农村/选项</w:t>
            </w:r>
          </w:p>
        </w:tc>
        <w:tc>
          <w:tcPr>
            <w:tcW w:w="861" w:type="pct"/>
            <w:vAlign w:val="center"/>
          </w:tcPr>
          <w:p>
            <w:pPr>
              <w:jc w:val="center"/>
              <w:rPr>
                <w:rFonts w:ascii="Times New Roman" w:hAnsi="Times New Roman"/>
              </w:rPr>
            </w:pPr>
            <w:r>
              <w:rPr>
                <w:rFonts w:ascii="Times New Roman" w:hAnsi="Times New Roman"/>
              </w:rPr>
              <w:t>城市/农村</w:t>
            </w:r>
          </w:p>
        </w:tc>
        <w:tc>
          <w:tcPr>
            <w:tcW w:w="729" w:type="pct"/>
            <w:vAlign w:val="center"/>
          </w:tcPr>
          <w:p>
            <w:pPr>
              <w:jc w:val="center"/>
              <w:rPr>
                <w:rFonts w:ascii="Times New Roman" w:hAnsi="Times New Roman"/>
              </w:rPr>
            </w:pPr>
            <w:r>
              <w:rPr>
                <w:rFonts w:ascii="Times New Roman" w:hAnsi="Times New Roman"/>
              </w:rPr>
              <w:t>农村</w:t>
            </w:r>
          </w:p>
        </w:tc>
        <w:tc>
          <w:tcPr>
            <w:tcW w:w="2674" w:type="pct"/>
            <w:vAlign w:val="center"/>
          </w:tcPr>
          <w:p>
            <w:pPr>
              <w:rPr>
                <w:rFonts w:ascii="Times New Roman" w:hAnsi="Times New Roman"/>
              </w:rPr>
            </w:pPr>
            <w:r>
              <w:rPr>
                <w:rFonts w:ascii="Times New Roman" w:hAnsi="Times New Roman"/>
              </w:rPr>
              <w:t>根据《环境影响评价技术导则 大气环境》（HJ2.2-2018）附录B中B.6.1城市/农村选项：“当项目周边3km半径范围内一半以上面积属于城市建成区或者规划区时，选择城市，否则选择农村”。根据对本项目厂址周边3km半径范围内的用地性质调查结果，项目周边3km半径范围内一半以上面积属于农村，故本次评价选取农村选项</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34" w:type="pct"/>
            <w:vMerge w:val="continue"/>
            <w:vAlign w:val="center"/>
          </w:tcPr>
          <w:p>
            <w:pPr>
              <w:jc w:val="center"/>
              <w:rPr>
                <w:rFonts w:ascii="Times New Roman" w:hAnsi="Times New Roman"/>
              </w:rPr>
            </w:pPr>
          </w:p>
        </w:tc>
        <w:tc>
          <w:tcPr>
            <w:tcW w:w="861" w:type="pct"/>
            <w:vAlign w:val="center"/>
          </w:tcPr>
          <w:p>
            <w:pPr>
              <w:jc w:val="center"/>
              <w:rPr>
                <w:rFonts w:ascii="Times New Roman" w:hAnsi="Times New Roman"/>
              </w:rPr>
            </w:pPr>
            <w:r>
              <w:rPr>
                <w:rFonts w:ascii="Times New Roman" w:hAnsi="Times New Roman"/>
              </w:rPr>
              <w:t>人口数（城市人口数）</w:t>
            </w:r>
          </w:p>
        </w:tc>
        <w:tc>
          <w:tcPr>
            <w:tcW w:w="729" w:type="pct"/>
            <w:vAlign w:val="center"/>
          </w:tcPr>
          <w:p>
            <w:pPr>
              <w:jc w:val="center"/>
              <w:rPr>
                <w:rFonts w:ascii="Times New Roman" w:hAnsi="Times New Roman"/>
              </w:rPr>
            </w:pPr>
            <w:r>
              <w:rPr>
                <w:rFonts w:hint="eastAsia" w:ascii="Times New Roman" w:hAnsi="Times New Roman"/>
              </w:rPr>
              <w:t>/</w:t>
            </w:r>
          </w:p>
        </w:tc>
        <w:tc>
          <w:tcPr>
            <w:tcW w:w="2674" w:type="pct"/>
            <w:vAlign w:val="center"/>
          </w:tcPr>
          <w:p>
            <w:pPr>
              <w:jc w:val="center"/>
              <w:rPr>
                <w:rFonts w:ascii="Times New Roman" w:hAnsi="Times New Roman"/>
              </w:rPr>
            </w:pPr>
            <w:r>
              <w:rPr>
                <w:rFonts w:ascii="Times New Roman" w:hAnsi="Times New Roma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595" w:type="pct"/>
            <w:gridSpan w:val="2"/>
            <w:vAlign w:val="center"/>
          </w:tcPr>
          <w:p>
            <w:pPr>
              <w:jc w:val="center"/>
              <w:rPr>
                <w:rFonts w:ascii="Times New Roman" w:hAnsi="Times New Roman"/>
              </w:rPr>
            </w:pPr>
            <w:r>
              <w:rPr>
                <w:rFonts w:ascii="Times New Roman" w:hAnsi="Times New Roman"/>
              </w:rPr>
              <w:t>最高环境温度</w:t>
            </w:r>
          </w:p>
        </w:tc>
        <w:tc>
          <w:tcPr>
            <w:tcW w:w="729" w:type="pct"/>
            <w:vAlign w:val="center"/>
          </w:tcPr>
          <w:p>
            <w:pPr>
              <w:jc w:val="center"/>
              <w:rPr>
                <w:rFonts w:ascii="Times New Roman" w:hAnsi="Times New Roman"/>
              </w:rPr>
            </w:pPr>
            <w:r>
              <w:rPr>
                <w:rFonts w:ascii="Times New Roman" w:hAnsi="Times New Roman"/>
              </w:rPr>
              <w:t>36.3°C</w:t>
            </w:r>
          </w:p>
        </w:tc>
        <w:tc>
          <w:tcPr>
            <w:tcW w:w="2674" w:type="pct"/>
            <w:vMerge w:val="restart"/>
            <w:vAlign w:val="center"/>
          </w:tcPr>
          <w:p>
            <w:pPr>
              <w:rPr>
                <w:rFonts w:ascii="Times New Roman" w:hAnsi="Times New Roman"/>
              </w:rPr>
            </w:pPr>
            <w:r>
              <w:rPr>
                <w:rFonts w:ascii="Times New Roman" w:hAnsi="Times New Roman"/>
              </w:rPr>
              <w:t>最高环境温度及最低环境温度取值来源于双鸭山市气象站二十年气象数据统计结果</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595" w:type="pct"/>
            <w:gridSpan w:val="2"/>
            <w:vAlign w:val="center"/>
          </w:tcPr>
          <w:p>
            <w:pPr>
              <w:jc w:val="center"/>
              <w:rPr>
                <w:rFonts w:ascii="Times New Roman" w:hAnsi="Times New Roman"/>
              </w:rPr>
            </w:pPr>
            <w:r>
              <w:rPr>
                <w:rFonts w:ascii="Times New Roman" w:hAnsi="Times New Roman"/>
              </w:rPr>
              <w:t>最低环境温度</w:t>
            </w:r>
          </w:p>
        </w:tc>
        <w:tc>
          <w:tcPr>
            <w:tcW w:w="729" w:type="pct"/>
            <w:vAlign w:val="center"/>
          </w:tcPr>
          <w:p>
            <w:pPr>
              <w:jc w:val="center"/>
              <w:rPr>
                <w:rFonts w:ascii="Times New Roman" w:hAnsi="Times New Roman"/>
              </w:rPr>
            </w:pPr>
            <w:r>
              <w:rPr>
                <w:rFonts w:ascii="Times New Roman" w:hAnsi="Times New Roman"/>
              </w:rPr>
              <w:t>-42.4°C</w:t>
            </w:r>
          </w:p>
        </w:tc>
        <w:tc>
          <w:tcPr>
            <w:tcW w:w="2674" w:type="pct"/>
            <w:vMerge w:val="continue"/>
            <w:vAlign w:val="center"/>
          </w:tcPr>
          <w:p>
            <w:pPr>
              <w:jc w:val="center"/>
              <w:rPr>
                <w:rFonts w:ascii="Times New Roman" w:hAnsi="Times New Roma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595" w:type="pct"/>
            <w:gridSpan w:val="2"/>
            <w:vAlign w:val="center"/>
          </w:tcPr>
          <w:p>
            <w:pPr>
              <w:jc w:val="center"/>
              <w:rPr>
                <w:rFonts w:ascii="Times New Roman" w:hAnsi="Times New Roman"/>
              </w:rPr>
            </w:pPr>
            <w:r>
              <w:rPr>
                <w:rFonts w:ascii="Times New Roman" w:hAnsi="Times New Roman"/>
              </w:rPr>
              <w:t>土地利用类型</w:t>
            </w:r>
          </w:p>
        </w:tc>
        <w:tc>
          <w:tcPr>
            <w:tcW w:w="729" w:type="pct"/>
            <w:vAlign w:val="center"/>
          </w:tcPr>
          <w:p>
            <w:pPr>
              <w:jc w:val="center"/>
              <w:rPr>
                <w:rFonts w:ascii="Times New Roman" w:hAnsi="Times New Roman"/>
              </w:rPr>
            </w:pPr>
            <w:r>
              <w:rPr>
                <w:rFonts w:hint="eastAsia" w:ascii="Times New Roman" w:hAnsi="Times New Roman"/>
              </w:rPr>
              <w:t>工业用地</w:t>
            </w:r>
          </w:p>
        </w:tc>
        <w:tc>
          <w:tcPr>
            <w:tcW w:w="2674" w:type="pct"/>
            <w:vAlign w:val="center"/>
          </w:tcPr>
          <w:p>
            <w:pPr>
              <w:jc w:val="center"/>
              <w:rPr>
                <w:rFonts w:ascii="Times New Roman" w:hAnsi="Times New Roman"/>
              </w:rPr>
            </w:pPr>
            <w:r>
              <w:rPr>
                <w:rFonts w:ascii="Times New Roman" w:hAnsi="Times New Roma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595" w:type="pct"/>
            <w:gridSpan w:val="2"/>
            <w:vAlign w:val="center"/>
          </w:tcPr>
          <w:p>
            <w:pPr>
              <w:jc w:val="center"/>
              <w:rPr>
                <w:rFonts w:ascii="Times New Roman" w:hAnsi="Times New Roman"/>
              </w:rPr>
            </w:pPr>
            <w:r>
              <w:rPr>
                <w:rFonts w:ascii="Times New Roman" w:hAnsi="Times New Roman"/>
              </w:rPr>
              <w:t>区域湿度条件</w:t>
            </w:r>
          </w:p>
        </w:tc>
        <w:tc>
          <w:tcPr>
            <w:tcW w:w="729" w:type="pct"/>
            <w:vAlign w:val="center"/>
          </w:tcPr>
          <w:p>
            <w:pPr>
              <w:jc w:val="center"/>
              <w:rPr>
                <w:rFonts w:ascii="Times New Roman" w:hAnsi="Times New Roman"/>
              </w:rPr>
            </w:pPr>
            <w:r>
              <w:rPr>
                <w:rFonts w:hint="eastAsia" w:ascii="Times New Roman" w:hAnsi="Times New Roman"/>
              </w:rPr>
              <w:t>湿润</w:t>
            </w:r>
          </w:p>
        </w:tc>
        <w:tc>
          <w:tcPr>
            <w:tcW w:w="2674" w:type="pct"/>
            <w:vAlign w:val="center"/>
          </w:tcPr>
          <w:p>
            <w:pPr>
              <w:jc w:val="center"/>
              <w:rPr>
                <w:rFonts w:ascii="Times New Roman" w:hAnsi="Times New Roman"/>
              </w:rPr>
            </w:pPr>
            <w:r>
              <w:rPr>
                <w:rFonts w:ascii="Times New Roman" w:hAnsi="Times New Roman"/>
              </w:rPr>
              <w:t>根据中国干湿地区划分图判断，本项目属于湿润气候</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34" w:type="pct"/>
            <w:vMerge w:val="restart"/>
            <w:vAlign w:val="center"/>
          </w:tcPr>
          <w:p>
            <w:pPr>
              <w:jc w:val="center"/>
              <w:rPr>
                <w:rFonts w:ascii="Times New Roman" w:hAnsi="Times New Roman"/>
              </w:rPr>
            </w:pPr>
            <w:r>
              <w:rPr>
                <w:rFonts w:ascii="Times New Roman" w:hAnsi="Times New Roman"/>
              </w:rPr>
              <w:t>是否考虑地形</w:t>
            </w:r>
          </w:p>
        </w:tc>
        <w:tc>
          <w:tcPr>
            <w:tcW w:w="861" w:type="pct"/>
            <w:vAlign w:val="center"/>
          </w:tcPr>
          <w:p>
            <w:pPr>
              <w:jc w:val="center"/>
              <w:rPr>
                <w:rFonts w:ascii="Times New Roman" w:hAnsi="Times New Roman"/>
              </w:rPr>
            </w:pPr>
            <w:r>
              <w:rPr>
                <w:rFonts w:ascii="Times New Roman" w:hAnsi="Times New Roman"/>
              </w:rPr>
              <w:t>考虑地形</w:t>
            </w:r>
          </w:p>
        </w:tc>
        <w:tc>
          <w:tcPr>
            <w:tcW w:w="729" w:type="pct"/>
            <w:vAlign w:val="center"/>
          </w:tcPr>
          <w:p>
            <w:pPr>
              <w:jc w:val="center"/>
              <w:rPr>
                <w:rFonts w:ascii="Times New Roman" w:hAnsi="Times New Roman"/>
              </w:rPr>
            </w:pPr>
            <w:r>
              <w:rPr>
                <w:rFonts w:ascii="Times New Roman" w:hAnsi="Times New Roman"/>
              </w:rPr>
              <w:t>是</w:t>
            </w:r>
          </w:p>
        </w:tc>
        <w:tc>
          <w:tcPr>
            <w:tcW w:w="2674" w:type="pct"/>
            <w:vAlign w:val="center"/>
          </w:tcPr>
          <w:p>
            <w:pPr>
              <w:rPr>
                <w:rFonts w:ascii="Times New Roman" w:hAnsi="Times New Roman"/>
              </w:rPr>
            </w:pPr>
            <w:r>
              <w:rPr>
                <w:rFonts w:ascii="Times New Roman" w:hAnsi="Times New Roman"/>
              </w:rPr>
              <w:t>根据《环境影响评价技术导则 大气环境》（HJ2.2-2018）中5.3.2.2：“编制环境影响报告书的项目在采用估算模型计算评价等级时，应输入地形参数”。故本次评价考虑地形</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34" w:type="pct"/>
            <w:vMerge w:val="continue"/>
            <w:vAlign w:val="center"/>
          </w:tcPr>
          <w:p>
            <w:pPr>
              <w:jc w:val="center"/>
              <w:rPr>
                <w:rFonts w:ascii="Times New Roman" w:hAnsi="Times New Roman"/>
              </w:rPr>
            </w:pPr>
          </w:p>
        </w:tc>
        <w:tc>
          <w:tcPr>
            <w:tcW w:w="861" w:type="pct"/>
            <w:vAlign w:val="center"/>
          </w:tcPr>
          <w:p>
            <w:pPr>
              <w:jc w:val="center"/>
              <w:rPr>
                <w:rFonts w:ascii="Times New Roman" w:hAnsi="Times New Roman"/>
              </w:rPr>
            </w:pPr>
            <w:r>
              <w:rPr>
                <w:rFonts w:ascii="Times New Roman" w:hAnsi="Times New Roman"/>
              </w:rPr>
              <w:t>地形数据分辨率（m）</w:t>
            </w:r>
          </w:p>
        </w:tc>
        <w:tc>
          <w:tcPr>
            <w:tcW w:w="729" w:type="pct"/>
            <w:vAlign w:val="center"/>
          </w:tcPr>
          <w:p>
            <w:pPr>
              <w:jc w:val="center"/>
              <w:rPr>
                <w:rFonts w:ascii="Times New Roman" w:hAnsi="Times New Roman"/>
              </w:rPr>
            </w:pPr>
            <w:r>
              <w:rPr>
                <w:rFonts w:ascii="Times New Roman" w:hAnsi="Times New Roman"/>
              </w:rPr>
              <w:t>90</w:t>
            </w:r>
          </w:p>
        </w:tc>
        <w:tc>
          <w:tcPr>
            <w:tcW w:w="2674" w:type="pct"/>
            <w:vAlign w:val="center"/>
          </w:tcPr>
          <w:p>
            <w:pPr>
              <w:rPr>
                <w:rFonts w:ascii="Times New Roman" w:hAnsi="Times New Roman"/>
              </w:rPr>
            </w:pPr>
            <w:r>
              <w:rPr>
                <w:rFonts w:ascii="Times New Roman" w:hAnsi="Times New Roman"/>
              </w:rPr>
              <w:t>根据EIA2018大气预测软件的DEM地形文件，地形数据分辨率90m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34" w:type="pct"/>
            <w:vMerge w:val="restart"/>
            <w:vAlign w:val="center"/>
          </w:tcPr>
          <w:p>
            <w:pPr>
              <w:jc w:val="center"/>
              <w:rPr>
                <w:rFonts w:ascii="Times New Roman" w:hAnsi="Times New Roman"/>
              </w:rPr>
            </w:pPr>
            <w:r>
              <w:rPr>
                <w:rFonts w:ascii="Times New Roman" w:hAnsi="Times New Roman"/>
              </w:rPr>
              <w:t>是否考虑海岸线熏烟</w:t>
            </w:r>
          </w:p>
        </w:tc>
        <w:tc>
          <w:tcPr>
            <w:tcW w:w="861" w:type="pct"/>
            <w:vAlign w:val="center"/>
          </w:tcPr>
          <w:p>
            <w:pPr>
              <w:jc w:val="center"/>
              <w:rPr>
                <w:rFonts w:ascii="Times New Roman" w:hAnsi="Times New Roman"/>
              </w:rPr>
            </w:pPr>
            <w:r>
              <w:rPr>
                <w:rFonts w:ascii="Times New Roman" w:hAnsi="Times New Roman"/>
              </w:rPr>
              <w:t>考虑海岸线熏烟</w:t>
            </w:r>
          </w:p>
        </w:tc>
        <w:tc>
          <w:tcPr>
            <w:tcW w:w="729" w:type="pct"/>
            <w:vAlign w:val="center"/>
          </w:tcPr>
          <w:p>
            <w:pPr>
              <w:jc w:val="center"/>
              <w:rPr>
                <w:rFonts w:ascii="Times New Roman" w:hAnsi="Times New Roman"/>
              </w:rPr>
            </w:pPr>
            <w:r>
              <w:rPr>
                <w:rFonts w:ascii="Times New Roman" w:hAnsi="Times New Roman"/>
              </w:rPr>
              <w:t>否</w:t>
            </w:r>
          </w:p>
        </w:tc>
        <w:tc>
          <w:tcPr>
            <w:tcW w:w="2674" w:type="pct"/>
            <w:vAlign w:val="center"/>
          </w:tcPr>
          <w:p>
            <w:pPr>
              <w:rPr>
                <w:rFonts w:ascii="Times New Roman" w:hAnsi="Times New Roman"/>
              </w:rPr>
            </w:pPr>
            <w:r>
              <w:rPr>
                <w:rFonts w:ascii="Times New Roman" w:hAnsi="Times New Roman"/>
              </w:rPr>
              <w:t>根据《环境影响评价技术导则 大气环境》（HJ2.2-2018）附录B中B.6.2岸边熏烟选项：“对估算模型AERSCREEN，当污染源附近3km范围内有大型水体时，需选择岸边熏烟选项”。本项目附近3km范围内无大型水体，故不考虑岸边熏烟</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34" w:type="pct"/>
            <w:vMerge w:val="continue"/>
            <w:vAlign w:val="center"/>
          </w:tcPr>
          <w:p>
            <w:pPr>
              <w:jc w:val="center"/>
              <w:rPr>
                <w:rFonts w:ascii="Times New Roman" w:hAnsi="Times New Roman"/>
              </w:rPr>
            </w:pPr>
          </w:p>
        </w:tc>
        <w:tc>
          <w:tcPr>
            <w:tcW w:w="861" w:type="pct"/>
            <w:vAlign w:val="center"/>
          </w:tcPr>
          <w:p>
            <w:pPr>
              <w:jc w:val="center"/>
              <w:rPr>
                <w:rFonts w:ascii="Times New Roman" w:hAnsi="Times New Roman"/>
              </w:rPr>
            </w:pPr>
            <w:r>
              <w:rPr>
                <w:rFonts w:ascii="Times New Roman" w:hAnsi="Times New Roman"/>
              </w:rPr>
              <w:t>海岸线距离/km</w:t>
            </w:r>
          </w:p>
        </w:tc>
        <w:tc>
          <w:tcPr>
            <w:tcW w:w="729" w:type="pct"/>
            <w:vAlign w:val="center"/>
          </w:tcPr>
          <w:p>
            <w:pPr>
              <w:jc w:val="center"/>
              <w:rPr>
                <w:rFonts w:ascii="Times New Roman" w:hAnsi="Times New Roman"/>
              </w:rPr>
            </w:pPr>
            <w:r>
              <w:rPr>
                <w:rFonts w:ascii="Times New Roman" w:hAnsi="Times New Roman"/>
              </w:rPr>
              <w:t>/</w:t>
            </w:r>
          </w:p>
        </w:tc>
        <w:tc>
          <w:tcPr>
            <w:tcW w:w="2674" w:type="pct"/>
            <w:vAlign w:val="center"/>
          </w:tcPr>
          <w:p>
            <w:pPr>
              <w:jc w:val="center"/>
              <w:rPr>
                <w:rFonts w:ascii="Times New Roman" w:hAnsi="Times New Roman"/>
              </w:rPr>
            </w:pPr>
            <w:r>
              <w:rPr>
                <w:rFonts w:ascii="Times New Roman" w:hAnsi="Times New Roma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34" w:type="pct"/>
            <w:vMerge w:val="continue"/>
            <w:tcBorders>
              <w:bottom w:val="single" w:color="auto" w:sz="12" w:space="0"/>
            </w:tcBorders>
            <w:vAlign w:val="center"/>
          </w:tcPr>
          <w:p>
            <w:pPr>
              <w:jc w:val="center"/>
              <w:rPr>
                <w:rFonts w:ascii="Times New Roman" w:hAnsi="Times New Roman"/>
              </w:rPr>
            </w:pPr>
          </w:p>
        </w:tc>
        <w:tc>
          <w:tcPr>
            <w:tcW w:w="861" w:type="pct"/>
            <w:tcBorders>
              <w:bottom w:val="single" w:color="auto" w:sz="12" w:space="0"/>
            </w:tcBorders>
            <w:vAlign w:val="center"/>
          </w:tcPr>
          <w:p>
            <w:pPr>
              <w:jc w:val="center"/>
              <w:rPr>
                <w:rFonts w:ascii="Times New Roman" w:hAnsi="Times New Roman"/>
              </w:rPr>
            </w:pPr>
            <w:r>
              <w:rPr>
                <w:rFonts w:ascii="Times New Roman" w:hAnsi="Times New Roman"/>
              </w:rPr>
              <w:t>海岸线方向/</w:t>
            </w:r>
            <w:r>
              <w:rPr>
                <w:rFonts w:ascii="Times New Roman" w:hAnsi="Times New Roman"/>
                <w:vertAlign w:val="superscript"/>
              </w:rPr>
              <w:t>o</w:t>
            </w:r>
          </w:p>
        </w:tc>
        <w:tc>
          <w:tcPr>
            <w:tcW w:w="729" w:type="pct"/>
            <w:tcBorders>
              <w:bottom w:val="single" w:color="auto" w:sz="12" w:space="0"/>
            </w:tcBorders>
            <w:vAlign w:val="center"/>
          </w:tcPr>
          <w:p>
            <w:pPr>
              <w:jc w:val="center"/>
              <w:rPr>
                <w:rFonts w:ascii="Times New Roman" w:hAnsi="Times New Roman"/>
              </w:rPr>
            </w:pPr>
            <w:r>
              <w:rPr>
                <w:rFonts w:ascii="Times New Roman" w:hAnsi="Times New Roman"/>
              </w:rPr>
              <w:t>/</w:t>
            </w:r>
          </w:p>
        </w:tc>
        <w:tc>
          <w:tcPr>
            <w:tcW w:w="2674" w:type="pct"/>
            <w:tcBorders>
              <w:bottom w:val="single" w:color="auto" w:sz="12" w:space="0"/>
            </w:tcBorders>
            <w:vAlign w:val="center"/>
          </w:tcPr>
          <w:p>
            <w:pPr>
              <w:jc w:val="center"/>
              <w:rPr>
                <w:rFonts w:ascii="Times New Roman" w:hAnsi="Times New Roman"/>
              </w:rPr>
            </w:pPr>
            <w:r>
              <w:rPr>
                <w:rFonts w:ascii="Times New Roman" w:hAnsi="Times New Roman"/>
              </w:rPr>
              <w:t>/</w:t>
            </w:r>
          </w:p>
        </w:tc>
      </w:tr>
    </w:tbl>
    <w:p>
      <w:pPr>
        <w:pStyle w:val="155"/>
        <w:spacing w:line="480" w:lineRule="exact"/>
        <w:ind w:firstLine="480"/>
      </w:pPr>
      <w:r>
        <w:t>（6）评价工作等级确定</w:t>
      </w:r>
    </w:p>
    <w:p>
      <w:p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本项目主要污染源估算模型计算结果见表2.4-5。</w:t>
      </w:r>
    </w:p>
    <w:p>
      <w:pPr>
        <w:spacing w:line="480" w:lineRule="exact"/>
        <w:jc w:val="center"/>
        <w:rPr>
          <w:rFonts w:ascii="Times New Roman" w:hAnsi="Times New Roman"/>
          <w:b/>
        </w:rPr>
      </w:pPr>
      <w:r>
        <w:rPr>
          <w:rFonts w:ascii="Times New Roman" w:hAnsi="Times New Roman"/>
          <w:b/>
        </w:rPr>
        <w:t>表2.4-5 P</w:t>
      </w:r>
      <w:r>
        <w:rPr>
          <w:rFonts w:ascii="Times New Roman" w:hAnsi="Times New Roman"/>
          <w:b/>
          <w:vertAlign w:val="subscript"/>
        </w:rPr>
        <w:t>max</w:t>
      </w:r>
      <w:r>
        <w:rPr>
          <w:rFonts w:ascii="Times New Roman" w:hAnsi="Times New Roman"/>
          <w:b/>
        </w:rPr>
        <w:t>和D</w:t>
      </w:r>
      <w:r>
        <w:rPr>
          <w:rFonts w:ascii="Times New Roman" w:hAnsi="Times New Roman"/>
          <w:b/>
          <w:vertAlign w:val="subscript"/>
        </w:rPr>
        <w:t>10%</w:t>
      </w:r>
      <w:r>
        <w:rPr>
          <w:rFonts w:ascii="Times New Roman" w:hAnsi="Times New Roman"/>
          <w:b/>
        </w:rPr>
        <w:t>预测和计算结果一览表</w:t>
      </w:r>
    </w:p>
    <w:tbl>
      <w:tblPr>
        <w:tblStyle w:val="573"/>
        <w:tblW w:w="852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48"/>
        <w:gridCol w:w="1132"/>
        <w:gridCol w:w="1517"/>
        <w:gridCol w:w="1710"/>
        <w:gridCol w:w="1710"/>
        <w:gridCol w:w="171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748" w:type="dxa"/>
            <w:vAlign w:val="center"/>
          </w:tcPr>
          <w:p>
            <w:pPr>
              <w:spacing w:line="240" w:lineRule="atLeast"/>
              <w:jc w:val="center"/>
              <w:rPr>
                <w:rFonts w:ascii="Times New Roman" w:hAnsi="Times New Roman"/>
              </w:rPr>
            </w:pPr>
            <w:r>
              <w:rPr>
                <w:rFonts w:hint="eastAsia" w:ascii="Times New Roman" w:hAnsi="Times New Roman"/>
              </w:rPr>
              <w:t>污染源名称</w:t>
            </w:r>
          </w:p>
        </w:tc>
        <w:tc>
          <w:tcPr>
            <w:tcW w:w="1132" w:type="dxa"/>
            <w:vAlign w:val="center"/>
          </w:tcPr>
          <w:p>
            <w:pPr>
              <w:spacing w:line="240" w:lineRule="atLeast"/>
              <w:jc w:val="center"/>
              <w:rPr>
                <w:rFonts w:ascii="Times New Roman" w:hAnsi="Times New Roman"/>
              </w:rPr>
            </w:pPr>
            <w:r>
              <w:rPr>
                <w:rFonts w:hint="eastAsia" w:ascii="Times New Roman" w:hAnsi="Times New Roman"/>
              </w:rPr>
              <w:t>评价因子</w:t>
            </w:r>
          </w:p>
        </w:tc>
        <w:tc>
          <w:tcPr>
            <w:tcW w:w="1517" w:type="dxa"/>
            <w:vAlign w:val="center"/>
          </w:tcPr>
          <w:p>
            <w:pPr>
              <w:spacing w:line="240" w:lineRule="atLeast"/>
              <w:jc w:val="center"/>
              <w:rPr>
                <w:rFonts w:ascii="Times New Roman" w:hAnsi="Times New Roman"/>
              </w:rPr>
            </w:pPr>
            <w:r>
              <w:rPr>
                <w:rFonts w:hint="eastAsia" w:ascii="Times New Roman" w:hAnsi="Times New Roman"/>
              </w:rPr>
              <w:t>评价标准(μg/m³)</w:t>
            </w:r>
          </w:p>
        </w:tc>
        <w:tc>
          <w:tcPr>
            <w:tcW w:w="1710" w:type="dxa"/>
            <w:vAlign w:val="center"/>
          </w:tcPr>
          <w:p>
            <w:pPr>
              <w:spacing w:line="240" w:lineRule="atLeast"/>
              <w:jc w:val="center"/>
              <w:rPr>
                <w:rFonts w:ascii="Times New Roman" w:hAnsi="Times New Roman"/>
              </w:rPr>
            </w:pPr>
            <w:r>
              <w:rPr>
                <w:rFonts w:hint="eastAsia" w:ascii="Times New Roman" w:hAnsi="Times New Roman"/>
              </w:rPr>
              <w:t>Cmax(μg/m³)</w:t>
            </w:r>
          </w:p>
        </w:tc>
        <w:tc>
          <w:tcPr>
            <w:tcW w:w="1710" w:type="dxa"/>
            <w:vAlign w:val="center"/>
          </w:tcPr>
          <w:p>
            <w:pPr>
              <w:spacing w:line="240" w:lineRule="atLeast"/>
              <w:jc w:val="center"/>
              <w:rPr>
                <w:rFonts w:ascii="Times New Roman" w:hAnsi="Times New Roman"/>
              </w:rPr>
            </w:pPr>
            <w:r>
              <w:rPr>
                <w:rFonts w:hint="eastAsia" w:ascii="Times New Roman" w:hAnsi="Times New Roman"/>
              </w:rPr>
              <w:t>Pmax(%)</w:t>
            </w:r>
          </w:p>
        </w:tc>
        <w:tc>
          <w:tcPr>
            <w:tcW w:w="1710" w:type="dxa"/>
            <w:vAlign w:val="center"/>
          </w:tcPr>
          <w:p>
            <w:pPr>
              <w:spacing w:line="240" w:lineRule="atLeast"/>
              <w:jc w:val="center"/>
              <w:rPr>
                <w:rFonts w:ascii="Times New Roman" w:hAnsi="Times New Roman"/>
              </w:rPr>
            </w:pPr>
            <w:r>
              <w:rPr>
                <w:rFonts w:hint="eastAsia" w:ascii="Times New Roman" w:hAnsi="Times New Roman"/>
              </w:rPr>
              <w:t>D10%(m)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748" w:type="dxa"/>
            <w:vMerge w:val="restart"/>
            <w:vAlign w:val="center"/>
          </w:tcPr>
          <w:p>
            <w:pPr>
              <w:spacing w:line="240" w:lineRule="atLeast"/>
              <w:jc w:val="center"/>
              <w:rPr>
                <w:rFonts w:ascii="Times New Roman" w:hAnsi="Times New Roman"/>
              </w:rPr>
            </w:pPr>
            <w:r>
              <w:rPr>
                <w:rFonts w:hint="eastAsia" w:ascii="Times New Roman" w:hAnsi="Times New Roman"/>
              </w:rPr>
              <w:t>高温干热系统废气</w:t>
            </w:r>
          </w:p>
        </w:tc>
        <w:tc>
          <w:tcPr>
            <w:tcW w:w="1132" w:type="dxa"/>
            <w:vAlign w:val="center"/>
          </w:tcPr>
          <w:p>
            <w:pPr>
              <w:spacing w:line="240" w:lineRule="atLeast"/>
              <w:jc w:val="center"/>
              <w:rPr>
                <w:rFonts w:ascii="Times New Roman" w:hAnsi="Times New Roman"/>
              </w:rPr>
            </w:pPr>
            <w:r>
              <w:rPr>
                <w:rFonts w:hint="eastAsia" w:ascii="Times New Roman" w:hAnsi="Times New Roman"/>
              </w:rPr>
              <w:t>PM</w:t>
            </w:r>
            <w:r>
              <w:rPr>
                <w:rFonts w:hint="eastAsia" w:ascii="Times New Roman" w:hAnsi="Times New Roman"/>
                <w:vertAlign w:val="subscript"/>
              </w:rPr>
              <w:t>10</w:t>
            </w:r>
          </w:p>
        </w:tc>
        <w:tc>
          <w:tcPr>
            <w:tcW w:w="1517" w:type="dxa"/>
            <w:vAlign w:val="center"/>
          </w:tcPr>
          <w:p>
            <w:pPr>
              <w:spacing w:line="240" w:lineRule="atLeast"/>
              <w:jc w:val="center"/>
              <w:rPr>
                <w:rFonts w:ascii="Times New Roman" w:hAnsi="Times New Roman"/>
              </w:rPr>
            </w:pPr>
            <w:r>
              <w:rPr>
                <w:rFonts w:hint="eastAsia" w:ascii="Times New Roman" w:hAnsi="Times New Roman"/>
              </w:rPr>
              <w:t>450.0</w:t>
            </w:r>
          </w:p>
        </w:tc>
        <w:tc>
          <w:tcPr>
            <w:tcW w:w="1710" w:type="dxa"/>
            <w:vAlign w:val="center"/>
          </w:tcPr>
          <w:p>
            <w:pPr>
              <w:spacing w:line="240" w:lineRule="atLeast"/>
              <w:jc w:val="center"/>
              <w:rPr>
                <w:rFonts w:ascii="Times New Roman" w:hAnsi="Times New Roman"/>
              </w:rPr>
            </w:pPr>
            <w:r>
              <w:rPr>
                <w:rFonts w:hint="eastAsia" w:ascii="Times New Roman" w:hAnsi="Times New Roman"/>
              </w:rPr>
              <w:t>8.2777</w:t>
            </w:r>
          </w:p>
        </w:tc>
        <w:tc>
          <w:tcPr>
            <w:tcW w:w="1710" w:type="dxa"/>
            <w:vAlign w:val="center"/>
          </w:tcPr>
          <w:p>
            <w:pPr>
              <w:spacing w:line="240" w:lineRule="atLeast"/>
              <w:jc w:val="center"/>
              <w:rPr>
                <w:rFonts w:ascii="Times New Roman" w:hAnsi="Times New Roman"/>
              </w:rPr>
            </w:pPr>
            <w:r>
              <w:rPr>
                <w:rFonts w:hint="eastAsia" w:ascii="Times New Roman" w:hAnsi="Times New Roman"/>
              </w:rPr>
              <w:t>1.8395</w:t>
            </w:r>
          </w:p>
        </w:tc>
        <w:tc>
          <w:tcPr>
            <w:tcW w:w="1710" w:type="dxa"/>
            <w:vAlign w:val="center"/>
          </w:tcPr>
          <w:p>
            <w:pPr>
              <w:spacing w:line="240" w:lineRule="atLeast"/>
              <w:jc w:val="center"/>
              <w:rPr>
                <w:rFonts w:ascii="Times New Roman" w:hAnsi="Times New Roman"/>
              </w:rPr>
            </w:pPr>
            <w:r>
              <w:rPr>
                <w:rFonts w:hint="eastAsia" w:ascii="Times New Roman" w:hAnsi="Times New Roma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748" w:type="dxa"/>
            <w:vMerge w:val="continue"/>
            <w:vAlign w:val="center"/>
          </w:tcPr>
          <w:p>
            <w:pPr>
              <w:spacing w:line="240" w:lineRule="atLeast"/>
              <w:jc w:val="center"/>
              <w:rPr>
                <w:rFonts w:ascii="Times New Roman" w:hAnsi="Times New Roman"/>
              </w:rPr>
            </w:pPr>
          </w:p>
        </w:tc>
        <w:tc>
          <w:tcPr>
            <w:tcW w:w="1132" w:type="dxa"/>
            <w:vAlign w:val="center"/>
          </w:tcPr>
          <w:p>
            <w:pPr>
              <w:spacing w:line="240" w:lineRule="atLeast"/>
              <w:jc w:val="center"/>
              <w:rPr>
                <w:rFonts w:ascii="Times New Roman" w:hAnsi="Times New Roman"/>
              </w:rPr>
            </w:pPr>
            <w:r>
              <w:rPr>
                <w:rFonts w:hint="eastAsia" w:ascii="Times New Roman" w:hAnsi="Times New Roman"/>
              </w:rPr>
              <w:t>NMHC</w:t>
            </w:r>
          </w:p>
        </w:tc>
        <w:tc>
          <w:tcPr>
            <w:tcW w:w="1517" w:type="dxa"/>
            <w:vAlign w:val="center"/>
          </w:tcPr>
          <w:p>
            <w:pPr>
              <w:spacing w:line="240" w:lineRule="atLeast"/>
              <w:jc w:val="center"/>
              <w:rPr>
                <w:rFonts w:ascii="Times New Roman" w:hAnsi="Times New Roman"/>
              </w:rPr>
            </w:pPr>
            <w:r>
              <w:rPr>
                <w:rFonts w:hint="eastAsia" w:ascii="Times New Roman" w:hAnsi="Times New Roman"/>
              </w:rPr>
              <w:t>2000.0</w:t>
            </w:r>
          </w:p>
        </w:tc>
        <w:tc>
          <w:tcPr>
            <w:tcW w:w="1710" w:type="dxa"/>
            <w:vAlign w:val="center"/>
          </w:tcPr>
          <w:p>
            <w:pPr>
              <w:spacing w:line="240" w:lineRule="atLeast"/>
              <w:jc w:val="center"/>
              <w:rPr>
                <w:rFonts w:ascii="Times New Roman" w:hAnsi="Times New Roman"/>
              </w:rPr>
            </w:pPr>
            <w:r>
              <w:rPr>
                <w:rFonts w:hint="eastAsia" w:ascii="Times New Roman" w:hAnsi="Times New Roman"/>
              </w:rPr>
              <w:t>0.2606</w:t>
            </w:r>
          </w:p>
        </w:tc>
        <w:tc>
          <w:tcPr>
            <w:tcW w:w="1710" w:type="dxa"/>
            <w:vAlign w:val="center"/>
          </w:tcPr>
          <w:p>
            <w:pPr>
              <w:spacing w:line="240" w:lineRule="atLeast"/>
              <w:jc w:val="center"/>
              <w:rPr>
                <w:rFonts w:ascii="Times New Roman" w:hAnsi="Times New Roman"/>
              </w:rPr>
            </w:pPr>
            <w:r>
              <w:rPr>
                <w:rFonts w:hint="eastAsia" w:ascii="Times New Roman" w:hAnsi="Times New Roman"/>
              </w:rPr>
              <w:t>0.0130</w:t>
            </w:r>
          </w:p>
        </w:tc>
        <w:tc>
          <w:tcPr>
            <w:tcW w:w="1710" w:type="dxa"/>
            <w:vAlign w:val="center"/>
          </w:tcPr>
          <w:p>
            <w:pPr>
              <w:spacing w:line="240" w:lineRule="atLeast"/>
              <w:jc w:val="center"/>
              <w:rPr>
                <w:rFonts w:ascii="Times New Roman" w:hAnsi="Times New Roman"/>
              </w:rPr>
            </w:pPr>
            <w:r>
              <w:rPr>
                <w:rFonts w:hint="eastAsia" w:ascii="Times New Roman" w:hAnsi="Times New Roma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748" w:type="dxa"/>
            <w:vMerge w:val="continue"/>
            <w:vAlign w:val="center"/>
          </w:tcPr>
          <w:p>
            <w:pPr>
              <w:spacing w:line="240" w:lineRule="atLeast"/>
              <w:jc w:val="center"/>
              <w:rPr>
                <w:rFonts w:ascii="Times New Roman" w:hAnsi="Times New Roman"/>
              </w:rPr>
            </w:pPr>
          </w:p>
        </w:tc>
        <w:tc>
          <w:tcPr>
            <w:tcW w:w="1132" w:type="dxa"/>
            <w:vAlign w:val="center"/>
          </w:tcPr>
          <w:p>
            <w:pPr>
              <w:spacing w:line="240" w:lineRule="atLeast"/>
              <w:jc w:val="center"/>
              <w:rPr>
                <w:rFonts w:ascii="Times New Roman" w:hAnsi="Times New Roman"/>
              </w:rPr>
            </w:pPr>
            <w:r>
              <w:rPr>
                <w:rFonts w:hint="eastAsia" w:ascii="Times New Roman" w:hAnsi="Times New Roman"/>
              </w:rPr>
              <w:t>NH</w:t>
            </w:r>
            <w:r>
              <w:rPr>
                <w:rFonts w:hint="eastAsia" w:ascii="Times New Roman" w:hAnsi="Times New Roman"/>
                <w:vertAlign w:val="subscript"/>
              </w:rPr>
              <w:t>3</w:t>
            </w:r>
          </w:p>
        </w:tc>
        <w:tc>
          <w:tcPr>
            <w:tcW w:w="1517" w:type="dxa"/>
            <w:vAlign w:val="center"/>
          </w:tcPr>
          <w:p>
            <w:pPr>
              <w:spacing w:line="240" w:lineRule="atLeast"/>
              <w:jc w:val="center"/>
              <w:rPr>
                <w:rFonts w:ascii="Times New Roman" w:hAnsi="Times New Roman"/>
              </w:rPr>
            </w:pPr>
            <w:r>
              <w:rPr>
                <w:rFonts w:hint="eastAsia" w:ascii="Times New Roman" w:hAnsi="Times New Roman"/>
              </w:rPr>
              <w:t>200.0</w:t>
            </w:r>
          </w:p>
        </w:tc>
        <w:tc>
          <w:tcPr>
            <w:tcW w:w="1710" w:type="dxa"/>
            <w:vAlign w:val="center"/>
          </w:tcPr>
          <w:p>
            <w:pPr>
              <w:spacing w:line="240" w:lineRule="atLeast"/>
              <w:jc w:val="center"/>
              <w:rPr>
                <w:rFonts w:ascii="Times New Roman" w:hAnsi="Times New Roman"/>
              </w:rPr>
            </w:pPr>
            <w:r>
              <w:rPr>
                <w:rFonts w:hint="eastAsia" w:ascii="Times New Roman" w:hAnsi="Times New Roman"/>
              </w:rPr>
              <w:t>8.2777</w:t>
            </w:r>
          </w:p>
        </w:tc>
        <w:tc>
          <w:tcPr>
            <w:tcW w:w="1710" w:type="dxa"/>
            <w:vAlign w:val="center"/>
          </w:tcPr>
          <w:p>
            <w:pPr>
              <w:spacing w:line="240" w:lineRule="atLeast"/>
              <w:jc w:val="center"/>
              <w:rPr>
                <w:rFonts w:ascii="Times New Roman" w:hAnsi="Times New Roman"/>
              </w:rPr>
            </w:pPr>
            <w:r>
              <w:rPr>
                <w:rFonts w:hint="eastAsia" w:ascii="Times New Roman" w:hAnsi="Times New Roman"/>
              </w:rPr>
              <w:t>4.1388</w:t>
            </w:r>
          </w:p>
        </w:tc>
        <w:tc>
          <w:tcPr>
            <w:tcW w:w="1710" w:type="dxa"/>
            <w:vAlign w:val="center"/>
          </w:tcPr>
          <w:p>
            <w:pPr>
              <w:spacing w:line="240" w:lineRule="atLeast"/>
              <w:jc w:val="center"/>
              <w:rPr>
                <w:rFonts w:ascii="Times New Roman" w:hAnsi="Times New Roman"/>
              </w:rPr>
            </w:pPr>
            <w:r>
              <w:rPr>
                <w:rFonts w:hint="eastAsia" w:ascii="Times New Roman" w:hAnsi="Times New Roma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748" w:type="dxa"/>
            <w:vMerge w:val="continue"/>
            <w:vAlign w:val="center"/>
          </w:tcPr>
          <w:p>
            <w:pPr>
              <w:spacing w:line="240" w:lineRule="atLeast"/>
              <w:jc w:val="center"/>
              <w:rPr>
                <w:rFonts w:ascii="Times New Roman" w:hAnsi="Times New Roman"/>
              </w:rPr>
            </w:pPr>
          </w:p>
        </w:tc>
        <w:tc>
          <w:tcPr>
            <w:tcW w:w="1132" w:type="dxa"/>
            <w:vAlign w:val="center"/>
          </w:tcPr>
          <w:p>
            <w:pPr>
              <w:spacing w:line="240" w:lineRule="atLeast"/>
              <w:jc w:val="center"/>
              <w:rPr>
                <w:rFonts w:ascii="Times New Roman" w:hAnsi="Times New Roman"/>
              </w:rPr>
            </w:pPr>
            <w:r>
              <w:rPr>
                <w:rFonts w:hint="eastAsia" w:ascii="Times New Roman" w:hAnsi="Times New Roman"/>
              </w:rPr>
              <w:t>H</w:t>
            </w:r>
            <w:r>
              <w:rPr>
                <w:rFonts w:hint="eastAsia" w:ascii="Times New Roman" w:hAnsi="Times New Roman"/>
                <w:vertAlign w:val="subscript"/>
              </w:rPr>
              <w:t>2</w:t>
            </w:r>
            <w:r>
              <w:rPr>
                <w:rFonts w:hint="eastAsia" w:ascii="Times New Roman" w:hAnsi="Times New Roman"/>
              </w:rPr>
              <w:t>S</w:t>
            </w:r>
          </w:p>
        </w:tc>
        <w:tc>
          <w:tcPr>
            <w:tcW w:w="1517" w:type="dxa"/>
            <w:vAlign w:val="center"/>
          </w:tcPr>
          <w:p>
            <w:pPr>
              <w:spacing w:line="240" w:lineRule="atLeast"/>
              <w:jc w:val="center"/>
              <w:rPr>
                <w:rFonts w:ascii="Times New Roman" w:hAnsi="Times New Roman"/>
              </w:rPr>
            </w:pPr>
            <w:r>
              <w:rPr>
                <w:rFonts w:hint="eastAsia" w:ascii="Times New Roman" w:hAnsi="Times New Roman"/>
              </w:rPr>
              <w:t>10.0</w:t>
            </w:r>
          </w:p>
        </w:tc>
        <w:tc>
          <w:tcPr>
            <w:tcW w:w="1710" w:type="dxa"/>
            <w:vAlign w:val="center"/>
          </w:tcPr>
          <w:p>
            <w:pPr>
              <w:spacing w:line="240" w:lineRule="atLeast"/>
              <w:jc w:val="center"/>
              <w:rPr>
                <w:rFonts w:ascii="Times New Roman" w:hAnsi="Times New Roman"/>
              </w:rPr>
            </w:pPr>
            <w:r>
              <w:rPr>
                <w:rFonts w:hint="eastAsia" w:ascii="Times New Roman" w:hAnsi="Times New Roman"/>
              </w:rPr>
              <w:t>0.8891</w:t>
            </w:r>
          </w:p>
        </w:tc>
        <w:tc>
          <w:tcPr>
            <w:tcW w:w="1710" w:type="dxa"/>
            <w:vAlign w:val="center"/>
          </w:tcPr>
          <w:p>
            <w:pPr>
              <w:spacing w:line="240" w:lineRule="atLeast"/>
              <w:jc w:val="center"/>
              <w:rPr>
                <w:rFonts w:ascii="Times New Roman" w:hAnsi="Times New Roman"/>
              </w:rPr>
            </w:pPr>
            <w:r>
              <w:rPr>
                <w:rFonts w:hint="eastAsia" w:ascii="Times New Roman" w:hAnsi="Times New Roman"/>
              </w:rPr>
              <w:t>8.8909</w:t>
            </w:r>
          </w:p>
        </w:tc>
        <w:tc>
          <w:tcPr>
            <w:tcW w:w="1710" w:type="dxa"/>
            <w:vAlign w:val="center"/>
          </w:tcPr>
          <w:p>
            <w:pPr>
              <w:spacing w:line="240" w:lineRule="atLeast"/>
              <w:jc w:val="center"/>
              <w:rPr>
                <w:rFonts w:ascii="Times New Roman" w:hAnsi="Times New Roman"/>
              </w:rPr>
            </w:pPr>
            <w:r>
              <w:rPr>
                <w:rFonts w:hint="eastAsia" w:ascii="Times New Roman" w:hAnsi="Times New Roma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748" w:type="dxa"/>
            <w:vMerge w:val="continue"/>
            <w:vAlign w:val="center"/>
          </w:tcPr>
          <w:p>
            <w:pPr>
              <w:spacing w:line="240" w:lineRule="atLeast"/>
              <w:jc w:val="center"/>
              <w:rPr>
                <w:rFonts w:ascii="Times New Roman" w:hAnsi="Times New Roman"/>
              </w:rPr>
            </w:pPr>
          </w:p>
        </w:tc>
        <w:tc>
          <w:tcPr>
            <w:tcW w:w="1132" w:type="dxa"/>
            <w:vAlign w:val="center"/>
          </w:tcPr>
          <w:p>
            <w:pPr>
              <w:spacing w:line="240" w:lineRule="atLeast"/>
              <w:jc w:val="center"/>
              <w:rPr>
                <w:rFonts w:ascii="Times New Roman" w:hAnsi="Times New Roman"/>
              </w:rPr>
            </w:pPr>
            <w:r>
              <w:rPr>
                <w:rFonts w:hint="eastAsia" w:ascii="Times New Roman" w:hAnsi="Times New Roman"/>
              </w:rPr>
              <w:t>SO</w:t>
            </w:r>
            <w:r>
              <w:rPr>
                <w:rFonts w:hint="eastAsia" w:ascii="Times New Roman" w:hAnsi="Times New Roman"/>
                <w:vertAlign w:val="subscript"/>
              </w:rPr>
              <w:t>2</w:t>
            </w:r>
          </w:p>
        </w:tc>
        <w:tc>
          <w:tcPr>
            <w:tcW w:w="1517" w:type="dxa"/>
            <w:vAlign w:val="center"/>
          </w:tcPr>
          <w:p>
            <w:pPr>
              <w:spacing w:line="240" w:lineRule="atLeast"/>
              <w:jc w:val="center"/>
              <w:rPr>
                <w:rFonts w:ascii="Times New Roman" w:hAnsi="Times New Roman"/>
              </w:rPr>
            </w:pPr>
            <w:r>
              <w:rPr>
                <w:rFonts w:hint="eastAsia" w:ascii="Times New Roman" w:hAnsi="Times New Roman"/>
              </w:rPr>
              <w:t>500.0</w:t>
            </w:r>
          </w:p>
        </w:tc>
        <w:tc>
          <w:tcPr>
            <w:tcW w:w="1710" w:type="dxa"/>
            <w:vAlign w:val="top"/>
          </w:tcPr>
          <w:p>
            <w:pPr>
              <w:spacing w:line="240" w:lineRule="atLeast"/>
              <w:jc w:val="center"/>
              <w:rPr>
                <w:rFonts w:ascii="Times New Roman" w:hAnsi="Times New Roman"/>
              </w:rPr>
            </w:pPr>
            <w:r>
              <w:rPr>
                <w:rFonts w:ascii="Times New Roman" w:hAnsi="Times New Roman"/>
              </w:rPr>
              <w:t>0.0147</w:t>
            </w:r>
          </w:p>
        </w:tc>
        <w:tc>
          <w:tcPr>
            <w:tcW w:w="1710" w:type="dxa"/>
            <w:vAlign w:val="top"/>
          </w:tcPr>
          <w:p>
            <w:pPr>
              <w:spacing w:line="240" w:lineRule="atLeast"/>
              <w:jc w:val="center"/>
              <w:rPr>
                <w:rFonts w:ascii="Times New Roman" w:hAnsi="Times New Roman"/>
              </w:rPr>
            </w:pPr>
            <w:r>
              <w:rPr>
                <w:rFonts w:ascii="Times New Roman" w:hAnsi="Times New Roman"/>
              </w:rPr>
              <w:t>0.0029</w:t>
            </w:r>
          </w:p>
        </w:tc>
        <w:tc>
          <w:tcPr>
            <w:tcW w:w="1710" w:type="dxa"/>
            <w:vAlign w:val="center"/>
          </w:tcPr>
          <w:p>
            <w:pPr>
              <w:spacing w:line="240" w:lineRule="atLeast"/>
              <w:jc w:val="center"/>
              <w:rPr>
                <w:rFonts w:ascii="Times New Roman" w:hAnsi="Times New Roman"/>
              </w:rPr>
            </w:pPr>
            <w:r>
              <w:rPr>
                <w:rFonts w:hint="eastAsia" w:ascii="Times New Roman" w:hAnsi="Times New Roma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748" w:type="dxa"/>
            <w:vMerge w:val="continue"/>
            <w:vAlign w:val="center"/>
          </w:tcPr>
          <w:p>
            <w:pPr>
              <w:spacing w:line="240" w:lineRule="atLeast"/>
              <w:jc w:val="center"/>
              <w:rPr>
                <w:rFonts w:ascii="Times New Roman" w:hAnsi="Times New Roman"/>
              </w:rPr>
            </w:pPr>
          </w:p>
        </w:tc>
        <w:tc>
          <w:tcPr>
            <w:tcW w:w="1132" w:type="dxa"/>
            <w:vAlign w:val="center"/>
          </w:tcPr>
          <w:p>
            <w:pPr>
              <w:spacing w:line="240" w:lineRule="atLeast"/>
              <w:jc w:val="center"/>
              <w:rPr>
                <w:rFonts w:ascii="Times New Roman" w:hAnsi="Times New Roman"/>
              </w:rPr>
            </w:pPr>
            <w:r>
              <w:rPr>
                <w:rFonts w:hint="eastAsia" w:ascii="Times New Roman" w:hAnsi="Times New Roman"/>
              </w:rPr>
              <w:t>NO</w:t>
            </w:r>
            <w:r>
              <w:rPr>
                <w:rFonts w:hint="eastAsia" w:ascii="Times New Roman" w:hAnsi="Times New Roman"/>
                <w:vertAlign w:val="subscript"/>
              </w:rPr>
              <w:t>2</w:t>
            </w:r>
          </w:p>
        </w:tc>
        <w:tc>
          <w:tcPr>
            <w:tcW w:w="1517" w:type="dxa"/>
            <w:vAlign w:val="center"/>
          </w:tcPr>
          <w:p>
            <w:pPr>
              <w:spacing w:line="240" w:lineRule="atLeast"/>
              <w:jc w:val="center"/>
              <w:rPr>
                <w:rFonts w:ascii="Times New Roman" w:hAnsi="Times New Roman"/>
              </w:rPr>
            </w:pPr>
            <w:r>
              <w:rPr>
                <w:rFonts w:hint="eastAsia" w:ascii="Times New Roman" w:hAnsi="Times New Roman"/>
              </w:rPr>
              <w:t>200.0</w:t>
            </w:r>
          </w:p>
        </w:tc>
        <w:tc>
          <w:tcPr>
            <w:tcW w:w="1710" w:type="dxa"/>
            <w:vAlign w:val="center"/>
          </w:tcPr>
          <w:p>
            <w:pPr>
              <w:spacing w:line="240" w:lineRule="atLeast"/>
              <w:jc w:val="center"/>
              <w:rPr>
                <w:rFonts w:ascii="Times New Roman" w:hAnsi="Times New Roman"/>
              </w:rPr>
            </w:pPr>
            <w:r>
              <w:rPr>
                <w:rFonts w:hint="eastAsia" w:ascii="Times New Roman" w:hAnsi="Times New Roman"/>
              </w:rPr>
              <w:t>0.3526</w:t>
            </w:r>
          </w:p>
        </w:tc>
        <w:tc>
          <w:tcPr>
            <w:tcW w:w="1710" w:type="dxa"/>
            <w:vAlign w:val="center"/>
          </w:tcPr>
          <w:p>
            <w:pPr>
              <w:spacing w:line="240" w:lineRule="atLeast"/>
              <w:jc w:val="center"/>
              <w:rPr>
                <w:rFonts w:ascii="Times New Roman" w:hAnsi="Times New Roman"/>
              </w:rPr>
            </w:pPr>
            <w:r>
              <w:rPr>
                <w:rFonts w:hint="eastAsia" w:ascii="Times New Roman" w:hAnsi="Times New Roman"/>
              </w:rPr>
              <w:t>0.1763</w:t>
            </w:r>
          </w:p>
        </w:tc>
        <w:tc>
          <w:tcPr>
            <w:tcW w:w="1710" w:type="dxa"/>
            <w:vAlign w:val="center"/>
          </w:tcPr>
          <w:p>
            <w:pPr>
              <w:spacing w:line="240" w:lineRule="atLeast"/>
              <w:jc w:val="center"/>
              <w:rPr>
                <w:rFonts w:ascii="Times New Roman" w:hAnsi="Times New Roman"/>
              </w:rPr>
            </w:pPr>
            <w:r>
              <w:rPr>
                <w:rFonts w:hint="eastAsia" w:ascii="Times New Roman" w:hAnsi="Times New Roman"/>
              </w:rPr>
              <w:t>/</w:t>
            </w:r>
          </w:p>
        </w:tc>
      </w:tr>
    </w:tbl>
    <w:p>
      <w:pPr>
        <w:spacing w:line="480" w:lineRule="exact"/>
        <w:jc w:val="center"/>
        <w:rPr>
          <w:rFonts w:ascii="Times New Roman" w:hAnsi="Times New Roman"/>
          <w:b/>
        </w:rPr>
      </w:pPr>
    </w:p>
    <w:p>
      <w:pPr>
        <w:pStyle w:val="155"/>
        <w:spacing w:line="480" w:lineRule="exact"/>
        <w:ind w:firstLine="480"/>
      </w:pPr>
      <w:r>
        <w:t>综合以上分析，</w:t>
      </w:r>
      <w:r>
        <w:rPr>
          <w:rFonts w:hint="eastAsia"/>
        </w:rPr>
        <w:t>本项目</w:t>
      </w:r>
      <w:r>
        <w:t>Pmax最大值出现为高温干热系统废气排放的H</w:t>
      </w:r>
      <w:r>
        <w:rPr>
          <w:vertAlign w:val="subscript"/>
        </w:rPr>
        <w:t>2</w:t>
      </w:r>
      <w:r>
        <w:t>S</w:t>
      </w:r>
      <w:r>
        <w:rPr>
          <w:rFonts w:hint="eastAsia"/>
        </w:rPr>
        <w:t>，</w:t>
      </w:r>
      <w:r>
        <w:t>Pmax值为8.8909%，C</w:t>
      </w:r>
      <w:r>
        <w:rPr>
          <w:vertAlign w:val="subscript"/>
        </w:rPr>
        <w:t>max</w:t>
      </w:r>
      <w:r>
        <w:t>为0.8891μg/m³，根据《环境影响评价技术导则 大气环境》（HJ2.2-2018）分级判据，确定本项目大气环境影响评价工作等级为二级。</w:t>
      </w:r>
    </w:p>
    <w:p>
      <w:pPr>
        <w:widowControl/>
        <w:spacing w:line="480" w:lineRule="exact"/>
        <w:outlineLvl w:val="3"/>
        <w:rPr>
          <w:rFonts w:ascii="Times New Roman" w:hAnsi="Times New Roman" w:eastAsia="黑体"/>
          <w:sz w:val="24"/>
        </w:rPr>
      </w:pPr>
      <w:bookmarkStart w:id="347" w:name="_Toc407350227"/>
      <w:bookmarkStart w:id="348" w:name="_Toc482020593"/>
      <w:bookmarkStart w:id="349" w:name="_Toc458063822"/>
      <w:bookmarkStart w:id="350" w:name="_Toc409529914"/>
      <w:bookmarkStart w:id="351" w:name="_Toc480983811"/>
      <w:bookmarkStart w:id="352" w:name="_Toc453708922"/>
      <w:bookmarkStart w:id="353" w:name="_Toc409529714"/>
      <w:bookmarkStart w:id="354" w:name="_Toc480190430"/>
      <w:bookmarkStart w:id="355" w:name="_Toc406771993"/>
      <w:bookmarkStart w:id="356" w:name="_Toc486970354"/>
      <w:bookmarkStart w:id="357" w:name="_Toc406572451"/>
      <w:bookmarkStart w:id="358" w:name="_Toc416966864"/>
      <w:bookmarkStart w:id="359" w:name="_Toc464036652"/>
      <w:bookmarkStart w:id="360" w:name="_Toc466271350"/>
      <w:r>
        <w:rPr>
          <w:rFonts w:ascii="Times New Roman" w:hAnsi="Times New Roman" w:eastAsia="黑体"/>
          <w:sz w:val="24"/>
        </w:rPr>
        <w:t>2.4.1.2.地表水</w:t>
      </w:r>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p>
    <w:p>
      <w:pPr>
        <w:spacing w:line="480" w:lineRule="exact"/>
        <w:ind w:firstLine="480" w:firstLineChars="200"/>
        <w:rPr>
          <w:rFonts w:ascii="Times New Roman" w:hAnsi="Times New Roman"/>
          <w:sz w:val="24"/>
        </w:rPr>
      </w:pPr>
      <w:r>
        <w:rPr>
          <w:rFonts w:ascii="Times New Roman" w:hAnsi="Times New Roman"/>
          <w:sz w:val="24"/>
        </w:rPr>
        <w:t>根据《环境影响评价技术导则 地表水环境》（HJ2.3-2018）中“5.2评价等级确定”章节中“5.2.2水污染影响型建设项目应根据废水排放方式和排放量划分评价等级”，判定依据见表2.4-6。</w:t>
      </w:r>
    </w:p>
    <w:p>
      <w:pPr>
        <w:snapToGrid w:val="0"/>
        <w:spacing w:line="480" w:lineRule="exact"/>
        <w:jc w:val="center"/>
        <w:rPr>
          <w:rFonts w:ascii="Times New Roman" w:hAnsi="Times New Roman"/>
          <w:b/>
        </w:rPr>
      </w:pPr>
      <w:r>
        <w:rPr>
          <w:rFonts w:ascii="Times New Roman" w:hAnsi="Times New Roman"/>
          <w:b/>
        </w:rPr>
        <w:t>表2.4-6 水污染影响型建设项目评价等级判定</w:t>
      </w:r>
    </w:p>
    <w:tbl>
      <w:tblPr>
        <w:tblStyle w:val="7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29"/>
        <w:gridCol w:w="1704"/>
        <w:gridCol w:w="529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 w:hRule="atLeast"/>
          <w:jc w:val="center"/>
        </w:trPr>
        <w:tc>
          <w:tcPr>
            <w:tcW w:w="1526" w:type="dxa"/>
            <w:vMerge w:val="restart"/>
            <w:vAlign w:val="center"/>
          </w:tcPr>
          <w:p>
            <w:pPr>
              <w:snapToGrid w:val="0"/>
              <w:spacing w:line="280" w:lineRule="exact"/>
              <w:jc w:val="center"/>
              <w:rPr>
                <w:rFonts w:ascii="Times New Roman" w:hAnsi="Times New Roman"/>
                <w:b/>
              </w:rPr>
            </w:pPr>
            <w:r>
              <w:rPr>
                <w:rFonts w:ascii="Times New Roman" w:hAnsi="Times New Roman"/>
                <w:b/>
              </w:rPr>
              <w:t>评价等级</w:t>
            </w:r>
          </w:p>
        </w:tc>
        <w:tc>
          <w:tcPr>
            <w:tcW w:w="7002" w:type="dxa"/>
            <w:gridSpan w:val="2"/>
            <w:vAlign w:val="center"/>
          </w:tcPr>
          <w:p>
            <w:pPr>
              <w:snapToGrid w:val="0"/>
              <w:spacing w:line="280" w:lineRule="exact"/>
              <w:jc w:val="center"/>
              <w:rPr>
                <w:rFonts w:ascii="Times New Roman" w:hAnsi="Times New Roman"/>
                <w:b/>
              </w:rPr>
            </w:pPr>
            <w:r>
              <w:rPr>
                <w:rFonts w:ascii="Times New Roman" w:hAnsi="Times New Roman"/>
                <w:b/>
              </w:rPr>
              <w:t>判定依据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526" w:type="dxa"/>
            <w:vMerge w:val="continue"/>
            <w:vAlign w:val="center"/>
          </w:tcPr>
          <w:p>
            <w:pPr>
              <w:snapToGrid w:val="0"/>
              <w:spacing w:line="280" w:lineRule="exact"/>
              <w:jc w:val="center"/>
              <w:rPr>
                <w:rFonts w:ascii="Times New Roman" w:hAnsi="Times New Roman"/>
              </w:rPr>
            </w:pPr>
          </w:p>
        </w:tc>
        <w:tc>
          <w:tcPr>
            <w:tcW w:w="1701" w:type="dxa"/>
            <w:vAlign w:val="center"/>
          </w:tcPr>
          <w:p>
            <w:pPr>
              <w:snapToGrid w:val="0"/>
              <w:spacing w:line="280" w:lineRule="exact"/>
              <w:jc w:val="center"/>
              <w:rPr>
                <w:rFonts w:ascii="Times New Roman" w:hAnsi="Times New Roman"/>
                <w:b/>
              </w:rPr>
            </w:pPr>
            <w:r>
              <w:rPr>
                <w:rFonts w:ascii="Times New Roman" w:hAnsi="Times New Roman"/>
                <w:b/>
              </w:rPr>
              <w:t>排放方式</w:t>
            </w:r>
          </w:p>
        </w:tc>
        <w:tc>
          <w:tcPr>
            <w:tcW w:w="5301" w:type="dxa"/>
            <w:vAlign w:val="center"/>
          </w:tcPr>
          <w:p>
            <w:pPr>
              <w:snapToGrid w:val="0"/>
              <w:spacing w:line="280" w:lineRule="exact"/>
              <w:jc w:val="center"/>
              <w:rPr>
                <w:rFonts w:ascii="Times New Roman" w:hAnsi="Times New Roman"/>
                <w:b/>
              </w:rPr>
            </w:pPr>
            <w:r>
              <w:rPr>
                <w:rFonts w:ascii="Times New Roman" w:hAnsi="Times New Roman"/>
                <w:b/>
              </w:rPr>
              <w:t>废水排放量Q（m</w:t>
            </w:r>
            <w:r>
              <w:rPr>
                <w:rFonts w:ascii="Times New Roman" w:hAnsi="Times New Roman"/>
                <w:b/>
                <w:vertAlign w:val="superscript"/>
              </w:rPr>
              <w:t>3</w:t>
            </w:r>
            <w:r>
              <w:rPr>
                <w:rFonts w:ascii="Times New Roman" w:hAnsi="Times New Roman"/>
                <w:b/>
              </w:rPr>
              <w:t>/d），水污染物当量数W/(无量纲)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526" w:type="dxa"/>
            <w:vAlign w:val="center"/>
          </w:tcPr>
          <w:p>
            <w:pPr>
              <w:snapToGrid w:val="0"/>
              <w:spacing w:line="280" w:lineRule="exact"/>
              <w:jc w:val="center"/>
              <w:rPr>
                <w:rFonts w:ascii="Times New Roman" w:hAnsi="Times New Roman"/>
              </w:rPr>
            </w:pPr>
            <w:r>
              <w:rPr>
                <w:rFonts w:ascii="Times New Roman" w:hAnsi="Times New Roman"/>
              </w:rPr>
              <w:t>一级</w:t>
            </w:r>
          </w:p>
        </w:tc>
        <w:tc>
          <w:tcPr>
            <w:tcW w:w="1701" w:type="dxa"/>
            <w:vAlign w:val="center"/>
          </w:tcPr>
          <w:p>
            <w:pPr>
              <w:snapToGrid w:val="0"/>
              <w:spacing w:line="280" w:lineRule="exact"/>
              <w:jc w:val="center"/>
              <w:rPr>
                <w:rFonts w:ascii="Times New Roman" w:hAnsi="Times New Roman"/>
              </w:rPr>
            </w:pPr>
            <w:r>
              <w:rPr>
                <w:rFonts w:ascii="Times New Roman" w:hAnsi="Times New Roman"/>
              </w:rPr>
              <w:t>直接排放</w:t>
            </w:r>
          </w:p>
        </w:tc>
        <w:tc>
          <w:tcPr>
            <w:tcW w:w="5301" w:type="dxa"/>
            <w:vAlign w:val="center"/>
          </w:tcPr>
          <w:p>
            <w:pPr>
              <w:snapToGrid w:val="0"/>
              <w:spacing w:line="280" w:lineRule="exact"/>
              <w:jc w:val="center"/>
              <w:rPr>
                <w:rFonts w:ascii="Times New Roman" w:hAnsi="Times New Roman"/>
              </w:rPr>
            </w:pPr>
            <w:r>
              <w:rPr>
                <w:rFonts w:ascii="Times New Roman" w:hAnsi="Times New Roman"/>
              </w:rPr>
              <w:t>Q≥2000或W≥600000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526" w:type="dxa"/>
            <w:vAlign w:val="center"/>
          </w:tcPr>
          <w:p>
            <w:pPr>
              <w:snapToGrid w:val="0"/>
              <w:spacing w:line="280" w:lineRule="exact"/>
              <w:jc w:val="center"/>
              <w:rPr>
                <w:rFonts w:ascii="Times New Roman" w:hAnsi="Times New Roman"/>
              </w:rPr>
            </w:pPr>
            <w:r>
              <w:rPr>
                <w:rFonts w:ascii="Times New Roman" w:hAnsi="Times New Roman"/>
              </w:rPr>
              <w:t>二级</w:t>
            </w:r>
          </w:p>
        </w:tc>
        <w:tc>
          <w:tcPr>
            <w:tcW w:w="1701" w:type="dxa"/>
            <w:vAlign w:val="center"/>
          </w:tcPr>
          <w:p>
            <w:pPr>
              <w:snapToGrid w:val="0"/>
              <w:spacing w:line="280" w:lineRule="exact"/>
              <w:jc w:val="center"/>
              <w:rPr>
                <w:rFonts w:ascii="Times New Roman" w:hAnsi="Times New Roman"/>
              </w:rPr>
            </w:pPr>
            <w:r>
              <w:rPr>
                <w:rFonts w:ascii="Times New Roman" w:hAnsi="Times New Roman"/>
              </w:rPr>
              <w:t>直接排放</w:t>
            </w:r>
          </w:p>
        </w:tc>
        <w:tc>
          <w:tcPr>
            <w:tcW w:w="5301" w:type="dxa"/>
            <w:vAlign w:val="center"/>
          </w:tcPr>
          <w:p>
            <w:pPr>
              <w:snapToGrid w:val="0"/>
              <w:spacing w:line="280" w:lineRule="exact"/>
              <w:jc w:val="center"/>
              <w:rPr>
                <w:rFonts w:ascii="Times New Roman" w:hAnsi="Times New Roman"/>
              </w:rPr>
            </w:pPr>
            <w:r>
              <w:rPr>
                <w:rFonts w:ascii="Times New Roman" w:hAnsi="Times New Roman"/>
              </w:rPr>
              <w:t>其他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526" w:type="dxa"/>
            <w:vAlign w:val="center"/>
          </w:tcPr>
          <w:p>
            <w:pPr>
              <w:snapToGrid w:val="0"/>
              <w:spacing w:line="280" w:lineRule="exact"/>
              <w:jc w:val="center"/>
              <w:rPr>
                <w:rFonts w:ascii="Times New Roman" w:hAnsi="Times New Roman"/>
              </w:rPr>
            </w:pPr>
            <w:r>
              <w:rPr>
                <w:rFonts w:ascii="Times New Roman" w:hAnsi="Times New Roman"/>
              </w:rPr>
              <w:t>三级A</w:t>
            </w:r>
          </w:p>
        </w:tc>
        <w:tc>
          <w:tcPr>
            <w:tcW w:w="1701" w:type="dxa"/>
            <w:vAlign w:val="center"/>
          </w:tcPr>
          <w:p>
            <w:pPr>
              <w:snapToGrid w:val="0"/>
              <w:spacing w:line="280" w:lineRule="exact"/>
              <w:jc w:val="center"/>
              <w:rPr>
                <w:rFonts w:ascii="Times New Roman" w:hAnsi="Times New Roman"/>
              </w:rPr>
            </w:pPr>
            <w:r>
              <w:rPr>
                <w:rFonts w:ascii="Times New Roman" w:hAnsi="Times New Roman"/>
              </w:rPr>
              <w:t>直接排放</w:t>
            </w:r>
          </w:p>
        </w:tc>
        <w:tc>
          <w:tcPr>
            <w:tcW w:w="5301" w:type="dxa"/>
            <w:vAlign w:val="center"/>
          </w:tcPr>
          <w:p>
            <w:pPr>
              <w:snapToGrid w:val="0"/>
              <w:spacing w:line="280" w:lineRule="exact"/>
              <w:jc w:val="center"/>
              <w:rPr>
                <w:rFonts w:ascii="Times New Roman" w:hAnsi="Times New Roman"/>
              </w:rPr>
            </w:pPr>
            <w:r>
              <w:rPr>
                <w:rFonts w:ascii="Times New Roman" w:hAnsi="Times New Roman"/>
              </w:rPr>
              <w:t>Q＜200且W＜6000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526" w:type="dxa"/>
            <w:vAlign w:val="center"/>
          </w:tcPr>
          <w:p>
            <w:pPr>
              <w:snapToGrid w:val="0"/>
              <w:spacing w:line="280" w:lineRule="exact"/>
              <w:jc w:val="center"/>
              <w:rPr>
                <w:rFonts w:ascii="Times New Roman" w:hAnsi="Times New Roman"/>
              </w:rPr>
            </w:pPr>
            <w:r>
              <w:rPr>
                <w:rFonts w:ascii="Times New Roman" w:hAnsi="Times New Roman"/>
              </w:rPr>
              <w:t>三级B</w:t>
            </w:r>
          </w:p>
        </w:tc>
        <w:tc>
          <w:tcPr>
            <w:tcW w:w="1701" w:type="dxa"/>
            <w:vAlign w:val="center"/>
          </w:tcPr>
          <w:p>
            <w:pPr>
              <w:snapToGrid w:val="0"/>
              <w:spacing w:line="280" w:lineRule="exact"/>
              <w:jc w:val="center"/>
              <w:rPr>
                <w:rFonts w:ascii="Times New Roman" w:hAnsi="Times New Roman"/>
              </w:rPr>
            </w:pPr>
            <w:r>
              <w:rPr>
                <w:rFonts w:ascii="Times New Roman" w:hAnsi="Times New Roman"/>
              </w:rPr>
              <w:t>间接排放</w:t>
            </w:r>
          </w:p>
        </w:tc>
        <w:tc>
          <w:tcPr>
            <w:tcW w:w="5301" w:type="dxa"/>
            <w:vAlign w:val="center"/>
          </w:tcPr>
          <w:p>
            <w:pPr>
              <w:snapToGrid w:val="0"/>
              <w:spacing w:line="280" w:lineRule="exact"/>
              <w:jc w:val="center"/>
              <w:rPr>
                <w:rFonts w:ascii="Times New Roman" w:hAnsi="Times New Roman"/>
              </w:rPr>
            </w:pPr>
            <w:r>
              <w:rPr>
                <w:rFonts w:ascii="Times New Roman" w:hAnsi="Times New Roma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528" w:type="dxa"/>
            <w:gridSpan w:val="3"/>
            <w:vAlign w:val="center"/>
          </w:tcPr>
          <w:p>
            <w:pPr>
              <w:snapToGrid w:val="0"/>
              <w:spacing w:line="280" w:lineRule="exact"/>
              <w:rPr>
                <w:rFonts w:ascii="Times New Roman" w:hAnsi="Times New Roman"/>
              </w:rPr>
            </w:pPr>
            <w:r>
              <w:rPr>
                <w:rFonts w:ascii="Times New Roman" w:hAnsi="Times New Roman"/>
              </w:rPr>
              <w:t>注1：水污染物当量数等于该污染物的年排放量除以该污染物的污染当量值，计算排放污染物的污染物当量数，应区分第一类水污染物和其他类水污染物，统计第一类污染物当量数总和，然后与其他类污染物按照污染物当量数从大到小排序，取最大当量数作为建设项目评价等级确定的依据。</w:t>
            </w:r>
          </w:p>
          <w:p>
            <w:pPr>
              <w:snapToGrid w:val="0"/>
              <w:spacing w:line="280" w:lineRule="exact"/>
              <w:rPr>
                <w:rFonts w:ascii="Times New Roman" w:hAnsi="Times New Roman"/>
              </w:rPr>
            </w:pPr>
            <w:r>
              <w:rPr>
                <w:rFonts w:ascii="Times New Roman" w:hAnsi="Times New Roman"/>
              </w:rPr>
              <w:t>注2：废水排放量按行业排放标准中规定的废水种类统计，没有相关行业排放标准要求的通过工程分析合理确定，应统计含热量大的冷却水的排放量，可不统计间接冷却水、循环水以及其他含污染物极少的清净下水的排放量。</w:t>
            </w:r>
          </w:p>
          <w:p>
            <w:pPr>
              <w:snapToGrid w:val="0"/>
              <w:spacing w:line="280" w:lineRule="exact"/>
              <w:rPr>
                <w:rFonts w:ascii="Times New Roman" w:hAnsi="Times New Roman"/>
              </w:rPr>
            </w:pPr>
            <w:r>
              <w:rPr>
                <w:rFonts w:ascii="Times New Roman" w:hAnsi="Times New Roman"/>
              </w:rPr>
              <w:t>注3：厂区存在堆积物（露天堆放的原料、燃料、废渣等以及垃圾堆放场）、降尘污染的，应将初期雨污水纳入废水排放量，相应的主要污染物的入水污染当量计算。</w:t>
            </w:r>
          </w:p>
          <w:p>
            <w:pPr>
              <w:snapToGrid w:val="0"/>
              <w:spacing w:line="280" w:lineRule="exact"/>
              <w:rPr>
                <w:rFonts w:ascii="Times New Roman" w:hAnsi="Times New Roman"/>
              </w:rPr>
            </w:pPr>
            <w:r>
              <w:rPr>
                <w:rFonts w:ascii="Times New Roman" w:hAnsi="Times New Roman"/>
              </w:rPr>
              <w:t>注4：建设项目直接排放第一类污染物的，其评价等级为一级，建设项目直接放的污染物为受纳水体超标因子的，评价等级不低于二级。</w:t>
            </w:r>
          </w:p>
          <w:p>
            <w:pPr>
              <w:snapToGrid w:val="0"/>
              <w:spacing w:line="280" w:lineRule="exact"/>
              <w:rPr>
                <w:rFonts w:ascii="Times New Roman" w:hAnsi="Times New Roman"/>
              </w:rPr>
            </w:pPr>
            <w:r>
              <w:rPr>
                <w:rFonts w:ascii="Times New Roman" w:hAnsi="Times New Roman"/>
              </w:rPr>
              <w:t>注5：直接排放受纳水体影响范围渉及饮用水水源保护区、饮用水取水口、重点保护与珍稀水生生物的栖息地、要水生生物的自然产卵场等保护目标时，评价等级不低于二级。</w:t>
            </w:r>
          </w:p>
          <w:p>
            <w:pPr>
              <w:snapToGrid w:val="0"/>
              <w:spacing w:line="280" w:lineRule="exact"/>
              <w:rPr>
                <w:rFonts w:ascii="Times New Roman" w:hAnsi="Times New Roman"/>
              </w:rPr>
            </w:pPr>
            <w:r>
              <w:rPr>
                <w:rFonts w:ascii="Times New Roman" w:hAnsi="Times New Roman"/>
              </w:rPr>
              <w:t>注6：建设项目向河流、湖库排放温排水引起受纳水体水温变化超过水环境质量标准要求，且评价范国有水温敏感目标时，评价等级为一级。</w:t>
            </w:r>
          </w:p>
          <w:p>
            <w:pPr>
              <w:snapToGrid w:val="0"/>
              <w:spacing w:line="280" w:lineRule="exact"/>
              <w:rPr>
                <w:rFonts w:ascii="Times New Roman" w:hAnsi="Times New Roman"/>
              </w:rPr>
            </w:pPr>
            <w:r>
              <w:rPr>
                <w:rFonts w:ascii="Times New Roman" w:hAnsi="Times New Roman"/>
              </w:rPr>
              <w:t>注7：建设项目利用海水作为调节温度介质，排水量≥500万m</w:t>
            </w:r>
            <w:r>
              <w:rPr>
                <w:rFonts w:ascii="Times New Roman" w:hAnsi="Times New Roman"/>
                <w:vertAlign w:val="superscript"/>
              </w:rPr>
              <w:t>3</w:t>
            </w:r>
            <w:r>
              <w:rPr>
                <w:rFonts w:ascii="Times New Roman" w:hAnsi="Times New Roman"/>
              </w:rPr>
              <w:t>/d，评价等级为一级：排水量＜500万m</w:t>
            </w:r>
            <w:r>
              <w:rPr>
                <w:rFonts w:ascii="Times New Roman" w:hAnsi="Times New Roman"/>
                <w:vertAlign w:val="superscript"/>
              </w:rPr>
              <w:t>3</w:t>
            </w:r>
            <w:r>
              <w:rPr>
                <w:rFonts w:ascii="Times New Roman" w:hAnsi="Times New Roman"/>
              </w:rPr>
              <w:t>/d，评价等级为二级。</w:t>
            </w:r>
          </w:p>
          <w:p>
            <w:pPr>
              <w:snapToGrid w:val="0"/>
              <w:spacing w:line="280" w:lineRule="exact"/>
              <w:rPr>
                <w:rFonts w:ascii="Times New Roman" w:hAnsi="Times New Roman"/>
              </w:rPr>
            </w:pPr>
            <w:r>
              <w:rPr>
                <w:rFonts w:ascii="Times New Roman" w:hAnsi="Times New Roman"/>
              </w:rPr>
              <w:t>注8：仅涉及清净下水排放的。如其排放水质满足受纳水体水环境质量标准要求的，评价等级为三级A。</w:t>
            </w:r>
          </w:p>
          <w:p>
            <w:pPr>
              <w:snapToGrid w:val="0"/>
              <w:spacing w:line="280" w:lineRule="exact"/>
              <w:rPr>
                <w:rFonts w:ascii="Times New Roman" w:hAnsi="Times New Roman"/>
              </w:rPr>
            </w:pPr>
            <w:r>
              <w:rPr>
                <w:rFonts w:ascii="Times New Roman" w:hAnsi="Times New Roman"/>
              </w:rPr>
              <w:t>注9：依托现有排放口，且对外环境未新增排放污染物的直接排放建设项目，评价等级参照间接排放，定为三级B。</w:t>
            </w:r>
          </w:p>
          <w:p>
            <w:pPr>
              <w:snapToGrid w:val="0"/>
              <w:spacing w:line="280" w:lineRule="exact"/>
              <w:rPr>
                <w:rFonts w:ascii="Times New Roman" w:hAnsi="Times New Roman"/>
              </w:rPr>
            </w:pPr>
            <w:r>
              <w:rPr>
                <w:rFonts w:ascii="Times New Roman" w:hAnsi="Times New Roman"/>
              </w:rPr>
              <w:t>注10：建设项目生产工艺中有废水产生，但作为回水利用，不排放到外环境的，按三级B评价。</w:t>
            </w:r>
          </w:p>
        </w:tc>
      </w:tr>
    </w:tbl>
    <w:p>
      <w:pPr>
        <w:widowControl/>
        <w:spacing w:line="480" w:lineRule="exact"/>
        <w:ind w:firstLine="480" w:firstLineChars="200"/>
        <w:rPr>
          <w:rFonts w:ascii="Times New Roman" w:hAnsi="Times New Roman"/>
          <w:kern w:val="2"/>
          <w:sz w:val="24"/>
          <w:szCs w:val="24"/>
        </w:rPr>
      </w:pPr>
      <w:r>
        <w:rPr>
          <w:rFonts w:ascii="Times New Roman" w:hAnsi="Times New Roman"/>
          <w:kern w:val="2"/>
          <w:sz w:val="24"/>
          <w:szCs w:val="24"/>
        </w:rPr>
        <w:t>本项目生产废水包括车间地面消毒清洗废水、转运车消毒清洗废水、周转箱消毒清洗废水</w:t>
      </w:r>
      <w:r>
        <w:rPr>
          <w:rFonts w:hint="eastAsia" w:ascii="Times New Roman" w:hAnsi="Times New Roman"/>
          <w:kern w:val="2"/>
          <w:sz w:val="24"/>
          <w:szCs w:val="24"/>
        </w:rPr>
        <w:t>和工艺渗滤液</w:t>
      </w:r>
      <w:r>
        <w:rPr>
          <w:rFonts w:ascii="Times New Roman" w:hAnsi="Times New Roman"/>
          <w:kern w:val="2"/>
          <w:sz w:val="24"/>
          <w:szCs w:val="24"/>
        </w:rPr>
        <w:t>，生产废水经企业</w:t>
      </w:r>
      <w:r>
        <w:rPr>
          <w:rFonts w:hint="eastAsia" w:ascii="Times New Roman" w:hAnsi="Times New Roman"/>
          <w:kern w:val="2"/>
          <w:sz w:val="24"/>
          <w:szCs w:val="24"/>
        </w:rPr>
        <w:t>现有</w:t>
      </w:r>
      <w:r>
        <w:rPr>
          <w:rFonts w:ascii="Times New Roman" w:hAnsi="Times New Roman"/>
          <w:kern w:val="2"/>
          <w:sz w:val="24"/>
          <w:szCs w:val="24"/>
        </w:rPr>
        <w:t>污水处理站(工艺流程：格栅→调节池→一体化污水处理设备(水解酸化池→接触氧化池 →二沉池 →MBR 池) →二氧化氯发生器→回用水池) 处理后满足《城市污水再生利用城市杂用水水质》( GB/T18920-2002 ) 中“车辆冲洗标准”，厂内全部回用 (回用于车间地面消毒清洗用水、转运车消毒清洗用水和周转箱消毒清洗用水) ，不外排。通过上述分析可知，本项目生产工艺中有废水产生，但作为回水利用，不外排到外环境</w:t>
      </w:r>
      <w:r>
        <w:rPr>
          <w:rFonts w:hint="eastAsia" w:ascii="Times New Roman" w:hAnsi="Times New Roman"/>
          <w:kern w:val="2"/>
          <w:sz w:val="24"/>
          <w:szCs w:val="24"/>
        </w:rPr>
        <w:t>。</w:t>
      </w:r>
      <w:r>
        <w:rPr>
          <w:rFonts w:ascii="Times New Roman" w:hAnsi="Times New Roman"/>
          <w:kern w:val="2"/>
          <w:sz w:val="24"/>
          <w:szCs w:val="24"/>
        </w:rPr>
        <w:t xml:space="preserve"> </w:t>
      </w:r>
    </w:p>
    <w:p>
      <w:pPr>
        <w:pStyle w:val="541"/>
        <w:spacing w:line="480" w:lineRule="exact"/>
        <w:ind w:firstLine="480"/>
        <w:rPr>
          <w:rFonts w:ascii="Times New Roman" w:hAnsi="Times New Roman" w:cs="Times New Roman"/>
        </w:rPr>
      </w:pPr>
      <w:r>
        <w:rPr>
          <w:rFonts w:ascii="Times New Roman" w:hAnsi="Times New Roman" w:cs="Times New Roman"/>
        </w:rPr>
        <w:t>因此项目地表水环境影响评价等级为三级B。</w:t>
      </w:r>
      <w:bookmarkStart w:id="361" w:name="_Toc458063823"/>
      <w:bookmarkStart w:id="362" w:name="_Toc466271351"/>
      <w:bookmarkStart w:id="363" w:name="_Toc482020594"/>
      <w:bookmarkStart w:id="364" w:name="_Toc480983812"/>
      <w:bookmarkStart w:id="365" w:name="_Toc453708923"/>
      <w:bookmarkStart w:id="366" w:name="_Toc464036653"/>
      <w:bookmarkStart w:id="367" w:name="_Toc486970355"/>
      <w:bookmarkStart w:id="368" w:name="_Toc480190431"/>
    </w:p>
    <w:p>
      <w:pPr>
        <w:widowControl/>
        <w:spacing w:line="480" w:lineRule="exact"/>
        <w:outlineLvl w:val="3"/>
        <w:rPr>
          <w:rFonts w:ascii="Times New Roman" w:hAnsi="Times New Roman" w:eastAsia="黑体"/>
          <w:sz w:val="24"/>
        </w:rPr>
      </w:pPr>
      <w:r>
        <w:rPr>
          <w:rFonts w:ascii="Times New Roman" w:hAnsi="Times New Roman" w:eastAsia="黑体"/>
          <w:sz w:val="24"/>
        </w:rPr>
        <w:t>2.4.1.3.地下水</w:t>
      </w:r>
      <w:bookmarkEnd w:id="361"/>
      <w:bookmarkEnd w:id="362"/>
      <w:bookmarkEnd w:id="363"/>
      <w:bookmarkEnd w:id="364"/>
      <w:bookmarkEnd w:id="365"/>
      <w:bookmarkEnd w:id="366"/>
      <w:bookmarkEnd w:id="367"/>
      <w:bookmarkEnd w:id="368"/>
    </w:p>
    <w:p>
      <w:pPr>
        <w:pStyle w:val="541"/>
        <w:spacing w:line="480" w:lineRule="exact"/>
        <w:ind w:firstLine="480"/>
        <w:rPr>
          <w:rFonts w:ascii="Times New Roman" w:hAnsi="Times New Roman" w:cs="Times New Roman"/>
        </w:rPr>
      </w:pPr>
      <w:r>
        <w:rPr>
          <w:rFonts w:ascii="Times New Roman" w:hAnsi="Times New Roman" w:cs="Times New Roman"/>
        </w:rPr>
        <w:t>根据《环境影响评价技术导则 地下水环境》（HJ610-2016），建设项目地下水环境影响评价工作等级的划分应依据建设项目行业分类和地下水环境敏感程度分级进行判定。</w:t>
      </w:r>
    </w:p>
    <w:p>
      <w:pPr>
        <w:pStyle w:val="541"/>
        <w:spacing w:line="480" w:lineRule="exact"/>
        <w:ind w:firstLine="480"/>
        <w:rPr>
          <w:rFonts w:ascii="Times New Roman" w:hAnsi="Times New Roman" w:cs="Times New Roman"/>
        </w:rPr>
      </w:pPr>
      <w:r>
        <w:rPr>
          <w:rFonts w:ascii="Times New Roman" w:hAnsi="Times New Roman" w:cs="Times New Roman"/>
        </w:rPr>
        <w:t>（1）建设项目行业分类</w:t>
      </w:r>
    </w:p>
    <w:p>
      <w:pPr>
        <w:pStyle w:val="541"/>
        <w:spacing w:line="480" w:lineRule="exact"/>
        <w:ind w:firstLine="480"/>
        <w:rPr>
          <w:rFonts w:ascii="Times New Roman" w:hAnsi="Times New Roman" w:cs="Times New Roman"/>
        </w:rPr>
      </w:pPr>
      <w:r>
        <w:rPr>
          <w:rFonts w:ascii="Times New Roman" w:hAnsi="Times New Roman" w:cs="Times New Roman"/>
        </w:rPr>
        <w:t>根据《环境影响评价技术导则 地下水环境》（HJ610-2016）附录A地下水环境影响评价行业分类表，本项目属于“U城市基础设施及房地产 151、危险废物（含医疗废物）集中处置及综合利用 全部”，地下水环境影响评价项目类别为I类项目。</w:t>
      </w:r>
    </w:p>
    <w:p>
      <w:pPr>
        <w:snapToGrid w:val="0"/>
        <w:spacing w:line="480" w:lineRule="exact"/>
        <w:jc w:val="center"/>
        <w:rPr>
          <w:rFonts w:ascii="Times New Roman" w:hAnsi="Times New Roman"/>
          <w:b/>
        </w:rPr>
      </w:pPr>
      <w:r>
        <w:rPr>
          <w:rFonts w:ascii="Times New Roman" w:hAnsi="Times New Roman"/>
          <w:b/>
        </w:rPr>
        <w:t>表2.4-7 地下水环境影响评价行业分类表</w:t>
      </w:r>
    </w:p>
    <w:tbl>
      <w:tblPr>
        <w:tblStyle w:val="7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129"/>
        <w:gridCol w:w="1358"/>
        <w:gridCol w:w="953"/>
        <w:gridCol w:w="1498"/>
        <w:gridCol w:w="159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1835" w:type="pct"/>
            <w:vMerge w:val="restart"/>
            <w:tcBorders>
              <w:tl2br w:val="single" w:color="auto" w:sz="4" w:space="0"/>
            </w:tcBorders>
          </w:tcPr>
          <w:p>
            <w:pPr>
              <w:snapToGrid w:val="0"/>
              <w:spacing w:line="280" w:lineRule="exact"/>
              <w:jc w:val="center"/>
              <w:rPr>
                <w:rFonts w:ascii="Times New Roman" w:hAnsi="Times New Roman"/>
              </w:rPr>
            </w:pPr>
            <w:r>
              <w:rPr>
                <w:rFonts w:ascii="Times New Roman" w:hAnsi="Times New Roman"/>
              </w:rPr>
              <w:t xml:space="preserve">           环评类别</w:t>
            </w:r>
          </w:p>
          <w:p>
            <w:pPr>
              <w:snapToGrid w:val="0"/>
              <w:spacing w:line="280" w:lineRule="exact"/>
              <w:rPr>
                <w:rFonts w:ascii="Times New Roman" w:hAnsi="Times New Roman"/>
              </w:rPr>
            </w:pPr>
            <w:r>
              <w:rPr>
                <w:rFonts w:ascii="Times New Roman" w:hAnsi="Times New Roman"/>
              </w:rPr>
              <w:t>行业类别</w:t>
            </w:r>
          </w:p>
        </w:tc>
        <w:tc>
          <w:tcPr>
            <w:tcW w:w="796" w:type="pct"/>
            <w:vMerge w:val="restart"/>
            <w:vAlign w:val="center"/>
          </w:tcPr>
          <w:p>
            <w:pPr>
              <w:snapToGrid w:val="0"/>
              <w:spacing w:line="280" w:lineRule="exact"/>
              <w:jc w:val="center"/>
              <w:rPr>
                <w:rFonts w:ascii="Times New Roman" w:hAnsi="Times New Roman"/>
              </w:rPr>
            </w:pPr>
            <w:r>
              <w:rPr>
                <w:rFonts w:ascii="Times New Roman" w:hAnsi="Times New Roman"/>
              </w:rPr>
              <w:t>报告书</w:t>
            </w:r>
          </w:p>
        </w:tc>
        <w:tc>
          <w:tcPr>
            <w:tcW w:w="559" w:type="pct"/>
            <w:vMerge w:val="restart"/>
            <w:vAlign w:val="center"/>
          </w:tcPr>
          <w:p>
            <w:pPr>
              <w:snapToGrid w:val="0"/>
              <w:spacing w:line="280" w:lineRule="exact"/>
              <w:jc w:val="center"/>
              <w:rPr>
                <w:rFonts w:ascii="Times New Roman" w:hAnsi="Times New Roman"/>
              </w:rPr>
            </w:pPr>
            <w:r>
              <w:rPr>
                <w:rFonts w:ascii="Times New Roman" w:hAnsi="Times New Roman"/>
              </w:rPr>
              <w:t>报告表</w:t>
            </w:r>
          </w:p>
        </w:tc>
        <w:tc>
          <w:tcPr>
            <w:tcW w:w="1808" w:type="pct"/>
            <w:gridSpan w:val="2"/>
          </w:tcPr>
          <w:p>
            <w:pPr>
              <w:snapToGrid w:val="0"/>
              <w:spacing w:line="280" w:lineRule="exact"/>
              <w:jc w:val="center"/>
              <w:rPr>
                <w:rFonts w:ascii="Times New Roman" w:hAnsi="Times New Roman"/>
              </w:rPr>
            </w:pPr>
            <w:r>
              <w:rPr>
                <w:rFonts w:ascii="Times New Roman" w:hAnsi="Times New Roman"/>
              </w:rPr>
              <w:t>地下水环境影响评价项目类别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1835" w:type="pct"/>
            <w:vMerge w:val="continue"/>
          </w:tcPr>
          <w:p>
            <w:pPr>
              <w:snapToGrid w:val="0"/>
              <w:spacing w:line="280" w:lineRule="exact"/>
              <w:jc w:val="center"/>
              <w:rPr>
                <w:rFonts w:ascii="Times New Roman" w:hAnsi="Times New Roman"/>
              </w:rPr>
            </w:pPr>
          </w:p>
        </w:tc>
        <w:tc>
          <w:tcPr>
            <w:tcW w:w="796" w:type="pct"/>
            <w:vMerge w:val="continue"/>
          </w:tcPr>
          <w:p>
            <w:pPr>
              <w:snapToGrid w:val="0"/>
              <w:spacing w:line="280" w:lineRule="exact"/>
              <w:jc w:val="center"/>
              <w:rPr>
                <w:rFonts w:ascii="Times New Roman" w:hAnsi="Times New Roman"/>
              </w:rPr>
            </w:pPr>
          </w:p>
        </w:tc>
        <w:tc>
          <w:tcPr>
            <w:tcW w:w="559" w:type="pct"/>
            <w:vMerge w:val="continue"/>
          </w:tcPr>
          <w:p>
            <w:pPr>
              <w:snapToGrid w:val="0"/>
              <w:spacing w:line="280" w:lineRule="exact"/>
              <w:jc w:val="center"/>
              <w:rPr>
                <w:rFonts w:ascii="Times New Roman" w:hAnsi="Times New Roman"/>
              </w:rPr>
            </w:pPr>
          </w:p>
        </w:tc>
        <w:tc>
          <w:tcPr>
            <w:tcW w:w="878" w:type="pct"/>
          </w:tcPr>
          <w:p>
            <w:pPr>
              <w:snapToGrid w:val="0"/>
              <w:spacing w:line="280" w:lineRule="exact"/>
              <w:jc w:val="center"/>
              <w:rPr>
                <w:rFonts w:ascii="Times New Roman" w:hAnsi="Times New Roman"/>
              </w:rPr>
            </w:pPr>
            <w:r>
              <w:rPr>
                <w:rFonts w:ascii="Times New Roman" w:hAnsi="Times New Roman"/>
              </w:rPr>
              <w:t>报告书</w:t>
            </w:r>
          </w:p>
        </w:tc>
        <w:tc>
          <w:tcPr>
            <w:tcW w:w="930" w:type="pct"/>
          </w:tcPr>
          <w:p>
            <w:pPr>
              <w:snapToGrid w:val="0"/>
              <w:spacing w:line="280" w:lineRule="exact"/>
              <w:jc w:val="center"/>
              <w:rPr>
                <w:rFonts w:ascii="Times New Roman" w:hAnsi="Times New Roman"/>
              </w:rPr>
            </w:pPr>
            <w:r>
              <w:rPr>
                <w:rFonts w:ascii="Times New Roman" w:hAnsi="Times New Roman"/>
              </w:rPr>
              <w:t>报告表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5000" w:type="pct"/>
            <w:gridSpan w:val="5"/>
          </w:tcPr>
          <w:p>
            <w:pPr>
              <w:snapToGrid w:val="0"/>
              <w:spacing w:line="280" w:lineRule="exact"/>
              <w:jc w:val="center"/>
              <w:rPr>
                <w:rFonts w:ascii="Times New Roman" w:hAnsi="Times New Roman"/>
                <w:b/>
                <w:bCs/>
              </w:rPr>
            </w:pPr>
            <w:r>
              <w:rPr>
                <w:rFonts w:ascii="Times New Roman" w:hAnsi="Times New Roman"/>
                <w:b/>
                <w:bCs/>
              </w:rPr>
              <w:t>U城市基础设施及房地产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1835" w:type="pct"/>
          </w:tcPr>
          <w:p>
            <w:pPr>
              <w:snapToGrid w:val="0"/>
              <w:spacing w:line="280" w:lineRule="exact"/>
              <w:jc w:val="center"/>
              <w:rPr>
                <w:rFonts w:ascii="Times New Roman" w:hAnsi="Times New Roman"/>
              </w:rPr>
            </w:pPr>
            <w:r>
              <w:rPr>
                <w:rFonts w:ascii="Times New Roman" w:hAnsi="Times New Roman"/>
              </w:rPr>
              <w:t>151、危险废物（含医疗废物）集中处置及综合利用</w:t>
            </w:r>
          </w:p>
        </w:tc>
        <w:tc>
          <w:tcPr>
            <w:tcW w:w="796" w:type="pct"/>
            <w:vAlign w:val="center"/>
          </w:tcPr>
          <w:p>
            <w:pPr>
              <w:snapToGrid w:val="0"/>
              <w:spacing w:line="280" w:lineRule="exact"/>
              <w:jc w:val="center"/>
              <w:rPr>
                <w:rFonts w:ascii="Times New Roman" w:hAnsi="Times New Roman"/>
              </w:rPr>
            </w:pPr>
            <w:r>
              <w:rPr>
                <w:rFonts w:ascii="Times New Roman" w:hAnsi="Times New Roman"/>
                <w:b/>
                <w:bCs/>
              </w:rPr>
              <w:t>全部</w:t>
            </w:r>
          </w:p>
        </w:tc>
        <w:tc>
          <w:tcPr>
            <w:tcW w:w="559" w:type="pct"/>
            <w:vAlign w:val="center"/>
          </w:tcPr>
          <w:p>
            <w:pPr>
              <w:snapToGrid w:val="0"/>
              <w:spacing w:line="280" w:lineRule="exact"/>
              <w:jc w:val="center"/>
              <w:rPr>
                <w:rFonts w:ascii="Times New Roman" w:hAnsi="Times New Roman"/>
              </w:rPr>
            </w:pPr>
            <w:r>
              <w:rPr>
                <w:rFonts w:ascii="Times New Roman" w:hAnsi="Times New Roman"/>
              </w:rPr>
              <w:t>/</w:t>
            </w:r>
          </w:p>
        </w:tc>
        <w:tc>
          <w:tcPr>
            <w:tcW w:w="878" w:type="pct"/>
            <w:vAlign w:val="center"/>
          </w:tcPr>
          <w:p>
            <w:pPr>
              <w:snapToGrid w:val="0"/>
              <w:spacing w:line="280" w:lineRule="exact"/>
              <w:jc w:val="center"/>
              <w:rPr>
                <w:rFonts w:ascii="Times New Roman" w:hAnsi="Times New Roman"/>
              </w:rPr>
            </w:pPr>
            <w:r>
              <w:rPr>
                <w:rFonts w:ascii="Times New Roman" w:hAnsi="Times New Roman"/>
              </w:rPr>
              <w:t>Ⅰ类</w:t>
            </w:r>
          </w:p>
        </w:tc>
        <w:tc>
          <w:tcPr>
            <w:tcW w:w="930" w:type="pct"/>
            <w:vAlign w:val="center"/>
          </w:tcPr>
          <w:p>
            <w:pPr>
              <w:snapToGrid w:val="0"/>
              <w:spacing w:line="280" w:lineRule="exact"/>
              <w:jc w:val="center"/>
              <w:rPr>
                <w:rFonts w:ascii="Times New Roman" w:hAnsi="Times New Roman"/>
              </w:rPr>
            </w:pPr>
            <w:r>
              <w:rPr>
                <w:rFonts w:ascii="Times New Roman" w:hAnsi="Times New Roman"/>
              </w:rPr>
              <w:t>/</w:t>
            </w:r>
          </w:p>
        </w:tc>
      </w:tr>
    </w:tbl>
    <w:p>
      <w:pPr>
        <w:pStyle w:val="541"/>
        <w:spacing w:line="480" w:lineRule="exact"/>
        <w:ind w:firstLine="480"/>
        <w:rPr>
          <w:rFonts w:ascii="Times New Roman" w:hAnsi="Times New Roman" w:cs="Times New Roman"/>
        </w:rPr>
      </w:pPr>
      <w:r>
        <w:rPr>
          <w:rFonts w:ascii="Times New Roman" w:hAnsi="Times New Roman" w:cs="Times New Roman"/>
        </w:rPr>
        <w:t>（2）地下水环境敏感程度</w:t>
      </w:r>
    </w:p>
    <w:p>
      <w:pPr>
        <w:pStyle w:val="541"/>
        <w:spacing w:line="480" w:lineRule="exact"/>
        <w:ind w:firstLine="480"/>
        <w:rPr>
          <w:rFonts w:ascii="Times New Roman" w:hAnsi="Times New Roman" w:cs="Times New Roman"/>
        </w:rPr>
      </w:pPr>
      <w:r>
        <w:rPr>
          <w:rFonts w:ascii="Times New Roman" w:hAnsi="Times New Roman" w:cs="Times New Roman"/>
        </w:rPr>
        <w:t>建设项目的地下水环境敏感程度分级见表2.4-8所示。</w:t>
      </w:r>
    </w:p>
    <w:p>
      <w:pPr>
        <w:snapToGrid w:val="0"/>
        <w:spacing w:line="480" w:lineRule="exact"/>
        <w:jc w:val="center"/>
        <w:rPr>
          <w:rFonts w:ascii="Times New Roman" w:hAnsi="Times New Roman"/>
          <w:b/>
        </w:rPr>
      </w:pPr>
      <w:r>
        <w:rPr>
          <w:rFonts w:ascii="Times New Roman" w:hAnsi="Times New Roman"/>
          <w:b/>
        </w:rPr>
        <w:t>表2.4-8 建设项目的地下水环境敏感程度分级表</w:t>
      </w:r>
    </w:p>
    <w:tbl>
      <w:tblPr>
        <w:tblStyle w:val="7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88"/>
        <w:gridCol w:w="734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83" w:type="dxa"/>
            <w:tcBorders>
              <w:top w:val="single" w:color="auto" w:sz="12" w:space="0"/>
            </w:tcBorders>
            <w:vAlign w:val="bottom"/>
          </w:tcPr>
          <w:p>
            <w:pPr>
              <w:snapToGrid w:val="0"/>
              <w:spacing w:line="280" w:lineRule="exact"/>
              <w:jc w:val="center"/>
              <w:rPr>
                <w:rFonts w:ascii="Times New Roman" w:hAnsi="Times New Roman"/>
                <w:b/>
              </w:rPr>
            </w:pPr>
            <w:r>
              <w:rPr>
                <w:rFonts w:ascii="Times New Roman" w:hAnsi="Times New Roman"/>
                <w:b/>
              </w:rPr>
              <w:t>分级</w:t>
            </w:r>
          </w:p>
        </w:tc>
        <w:tc>
          <w:tcPr>
            <w:tcW w:w="7345" w:type="dxa"/>
            <w:vAlign w:val="bottom"/>
          </w:tcPr>
          <w:p>
            <w:pPr>
              <w:snapToGrid w:val="0"/>
              <w:spacing w:line="280" w:lineRule="exact"/>
              <w:jc w:val="center"/>
              <w:rPr>
                <w:rFonts w:ascii="Times New Roman" w:hAnsi="Times New Roman"/>
                <w:b/>
              </w:rPr>
            </w:pPr>
            <w:r>
              <w:rPr>
                <w:rFonts w:ascii="Times New Roman" w:hAnsi="Times New Roman"/>
                <w:b/>
              </w:rPr>
              <w:t>项目场地的地下水环境敏感特征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83" w:type="dxa"/>
            <w:vAlign w:val="center"/>
          </w:tcPr>
          <w:p>
            <w:pPr>
              <w:snapToGrid w:val="0"/>
              <w:spacing w:line="280" w:lineRule="exact"/>
              <w:jc w:val="center"/>
              <w:rPr>
                <w:rFonts w:ascii="Times New Roman" w:hAnsi="Times New Roman"/>
              </w:rPr>
            </w:pPr>
            <w:r>
              <w:rPr>
                <w:rFonts w:ascii="Times New Roman" w:hAnsi="Times New Roman"/>
              </w:rPr>
              <w:t>敏感</w:t>
            </w:r>
          </w:p>
        </w:tc>
        <w:tc>
          <w:tcPr>
            <w:tcW w:w="7345" w:type="dxa"/>
            <w:vAlign w:val="bottom"/>
          </w:tcPr>
          <w:p>
            <w:pPr>
              <w:snapToGrid w:val="0"/>
              <w:spacing w:line="280" w:lineRule="exact"/>
              <w:jc w:val="center"/>
              <w:rPr>
                <w:rFonts w:ascii="Times New Roman" w:hAnsi="Times New Roman"/>
              </w:rPr>
            </w:pPr>
            <w:r>
              <w:rPr>
                <w:rFonts w:ascii="Times New Roman" w:hAnsi="Times New Roman"/>
              </w:rPr>
              <w:t>集中式饮用水水源（包括已建成的在用、备用、应急水源，在建和规划的饮用水水源）准保护区；除集中式饮用水水源以外的国家或地方政府设定的与地下水环境相关的其它保护区，如热水、矿泉水、温泉等特殊地下水资源保护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83" w:type="dxa"/>
            <w:vAlign w:val="center"/>
          </w:tcPr>
          <w:p>
            <w:pPr>
              <w:snapToGrid w:val="0"/>
              <w:spacing w:line="280" w:lineRule="exact"/>
              <w:jc w:val="center"/>
              <w:rPr>
                <w:rFonts w:ascii="Times New Roman" w:hAnsi="Times New Roman"/>
              </w:rPr>
            </w:pPr>
            <w:r>
              <w:rPr>
                <w:rFonts w:ascii="Times New Roman" w:hAnsi="Times New Roman"/>
              </w:rPr>
              <w:t>较敏感</w:t>
            </w:r>
          </w:p>
        </w:tc>
        <w:tc>
          <w:tcPr>
            <w:tcW w:w="7345" w:type="dxa"/>
            <w:vAlign w:val="bottom"/>
          </w:tcPr>
          <w:p>
            <w:pPr>
              <w:snapToGrid w:val="0"/>
              <w:spacing w:line="280" w:lineRule="exact"/>
              <w:jc w:val="center"/>
              <w:rPr>
                <w:rFonts w:ascii="Times New Roman" w:hAnsi="Times New Roman"/>
              </w:rPr>
            </w:pPr>
            <w:r>
              <w:rPr>
                <w:rFonts w:ascii="Times New Roman" w:hAnsi="Times New Roman"/>
              </w:rPr>
              <w:t>集中式饮用水水源（包括已建成的在用、备用、应急水源，在建和规划的饮用水水源）准保护区以外的补给径流区；未划定准保护区的集中式饮用水水源，其保护区以外的补给径流区；分散式饮用水水源地；特殊地下水资源（如矿泉水、温泉等）保护区以外的分布区等其它未列入上述敏感分级的环境敏感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83" w:type="dxa"/>
            <w:vAlign w:val="bottom"/>
          </w:tcPr>
          <w:p>
            <w:pPr>
              <w:snapToGrid w:val="0"/>
              <w:spacing w:line="280" w:lineRule="exact"/>
              <w:jc w:val="center"/>
              <w:rPr>
                <w:rFonts w:ascii="Times New Roman" w:hAnsi="Times New Roman"/>
              </w:rPr>
            </w:pPr>
            <w:r>
              <w:rPr>
                <w:rFonts w:ascii="Times New Roman" w:hAnsi="Times New Roman"/>
                <w:bCs/>
              </w:rPr>
              <w:t>不敏感</w:t>
            </w:r>
          </w:p>
        </w:tc>
        <w:tc>
          <w:tcPr>
            <w:tcW w:w="7345" w:type="dxa"/>
            <w:vAlign w:val="bottom"/>
          </w:tcPr>
          <w:p>
            <w:pPr>
              <w:snapToGrid w:val="0"/>
              <w:spacing w:line="280" w:lineRule="exact"/>
              <w:jc w:val="center"/>
              <w:rPr>
                <w:rFonts w:ascii="Times New Roman" w:hAnsi="Times New Roman"/>
              </w:rPr>
            </w:pPr>
            <w:r>
              <w:rPr>
                <w:rFonts w:ascii="Times New Roman" w:hAnsi="Times New Roman"/>
              </w:rPr>
              <w:t>上述地区之外的其它地区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528" w:type="dxa"/>
            <w:gridSpan w:val="2"/>
            <w:vAlign w:val="bottom"/>
          </w:tcPr>
          <w:p>
            <w:pPr>
              <w:snapToGrid w:val="0"/>
              <w:spacing w:line="280" w:lineRule="exact"/>
              <w:rPr>
                <w:rFonts w:ascii="Times New Roman" w:hAnsi="Times New Roman"/>
              </w:rPr>
            </w:pPr>
            <w:r>
              <w:rPr>
                <w:rFonts w:ascii="Times New Roman" w:hAnsi="Times New Roman"/>
              </w:rPr>
              <w:t>注：a“环境敏感区”是指《建设项目环境影响评价分类管理名录》中所界定的涉及地下水的环境敏感区。</w:t>
            </w:r>
          </w:p>
        </w:tc>
      </w:tr>
    </w:tbl>
    <w:p>
      <w:pPr>
        <w:spacing w:line="480" w:lineRule="exact"/>
        <w:ind w:firstLine="480" w:firstLineChars="200"/>
        <w:rPr>
          <w:rFonts w:ascii="Times New Roman" w:hAnsi="Times New Roman"/>
          <w:kern w:val="2"/>
          <w:sz w:val="24"/>
          <w:szCs w:val="24"/>
        </w:rPr>
      </w:pPr>
      <w:r>
        <w:rPr>
          <w:rFonts w:ascii="Times New Roman" w:hAnsi="Times New Roman"/>
          <w:kern w:val="2"/>
          <w:sz w:val="24"/>
          <w:szCs w:val="24"/>
        </w:rPr>
        <w:t>本项目员工饮用水来源为外购灌装水，厂区内无饮用功能的水井。所在区域附近有分散式饮用水井。对于分散式饮用水水源地，以井（泉）口为中心，半径50m为界，外扩2000天的质点迁移距离范围作为较敏感区。</w:t>
      </w:r>
    </w:p>
    <w:p>
      <w:pPr>
        <w:spacing w:line="480" w:lineRule="exact"/>
        <w:ind w:firstLine="480" w:firstLineChars="200"/>
        <w:rPr>
          <w:rFonts w:ascii="Times New Roman" w:hAnsi="Times New Roman"/>
          <w:kern w:val="2"/>
          <w:sz w:val="24"/>
          <w:szCs w:val="24"/>
        </w:rPr>
      </w:pPr>
      <w:r>
        <w:rPr>
          <w:rFonts w:ascii="Times New Roman" w:hAnsi="Times New Roman"/>
          <w:kern w:val="2"/>
          <w:sz w:val="24"/>
          <w:szCs w:val="24"/>
        </w:rPr>
        <w:t>计算公式如下：</w:t>
      </w:r>
    </w:p>
    <w:p>
      <w:pPr>
        <w:spacing w:line="480" w:lineRule="exact"/>
        <w:ind w:firstLine="480" w:firstLineChars="200"/>
        <w:rPr>
          <w:rFonts w:ascii="Times New Roman" w:hAnsi="Times New Roman"/>
          <w:kern w:val="2"/>
          <w:sz w:val="24"/>
          <w:szCs w:val="24"/>
        </w:rPr>
      </w:pPr>
      <w:r>
        <w:rPr>
          <w:rFonts w:ascii="Times New Roman" w:hAnsi="Times New Roman"/>
          <w:kern w:val="2"/>
          <w:sz w:val="24"/>
          <w:szCs w:val="24"/>
        </w:rPr>
        <w:t>L=a× K× I× T/ne</w:t>
      </w:r>
    </w:p>
    <w:p>
      <w:pPr>
        <w:spacing w:line="480" w:lineRule="exact"/>
        <w:ind w:firstLine="480" w:firstLineChars="200"/>
        <w:rPr>
          <w:rFonts w:ascii="Times New Roman" w:hAnsi="Times New Roman"/>
          <w:kern w:val="2"/>
          <w:sz w:val="24"/>
          <w:szCs w:val="24"/>
        </w:rPr>
      </w:pPr>
      <w:r>
        <w:rPr>
          <w:rFonts w:ascii="Times New Roman" w:hAnsi="Times New Roman"/>
          <w:kern w:val="2"/>
          <w:sz w:val="24"/>
          <w:szCs w:val="24"/>
        </w:rPr>
        <w:t>L-水源地敏感性外扩范围， m；</w:t>
      </w:r>
    </w:p>
    <w:p>
      <w:pPr>
        <w:spacing w:line="480" w:lineRule="exact"/>
        <w:ind w:firstLine="480" w:firstLineChars="200"/>
        <w:rPr>
          <w:rFonts w:ascii="Times New Roman" w:hAnsi="Times New Roman"/>
          <w:kern w:val="2"/>
          <w:sz w:val="24"/>
          <w:szCs w:val="24"/>
        </w:rPr>
      </w:pPr>
      <w:r>
        <w:rPr>
          <w:rFonts w:ascii="Times New Roman" w:hAnsi="Times New Roman"/>
          <w:kern w:val="2"/>
          <w:sz w:val="24"/>
          <w:szCs w:val="24"/>
        </w:rPr>
        <w:t>a-安全系数， a≥1， 取 2；</w:t>
      </w:r>
    </w:p>
    <w:p>
      <w:pPr>
        <w:spacing w:line="480" w:lineRule="exact"/>
        <w:ind w:firstLine="480" w:firstLineChars="200"/>
        <w:rPr>
          <w:rFonts w:ascii="Times New Roman" w:hAnsi="Times New Roman"/>
          <w:kern w:val="2"/>
          <w:sz w:val="24"/>
          <w:szCs w:val="24"/>
        </w:rPr>
      </w:pPr>
      <w:r>
        <w:rPr>
          <w:rFonts w:ascii="Times New Roman" w:hAnsi="Times New Roman"/>
          <w:kern w:val="2"/>
          <w:sz w:val="24"/>
          <w:szCs w:val="24"/>
        </w:rPr>
        <w:t>K-渗透系数， m/d。 取评价区内 SW04 孔抽水试验成果， 为 0.35m/d；</w:t>
      </w:r>
    </w:p>
    <w:p>
      <w:pPr>
        <w:spacing w:line="480" w:lineRule="exact"/>
        <w:ind w:firstLine="480" w:firstLineChars="200"/>
        <w:rPr>
          <w:rFonts w:ascii="Times New Roman" w:hAnsi="Times New Roman"/>
          <w:kern w:val="2"/>
          <w:sz w:val="24"/>
          <w:szCs w:val="24"/>
        </w:rPr>
      </w:pPr>
      <w:r>
        <w:rPr>
          <w:rFonts w:ascii="Times New Roman" w:hAnsi="Times New Roman"/>
          <w:kern w:val="2"/>
          <w:sz w:val="24"/>
          <w:szCs w:val="24"/>
        </w:rPr>
        <w:t>I-水力坡度， 无量纲， 根据水位监测结果， 项目所在区水力坡度为 0.067；</w:t>
      </w:r>
    </w:p>
    <w:p>
      <w:pPr>
        <w:spacing w:line="480" w:lineRule="exact"/>
        <w:ind w:firstLine="480" w:firstLineChars="200"/>
        <w:rPr>
          <w:rFonts w:ascii="Times New Roman" w:hAnsi="Times New Roman"/>
          <w:kern w:val="2"/>
          <w:sz w:val="24"/>
          <w:szCs w:val="24"/>
        </w:rPr>
      </w:pPr>
      <w:r>
        <w:rPr>
          <w:rFonts w:ascii="Times New Roman" w:hAnsi="Times New Roman"/>
          <w:kern w:val="2"/>
          <w:sz w:val="24"/>
          <w:szCs w:val="24"/>
        </w:rPr>
        <w:t xml:space="preserve">T-质点运移天数： </w:t>
      </w:r>
    </w:p>
    <w:p>
      <w:pPr>
        <w:spacing w:line="480" w:lineRule="exact"/>
        <w:ind w:firstLine="480" w:firstLineChars="200"/>
        <w:rPr>
          <w:rFonts w:ascii="Times New Roman" w:hAnsi="Times New Roman"/>
          <w:kern w:val="2"/>
          <w:sz w:val="24"/>
          <w:szCs w:val="24"/>
        </w:rPr>
      </w:pPr>
      <w:r>
        <w:rPr>
          <w:rFonts w:ascii="Times New Roman" w:hAnsi="Times New Roman"/>
          <w:kern w:val="2"/>
          <w:sz w:val="24"/>
          <w:szCs w:val="24"/>
        </w:rPr>
        <w:t>ne-有效孔隙度， 无量纲。 根据《双鸭山渗沥液处理工程岩土工程勘察报告》 有效孔隙度取 0.32。</w:t>
      </w:r>
    </w:p>
    <w:p>
      <w:pPr>
        <w:pStyle w:val="136"/>
        <w:spacing w:line="480" w:lineRule="exact"/>
        <w:ind w:firstLine="480"/>
        <w:rPr>
          <w:rFonts w:ascii="Times New Roman" w:hAnsi="Times New Roman" w:cs="Times New Roman"/>
          <w:kern w:val="2"/>
          <w:szCs w:val="24"/>
        </w:rPr>
      </w:pPr>
      <w:r>
        <w:rPr>
          <w:rFonts w:ascii="Times New Roman" w:hAnsi="Times New Roman" w:cs="Times New Roman"/>
          <w:kern w:val="2"/>
          <w:szCs w:val="24"/>
        </w:rPr>
        <w:t>通过计算可知，L=293.13m，因此较敏感范围为343.13m，之外为不敏感区。垃圾场管理委员会饮用水水源井与本项目厂区距离884m，并且位于厂区上游。红星五队饮用水水源井与本项目厂区距离2066m，位于厂区下游。</w:t>
      </w:r>
      <w:r>
        <w:rPr>
          <w:rFonts w:ascii="Times New Roman" w:hAnsi="Times New Roman" w:cs="Times New Roman"/>
          <w:szCs w:val="24"/>
        </w:rPr>
        <w:t>因此本项目所在区域为不敏感区。</w:t>
      </w:r>
    </w:p>
    <w:p>
      <w:pPr>
        <w:pStyle w:val="541"/>
        <w:spacing w:line="480" w:lineRule="exact"/>
        <w:ind w:firstLine="480"/>
        <w:rPr>
          <w:rFonts w:ascii="Times New Roman" w:hAnsi="Times New Roman" w:cs="Times New Roman"/>
          <w:kern w:val="0"/>
        </w:rPr>
      </w:pPr>
      <w:r>
        <w:rPr>
          <w:rFonts w:ascii="Times New Roman" w:hAnsi="Times New Roman" w:cs="Times New Roman"/>
          <w:szCs w:val="20"/>
        </w:rPr>
        <w:t>（3）评价等级判定</w:t>
      </w:r>
    </w:p>
    <w:p>
      <w:pPr>
        <w:pStyle w:val="541"/>
        <w:spacing w:line="480" w:lineRule="exact"/>
        <w:ind w:firstLine="480"/>
        <w:rPr>
          <w:rFonts w:ascii="Times New Roman" w:hAnsi="Times New Roman" w:cs="Times New Roman"/>
        </w:rPr>
      </w:pPr>
      <w:r>
        <w:rPr>
          <w:rFonts w:ascii="Times New Roman" w:hAnsi="Times New Roman" w:cs="Times New Roman"/>
        </w:rPr>
        <w:t>建设项目地下水环境影响评价工作等级划分见表2.4-9。</w:t>
      </w:r>
    </w:p>
    <w:p>
      <w:pPr>
        <w:snapToGrid w:val="0"/>
        <w:spacing w:line="480" w:lineRule="exact"/>
        <w:jc w:val="center"/>
        <w:rPr>
          <w:rFonts w:ascii="Times New Roman" w:hAnsi="Times New Roman"/>
          <w:b/>
        </w:rPr>
      </w:pPr>
      <w:r>
        <w:rPr>
          <w:rFonts w:ascii="Times New Roman" w:hAnsi="Times New Roman"/>
          <w:b/>
        </w:rPr>
        <w:t>表2.4-9 评价工作等级分级表</w:t>
      </w:r>
    </w:p>
    <w:tbl>
      <w:tblPr>
        <w:tblStyle w:val="77"/>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2254"/>
        <w:gridCol w:w="1978"/>
        <w:gridCol w:w="1978"/>
        <w:gridCol w:w="210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0" w:hRule="atLeast"/>
          <w:tblHeader/>
          <w:jc w:val="center"/>
        </w:trPr>
        <w:tc>
          <w:tcPr>
            <w:tcW w:w="2254" w:type="dxa"/>
            <w:tcBorders>
              <w:top w:val="single" w:color="auto" w:sz="12" w:space="0"/>
              <w:bottom w:val="single" w:color="auto" w:sz="8" w:space="0"/>
              <w:tl2br w:val="single" w:color="auto" w:sz="8" w:space="0"/>
            </w:tcBorders>
            <w:vAlign w:val="center"/>
          </w:tcPr>
          <w:p>
            <w:pPr>
              <w:pStyle w:val="279"/>
              <w:jc w:val="center"/>
              <w:rPr>
                <w:rFonts w:ascii="Times New Roman" w:hAnsi="Times New Roman"/>
                <w:b/>
              </w:rPr>
            </w:pPr>
            <w:r>
              <w:rPr>
                <w:rFonts w:ascii="Times New Roman" w:hAnsi="Times New Roman"/>
                <w:b/>
              </w:rPr>
              <w:t xml:space="preserve">       项目类别</w:t>
            </w:r>
          </w:p>
          <w:p>
            <w:pPr>
              <w:pStyle w:val="279"/>
              <w:rPr>
                <w:rFonts w:ascii="Times New Roman" w:hAnsi="Times New Roman"/>
                <w:b/>
              </w:rPr>
            </w:pPr>
            <w:r>
              <w:rPr>
                <w:rFonts w:ascii="Times New Roman" w:hAnsi="Times New Roman"/>
                <w:b/>
              </w:rPr>
              <w:t>环境敏感程度</w:t>
            </w:r>
          </w:p>
        </w:tc>
        <w:tc>
          <w:tcPr>
            <w:tcW w:w="1978" w:type="dxa"/>
            <w:vAlign w:val="center"/>
          </w:tcPr>
          <w:p>
            <w:pPr>
              <w:pStyle w:val="279"/>
              <w:jc w:val="center"/>
              <w:rPr>
                <w:rFonts w:ascii="Times New Roman" w:hAnsi="Times New Roman"/>
                <w:b/>
                <w:bCs/>
              </w:rPr>
            </w:pPr>
            <w:r>
              <w:rPr>
                <w:rFonts w:ascii="Times New Roman" w:hAnsi="Times New Roman"/>
                <w:b/>
                <w:bCs/>
              </w:rPr>
              <w:t>I类项目</w:t>
            </w:r>
          </w:p>
        </w:tc>
        <w:tc>
          <w:tcPr>
            <w:tcW w:w="1978" w:type="dxa"/>
            <w:vAlign w:val="center"/>
          </w:tcPr>
          <w:p>
            <w:pPr>
              <w:pStyle w:val="279"/>
              <w:jc w:val="center"/>
              <w:rPr>
                <w:rFonts w:ascii="Times New Roman" w:hAnsi="Times New Roman"/>
                <w:b/>
              </w:rPr>
            </w:pPr>
            <w:r>
              <w:rPr>
                <w:rFonts w:ascii="Times New Roman" w:hAnsi="Times New Roman"/>
                <w:b/>
              </w:rPr>
              <w:t>Ⅱ类项目</w:t>
            </w:r>
          </w:p>
        </w:tc>
        <w:tc>
          <w:tcPr>
            <w:tcW w:w="2102" w:type="dxa"/>
            <w:vAlign w:val="center"/>
          </w:tcPr>
          <w:p>
            <w:pPr>
              <w:pStyle w:val="279"/>
              <w:jc w:val="center"/>
              <w:rPr>
                <w:rFonts w:ascii="Times New Roman" w:hAnsi="Times New Roman"/>
                <w:b/>
              </w:rPr>
            </w:pPr>
            <w:r>
              <w:rPr>
                <w:rFonts w:ascii="Times New Roman" w:hAnsi="Times New Roman"/>
                <w:b/>
              </w:rPr>
              <w:t>Ⅲ类项目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0" w:hRule="atLeast"/>
          <w:jc w:val="center"/>
        </w:trPr>
        <w:tc>
          <w:tcPr>
            <w:tcW w:w="2254" w:type="dxa"/>
            <w:tcBorders>
              <w:top w:val="single" w:color="auto" w:sz="8" w:space="0"/>
            </w:tcBorders>
            <w:vAlign w:val="center"/>
          </w:tcPr>
          <w:p>
            <w:pPr>
              <w:pStyle w:val="279"/>
              <w:jc w:val="center"/>
              <w:rPr>
                <w:rFonts w:ascii="Times New Roman" w:hAnsi="Times New Roman"/>
              </w:rPr>
            </w:pPr>
            <w:r>
              <w:rPr>
                <w:rFonts w:ascii="Times New Roman" w:hAnsi="Times New Roman"/>
              </w:rPr>
              <w:t>敏感</w:t>
            </w:r>
          </w:p>
        </w:tc>
        <w:tc>
          <w:tcPr>
            <w:tcW w:w="1978" w:type="dxa"/>
            <w:vAlign w:val="center"/>
          </w:tcPr>
          <w:p>
            <w:pPr>
              <w:pStyle w:val="279"/>
              <w:jc w:val="center"/>
              <w:rPr>
                <w:rFonts w:ascii="Times New Roman" w:hAnsi="Times New Roman"/>
              </w:rPr>
            </w:pPr>
            <w:r>
              <w:rPr>
                <w:rFonts w:ascii="Times New Roman" w:hAnsi="Times New Roman"/>
              </w:rPr>
              <w:t>一</w:t>
            </w:r>
          </w:p>
        </w:tc>
        <w:tc>
          <w:tcPr>
            <w:tcW w:w="1978" w:type="dxa"/>
            <w:vAlign w:val="center"/>
          </w:tcPr>
          <w:p>
            <w:pPr>
              <w:pStyle w:val="279"/>
              <w:jc w:val="center"/>
              <w:rPr>
                <w:rFonts w:ascii="Times New Roman" w:hAnsi="Times New Roman"/>
              </w:rPr>
            </w:pPr>
            <w:r>
              <w:rPr>
                <w:rFonts w:ascii="Times New Roman" w:hAnsi="Times New Roman"/>
              </w:rPr>
              <w:t>一</w:t>
            </w:r>
          </w:p>
        </w:tc>
        <w:tc>
          <w:tcPr>
            <w:tcW w:w="2102" w:type="dxa"/>
            <w:vAlign w:val="center"/>
          </w:tcPr>
          <w:p>
            <w:pPr>
              <w:pStyle w:val="279"/>
              <w:jc w:val="center"/>
              <w:rPr>
                <w:rFonts w:ascii="Times New Roman" w:hAnsi="Times New Roman"/>
              </w:rPr>
            </w:pPr>
            <w:r>
              <w:rPr>
                <w:rFonts w:ascii="Times New Roman" w:hAnsi="Times New Roman"/>
              </w:rPr>
              <w:t>二</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2254" w:type="dxa"/>
            <w:vAlign w:val="center"/>
          </w:tcPr>
          <w:p>
            <w:pPr>
              <w:pStyle w:val="279"/>
              <w:jc w:val="center"/>
              <w:rPr>
                <w:rFonts w:ascii="Times New Roman" w:hAnsi="Times New Roman"/>
              </w:rPr>
            </w:pPr>
            <w:r>
              <w:rPr>
                <w:rFonts w:ascii="Times New Roman" w:hAnsi="Times New Roman"/>
              </w:rPr>
              <w:t>较敏感</w:t>
            </w:r>
          </w:p>
        </w:tc>
        <w:tc>
          <w:tcPr>
            <w:tcW w:w="1978" w:type="dxa"/>
            <w:vAlign w:val="center"/>
          </w:tcPr>
          <w:p>
            <w:pPr>
              <w:pStyle w:val="279"/>
              <w:jc w:val="center"/>
              <w:rPr>
                <w:rFonts w:ascii="Times New Roman" w:hAnsi="Times New Roman"/>
              </w:rPr>
            </w:pPr>
            <w:r>
              <w:rPr>
                <w:rFonts w:ascii="Times New Roman" w:hAnsi="Times New Roman"/>
              </w:rPr>
              <w:t>一</w:t>
            </w:r>
          </w:p>
        </w:tc>
        <w:tc>
          <w:tcPr>
            <w:tcW w:w="1978" w:type="dxa"/>
            <w:vAlign w:val="center"/>
          </w:tcPr>
          <w:p>
            <w:pPr>
              <w:pStyle w:val="279"/>
              <w:jc w:val="center"/>
              <w:rPr>
                <w:rFonts w:ascii="Times New Roman" w:hAnsi="Times New Roman"/>
              </w:rPr>
            </w:pPr>
            <w:r>
              <w:rPr>
                <w:rFonts w:ascii="Times New Roman" w:hAnsi="Times New Roman"/>
              </w:rPr>
              <w:t>二</w:t>
            </w:r>
          </w:p>
        </w:tc>
        <w:tc>
          <w:tcPr>
            <w:tcW w:w="2102" w:type="dxa"/>
            <w:vAlign w:val="center"/>
          </w:tcPr>
          <w:p>
            <w:pPr>
              <w:pStyle w:val="279"/>
              <w:jc w:val="center"/>
              <w:rPr>
                <w:rFonts w:ascii="Times New Roman" w:hAnsi="Times New Roman"/>
              </w:rPr>
            </w:pPr>
            <w:r>
              <w:rPr>
                <w:rFonts w:ascii="Times New Roman" w:hAnsi="Times New Roman"/>
              </w:rPr>
              <w:t>三</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2254" w:type="dxa"/>
            <w:vAlign w:val="center"/>
          </w:tcPr>
          <w:p>
            <w:pPr>
              <w:pStyle w:val="279"/>
              <w:jc w:val="center"/>
              <w:rPr>
                <w:rFonts w:ascii="Times New Roman" w:hAnsi="Times New Roman"/>
                <w:bCs/>
              </w:rPr>
            </w:pPr>
            <w:r>
              <w:rPr>
                <w:rFonts w:ascii="Times New Roman" w:hAnsi="Times New Roman"/>
                <w:bCs/>
              </w:rPr>
              <w:t>不敏感</w:t>
            </w:r>
          </w:p>
        </w:tc>
        <w:tc>
          <w:tcPr>
            <w:tcW w:w="1978" w:type="dxa"/>
            <w:vAlign w:val="center"/>
          </w:tcPr>
          <w:p>
            <w:pPr>
              <w:pStyle w:val="279"/>
              <w:jc w:val="center"/>
              <w:rPr>
                <w:rFonts w:ascii="Times New Roman" w:hAnsi="Times New Roman"/>
                <w:b/>
              </w:rPr>
            </w:pPr>
            <w:r>
              <w:rPr>
                <w:rFonts w:ascii="Times New Roman" w:hAnsi="Times New Roman"/>
                <w:bCs/>
                <w:shd w:val="pct10" w:color="auto" w:fill="FFFFFF"/>
              </w:rPr>
              <w:t>二</w:t>
            </w:r>
          </w:p>
        </w:tc>
        <w:tc>
          <w:tcPr>
            <w:tcW w:w="1978" w:type="dxa"/>
            <w:vAlign w:val="center"/>
          </w:tcPr>
          <w:p>
            <w:pPr>
              <w:pStyle w:val="279"/>
              <w:jc w:val="center"/>
              <w:rPr>
                <w:rFonts w:ascii="Times New Roman" w:hAnsi="Times New Roman"/>
              </w:rPr>
            </w:pPr>
            <w:r>
              <w:rPr>
                <w:rFonts w:ascii="Times New Roman" w:hAnsi="Times New Roman"/>
              </w:rPr>
              <w:t>三</w:t>
            </w:r>
          </w:p>
        </w:tc>
        <w:tc>
          <w:tcPr>
            <w:tcW w:w="2102" w:type="dxa"/>
            <w:vAlign w:val="center"/>
          </w:tcPr>
          <w:p>
            <w:pPr>
              <w:pStyle w:val="279"/>
              <w:jc w:val="center"/>
              <w:rPr>
                <w:rFonts w:ascii="Times New Roman" w:hAnsi="Times New Roman"/>
              </w:rPr>
            </w:pPr>
            <w:r>
              <w:rPr>
                <w:rFonts w:ascii="Times New Roman" w:hAnsi="Times New Roman"/>
              </w:rPr>
              <w:t>三</w:t>
            </w:r>
          </w:p>
        </w:tc>
      </w:tr>
    </w:tbl>
    <w:p>
      <w:pPr>
        <w:pStyle w:val="541"/>
        <w:spacing w:line="480" w:lineRule="exact"/>
        <w:ind w:firstLine="480"/>
        <w:rPr>
          <w:rFonts w:ascii="Times New Roman" w:hAnsi="Times New Roman" w:cs="Times New Roman"/>
        </w:rPr>
      </w:pPr>
      <w:r>
        <w:rPr>
          <w:rFonts w:ascii="Times New Roman" w:hAnsi="Times New Roman" w:cs="Times New Roman"/>
        </w:rPr>
        <w:t>本项目为医疗废物集中处置项目，属于Ⅰ类项目，评价区域地下水环境为不敏感，因此项目地下水评价等级为二级。</w:t>
      </w:r>
    </w:p>
    <w:p>
      <w:pPr>
        <w:widowControl/>
        <w:spacing w:line="480" w:lineRule="exact"/>
        <w:outlineLvl w:val="3"/>
        <w:rPr>
          <w:rFonts w:ascii="Times New Roman" w:hAnsi="Times New Roman" w:eastAsia="黑体"/>
          <w:sz w:val="24"/>
        </w:rPr>
      </w:pPr>
      <w:bookmarkStart w:id="369" w:name="_Toc482020595"/>
      <w:bookmarkStart w:id="370" w:name="_Toc453708924"/>
      <w:bookmarkStart w:id="371" w:name="_Toc464036654"/>
      <w:bookmarkStart w:id="372" w:name="_Toc480983813"/>
      <w:bookmarkStart w:id="373" w:name="_Toc480190432"/>
      <w:bookmarkStart w:id="374" w:name="_Toc416966865"/>
      <w:bookmarkStart w:id="375" w:name="_Toc406572452"/>
      <w:bookmarkStart w:id="376" w:name="_Toc406771994"/>
      <w:bookmarkStart w:id="377" w:name="_Toc466271352"/>
      <w:bookmarkStart w:id="378" w:name="_Toc409529715"/>
      <w:bookmarkStart w:id="379" w:name="_Toc458063824"/>
      <w:bookmarkStart w:id="380" w:name="_Toc407350228"/>
      <w:bookmarkStart w:id="381" w:name="_Toc486970356"/>
      <w:bookmarkStart w:id="382" w:name="_Toc409529915"/>
      <w:r>
        <w:rPr>
          <w:rFonts w:ascii="Times New Roman" w:hAnsi="Times New Roman" w:eastAsia="黑体"/>
          <w:sz w:val="24"/>
        </w:rPr>
        <w:t>2.4.1.4.声环境</w:t>
      </w:r>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p>
    <w:p>
      <w:pPr>
        <w:pStyle w:val="541"/>
        <w:spacing w:line="480" w:lineRule="exact"/>
        <w:ind w:firstLine="480"/>
        <w:rPr>
          <w:rFonts w:ascii="Times New Roman" w:hAnsi="Times New Roman" w:cs="Times New Roman"/>
          <w:kern w:val="0"/>
        </w:rPr>
      </w:pPr>
      <w:r>
        <w:rPr>
          <w:rFonts w:ascii="Times New Roman" w:hAnsi="Times New Roman" w:cs="Times New Roman"/>
        </w:rPr>
        <w:t>按照《环境影响评价技术导则 声环境》（HJ2.4-2021）规定，建设项目声环境影响评价工作等级划分见表</w:t>
      </w:r>
      <w:r>
        <w:rPr>
          <w:rFonts w:ascii="Times New Roman" w:hAnsi="Times New Roman" w:cs="Times New Roman"/>
          <w:kern w:val="0"/>
        </w:rPr>
        <w:t>2.4-10。</w:t>
      </w:r>
    </w:p>
    <w:p>
      <w:pPr>
        <w:snapToGrid w:val="0"/>
        <w:spacing w:line="480" w:lineRule="exact"/>
        <w:jc w:val="center"/>
        <w:rPr>
          <w:rFonts w:ascii="Times New Roman" w:hAnsi="Times New Roman"/>
          <w:b/>
        </w:rPr>
      </w:pPr>
      <w:r>
        <w:rPr>
          <w:rFonts w:ascii="Times New Roman" w:hAnsi="Times New Roman"/>
          <w:b/>
        </w:rPr>
        <w:t>表2.4-10 声环境影响评价工作等级划分</w:t>
      </w:r>
    </w:p>
    <w:tbl>
      <w:tblPr>
        <w:tblStyle w:val="77"/>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42"/>
        <w:gridCol w:w="728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0" w:hRule="atLeast"/>
          <w:jc w:val="center"/>
        </w:trPr>
        <w:tc>
          <w:tcPr>
            <w:tcW w:w="1242" w:type="dxa"/>
            <w:vAlign w:val="center"/>
          </w:tcPr>
          <w:p>
            <w:pPr>
              <w:spacing w:line="280" w:lineRule="exact"/>
              <w:jc w:val="center"/>
              <w:rPr>
                <w:rFonts w:ascii="Times New Roman" w:hAnsi="Times New Roman"/>
                <w:b/>
              </w:rPr>
            </w:pPr>
            <w:r>
              <w:rPr>
                <w:rFonts w:ascii="Times New Roman" w:hAnsi="Times New Roman"/>
                <w:b/>
                <w:spacing w:val="-1"/>
              </w:rPr>
              <w:t>环境因素</w:t>
            </w:r>
          </w:p>
        </w:tc>
        <w:tc>
          <w:tcPr>
            <w:tcW w:w="7286" w:type="dxa"/>
            <w:vAlign w:val="center"/>
          </w:tcPr>
          <w:p>
            <w:pPr>
              <w:kinsoku w:val="0"/>
              <w:overflowPunct w:val="0"/>
              <w:autoSpaceDE w:val="0"/>
              <w:autoSpaceDN w:val="0"/>
              <w:spacing w:line="280" w:lineRule="exact"/>
              <w:jc w:val="center"/>
              <w:rPr>
                <w:rFonts w:ascii="Times New Roman" w:hAnsi="Times New Roman"/>
                <w:b/>
              </w:rPr>
            </w:pPr>
            <w:r>
              <w:rPr>
                <w:rFonts w:ascii="Times New Roman" w:hAnsi="Times New Roman"/>
                <w:b/>
                <w:spacing w:val="-1"/>
              </w:rPr>
              <w:t>评价分级判据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42" w:type="dxa"/>
            <w:vAlign w:val="center"/>
          </w:tcPr>
          <w:p>
            <w:pPr>
              <w:kinsoku w:val="0"/>
              <w:overflowPunct w:val="0"/>
              <w:autoSpaceDE w:val="0"/>
              <w:autoSpaceDN w:val="0"/>
              <w:spacing w:line="280" w:lineRule="exact"/>
              <w:jc w:val="center"/>
              <w:rPr>
                <w:rFonts w:ascii="Times New Roman" w:hAnsi="Times New Roman"/>
              </w:rPr>
            </w:pPr>
            <w:r>
              <w:rPr>
                <w:rFonts w:ascii="Times New Roman" w:hAnsi="Times New Roman"/>
              </w:rPr>
              <w:t>一级</w:t>
            </w:r>
          </w:p>
        </w:tc>
        <w:tc>
          <w:tcPr>
            <w:tcW w:w="7286" w:type="dxa"/>
            <w:vAlign w:val="center"/>
          </w:tcPr>
          <w:p>
            <w:pPr>
              <w:kinsoku w:val="0"/>
              <w:overflowPunct w:val="0"/>
              <w:autoSpaceDE w:val="0"/>
              <w:autoSpaceDN w:val="0"/>
              <w:spacing w:line="280" w:lineRule="exact"/>
              <w:jc w:val="center"/>
              <w:rPr>
                <w:rFonts w:ascii="Times New Roman" w:hAnsi="Times New Roman"/>
              </w:rPr>
            </w:pPr>
            <w:r>
              <w:rPr>
                <w:rFonts w:ascii="Times New Roman" w:hAnsi="Times New Roman"/>
              </w:rPr>
              <w:t>评价范围内有适用于《声环境质量标准》（GB3096）规定的0类声环境功能区域；或建设项目建设前后评价范围内敏感目标噪声级增高量达5dB（A）以上[不含5dB（A）]；或受影响人口数量显著增多时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42" w:type="dxa"/>
            <w:vAlign w:val="center"/>
          </w:tcPr>
          <w:p>
            <w:pPr>
              <w:kinsoku w:val="0"/>
              <w:overflowPunct w:val="0"/>
              <w:autoSpaceDE w:val="0"/>
              <w:autoSpaceDN w:val="0"/>
              <w:spacing w:line="280" w:lineRule="exact"/>
              <w:jc w:val="center"/>
              <w:rPr>
                <w:rFonts w:ascii="Times New Roman" w:hAnsi="Times New Roman"/>
              </w:rPr>
            </w:pPr>
            <w:r>
              <w:rPr>
                <w:rFonts w:ascii="Times New Roman" w:hAnsi="Times New Roman"/>
              </w:rPr>
              <w:t>二级</w:t>
            </w:r>
          </w:p>
        </w:tc>
        <w:tc>
          <w:tcPr>
            <w:tcW w:w="7286" w:type="dxa"/>
            <w:vAlign w:val="center"/>
          </w:tcPr>
          <w:p>
            <w:pPr>
              <w:kinsoku w:val="0"/>
              <w:overflowPunct w:val="0"/>
              <w:autoSpaceDE w:val="0"/>
              <w:autoSpaceDN w:val="0"/>
              <w:spacing w:line="280" w:lineRule="exact"/>
              <w:jc w:val="center"/>
              <w:rPr>
                <w:rFonts w:ascii="Times New Roman" w:hAnsi="Times New Roman"/>
              </w:rPr>
            </w:pPr>
            <w:r>
              <w:rPr>
                <w:rFonts w:ascii="Times New Roman" w:hAnsi="Times New Roman"/>
              </w:rPr>
              <w:t>建设项目所处的声环境功能区为GB3096规定的1类、2类地区；或建设项目建设前后评价范围内敏感目标噪声级增高量达3～5dB（A）[含5dB（A）]；或受噪声影响人口数量增加较多时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0" w:hRule="atLeast"/>
          <w:jc w:val="center"/>
        </w:trPr>
        <w:tc>
          <w:tcPr>
            <w:tcW w:w="1242" w:type="dxa"/>
            <w:vAlign w:val="center"/>
          </w:tcPr>
          <w:p>
            <w:pPr>
              <w:kinsoku w:val="0"/>
              <w:overflowPunct w:val="0"/>
              <w:autoSpaceDE w:val="0"/>
              <w:autoSpaceDN w:val="0"/>
              <w:spacing w:line="280" w:lineRule="exact"/>
              <w:jc w:val="center"/>
              <w:rPr>
                <w:rFonts w:ascii="Times New Roman" w:hAnsi="Times New Roman"/>
              </w:rPr>
            </w:pPr>
            <w:r>
              <w:rPr>
                <w:rFonts w:ascii="Times New Roman" w:hAnsi="Times New Roman"/>
              </w:rPr>
              <w:t>三级</w:t>
            </w:r>
          </w:p>
        </w:tc>
        <w:tc>
          <w:tcPr>
            <w:tcW w:w="7286" w:type="dxa"/>
            <w:vAlign w:val="center"/>
          </w:tcPr>
          <w:p>
            <w:pPr>
              <w:kinsoku w:val="0"/>
              <w:overflowPunct w:val="0"/>
              <w:autoSpaceDE w:val="0"/>
              <w:autoSpaceDN w:val="0"/>
              <w:spacing w:line="280" w:lineRule="exact"/>
              <w:jc w:val="center"/>
              <w:rPr>
                <w:rFonts w:ascii="Times New Roman" w:hAnsi="Times New Roman"/>
              </w:rPr>
            </w:pPr>
            <w:r>
              <w:rPr>
                <w:rFonts w:ascii="Times New Roman" w:hAnsi="Times New Roman"/>
              </w:rPr>
              <w:t>建设项目所处的声环境功能区为GB3096规定的3类、4类地区；或建设项目建设前后评价范围内敏感目标噪声级增高量在3dB（A）以下[不含3dB（A）]；且受影响人口数量变化不大时</w:t>
            </w:r>
          </w:p>
        </w:tc>
      </w:tr>
    </w:tbl>
    <w:p>
      <w:pPr>
        <w:pStyle w:val="420"/>
        <w:spacing w:line="480" w:lineRule="exact"/>
        <w:ind w:firstLine="480"/>
        <w:rPr>
          <w:rFonts w:cs="Times New Roman"/>
        </w:rPr>
      </w:pPr>
      <w:r>
        <w:rPr>
          <w:rFonts w:cs="Times New Roman"/>
        </w:rPr>
        <w:t>本项目位于《声环境质量标准》（GB3096-2008）规定的2类地区，项目建设前后评价范围内敏感目标噪声级增高量在3dB（A）以下，受噪声影响人口数量变化不大。根据导则要求，如建设项目符合两个以上级别的划分原则，按较高级别的评价等级评价，因此本项目声环境影响评价工作等级为二级。</w:t>
      </w:r>
    </w:p>
    <w:p>
      <w:pPr>
        <w:widowControl/>
        <w:spacing w:line="480" w:lineRule="exact"/>
        <w:outlineLvl w:val="3"/>
        <w:rPr>
          <w:rFonts w:ascii="Times New Roman" w:hAnsi="Times New Roman" w:eastAsia="黑体"/>
          <w:sz w:val="24"/>
        </w:rPr>
      </w:pPr>
      <w:bookmarkStart w:id="383" w:name="_Toc466271353"/>
      <w:bookmarkStart w:id="384" w:name="_Toc480983814"/>
      <w:bookmarkStart w:id="385" w:name="_Toc458063825"/>
      <w:bookmarkStart w:id="386" w:name="_Toc482020596"/>
      <w:bookmarkStart w:id="387" w:name="_Toc480190433"/>
      <w:bookmarkStart w:id="388" w:name="_Toc464036655"/>
      <w:bookmarkStart w:id="389" w:name="_Toc486970357"/>
      <w:r>
        <w:rPr>
          <w:rFonts w:ascii="Times New Roman" w:hAnsi="Times New Roman" w:eastAsia="黑体"/>
          <w:sz w:val="24"/>
        </w:rPr>
        <w:t>2.4.1.5.土壤环境</w:t>
      </w:r>
      <w:bookmarkEnd w:id="383"/>
      <w:bookmarkEnd w:id="384"/>
      <w:bookmarkEnd w:id="385"/>
      <w:bookmarkEnd w:id="386"/>
      <w:bookmarkEnd w:id="387"/>
      <w:bookmarkEnd w:id="388"/>
      <w:bookmarkEnd w:id="389"/>
    </w:p>
    <w:p>
      <w:p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（1）项目类别</w:t>
      </w:r>
    </w:p>
    <w:p>
      <w:p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根据《环境影响评价技术导则 土壤环境（试行）》（HJ964-2018）附录A中的内容，本项目土壤环境影响评价项目类别为“环境和公共设施管理业”中的“危险废物利用及处置”，属于</w:t>
      </w:r>
      <w:r>
        <w:rPr>
          <w:rFonts w:ascii="Times New Roman" w:hAnsi="Times New Roman"/>
          <w:sz w:val="24"/>
          <w:szCs w:val="24"/>
        </w:rPr>
        <w:t>Ⅰ</w:t>
      </w:r>
      <w:r>
        <w:rPr>
          <w:rFonts w:ascii="Times New Roman" w:hAnsi="Times New Roman"/>
          <w:kern w:val="2"/>
          <w:sz w:val="24"/>
          <w:szCs w:val="20"/>
        </w:rPr>
        <w:t>类项目。</w:t>
      </w:r>
    </w:p>
    <w:p>
      <w:pPr>
        <w:snapToGrid w:val="0"/>
        <w:spacing w:line="480" w:lineRule="exact"/>
        <w:jc w:val="center"/>
        <w:rPr>
          <w:rFonts w:ascii="Times New Roman" w:hAnsi="Times New Roman"/>
          <w:b/>
        </w:rPr>
      </w:pPr>
      <w:r>
        <w:rPr>
          <w:rFonts w:ascii="Times New Roman" w:hAnsi="Times New Roman"/>
          <w:b/>
        </w:rPr>
        <w:t>表2.4-11 土壤环境影响评价项目类别</w:t>
      </w:r>
    </w:p>
    <w:tbl>
      <w:tblPr>
        <w:tblStyle w:val="77"/>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1134"/>
        <w:gridCol w:w="1843"/>
        <w:gridCol w:w="2011"/>
        <w:gridCol w:w="1958"/>
        <w:gridCol w:w="136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jc w:val="center"/>
        </w:trPr>
        <w:tc>
          <w:tcPr>
            <w:tcW w:w="1134" w:type="dxa"/>
            <w:vMerge w:val="restart"/>
            <w:vAlign w:val="center"/>
          </w:tcPr>
          <w:p>
            <w:pPr>
              <w:spacing w:line="280" w:lineRule="exact"/>
              <w:jc w:val="center"/>
              <w:rPr>
                <w:rFonts w:ascii="Times New Roman" w:hAnsi="Times New Roman"/>
                <w:b/>
                <w:iCs/>
                <w:kern w:val="2"/>
              </w:rPr>
            </w:pPr>
            <w:r>
              <w:rPr>
                <w:rFonts w:ascii="Times New Roman" w:hAnsi="Times New Roman"/>
                <w:b/>
                <w:iCs/>
                <w:kern w:val="2"/>
              </w:rPr>
              <w:t>行业类别</w:t>
            </w:r>
          </w:p>
        </w:tc>
        <w:tc>
          <w:tcPr>
            <w:tcW w:w="7178" w:type="dxa"/>
            <w:gridSpan w:val="4"/>
            <w:vAlign w:val="center"/>
          </w:tcPr>
          <w:p>
            <w:pPr>
              <w:spacing w:line="280" w:lineRule="exact"/>
              <w:jc w:val="center"/>
              <w:rPr>
                <w:rFonts w:ascii="Times New Roman" w:hAnsi="Times New Roman"/>
                <w:b/>
                <w:iCs/>
                <w:kern w:val="2"/>
              </w:rPr>
            </w:pPr>
            <w:r>
              <w:rPr>
                <w:rFonts w:ascii="Times New Roman" w:hAnsi="Times New Roman"/>
                <w:b/>
                <w:iCs/>
                <w:kern w:val="2"/>
              </w:rPr>
              <w:t>项目类别</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jc w:val="center"/>
        </w:trPr>
        <w:tc>
          <w:tcPr>
            <w:tcW w:w="1134" w:type="dxa"/>
            <w:vMerge w:val="continue"/>
            <w:vAlign w:val="center"/>
          </w:tcPr>
          <w:p>
            <w:pPr>
              <w:spacing w:line="280" w:lineRule="exact"/>
              <w:jc w:val="center"/>
              <w:rPr>
                <w:rFonts w:ascii="Times New Roman" w:hAnsi="Times New Roman"/>
                <w:b/>
                <w:iCs/>
                <w:kern w:val="2"/>
              </w:rPr>
            </w:pPr>
          </w:p>
        </w:tc>
        <w:tc>
          <w:tcPr>
            <w:tcW w:w="1843" w:type="dxa"/>
            <w:vAlign w:val="center"/>
          </w:tcPr>
          <w:p>
            <w:pPr>
              <w:spacing w:line="280" w:lineRule="exact"/>
              <w:jc w:val="center"/>
              <w:rPr>
                <w:rFonts w:ascii="Times New Roman" w:hAnsi="Times New Roman"/>
                <w:b/>
                <w:iCs/>
                <w:kern w:val="2"/>
              </w:rPr>
            </w:pPr>
            <w:r>
              <w:rPr>
                <w:rFonts w:ascii="Times New Roman" w:hAnsi="Times New Roman"/>
                <w:b/>
                <w:iCs/>
                <w:kern w:val="2"/>
              </w:rPr>
              <w:t>Ⅰ类</w:t>
            </w:r>
          </w:p>
        </w:tc>
        <w:tc>
          <w:tcPr>
            <w:tcW w:w="2011" w:type="dxa"/>
            <w:vAlign w:val="center"/>
          </w:tcPr>
          <w:p>
            <w:pPr>
              <w:spacing w:line="280" w:lineRule="exact"/>
              <w:jc w:val="center"/>
              <w:rPr>
                <w:rFonts w:ascii="Times New Roman" w:hAnsi="Times New Roman"/>
                <w:b/>
                <w:iCs/>
                <w:kern w:val="2"/>
              </w:rPr>
            </w:pPr>
            <w:r>
              <w:rPr>
                <w:rFonts w:ascii="Times New Roman" w:hAnsi="Times New Roman"/>
                <w:b/>
                <w:iCs/>
                <w:kern w:val="2"/>
              </w:rPr>
              <w:t>Ⅱ类</w:t>
            </w:r>
          </w:p>
        </w:tc>
        <w:tc>
          <w:tcPr>
            <w:tcW w:w="1958" w:type="dxa"/>
            <w:vAlign w:val="center"/>
          </w:tcPr>
          <w:p>
            <w:pPr>
              <w:spacing w:line="280" w:lineRule="exact"/>
              <w:jc w:val="center"/>
              <w:rPr>
                <w:rFonts w:ascii="Times New Roman" w:hAnsi="Times New Roman"/>
                <w:b/>
                <w:iCs/>
                <w:kern w:val="2"/>
              </w:rPr>
            </w:pPr>
            <w:r>
              <w:rPr>
                <w:rFonts w:ascii="Times New Roman" w:hAnsi="Times New Roman"/>
                <w:b/>
                <w:iCs/>
                <w:kern w:val="2"/>
              </w:rPr>
              <w:t>Ⅲ类</w:t>
            </w:r>
          </w:p>
        </w:tc>
        <w:tc>
          <w:tcPr>
            <w:tcW w:w="1366" w:type="dxa"/>
            <w:vAlign w:val="center"/>
          </w:tcPr>
          <w:p>
            <w:pPr>
              <w:spacing w:line="280" w:lineRule="exact"/>
              <w:jc w:val="center"/>
              <w:rPr>
                <w:rFonts w:ascii="Times New Roman" w:hAnsi="Times New Roman"/>
                <w:b/>
                <w:iCs/>
                <w:kern w:val="2"/>
              </w:rPr>
            </w:pPr>
            <w:r>
              <w:rPr>
                <w:rFonts w:ascii="Times New Roman" w:hAnsi="Times New Roman"/>
                <w:b/>
                <w:iCs/>
                <w:kern w:val="2"/>
              </w:rPr>
              <w:t>Ⅳ类</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jc w:val="center"/>
        </w:trPr>
        <w:tc>
          <w:tcPr>
            <w:tcW w:w="1134" w:type="dxa"/>
            <w:vAlign w:val="center"/>
          </w:tcPr>
          <w:p>
            <w:pPr>
              <w:spacing w:line="280" w:lineRule="exact"/>
              <w:jc w:val="center"/>
              <w:rPr>
                <w:rFonts w:ascii="Times New Roman" w:hAnsi="Times New Roman"/>
                <w:iCs/>
                <w:kern w:val="2"/>
              </w:rPr>
            </w:pPr>
            <w:r>
              <w:rPr>
                <w:rFonts w:ascii="Times New Roman" w:hAnsi="Times New Roman"/>
                <w:iCs/>
                <w:kern w:val="2"/>
              </w:rPr>
              <w:t>环境和公共设施管理业</w:t>
            </w:r>
          </w:p>
        </w:tc>
        <w:tc>
          <w:tcPr>
            <w:tcW w:w="1843" w:type="dxa"/>
            <w:vAlign w:val="center"/>
          </w:tcPr>
          <w:p>
            <w:pPr>
              <w:spacing w:line="280" w:lineRule="exact"/>
              <w:jc w:val="center"/>
              <w:rPr>
                <w:rFonts w:ascii="Times New Roman" w:hAnsi="Times New Roman"/>
                <w:iCs/>
                <w:kern w:val="2"/>
              </w:rPr>
            </w:pPr>
            <w:r>
              <w:rPr>
                <w:rFonts w:ascii="Times New Roman" w:hAnsi="Times New Roman"/>
                <w:iCs/>
                <w:kern w:val="2"/>
              </w:rPr>
              <w:t>危险废物利用</w:t>
            </w:r>
          </w:p>
          <w:p>
            <w:pPr>
              <w:spacing w:line="280" w:lineRule="exact"/>
              <w:jc w:val="center"/>
              <w:rPr>
                <w:rFonts w:ascii="Times New Roman" w:hAnsi="Times New Roman"/>
                <w:iCs/>
                <w:kern w:val="2"/>
              </w:rPr>
            </w:pPr>
            <w:r>
              <w:rPr>
                <w:rFonts w:ascii="Times New Roman" w:hAnsi="Times New Roman"/>
                <w:iCs/>
                <w:kern w:val="2"/>
              </w:rPr>
              <w:t>及处置</w:t>
            </w:r>
          </w:p>
        </w:tc>
        <w:tc>
          <w:tcPr>
            <w:tcW w:w="2011" w:type="dxa"/>
            <w:vAlign w:val="center"/>
          </w:tcPr>
          <w:p>
            <w:pPr>
              <w:spacing w:line="280" w:lineRule="exact"/>
              <w:jc w:val="center"/>
              <w:rPr>
                <w:rFonts w:ascii="Times New Roman" w:hAnsi="Times New Roman"/>
                <w:iCs/>
                <w:kern w:val="2"/>
              </w:rPr>
            </w:pPr>
            <w:r>
              <w:rPr>
                <w:rFonts w:ascii="Times New Roman" w:hAnsi="Times New Roman"/>
                <w:iCs/>
                <w:kern w:val="2"/>
              </w:rPr>
              <w:t>采用填埋和焚烧方式的一般工业固体废物处置及综合利用；城镇生活垃圾（不含餐厨废弃物）集中处置</w:t>
            </w:r>
          </w:p>
        </w:tc>
        <w:tc>
          <w:tcPr>
            <w:tcW w:w="1958" w:type="dxa"/>
            <w:vAlign w:val="center"/>
          </w:tcPr>
          <w:p>
            <w:pPr>
              <w:spacing w:line="280" w:lineRule="exact"/>
              <w:jc w:val="center"/>
              <w:rPr>
                <w:rFonts w:ascii="Times New Roman" w:hAnsi="Times New Roman"/>
                <w:iCs/>
                <w:kern w:val="2"/>
              </w:rPr>
            </w:pPr>
            <w:r>
              <w:rPr>
                <w:rFonts w:ascii="Times New Roman" w:hAnsi="Times New Roman"/>
                <w:iCs/>
                <w:kern w:val="2"/>
              </w:rPr>
              <w:t>一般工业固体废物处置及综合利用（除采取填埋和焚烧方式以外的）；废旧资源</w:t>
            </w:r>
          </w:p>
          <w:p>
            <w:pPr>
              <w:spacing w:line="280" w:lineRule="exact"/>
              <w:jc w:val="center"/>
              <w:rPr>
                <w:rFonts w:ascii="Times New Roman" w:hAnsi="Times New Roman"/>
                <w:iCs/>
                <w:kern w:val="2"/>
              </w:rPr>
            </w:pPr>
            <w:r>
              <w:rPr>
                <w:rFonts w:ascii="Times New Roman" w:hAnsi="Times New Roman"/>
                <w:iCs/>
                <w:kern w:val="2"/>
              </w:rPr>
              <w:t>加工、再生利用</w:t>
            </w:r>
          </w:p>
        </w:tc>
        <w:tc>
          <w:tcPr>
            <w:tcW w:w="1366" w:type="dxa"/>
            <w:vAlign w:val="center"/>
          </w:tcPr>
          <w:p>
            <w:pPr>
              <w:spacing w:line="280" w:lineRule="exact"/>
              <w:jc w:val="center"/>
              <w:rPr>
                <w:rFonts w:ascii="Times New Roman" w:hAnsi="Times New Roman"/>
                <w:iCs/>
                <w:kern w:val="2"/>
              </w:rPr>
            </w:pPr>
            <w:r>
              <w:rPr>
                <w:rFonts w:ascii="Times New Roman" w:hAnsi="Times New Roman"/>
                <w:iCs/>
                <w:kern w:val="2"/>
              </w:rPr>
              <w:t>其他</w:t>
            </w:r>
          </w:p>
        </w:tc>
      </w:tr>
    </w:tbl>
    <w:p>
      <w:p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（2）占地规模</w:t>
      </w:r>
    </w:p>
    <w:p>
      <w:p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本项目现有工程占地面积0.31hm</w:t>
      </w:r>
      <w:r>
        <w:rPr>
          <w:rFonts w:ascii="Times New Roman" w:hAnsi="Times New Roman"/>
          <w:kern w:val="2"/>
          <w:sz w:val="24"/>
          <w:szCs w:val="20"/>
          <w:vertAlign w:val="superscript"/>
        </w:rPr>
        <w:t>2</w:t>
      </w:r>
      <w:r>
        <w:rPr>
          <w:rFonts w:ascii="Times New Roman" w:hAnsi="Times New Roman"/>
          <w:kern w:val="2"/>
          <w:sz w:val="24"/>
          <w:szCs w:val="20"/>
        </w:rPr>
        <w:t>，本次改扩建不新增占地。根据《环境影响评价技术导则 土壤环境（试行）》（HJ964-2018）6.2.2.1章节，本项目占地规模划分属于小型项目（＜5hm</w:t>
      </w:r>
      <w:r>
        <w:rPr>
          <w:rFonts w:ascii="Times New Roman" w:hAnsi="Times New Roman"/>
          <w:kern w:val="2"/>
          <w:sz w:val="24"/>
          <w:szCs w:val="20"/>
          <w:vertAlign w:val="superscript"/>
        </w:rPr>
        <w:t>2</w:t>
      </w:r>
      <w:r>
        <w:rPr>
          <w:rFonts w:ascii="Times New Roman" w:hAnsi="Times New Roman"/>
          <w:kern w:val="2"/>
          <w:sz w:val="24"/>
          <w:szCs w:val="20"/>
        </w:rPr>
        <w:t>）。</w:t>
      </w:r>
    </w:p>
    <w:p>
      <w:p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（3）敏感程度</w:t>
      </w:r>
    </w:p>
    <w:p>
      <w:p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本项目为污染影响型建设项目，运营期影响途径涉及垂直入渗。</w:t>
      </w:r>
    </w:p>
    <w:p>
      <w:pPr>
        <w:snapToGrid w:val="0"/>
        <w:spacing w:line="480" w:lineRule="exact"/>
        <w:jc w:val="center"/>
        <w:rPr>
          <w:rFonts w:ascii="Times New Roman" w:hAnsi="Times New Roman"/>
          <w:b/>
        </w:rPr>
      </w:pPr>
      <w:r>
        <w:rPr>
          <w:rFonts w:ascii="Times New Roman" w:hAnsi="Times New Roman"/>
          <w:b/>
        </w:rPr>
        <w:t>表2.4-12 建设项目土壤环境影响类型与影响途径表</w:t>
      </w:r>
    </w:p>
    <w:tbl>
      <w:tblPr>
        <w:tblStyle w:val="77"/>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1560"/>
        <w:gridCol w:w="1842"/>
        <w:gridCol w:w="1843"/>
        <w:gridCol w:w="1701"/>
        <w:gridCol w:w="136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jc w:val="center"/>
        </w:trPr>
        <w:tc>
          <w:tcPr>
            <w:tcW w:w="1560" w:type="dxa"/>
            <w:vMerge w:val="restart"/>
            <w:vAlign w:val="center"/>
          </w:tcPr>
          <w:p>
            <w:pPr>
              <w:spacing w:line="280" w:lineRule="exact"/>
              <w:jc w:val="center"/>
              <w:rPr>
                <w:rFonts w:ascii="Times New Roman" w:hAnsi="Times New Roman"/>
                <w:b/>
                <w:iCs/>
                <w:kern w:val="2"/>
              </w:rPr>
            </w:pPr>
            <w:r>
              <w:rPr>
                <w:rFonts w:ascii="Times New Roman" w:hAnsi="Times New Roman"/>
                <w:b/>
                <w:iCs/>
                <w:kern w:val="2"/>
              </w:rPr>
              <w:t>不同时段</w:t>
            </w:r>
          </w:p>
        </w:tc>
        <w:tc>
          <w:tcPr>
            <w:tcW w:w="6752" w:type="dxa"/>
            <w:gridSpan w:val="4"/>
            <w:vAlign w:val="center"/>
          </w:tcPr>
          <w:p>
            <w:pPr>
              <w:spacing w:line="280" w:lineRule="exact"/>
              <w:jc w:val="center"/>
              <w:rPr>
                <w:rFonts w:ascii="Times New Roman" w:hAnsi="Times New Roman"/>
                <w:b/>
                <w:iCs/>
                <w:kern w:val="2"/>
              </w:rPr>
            </w:pPr>
            <w:r>
              <w:rPr>
                <w:rFonts w:ascii="Times New Roman" w:hAnsi="Times New Roman"/>
                <w:b/>
                <w:iCs/>
                <w:kern w:val="2"/>
              </w:rPr>
              <w:t>污染影响型</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jc w:val="center"/>
        </w:trPr>
        <w:tc>
          <w:tcPr>
            <w:tcW w:w="1560" w:type="dxa"/>
            <w:vMerge w:val="continue"/>
            <w:vAlign w:val="center"/>
          </w:tcPr>
          <w:p>
            <w:pPr>
              <w:spacing w:line="280" w:lineRule="exact"/>
              <w:jc w:val="center"/>
              <w:rPr>
                <w:rFonts w:ascii="Times New Roman" w:hAnsi="Times New Roman"/>
                <w:b/>
                <w:iCs/>
                <w:kern w:val="2"/>
              </w:rPr>
            </w:pPr>
          </w:p>
        </w:tc>
        <w:tc>
          <w:tcPr>
            <w:tcW w:w="1842" w:type="dxa"/>
            <w:vAlign w:val="center"/>
          </w:tcPr>
          <w:p>
            <w:pPr>
              <w:spacing w:line="280" w:lineRule="exact"/>
              <w:jc w:val="center"/>
              <w:rPr>
                <w:rFonts w:ascii="Times New Roman" w:hAnsi="Times New Roman"/>
                <w:b/>
                <w:iCs/>
                <w:kern w:val="2"/>
              </w:rPr>
            </w:pPr>
            <w:r>
              <w:rPr>
                <w:rFonts w:ascii="Times New Roman" w:hAnsi="Times New Roman"/>
                <w:b/>
                <w:iCs/>
                <w:kern w:val="2"/>
              </w:rPr>
              <w:t>大气沉降</w:t>
            </w:r>
          </w:p>
        </w:tc>
        <w:tc>
          <w:tcPr>
            <w:tcW w:w="1843" w:type="dxa"/>
            <w:vAlign w:val="center"/>
          </w:tcPr>
          <w:p>
            <w:pPr>
              <w:spacing w:line="280" w:lineRule="exact"/>
              <w:jc w:val="center"/>
              <w:rPr>
                <w:rFonts w:ascii="Times New Roman" w:hAnsi="Times New Roman"/>
                <w:b/>
                <w:iCs/>
                <w:kern w:val="2"/>
              </w:rPr>
            </w:pPr>
            <w:r>
              <w:rPr>
                <w:rFonts w:ascii="Times New Roman" w:hAnsi="Times New Roman"/>
                <w:b/>
                <w:iCs/>
                <w:kern w:val="2"/>
              </w:rPr>
              <w:t>地面漫流</w:t>
            </w:r>
          </w:p>
        </w:tc>
        <w:tc>
          <w:tcPr>
            <w:tcW w:w="1701" w:type="dxa"/>
            <w:vAlign w:val="center"/>
          </w:tcPr>
          <w:p>
            <w:pPr>
              <w:spacing w:line="280" w:lineRule="exact"/>
              <w:jc w:val="center"/>
              <w:rPr>
                <w:rFonts w:ascii="Times New Roman" w:hAnsi="Times New Roman"/>
                <w:b/>
                <w:iCs/>
                <w:kern w:val="2"/>
              </w:rPr>
            </w:pPr>
            <w:r>
              <w:rPr>
                <w:rFonts w:ascii="Times New Roman" w:hAnsi="Times New Roman"/>
                <w:b/>
                <w:iCs/>
                <w:kern w:val="2"/>
              </w:rPr>
              <w:t>垂直入渗</w:t>
            </w:r>
          </w:p>
        </w:tc>
        <w:tc>
          <w:tcPr>
            <w:tcW w:w="1366" w:type="dxa"/>
            <w:vAlign w:val="center"/>
          </w:tcPr>
          <w:p>
            <w:pPr>
              <w:spacing w:line="280" w:lineRule="exact"/>
              <w:jc w:val="center"/>
              <w:rPr>
                <w:rFonts w:ascii="Times New Roman" w:hAnsi="Times New Roman"/>
                <w:b/>
                <w:iCs/>
                <w:kern w:val="2"/>
              </w:rPr>
            </w:pPr>
            <w:r>
              <w:rPr>
                <w:rFonts w:ascii="Times New Roman" w:hAnsi="Times New Roman"/>
                <w:b/>
                <w:iCs/>
                <w:kern w:val="2"/>
              </w:rPr>
              <w:t>其他</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jc w:val="center"/>
        </w:trPr>
        <w:tc>
          <w:tcPr>
            <w:tcW w:w="1560" w:type="dxa"/>
            <w:vAlign w:val="center"/>
          </w:tcPr>
          <w:p>
            <w:pPr>
              <w:spacing w:line="280" w:lineRule="exact"/>
              <w:jc w:val="center"/>
              <w:rPr>
                <w:rFonts w:ascii="Times New Roman" w:hAnsi="Times New Roman"/>
                <w:iCs/>
                <w:kern w:val="2"/>
              </w:rPr>
            </w:pPr>
            <w:r>
              <w:rPr>
                <w:rFonts w:ascii="Times New Roman" w:hAnsi="Times New Roman"/>
                <w:iCs/>
                <w:kern w:val="2"/>
              </w:rPr>
              <w:t>建设期</w:t>
            </w:r>
          </w:p>
        </w:tc>
        <w:tc>
          <w:tcPr>
            <w:tcW w:w="1842" w:type="dxa"/>
            <w:vAlign w:val="center"/>
          </w:tcPr>
          <w:p>
            <w:pPr>
              <w:spacing w:line="280" w:lineRule="exact"/>
              <w:jc w:val="center"/>
              <w:rPr>
                <w:rFonts w:ascii="Times New Roman" w:hAnsi="Times New Roman"/>
                <w:iCs/>
                <w:kern w:val="2"/>
              </w:rPr>
            </w:pPr>
            <w:r>
              <w:rPr>
                <w:rFonts w:ascii="Times New Roman" w:hAnsi="Times New Roman"/>
                <w:iCs/>
                <w:kern w:val="2"/>
              </w:rPr>
              <w:t>/</w:t>
            </w:r>
          </w:p>
        </w:tc>
        <w:tc>
          <w:tcPr>
            <w:tcW w:w="1843" w:type="dxa"/>
            <w:vAlign w:val="center"/>
          </w:tcPr>
          <w:p>
            <w:pPr>
              <w:spacing w:line="280" w:lineRule="exact"/>
              <w:jc w:val="center"/>
              <w:rPr>
                <w:rFonts w:ascii="Times New Roman" w:hAnsi="Times New Roman"/>
                <w:iCs/>
                <w:kern w:val="2"/>
              </w:rPr>
            </w:pPr>
            <w:r>
              <w:rPr>
                <w:rFonts w:ascii="Times New Roman" w:hAnsi="Times New Roman"/>
                <w:iCs/>
                <w:kern w:val="2"/>
              </w:rPr>
              <w:t>/</w:t>
            </w:r>
          </w:p>
        </w:tc>
        <w:tc>
          <w:tcPr>
            <w:tcW w:w="1701" w:type="dxa"/>
            <w:vAlign w:val="center"/>
          </w:tcPr>
          <w:p>
            <w:pPr>
              <w:spacing w:line="280" w:lineRule="exact"/>
              <w:jc w:val="center"/>
              <w:rPr>
                <w:rFonts w:ascii="Times New Roman" w:hAnsi="Times New Roman"/>
                <w:iCs/>
                <w:kern w:val="2"/>
              </w:rPr>
            </w:pPr>
            <w:r>
              <w:rPr>
                <w:rFonts w:ascii="Times New Roman" w:hAnsi="Times New Roman"/>
                <w:iCs/>
                <w:kern w:val="2"/>
              </w:rPr>
              <w:t>/</w:t>
            </w:r>
          </w:p>
        </w:tc>
        <w:tc>
          <w:tcPr>
            <w:tcW w:w="1366" w:type="dxa"/>
            <w:vAlign w:val="center"/>
          </w:tcPr>
          <w:p>
            <w:pPr>
              <w:spacing w:line="280" w:lineRule="exact"/>
              <w:jc w:val="center"/>
              <w:rPr>
                <w:rFonts w:ascii="Times New Roman" w:hAnsi="Times New Roman"/>
                <w:iCs/>
                <w:kern w:val="2"/>
              </w:rPr>
            </w:pPr>
            <w:r>
              <w:rPr>
                <w:rFonts w:ascii="Times New Roman" w:hAnsi="Times New Roman"/>
                <w:iCs/>
                <w:kern w:val="2"/>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jc w:val="center"/>
        </w:trPr>
        <w:tc>
          <w:tcPr>
            <w:tcW w:w="1560" w:type="dxa"/>
            <w:vAlign w:val="center"/>
          </w:tcPr>
          <w:p>
            <w:pPr>
              <w:spacing w:line="280" w:lineRule="exact"/>
              <w:jc w:val="center"/>
              <w:rPr>
                <w:rFonts w:ascii="Times New Roman" w:hAnsi="Times New Roman"/>
                <w:iCs/>
                <w:kern w:val="2"/>
              </w:rPr>
            </w:pPr>
            <w:r>
              <w:rPr>
                <w:rFonts w:ascii="Times New Roman" w:hAnsi="Times New Roman"/>
                <w:iCs/>
                <w:kern w:val="2"/>
              </w:rPr>
              <w:t>运营期</w:t>
            </w:r>
          </w:p>
        </w:tc>
        <w:tc>
          <w:tcPr>
            <w:tcW w:w="1842" w:type="dxa"/>
            <w:vAlign w:val="center"/>
          </w:tcPr>
          <w:p>
            <w:pPr>
              <w:spacing w:line="280" w:lineRule="exact"/>
              <w:jc w:val="center"/>
              <w:rPr>
                <w:rFonts w:ascii="Times New Roman" w:hAnsi="Times New Roman"/>
                <w:iCs/>
                <w:kern w:val="2"/>
              </w:rPr>
            </w:pPr>
            <w:r>
              <w:rPr>
                <w:rFonts w:ascii="Times New Roman" w:hAnsi="Times New Roman"/>
                <w:iCs/>
                <w:kern w:val="2"/>
              </w:rPr>
              <w:t>/</w:t>
            </w:r>
          </w:p>
        </w:tc>
        <w:tc>
          <w:tcPr>
            <w:tcW w:w="1843" w:type="dxa"/>
            <w:vAlign w:val="center"/>
          </w:tcPr>
          <w:p>
            <w:pPr>
              <w:spacing w:line="280" w:lineRule="exact"/>
              <w:jc w:val="center"/>
              <w:rPr>
                <w:rFonts w:ascii="Times New Roman" w:hAnsi="Times New Roman"/>
                <w:iCs/>
                <w:kern w:val="2"/>
              </w:rPr>
            </w:pPr>
            <w:r>
              <w:rPr>
                <w:rFonts w:ascii="Times New Roman" w:hAnsi="Times New Roman"/>
                <w:iCs/>
                <w:kern w:val="2"/>
              </w:rPr>
              <w:t>/</w:t>
            </w:r>
          </w:p>
        </w:tc>
        <w:tc>
          <w:tcPr>
            <w:tcW w:w="1701" w:type="dxa"/>
            <w:vAlign w:val="center"/>
          </w:tcPr>
          <w:p>
            <w:pPr>
              <w:spacing w:line="280" w:lineRule="exact"/>
              <w:jc w:val="center"/>
              <w:rPr>
                <w:rFonts w:ascii="Times New Roman" w:hAnsi="Times New Roman"/>
                <w:iCs/>
                <w:kern w:val="2"/>
              </w:rPr>
            </w:pPr>
            <w:r>
              <w:rPr>
                <w:rFonts w:ascii="Times New Roman" w:hAnsi="Times New Roman"/>
                <w:iCs/>
                <w:kern w:val="2"/>
              </w:rPr>
              <w:t>√</w:t>
            </w:r>
          </w:p>
        </w:tc>
        <w:tc>
          <w:tcPr>
            <w:tcW w:w="1366" w:type="dxa"/>
            <w:vAlign w:val="center"/>
          </w:tcPr>
          <w:p>
            <w:pPr>
              <w:spacing w:line="280" w:lineRule="exact"/>
              <w:jc w:val="center"/>
              <w:rPr>
                <w:rFonts w:ascii="Times New Roman" w:hAnsi="Times New Roman"/>
                <w:iCs/>
                <w:kern w:val="2"/>
              </w:rPr>
            </w:pPr>
            <w:r>
              <w:rPr>
                <w:rFonts w:ascii="Times New Roman" w:hAnsi="Times New Roman"/>
                <w:iCs/>
                <w:kern w:val="2"/>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jc w:val="center"/>
        </w:trPr>
        <w:tc>
          <w:tcPr>
            <w:tcW w:w="1560" w:type="dxa"/>
            <w:vAlign w:val="center"/>
          </w:tcPr>
          <w:p>
            <w:pPr>
              <w:spacing w:line="280" w:lineRule="exact"/>
              <w:jc w:val="center"/>
              <w:rPr>
                <w:rFonts w:ascii="Times New Roman" w:hAnsi="Times New Roman"/>
                <w:iCs/>
                <w:kern w:val="2"/>
              </w:rPr>
            </w:pPr>
            <w:r>
              <w:rPr>
                <w:rFonts w:ascii="Times New Roman" w:hAnsi="Times New Roman"/>
                <w:iCs/>
                <w:kern w:val="2"/>
              </w:rPr>
              <w:t>服务期满后</w:t>
            </w:r>
          </w:p>
        </w:tc>
        <w:tc>
          <w:tcPr>
            <w:tcW w:w="1842" w:type="dxa"/>
            <w:vAlign w:val="center"/>
          </w:tcPr>
          <w:p>
            <w:pPr>
              <w:spacing w:line="280" w:lineRule="exact"/>
              <w:jc w:val="center"/>
              <w:rPr>
                <w:rFonts w:ascii="Times New Roman" w:hAnsi="Times New Roman"/>
                <w:iCs/>
                <w:kern w:val="2"/>
              </w:rPr>
            </w:pPr>
            <w:r>
              <w:rPr>
                <w:rFonts w:ascii="Times New Roman" w:hAnsi="Times New Roman"/>
                <w:iCs/>
                <w:kern w:val="2"/>
              </w:rPr>
              <w:t>/</w:t>
            </w:r>
          </w:p>
        </w:tc>
        <w:tc>
          <w:tcPr>
            <w:tcW w:w="1843" w:type="dxa"/>
            <w:vAlign w:val="center"/>
          </w:tcPr>
          <w:p>
            <w:pPr>
              <w:spacing w:line="280" w:lineRule="exact"/>
              <w:jc w:val="center"/>
              <w:rPr>
                <w:rFonts w:ascii="Times New Roman" w:hAnsi="Times New Roman"/>
                <w:iCs/>
                <w:kern w:val="2"/>
              </w:rPr>
            </w:pPr>
            <w:r>
              <w:rPr>
                <w:rFonts w:ascii="Times New Roman" w:hAnsi="Times New Roman"/>
                <w:iCs/>
                <w:kern w:val="2"/>
              </w:rPr>
              <w:t>/</w:t>
            </w:r>
          </w:p>
        </w:tc>
        <w:tc>
          <w:tcPr>
            <w:tcW w:w="1701" w:type="dxa"/>
            <w:vAlign w:val="center"/>
          </w:tcPr>
          <w:p>
            <w:pPr>
              <w:spacing w:line="280" w:lineRule="exact"/>
              <w:jc w:val="center"/>
              <w:rPr>
                <w:rFonts w:ascii="Times New Roman" w:hAnsi="Times New Roman"/>
                <w:iCs/>
                <w:kern w:val="2"/>
              </w:rPr>
            </w:pPr>
            <w:r>
              <w:rPr>
                <w:rFonts w:ascii="Times New Roman" w:hAnsi="Times New Roman"/>
                <w:iCs/>
                <w:kern w:val="2"/>
              </w:rPr>
              <w:t>/</w:t>
            </w:r>
          </w:p>
        </w:tc>
        <w:tc>
          <w:tcPr>
            <w:tcW w:w="1366" w:type="dxa"/>
            <w:vAlign w:val="center"/>
          </w:tcPr>
          <w:p>
            <w:pPr>
              <w:spacing w:line="280" w:lineRule="exact"/>
              <w:jc w:val="center"/>
              <w:rPr>
                <w:rFonts w:ascii="Times New Roman" w:hAnsi="Times New Roman"/>
                <w:iCs/>
                <w:kern w:val="2"/>
              </w:rPr>
            </w:pPr>
            <w:r>
              <w:rPr>
                <w:rFonts w:ascii="Times New Roman" w:hAnsi="Times New Roman"/>
                <w:iCs/>
                <w:kern w:val="2"/>
              </w:rPr>
              <w:t>/</w:t>
            </w:r>
          </w:p>
        </w:tc>
      </w:tr>
    </w:tbl>
    <w:p>
      <w:p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根据《环境影响评价技术导则 土壤环境（试行）》（HJ964-2018）6.2.2.2章节，建设项目所在地周边的土壤环境敏感程度分为敏感、较敏感、不敏感。本项目位于双鸭山市四方台区梨花盖子沟垃圾处理场院内，项目北侧、南侧和西侧均为树林，东侧紧邻垃圾处理厂，项目区周围无自然保护区，无风景名胜区，也未发现珍稀保护动植物，</w:t>
      </w:r>
      <w:r>
        <w:rPr>
          <w:rFonts w:hint="eastAsia" w:ascii="Times New Roman" w:hAnsi="Times New Roman"/>
          <w:kern w:val="2"/>
          <w:sz w:val="24"/>
          <w:szCs w:val="20"/>
        </w:rPr>
        <w:t>但是项目周边树林为天然林，所以</w:t>
      </w:r>
      <w:r>
        <w:rPr>
          <w:rFonts w:ascii="Times New Roman" w:hAnsi="Times New Roman"/>
          <w:kern w:val="2"/>
          <w:sz w:val="24"/>
          <w:szCs w:val="20"/>
        </w:rPr>
        <w:t>环境敏感程度判定为“</w:t>
      </w:r>
      <w:r>
        <w:rPr>
          <w:rFonts w:hint="eastAsia" w:ascii="Times New Roman" w:hAnsi="Times New Roman"/>
          <w:kern w:val="2"/>
          <w:sz w:val="24"/>
          <w:szCs w:val="20"/>
        </w:rPr>
        <w:t>较敏感</w:t>
      </w:r>
      <w:r>
        <w:rPr>
          <w:rFonts w:ascii="Times New Roman" w:hAnsi="Times New Roman"/>
          <w:kern w:val="2"/>
          <w:sz w:val="24"/>
          <w:szCs w:val="20"/>
        </w:rPr>
        <w:t>”。</w:t>
      </w:r>
    </w:p>
    <w:p>
      <w:pPr>
        <w:snapToGrid w:val="0"/>
        <w:spacing w:line="480" w:lineRule="exact"/>
        <w:jc w:val="center"/>
        <w:rPr>
          <w:rFonts w:ascii="Times New Roman" w:hAnsi="Times New Roman"/>
          <w:b/>
        </w:rPr>
      </w:pPr>
      <w:r>
        <w:rPr>
          <w:rFonts w:ascii="Times New Roman" w:hAnsi="Times New Roman"/>
          <w:b/>
        </w:rPr>
        <w:t>表2.4-13 污染影响型敏感程度分级表</w:t>
      </w:r>
    </w:p>
    <w:tbl>
      <w:tblPr>
        <w:tblStyle w:val="77"/>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1198"/>
        <w:gridCol w:w="711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jc w:val="center"/>
        </w:trPr>
        <w:tc>
          <w:tcPr>
            <w:tcW w:w="1198" w:type="dxa"/>
            <w:vAlign w:val="center"/>
          </w:tcPr>
          <w:p>
            <w:pPr>
              <w:spacing w:line="280" w:lineRule="exact"/>
              <w:jc w:val="center"/>
              <w:rPr>
                <w:rFonts w:ascii="Times New Roman" w:hAnsi="Times New Roman"/>
                <w:b/>
                <w:iCs/>
                <w:kern w:val="2"/>
              </w:rPr>
            </w:pPr>
            <w:r>
              <w:rPr>
                <w:rFonts w:ascii="Times New Roman" w:hAnsi="Times New Roman"/>
                <w:b/>
                <w:iCs/>
                <w:kern w:val="2"/>
              </w:rPr>
              <w:t>敏感程度</w:t>
            </w:r>
          </w:p>
        </w:tc>
        <w:tc>
          <w:tcPr>
            <w:tcW w:w="7114" w:type="dxa"/>
            <w:vAlign w:val="center"/>
          </w:tcPr>
          <w:p>
            <w:pPr>
              <w:spacing w:line="280" w:lineRule="exact"/>
              <w:jc w:val="center"/>
              <w:rPr>
                <w:rFonts w:ascii="Times New Roman" w:hAnsi="Times New Roman"/>
                <w:b/>
                <w:iCs/>
                <w:kern w:val="2"/>
              </w:rPr>
            </w:pPr>
            <w:r>
              <w:rPr>
                <w:rFonts w:ascii="Times New Roman" w:hAnsi="Times New Roman"/>
                <w:b/>
                <w:iCs/>
                <w:kern w:val="2"/>
              </w:rPr>
              <w:t>土壤环境敏感特征</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jc w:val="center"/>
        </w:trPr>
        <w:tc>
          <w:tcPr>
            <w:tcW w:w="1198" w:type="dxa"/>
            <w:vAlign w:val="center"/>
          </w:tcPr>
          <w:p>
            <w:pPr>
              <w:spacing w:line="280" w:lineRule="exact"/>
              <w:jc w:val="center"/>
              <w:rPr>
                <w:rFonts w:ascii="Times New Roman" w:hAnsi="Times New Roman"/>
                <w:iCs/>
                <w:kern w:val="2"/>
              </w:rPr>
            </w:pPr>
            <w:r>
              <w:rPr>
                <w:rFonts w:ascii="Times New Roman" w:hAnsi="Times New Roman"/>
                <w:iCs/>
                <w:kern w:val="2"/>
              </w:rPr>
              <w:t>敏感</w:t>
            </w:r>
          </w:p>
        </w:tc>
        <w:tc>
          <w:tcPr>
            <w:tcW w:w="7114" w:type="dxa"/>
            <w:vAlign w:val="center"/>
          </w:tcPr>
          <w:p>
            <w:pPr>
              <w:spacing w:line="280" w:lineRule="exact"/>
              <w:jc w:val="center"/>
              <w:rPr>
                <w:rFonts w:ascii="Times New Roman" w:hAnsi="Times New Roman"/>
                <w:iCs/>
                <w:kern w:val="2"/>
              </w:rPr>
            </w:pPr>
            <w:r>
              <w:rPr>
                <w:rFonts w:ascii="Times New Roman" w:hAnsi="Times New Roman"/>
                <w:iCs/>
                <w:kern w:val="2"/>
              </w:rPr>
              <w:t>建设项目周边存在耕地、园地、牧草地、饮用水水源地或居民区、学校、医院、疗养院、养老院等土壤环境敏感目标的</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jc w:val="center"/>
        </w:trPr>
        <w:tc>
          <w:tcPr>
            <w:tcW w:w="1198" w:type="dxa"/>
            <w:vAlign w:val="center"/>
          </w:tcPr>
          <w:p>
            <w:pPr>
              <w:spacing w:line="280" w:lineRule="exact"/>
              <w:jc w:val="center"/>
              <w:rPr>
                <w:rFonts w:ascii="Times New Roman" w:hAnsi="Times New Roman"/>
                <w:iCs/>
                <w:kern w:val="2"/>
              </w:rPr>
            </w:pPr>
            <w:r>
              <w:rPr>
                <w:rFonts w:ascii="Times New Roman" w:hAnsi="Times New Roman"/>
                <w:iCs/>
                <w:kern w:val="2"/>
              </w:rPr>
              <w:t>较敏感</w:t>
            </w:r>
          </w:p>
        </w:tc>
        <w:tc>
          <w:tcPr>
            <w:tcW w:w="7114" w:type="dxa"/>
            <w:vAlign w:val="center"/>
          </w:tcPr>
          <w:p>
            <w:pPr>
              <w:spacing w:line="280" w:lineRule="exact"/>
              <w:jc w:val="center"/>
              <w:rPr>
                <w:rFonts w:ascii="Times New Roman" w:hAnsi="Times New Roman"/>
                <w:iCs/>
                <w:kern w:val="2"/>
              </w:rPr>
            </w:pPr>
            <w:r>
              <w:rPr>
                <w:rFonts w:ascii="Times New Roman" w:hAnsi="Times New Roman"/>
                <w:iCs/>
                <w:kern w:val="2"/>
              </w:rPr>
              <w:t>建设项目周边存在其他土壤环境敏感目标的</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jc w:val="center"/>
        </w:trPr>
        <w:tc>
          <w:tcPr>
            <w:tcW w:w="1198" w:type="dxa"/>
            <w:vAlign w:val="center"/>
          </w:tcPr>
          <w:p>
            <w:pPr>
              <w:spacing w:line="280" w:lineRule="exact"/>
              <w:jc w:val="center"/>
              <w:rPr>
                <w:rFonts w:ascii="Times New Roman" w:hAnsi="Times New Roman"/>
                <w:iCs/>
                <w:kern w:val="2"/>
              </w:rPr>
            </w:pPr>
            <w:r>
              <w:rPr>
                <w:rFonts w:ascii="Times New Roman" w:hAnsi="Times New Roman"/>
                <w:iCs/>
                <w:kern w:val="2"/>
              </w:rPr>
              <w:t>不敏感</w:t>
            </w:r>
          </w:p>
        </w:tc>
        <w:tc>
          <w:tcPr>
            <w:tcW w:w="7114" w:type="dxa"/>
            <w:vAlign w:val="center"/>
          </w:tcPr>
          <w:p>
            <w:pPr>
              <w:spacing w:line="280" w:lineRule="exact"/>
              <w:jc w:val="center"/>
              <w:rPr>
                <w:rFonts w:ascii="Times New Roman" w:hAnsi="Times New Roman"/>
                <w:iCs/>
                <w:kern w:val="2"/>
              </w:rPr>
            </w:pPr>
            <w:r>
              <w:rPr>
                <w:rFonts w:ascii="Times New Roman" w:hAnsi="Times New Roman"/>
                <w:iCs/>
                <w:kern w:val="2"/>
              </w:rPr>
              <w:t>其他情况</w:t>
            </w:r>
          </w:p>
        </w:tc>
      </w:tr>
    </w:tbl>
    <w:p>
      <w:p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（4）评价等级判定</w:t>
      </w:r>
    </w:p>
    <w:p>
      <w:p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根据项目类别、占地规模和敏感程度判断本项目土壤环境评价等级为二级。</w:t>
      </w:r>
    </w:p>
    <w:p>
      <w:pPr>
        <w:spacing w:line="480" w:lineRule="exact"/>
        <w:jc w:val="center"/>
        <w:rPr>
          <w:rFonts w:ascii="Times New Roman" w:hAnsi="Times New Roman"/>
          <w:b/>
        </w:rPr>
      </w:pPr>
      <w:r>
        <w:rPr>
          <w:rFonts w:ascii="Times New Roman" w:hAnsi="Times New Roman"/>
          <w:kern w:val="2"/>
          <w:szCs w:val="24"/>
        </w:rPr>
        <mc:AlternateContent>
          <mc:Choice Requires="wps">
            <w:drawing>
              <wp:anchor distT="0" distB="0" distL="114300" distR="114300" simplePos="0" relativeHeight="251667456" behindDoc="0" locked="0" layoutInCell="1" allowOverlap="1">
                <wp:simplePos x="0" y="0"/>
                <wp:positionH relativeFrom="column">
                  <wp:posOffset>-100965</wp:posOffset>
                </wp:positionH>
                <wp:positionV relativeFrom="paragraph">
                  <wp:posOffset>502285</wp:posOffset>
                </wp:positionV>
                <wp:extent cx="828675" cy="297180"/>
                <wp:effectExtent l="0" t="0" r="0" b="7620"/>
                <wp:wrapNone/>
                <wp:docPr id="21" name="文本框 18"/>
                <wp:cNvGraphicFramePr/>
                <a:graphic xmlns:a="http://schemas.openxmlformats.org/drawingml/2006/main">
                  <a:graphicData uri="http://schemas.microsoft.com/office/word/2010/wordprocessingShape">
                    <wps:wsp>
                      <wps:cNvSpPr txBox="1"/>
                      <wps:spPr>
                        <a:xfrm>
                          <a:off x="0" y="0"/>
                          <a:ext cx="828675" cy="297180"/>
                        </a:xfrm>
                        <a:prstGeom prst="rect">
                          <a:avLst/>
                        </a:prstGeom>
                        <a:noFill/>
                        <a:ln w="6350">
                          <a:noFill/>
                        </a:ln>
                        <a:effectLst/>
                      </wps:spPr>
                      <wps:txbx>
                        <w:txbxContent>
                          <w:p>
                            <w:pPr>
                              <w:rPr>
                                <w:sz w:val="18"/>
                                <w:szCs w:val="18"/>
                              </w:rPr>
                            </w:pPr>
                            <w:r>
                              <w:rPr>
                                <w:rFonts w:hint="eastAsia"/>
                                <w:sz w:val="18"/>
                                <w:szCs w:val="18"/>
                              </w:rPr>
                              <w:t>敏感程度</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8" o:spid="_x0000_s1026" o:spt="202" type="#_x0000_t202" style="position:absolute;left:0pt;margin-left:-7.95pt;margin-top:39.55pt;height:23.4pt;width:65.25pt;z-index:251667456;mso-width-relative:page;mso-height-relative:page;" filled="f" stroked="f" coordsize="21600,21600" o:gfxdata="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AVBWDDbAAAACgEAAA8AAAAAAAAAAQAg&#10;AAAAIgAAAGRycy9kb3ducmV2LnhtbFBLAQIUABQAAAAIAIdO4kDUq7DCRAIAAHUEAAAOAAAAAAAA&#10;AAEAIAAAACoBAABkcnMvZTJvRG9jLnhtbFBLBQYAAAAABgAGAFkBAADgBQAAAAA=&#10;">
                <v:fill on="f" focussize="0,0"/>
                <v:stroke on="f" weight="0.5pt"/>
                <v:imagedata o:title=""/>
                <o:lock v:ext="edit" aspectratio="f"/>
                <v:textbox>
                  <w:txbxContent>
                    <w:p>
                      <w:pPr>
                        <w:rPr>
                          <w:sz w:val="18"/>
                          <w:szCs w:val="18"/>
                        </w:rPr>
                      </w:pPr>
                      <w:r>
                        <w:rPr>
                          <w:rFonts w:hint="eastAsia"/>
                          <w:sz w:val="18"/>
                          <w:szCs w:val="18"/>
                        </w:rPr>
                        <w:t>敏感程度</w:t>
                      </w:r>
                    </w:p>
                  </w:txbxContent>
                </v:textbox>
              </v:shape>
            </w:pict>
          </mc:Fallback>
        </mc:AlternateContent>
      </w:r>
      <w:r>
        <w:rPr>
          <w:rFonts w:ascii="Times New Roman" w:hAnsi="Times New Roman"/>
          <w:kern w:val="2"/>
          <w:szCs w:val="24"/>
        </w:rPr>
        <mc:AlternateContent>
          <mc:Choice Requires="wps">
            <w:drawing>
              <wp:anchor distT="0" distB="0" distL="114300" distR="114300" simplePos="0" relativeHeight="251666432" behindDoc="0" locked="0" layoutInCell="1" allowOverlap="1">
                <wp:simplePos x="0" y="0"/>
                <wp:positionH relativeFrom="column">
                  <wp:posOffset>-94615</wp:posOffset>
                </wp:positionH>
                <wp:positionV relativeFrom="paragraph">
                  <wp:posOffset>327025</wp:posOffset>
                </wp:positionV>
                <wp:extent cx="935990" cy="292100"/>
                <wp:effectExtent l="0" t="0" r="0" b="0"/>
                <wp:wrapNone/>
                <wp:docPr id="20" name="文本框 17"/>
                <wp:cNvGraphicFramePr/>
                <a:graphic xmlns:a="http://schemas.openxmlformats.org/drawingml/2006/main">
                  <a:graphicData uri="http://schemas.microsoft.com/office/word/2010/wordprocessingShape">
                    <wps:wsp>
                      <wps:cNvSpPr txBox="1"/>
                      <wps:spPr>
                        <a:xfrm>
                          <a:off x="0" y="0"/>
                          <a:ext cx="935990" cy="292100"/>
                        </a:xfrm>
                        <a:prstGeom prst="rect">
                          <a:avLst/>
                        </a:prstGeom>
                        <a:noFill/>
                        <a:ln w="6350">
                          <a:noFill/>
                        </a:ln>
                        <a:effectLst/>
                      </wps:spPr>
                      <wps:txbx>
                        <w:txbxContent>
                          <w:p>
                            <w:pPr>
                              <w:rPr>
                                <w:sz w:val="18"/>
                                <w:szCs w:val="18"/>
                              </w:rPr>
                            </w:pPr>
                            <w:r>
                              <w:rPr>
                                <w:rFonts w:hint="eastAsia"/>
                                <w:sz w:val="18"/>
                                <w:szCs w:val="18"/>
                              </w:rPr>
                              <w:t xml:space="preserve">工作等级 </w:t>
                            </w:r>
                            <w:r>
                              <w:rPr>
                                <w:sz w:val="18"/>
                                <w:szCs w:val="18"/>
                              </w:rPr>
                              <w:t xml:space="preserve">    </w:t>
                            </w:r>
                            <w:r>
                              <w:rPr>
                                <w:rFonts w:hint="eastAsia"/>
                                <w:sz w:val="18"/>
                                <w:szCs w:val="18"/>
                              </w:rPr>
                              <w:t xml:space="preserve"> </w:t>
                            </w:r>
                            <w:r>
                              <w:rPr>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7" o:spid="_x0000_s1026" o:spt="202" type="#_x0000_t202" style="position:absolute;left:0pt;margin-left:-7.45pt;margin-top:25.75pt;height:23pt;width:73.7pt;z-index:251666432;mso-width-relative:page;mso-height-relative:page;" filled="f" stroked="f" coordsize="21600,21600" o:gfxdata="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WWlXBNsAAAAJAQAADwAAAAAAAAABACAA&#10;AAAiAAAAZHJzL2Rvd25yZXYueG1sUEsBAhQAFAAAAAgAh07iQAxu1VZDAgAAdQQAAA4AAAAAAAAA&#10;AQAgAAAAKgEAAGRycy9lMm9Eb2MueG1sUEsFBgAAAAAGAAYAWQEAAN8FAAAAAA==&#10;">
                <v:fill on="f" focussize="0,0"/>
                <v:stroke on="f" weight="0.5pt"/>
                <v:imagedata o:title=""/>
                <o:lock v:ext="edit" aspectratio="f"/>
                <v:textbox>
                  <w:txbxContent>
                    <w:p>
                      <w:pPr>
                        <w:rPr>
                          <w:sz w:val="18"/>
                          <w:szCs w:val="18"/>
                        </w:rPr>
                      </w:pPr>
                      <w:r>
                        <w:rPr>
                          <w:rFonts w:hint="eastAsia"/>
                          <w:sz w:val="18"/>
                          <w:szCs w:val="18"/>
                        </w:rPr>
                        <w:t xml:space="preserve">工作等级 </w:t>
                      </w:r>
                      <w:r>
                        <w:rPr>
                          <w:sz w:val="18"/>
                          <w:szCs w:val="18"/>
                        </w:rPr>
                        <w:t xml:space="preserve">    </w:t>
                      </w:r>
                      <w:r>
                        <w:rPr>
                          <w:rFonts w:hint="eastAsia"/>
                          <w:sz w:val="18"/>
                          <w:szCs w:val="18"/>
                        </w:rPr>
                        <w:t xml:space="preserve"> </w:t>
                      </w:r>
                      <w:r>
                        <w:rPr>
                          <w:sz w:val="18"/>
                          <w:szCs w:val="18"/>
                        </w:rPr>
                        <w:t xml:space="preserve"> </w:t>
                      </w:r>
                    </w:p>
                  </w:txbxContent>
                </v:textbox>
              </v:shape>
            </w:pict>
          </mc:Fallback>
        </mc:AlternateContent>
      </w:r>
      <w:r>
        <w:rPr>
          <w:rFonts w:ascii="Times New Roman" w:hAnsi="Times New Roman"/>
          <w:b/>
          <w:kern w:val="2"/>
          <w:sz w:val="24"/>
          <w:szCs w:val="24"/>
        </w:rPr>
        <mc:AlternateContent>
          <mc:Choice Requires="wps">
            <w:drawing>
              <wp:anchor distT="0" distB="0" distL="114300" distR="114300" simplePos="0" relativeHeight="251665408" behindDoc="0" locked="0" layoutInCell="1" allowOverlap="1">
                <wp:simplePos x="0" y="0"/>
                <wp:positionH relativeFrom="column">
                  <wp:posOffset>421640</wp:posOffset>
                </wp:positionH>
                <wp:positionV relativeFrom="paragraph">
                  <wp:posOffset>281305</wp:posOffset>
                </wp:positionV>
                <wp:extent cx="722630" cy="307975"/>
                <wp:effectExtent l="0" t="0" r="0" b="0"/>
                <wp:wrapNone/>
                <wp:docPr id="19" name="文本框 16"/>
                <wp:cNvGraphicFramePr/>
                <a:graphic xmlns:a="http://schemas.openxmlformats.org/drawingml/2006/main">
                  <a:graphicData uri="http://schemas.microsoft.com/office/word/2010/wordprocessingShape">
                    <wps:wsp>
                      <wps:cNvSpPr txBox="1"/>
                      <wps:spPr>
                        <a:xfrm>
                          <a:off x="0" y="0"/>
                          <a:ext cx="722630" cy="307975"/>
                        </a:xfrm>
                        <a:prstGeom prst="rect">
                          <a:avLst/>
                        </a:prstGeom>
                        <a:noFill/>
                        <a:ln w="6350">
                          <a:noFill/>
                        </a:ln>
                        <a:effectLst/>
                      </wps:spPr>
                      <wps:txbx>
                        <w:txbxContent>
                          <w:p>
                            <w:pPr>
                              <w:rPr>
                                <w:sz w:val="18"/>
                                <w:szCs w:val="18"/>
                              </w:rPr>
                            </w:pPr>
                            <w:r>
                              <w:rPr>
                                <w:rFonts w:hint="eastAsia"/>
                                <w:sz w:val="18"/>
                                <w:szCs w:val="18"/>
                              </w:rPr>
                              <w:t>占地规模</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6" o:spid="_x0000_s1026" o:spt="202" type="#_x0000_t202" style="position:absolute;left:0pt;margin-left:33.2pt;margin-top:22.15pt;height:24.25pt;width:56.9pt;z-index:251665408;mso-width-relative:page;mso-height-relative:page;" filled="f" stroked="f" coordsize="21600,21600" o:gfxdata="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L9K329kAAAAIAQAADwAAAAAAAAABACAAAAAi&#10;AAAAZHJzL2Rvd25yZXYueG1sUEsBAhQAFAAAAAgAh07iQCt7dgVCAgAAdQQAAA4AAAAAAAAAAQAg&#10;AAAAKAEAAGRycy9lMm9Eb2MueG1sUEsFBgAAAAAGAAYAWQEAANwFAAAAAA==&#10;">
                <v:fill on="f" focussize="0,0"/>
                <v:stroke on="f" weight="0.5pt"/>
                <v:imagedata o:title=""/>
                <o:lock v:ext="edit" aspectratio="f"/>
                <v:textbox>
                  <w:txbxContent>
                    <w:p>
                      <w:pPr>
                        <w:rPr>
                          <w:sz w:val="18"/>
                          <w:szCs w:val="18"/>
                        </w:rPr>
                      </w:pPr>
                      <w:r>
                        <w:rPr>
                          <w:rFonts w:hint="eastAsia"/>
                          <w:sz w:val="18"/>
                          <w:szCs w:val="18"/>
                        </w:rPr>
                        <w:t>占地规模</w:t>
                      </w:r>
                    </w:p>
                  </w:txbxContent>
                </v:textbox>
              </v:shape>
            </w:pict>
          </mc:Fallback>
        </mc:AlternateContent>
      </w:r>
      <w:r>
        <w:rPr>
          <w:rFonts w:ascii="Times New Roman" w:hAnsi="Times New Roman"/>
          <w:b/>
        </w:rPr>
        <w:t>表2.4-14 污染影响型评价工作等级划分表</w:t>
      </w:r>
    </w:p>
    <w:tbl>
      <w:tblPr>
        <w:tblStyle w:val="7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20"/>
        <w:gridCol w:w="831"/>
        <w:gridCol w:w="680"/>
        <w:gridCol w:w="811"/>
        <w:gridCol w:w="810"/>
        <w:gridCol w:w="679"/>
        <w:gridCol w:w="810"/>
        <w:gridCol w:w="679"/>
        <w:gridCol w:w="811"/>
        <w:gridCol w:w="774"/>
        <w:gridCol w:w="2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4" w:type="dxa"/>
          <w:trHeight w:val="20" w:hRule="atLeast"/>
        </w:trPr>
        <w:tc>
          <w:tcPr>
            <w:tcW w:w="1725" w:type="dxa"/>
            <w:vMerge w:val="restart"/>
            <w:vAlign w:val="center"/>
          </w:tcPr>
          <w:p>
            <w:pPr>
              <w:spacing w:line="280" w:lineRule="exact"/>
              <w:jc w:val="center"/>
              <w:rPr>
                <w:rFonts w:ascii="Times New Roman" w:hAnsi="Times New Roman"/>
                <w:kern w:val="2"/>
              </w:rPr>
            </w:pPr>
            <w:r>
              <w:rPr>
                <w:rFonts w:ascii="Times New Roman" w:hAnsi="Times New Roman"/>
                <w:kern w:val="2"/>
                <w:szCs w:val="24"/>
              </w:rPr>
              <mc:AlternateContent>
                <mc:Choice Requires="wps">
                  <w:drawing>
                    <wp:anchor distT="0" distB="0" distL="114300" distR="114300" simplePos="0" relativeHeight="251664384" behindDoc="0" locked="0" layoutInCell="1" allowOverlap="1">
                      <wp:simplePos x="0" y="0"/>
                      <wp:positionH relativeFrom="column">
                        <wp:posOffset>257175</wp:posOffset>
                      </wp:positionH>
                      <wp:positionV relativeFrom="paragraph">
                        <wp:posOffset>24130</wp:posOffset>
                      </wp:positionV>
                      <wp:extent cx="697865" cy="336550"/>
                      <wp:effectExtent l="1905" t="4445" r="5080" b="11430"/>
                      <wp:wrapNone/>
                      <wp:docPr id="18" name="直接连接符 11"/>
                      <wp:cNvGraphicFramePr/>
                      <a:graphic xmlns:a="http://schemas.openxmlformats.org/drawingml/2006/main">
                        <a:graphicData uri="http://schemas.microsoft.com/office/word/2010/wordprocessingShape">
                          <wps:wsp>
                            <wps:cNvCnPr/>
                            <wps:spPr>
                              <a:xfrm flipH="1" flipV="1">
                                <a:off x="0" y="0"/>
                                <a:ext cx="1221105" cy="477520"/>
                              </a:xfrm>
                              <a:prstGeom prst="line">
                                <a:avLst/>
                              </a:prstGeom>
                              <a:noFill/>
                              <a:ln w="9525" cap="flat" cmpd="sng" algn="ctr">
                                <a:solidFill>
                                  <a:sysClr val="windowText" lastClr="000000"/>
                                </a:solidFill>
                                <a:prstDash val="solid"/>
                              </a:ln>
                              <a:effectLst/>
                            </wps:spPr>
                            <wps:bodyPr/>
                          </wps:wsp>
                        </a:graphicData>
                      </a:graphic>
                    </wp:anchor>
                  </w:drawing>
                </mc:Choice>
                <mc:Fallback>
                  <w:pict>
                    <v:line id="直接连接符 11" o:spid="_x0000_s1026" o:spt="20" style="position:absolute;left:0pt;flip:x y;margin-left:20.25pt;margin-top:1.9pt;height:26.5pt;width:54.95pt;z-index:251664384;mso-width-relative:page;mso-height-relative:page;" filled="f" stroked="t" coordsize="21600,21600" o:gfxdata="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NXXeaTTAAAABwEAAA8AAAAAAAAAAQAgAAAAIgAAAGRycy9kb3ducmV2LnhtbFBL&#10;AQIUABQAAAAIAIdO4kDTXVbg+wEAANcDAAAOAAAAAAAAAAEAIAAAACIBAABkcnMvZTJvRG9jLnht&#10;bFBLBQYAAAAABgAGAFkBAACPBQAAAAA=&#10;">
                      <v:fill on="f" focussize="0,0"/>
                      <v:stroke color="#000000" joinstyle="round"/>
                      <v:imagedata o:title=""/>
                      <o:lock v:ext="edit" aspectratio="f"/>
                    </v:line>
                  </w:pict>
                </mc:Fallback>
              </mc:AlternateContent>
            </w:r>
            <w:r>
              <w:rPr>
                <w:rFonts w:ascii="Times New Roman" w:hAnsi="Times New Roman"/>
                <w:kern w:val="2"/>
                <w:szCs w:val="24"/>
              </w:rPr>
              <mc:AlternateContent>
                <mc:Choice Requires="wps">
                  <w:drawing>
                    <wp:anchor distT="0" distB="0" distL="114300" distR="114300" simplePos="0" relativeHeight="251663360" behindDoc="0" locked="0" layoutInCell="1" allowOverlap="1">
                      <wp:simplePos x="0" y="0"/>
                      <wp:positionH relativeFrom="column">
                        <wp:posOffset>-15240</wp:posOffset>
                      </wp:positionH>
                      <wp:positionV relativeFrom="paragraph">
                        <wp:posOffset>182880</wp:posOffset>
                      </wp:positionV>
                      <wp:extent cx="968375" cy="173355"/>
                      <wp:effectExtent l="635" t="4445" r="2540" b="12700"/>
                      <wp:wrapNone/>
                      <wp:docPr id="17" name="直接连接符 4"/>
                      <wp:cNvGraphicFramePr/>
                      <a:graphic xmlns:a="http://schemas.openxmlformats.org/drawingml/2006/main">
                        <a:graphicData uri="http://schemas.microsoft.com/office/word/2010/wordprocessingShape">
                          <wps:wsp>
                            <wps:cNvCnPr/>
                            <wps:spPr>
                              <a:xfrm flipH="1" flipV="1">
                                <a:off x="0" y="0"/>
                                <a:ext cx="923925" cy="1094105"/>
                              </a:xfrm>
                              <a:prstGeom prst="line">
                                <a:avLst/>
                              </a:prstGeom>
                              <a:noFill/>
                              <a:ln w="9525" cap="flat" cmpd="sng" algn="ctr">
                                <a:solidFill>
                                  <a:sysClr val="windowText" lastClr="000000"/>
                                </a:solidFill>
                                <a:prstDash val="solid"/>
                              </a:ln>
                              <a:effectLst/>
                            </wps:spPr>
                            <wps:bodyPr/>
                          </wps:wsp>
                        </a:graphicData>
                      </a:graphic>
                    </wp:anchor>
                  </w:drawing>
                </mc:Choice>
                <mc:Fallback>
                  <w:pict>
                    <v:line id="直接连接符 4" o:spid="_x0000_s1026" o:spt="20" style="position:absolute;left:0pt;flip:x y;margin-left:-1.2pt;margin-top:14.4pt;height:13.65pt;width:76.25pt;z-index:251663360;mso-width-relative:page;mso-height-relative:page;" filled="f" stroked="t" coordsize="21600,21600" o:gfxdata="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xI2Nj9QAAAAIAQAADwAAAAAAAAABACAAAAAiAAAAZHJzL2Rvd25yZXYueG1sUEsB&#10;AhQAFAAAAAgAh07iQGbdaBT5AQAA1gMAAA4AAAAAAAAAAQAgAAAAIwEAAGRycy9lMm9Eb2MueG1s&#10;UEsFBgAAAAAGAAYAWQEAAI4FAAAAAA==&#10;">
                      <v:fill on="f" focussize="0,0"/>
                      <v:stroke color="#000000" joinstyle="round"/>
                      <v:imagedata o:title=""/>
                      <o:lock v:ext="edit" aspectratio="f"/>
                    </v:line>
                  </w:pict>
                </mc:Fallback>
              </mc:AlternateContent>
            </w:r>
          </w:p>
        </w:tc>
        <w:tc>
          <w:tcPr>
            <w:tcW w:w="2432" w:type="dxa"/>
            <w:gridSpan w:val="3"/>
            <w:vAlign w:val="center"/>
          </w:tcPr>
          <w:p>
            <w:pPr>
              <w:spacing w:line="280" w:lineRule="exact"/>
              <w:jc w:val="center"/>
              <w:rPr>
                <w:rFonts w:ascii="Times New Roman" w:hAnsi="Times New Roman"/>
                <w:kern w:val="2"/>
              </w:rPr>
            </w:pPr>
            <w:r>
              <w:rPr>
                <w:rFonts w:ascii="Times New Roman" w:hAnsi="Times New Roman"/>
                <w:kern w:val="2"/>
              </w:rPr>
              <w:fldChar w:fldCharType="begin"/>
            </w:r>
            <w:r>
              <w:rPr>
                <w:rFonts w:ascii="Times New Roman" w:hAnsi="Times New Roman"/>
                <w:kern w:val="2"/>
              </w:rPr>
              <w:instrText xml:space="preserve"> = 1 \* ROMAN </w:instrText>
            </w:r>
            <w:r>
              <w:rPr>
                <w:rFonts w:ascii="Times New Roman" w:hAnsi="Times New Roman"/>
                <w:kern w:val="2"/>
              </w:rPr>
              <w:fldChar w:fldCharType="separate"/>
            </w:r>
            <w:r>
              <w:rPr>
                <w:rFonts w:ascii="Times New Roman" w:hAnsi="Times New Roman"/>
                <w:kern w:val="2"/>
              </w:rPr>
              <w:t>I</w:t>
            </w:r>
            <w:r>
              <w:rPr>
                <w:rFonts w:ascii="Times New Roman" w:hAnsi="Times New Roman"/>
                <w:kern w:val="2"/>
              </w:rPr>
              <w:fldChar w:fldCharType="end"/>
            </w:r>
            <w:r>
              <w:rPr>
                <w:rFonts w:ascii="Times New Roman" w:hAnsi="Times New Roman"/>
                <w:kern w:val="2"/>
              </w:rPr>
              <w:t>类</w:t>
            </w:r>
          </w:p>
        </w:tc>
        <w:tc>
          <w:tcPr>
            <w:tcW w:w="2409" w:type="dxa"/>
            <w:gridSpan w:val="3"/>
            <w:vAlign w:val="center"/>
          </w:tcPr>
          <w:p>
            <w:pPr>
              <w:spacing w:line="280" w:lineRule="exact"/>
              <w:jc w:val="center"/>
              <w:rPr>
                <w:rFonts w:ascii="Times New Roman" w:hAnsi="Times New Roman"/>
                <w:kern w:val="2"/>
              </w:rPr>
            </w:pPr>
            <w:r>
              <w:rPr>
                <w:rFonts w:ascii="Times New Roman" w:hAnsi="Times New Roman"/>
                <w:kern w:val="2"/>
              </w:rPr>
              <w:fldChar w:fldCharType="begin"/>
            </w:r>
            <w:r>
              <w:rPr>
                <w:rFonts w:ascii="Times New Roman" w:hAnsi="Times New Roman"/>
                <w:kern w:val="2"/>
              </w:rPr>
              <w:instrText xml:space="preserve"> = 2 \* ROMAN </w:instrText>
            </w:r>
            <w:r>
              <w:rPr>
                <w:rFonts w:ascii="Times New Roman" w:hAnsi="Times New Roman"/>
                <w:kern w:val="2"/>
              </w:rPr>
              <w:fldChar w:fldCharType="separate"/>
            </w:r>
            <w:r>
              <w:rPr>
                <w:rFonts w:ascii="Times New Roman" w:hAnsi="Times New Roman"/>
                <w:kern w:val="2"/>
              </w:rPr>
              <w:t>II</w:t>
            </w:r>
            <w:r>
              <w:rPr>
                <w:rFonts w:ascii="Times New Roman" w:hAnsi="Times New Roman"/>
                <w:kern w:val="2"/>
              </w:rPr>
              <w:fldChar w:fldCharType="end"/>
            </w:r>
            <w:r>
              <w:rPr>
                <w:rFonts w:ascii="Times New Roman" w:hAnsi="Times New Roman"/>
                <w:kern w:val="2"/>
              </w:rPr>
              <w:t>类</w:t>
            </w:r>
          </w:p>
        </w:tc>
        <w:tc>
          <w:tcPr>
            <w:tcW w:w="2372" w:type="dxa"/>
            <w:gridSpan w:val="3"/>
            <w:vAlign w:val="center"/>
          </w:tcPr>
          <w:p>
            <w:pPr>
              <w:spacing w:line="280" w:lineRule="exact"/>
              <w:jc w:val="center"/>
              <w:rPr>
                <w:rFonts w:ascii="Times New Roman" w:hAnsi="Times New Roman"/>
                <w:kern w:val="2"/>
              </w:rPr>
            </w:pPr>
            <w:r>
              <w:rPr>
                <w:rFonts w:ascii="Times New Roman" w:hAnsi="Times New Roman"/>
                <w:kern w:val="2"/>
              </w:rPr>
              <w:fldChar w:fldCharType="begin"/>
            </w:r>
            <w:r>
              <w:rPr>
                <w:rFonts w:ascii="Times New Roman" w:hAnsi="Times New Roman"/>
                <w:kern w:val="2"/>
              </w:rPr>
              <w:instrText xml:space="preserve"> = 3 \* ROMAN </w:instrText>
            </w:r>
            <w:r>
              <w:rPr>
                <w:rFonts w:ascii="Times New Roman" w:hAnsi="Times New Roman"/>
                <w:kern w:val="2"/>
              </w:rPr>
              <w:fldChar w:fldCharType="separate"/>
            </w:r>
            <w:r>
              <w:rPr>
                <w:rFonts w:ascii="Times New Roman" w:hAnsi="Times New Roman"/>
                <w:kern w:val="2"/>
              </w:rPr>
              <w:t>III</w:t>
            </w:r>
            <w:r>
              <w:rPr>
                <w:rFonts w:ascii="Times New Roman" w:hAnsi="Times New Roman"/>
                <w:kern w:val="2"/>
              </w:rPr>
              <w:fldChar w:fldCharType="end"/>
            </w:r>
            <w:r>
              <w:rPr>
                <w:rFonts w:ascii="Times New Roman" w:hAnsi="Times New Roman"/>
                <w:kern w:val="2"/>
              </w:rPr>
              <w:t>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725" w:type="dxa"/>
            <w:vMerge w:val="continue"/>
            <w:vAlign w:val="center"/>
          </w:tcPr>
          <w:p>
            <w:pPr>
              <w:spacing w:line="280" w:lineRule="exact"/>
              <w:jc w:val="center"/>
              <w:rPr>
                <w:rFonts w:ascii="Times New Roman" w:hAnsi="Times New Roman"/>
                <w:kern w:val="2"/>
              </w:rPr>
            </w:pPr>
          </w:p>
        </w:tc>
        <w:tc>
          <w:tcPr>
            <w:tcW w:w="872" w:type="dxa"/>
            <w:vAlign w:val="center"/>
          </w:tcPr>
          <w:p>
            <w:pPr>
              <w:spacing w:line="280" w:lineRule="exact"/>
              <w:jc w:val="center"/>
              <w:rPr>
                <w:rFonts w:ascii="Times New Roman" w:hAnsi="Times New Roman"/>
                <w:kern w:val="2"/>
              </w:rPr>
            </w:pPr>
            <w:r>
              <w:rPr>
                <w:rFonts w:ascii="Times New Roman" w:hAnsi="Times New Roman"/>
                <w:kern w:val="2"/>
              </w:rPr>
              <w:t>大</w:t>
            </w:r>
          </w:p>
        </w:tc>
        <w:tc>
          <w:tcPr>
            <w:tcW w:w="709" w:type="dxa"/>
            <w:vAlign w:val="center"/>
          </w:tcPr>
          <w:p>
            <w:pPr>
              <w:spacing w:line="280" w:lineRule="exact"/>
              <w:jc w:val="center"/>
              <w:rPr>
                <w:rFonts w:ascii="Times New Roman" w:hAnsi="Times New Roman"/>
                <w:kern w:val="2"/>
              </w:rPr>
            </w:pPr>
            <w:r>
              <w:rPr>
                <w:rFonts w:ascii="Times New Roman" w:hAnsi="Times New Roman"/>
                <w:kern w:val="2"/>
              </w:rPr>
              <w:t>中</w:t>
            </w:r>
          </w:p>
        </w:tc>
        <w:tc>
          <w:tcPr>
            <w:tcW w:w="851" w:type="dxa"/>
            <w:vAlign w:val="center"/>
          </w:tcPr>
          <w:p>
            <w:pPr>
              <w:spacing w:line="280" w:lineRule="exact"/>
              <w:jc w:val="center"/>
              <w:rPr>
                <w:rFonts w:ascii="Times New Roman" w:hAnsi="Times New Roman"/>
                <w:kern w:val="2"/>
              </w:rPr>
            </w:pPr>
            <w:r>
              <w:rPr>
                <w:rFonts w:ascii="Times New Roman" w:hAnsi="Times New Roman"/>
                <w:kern w:val="2"/>
              </w:rPr>
              <w:t>小</w:t>
            </w:r>
          </w:p>
        </w:tc>
        <w:tc>
          <w:tcPr>
            <w:tcW w:w="850" w:type="dxa"/>
            <w:vAlign w:val="center"/>
          </w:tcPr>
          <w:p>
            <w:pPr>
              <w:spacing w:line="280" w:lineRule="exact"/>
              <w:jc w:val="center"/>
              <w:rPr>
                <w:rFonts w:ascii="Times New Roman" w:hAnsi="Times New Roman"/>
                <w:kern w:val="2"/>
              </w:rPr>
            </w:pPr>
            <w:r>
              <w:rPr>
                <w:rFonts w:ascii="Times New Roman" w:hAnsi="Times New Roman"/>
                <w:kern w:val="2"/>
              </w:rPr>
              <w:t>大</w:t>
            </w:r>
          </w:p>
        </w:tc>
        <w:tc>
          <w:tcPr>
            <w:tcW w:w="709" w:type="dxa"/>
            <w:vAlign w:val="center"/>
          </w:tcPr>
          <w:p>
            <w:pPr>
              <w:spacing w:line="280" w:lineRule="exact"/>
              <w:jc w:val="center"/>
              <w:rPr>
                <w:rFonts w:ascii="Times New Roman" w:hAnsi="Times New Roman"/>
                <w:kern w:val="2"/>
              </w:rPr>
            </w:pPr>
            <w:r>
              <w:rPr>
                <w:rFonts w:ascii="Times New Roman" w:hAnsi="Times New Roman"/>
                <w:kern w:val="2"/>
              </w:rPr>
              <w:t>中</w:t>
            </w:r>
          </w:p>
        </w:tc>
        <w:tc>
          <w:tcPr>
            <w:tcW w:w="850" w:type="dxa"/>
            <w:vAlign w:val="center"/>
          </w:tcPr>
          <w:p>
            <w:pPr>
              <w:spacing w:line="280" w:lineRule="exact"/>
              <w:jc w:val="center"/>
              <w:rPr>
                <w:rFonts w:ascii="Times New Roman" w:hAnsi="Times New Roman"/>
                <w:kern w:val="2"/>
              </w:rPr>
            </w:pPr>
            <w:r>
              <w:rPr>
                <w:rFonts w:ascii="Times New Roman" w:hAnsi="Times New Roman"/>
                <w:kern w:val="2"/>
              </w:rPr>
              <w:t>小</w:t>
            </w:r>
          </w:p>
        </w:tc>
        <w:tc>
          <w:tcPr>
            <w:tcW w:w="709" w:type="dxa"/>
            <w:vAlign w:val="center"/>
          </w:tcPr>
          <w:p>
            <w:pPr>
              <w:spacing w:line="280" w:lineRule="exact"/>
              <w:jc w:val="center"/>
              <w:rPr>
                <w:rFonts w:ascii="Times New Roman" w:hAnsi="Times New Roman"/>
                <w:kern w:val="2"/>
              </w:rPr>
            </w:pPr>
            <w:r>
              <w:rPr>
                <w:rFonts w:ascii="Times New Roman" w:hAnsi="Times New Roman"/>
                <w:kern w:val="2"/>
              </w:rPr>
              <w:t>大</w:t>
            </w:r>
          </w:p>
        </w:tc>
        <w:tc>
          <w:tcPr>
            <w:tcW w:w="851" w:type="dxa"/>
            <w:vAlign w:val="center"/>
          </w:tcPr>
          <w:p>
            <w:pPr>
              <w:spacing w:line="280" w:lineRule="exact"/>
              <w:jc w:val="center"/>
              <w:rPr>
                <w:rFonts w:ascii="Times New Roman" w:hAnsi="Times New Roman"/>
                <w:kern w:val="2"/>
              </w:rPr>
            </w:pPr>
            <w:r>
              <w:rPr>
                <w:rFonts w:ascii="Times New Roman" w:hAnsi="Times New Roman"/>
                <w:kern w:val="2"/>
              </w:rPr>
              <w:t>中</w:t>
            </w:r>
          </w:p>
        </w:tc>
        <w:tc>
          <w:tcPr>
            <w:tcW w:w="837" w:type="dxa"/>
            <w:gridSpan w:val="2"/>
            <w:vAlign w:val="center"/>
          </w:tcPr>
          <w:p>
            <w:pPr>
              <w:spacing w:line="280" w:lineRule="exact"/>
              <w:jc w:val="center"/>
              <w:rPr>
                <w:rFonts w:ascii="Times New Roman" w:hAnsi="Times New Roman"/>
                <w:kern w:val="2"/>
              </w:rPr>
            </w:pPr>
            <w:r>
              <w:rPr>
                <w:rFonts w:ascii="Times New Roman" w:hAnsi="Times New Roman"/>
                <w:kern w:val="2"/>
              </w:rPr>
              <w:t>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725" w:type="dxa"/>
            <w:vAlign w:val="center"/>
          </w:tcPr>
          <w:p>
            <w:pPr>
              <w:spacing w:line="280" w:lineRule="exact"/>
              <w:jc w:val="center"/>
              <w:rPr>
                <w:rFonts w:ascii="Times New Roman" w:hAnsi="Times New Roman"/>
                <w:kern w:val="2"/>
              </w:rPr>
            </w:pPr>
            <w:r>
              <w:rPr>
                <w:rFonts w:ascii="Times New Roman" w:hAnsi="Times New Roman"/>
                <w:kern w:val="2"/>
              </w:rPr>
              <w:t>敏感</w:t>
            </w:r>
          </w:p>
        </w:tc>
        <w:tc>
          <w:tcPr>
            <w:tcW w:w="872" w:type="dxa"/>
            <w:vAlign w:val="center"/>
          </w:tcPr>
          <w:p>
            <w:pPr>
              <w:spacing w:line="280" w:lineRule="exact"/>
              <w:jc w:val="center"/>
              <w:rPr>
                <w:rFonts w:ascii="Times New Roman" w:hAnsi="Times New Roman"/>
                <w:kern w:val="2"/>
              </w:rPr>
            </w:pPr>
            <w:r>
              <w:rPr>
                <w:rFonts w:ascii="Times New Roman" w:hAnsi="Times New Roman"/>
                <w:kern w:val="2"/>
              </w:rPr>
              <w:t>一级</w:t>
            </w:r>
          </w:p>
        </w:tc>
        <w:tc>
          <w:tcPr>
            <w:tcW w:w="709" w:type="dxa"/>
            <w:vAlign w:val="center"/>
          </w:tcPr>
          <w:p>
            <w:pPr>
              <w:spacing w:line="280" w:lineRule="exact"/>
              <w:jc w:val="center"/>
              <w:rPr>
                <w:rFonts w:ascii="Times New Roman" w:hAnsi="Times New Roman"/>
                <w:kern w:val="2"/>
              </w:rPr>
            </w:pPr>
            <w:r>
              <w:rPr>
                <w:rFonts w:ascii="Times New Roman" w:hAnsi="Times New Roman"/>
                <w:kern w:val="2"/>
              </w:rPr>
              <w:t>一级</w:t>
            </w:r>
          </w:p>
        </w:tc>
        <w:tc>
          <w:tcPr>
            <w:tcW w:w="851" w:type="dxa"/>
            <w:vAlign w:val="center"/>
          </w:tcPr>
          <w:p>
            <w:pPr>
              <w:spacing w:line="280" w:lineRule="exact"/>
              <w:jc w:val="center"/>
              <w:rPr>
                <w:rFonts w:ascii="Times New Roman" w:hAnsi="Times New Roman"/>
                <w:kern w:val="2"/>
              </w:rPr>
            </w:pPr>
            <w:r>
              <w:rPr>
                <w:rFonts w:ascii="Times New Roman" w:hAnsi="Times New Roman"/>
                <w:kern w:val="2"/>
              </w:rPr>
              <w:t>一级</w:t>
            </w:r>
          </w:p>
        </w:tc>
        <w:tc>
          <w:tcPr>
            <w:tcW w:w="850" w:type="dxa"/>
            <w:vAlign w:val="center"/>
          </w:tcPr>
          <w:p>
            <w:pPr>
              <w:spacing w:line="280" w:lineRule="exact"/>
              <w:jc w:val="center"/>
              <w:rPr>
                <w:rFonts w:ascii="Times New Roman" w:hAnsi="Times New Roman"/>
                <w:kern w:val="2"/>
              </w:rPr>
            </w:pPr>
            <w:r>
              <w:rPr>
                <w:rFonts w:ascii="Times New Roman" w:hAnsi="Times New Roman"/>
                <w:kern w:val="2"/>
              </w:rPr>
              <w:t>二级</w:t>
            </w:r>
          </w:p>
        </w:tc>
        <w:tc>
          <w:tcPr>
            <w:tcW w:w="709" w:type="dxa"/>
            <w:vAlign w:val="center"/>
          </w:tcPr>
          <w:p>
            <w:pPr>
              <w:spacing w:line="280" w:lineRule="exact"/>
              <w:jc w:val="center"/>
              <w:rPr>
                <w:rFonts w:ascii="Times New Roman" w:hAnsi="Times New Roman"/>
                <w:kern w:val="2"/>
              </w:rPr>
            </w:pPr>
            <w:r>
              <w:rPr>
                <w:rFonts w:ascii="Times New Roman" w:hAnsi="Times New Roman"/>
                <w:kern w:val="2"/>
              </w:rPr>
              <w:t>二级</w:t>
            </w:r>
          </w:p>
        </w:tc>
        <w:tc>
          <w:tcPr>
            <w:tcW w:w="850" w:type="dxa"/>
            <w:vAlign w:val="center"/>
          </w:tcPr>
          <w:p>
            <w:pPr>
              <w:spacing w:line="280" w:lineRule="exact"/>
              <w:jc w:val="center"/>
              <w:rPr>
                <w:rFonts w:ascii="Times New Roman" w:hAnsi="Times New Roman"/>
                <w:kern w:val="2"/>
              </w:rPr>
            </w:pPr>
            <w:r>
              <w:rPr>
                <w:rFonts w:ascii="Times New Roman" w:hAnsi="Times New Roman"/>
                <w:kern w:val="2"/>
              </w:rPr>
              <w:t>二级</w:t>
            </w:r>
          </w:p>
        </w:tc>
        <w:tc>
          <w:tcPr>
            <w:tcW w:w="709" w:type="dxa"/>
            <w:vAlign w:val="center"/>
          </w:tcPr>
          <w:p>
            <w:pPr>
              <w:spacing w:line="280" w:lineRule="exact"/>
              <w:jc w:val="center"/>
              <w:rPr>
                <w:rFonts w:ascii="Times New Roman" w:hAnsi="Times New Roman"/>
                <w:kern w:val="2"/>
              </w:rPr>
            </w:pPr>
            <w:r>
              <w:rPr>
                <w:rFonts w:ascii="Times New Roman" w:hAnsi="Times New Roman"/>
                <w:kern w:val="2"/>
              </w:rPr>
              <w:t>三级</w:t>
            </w:r>
          </w:p>
        </w:tc>
        <w:tc>
          <w:tcPr>
            <w:tcW w:w="851" w:type="dxa"/>
            <w:vAlign w:val="center"/>
          </w:tcPr>
          <w:p>
            <w:pPr>
              <w:spacing w:line="280" w:lineRule="exact"/>
              <w:jc w:val="center"/>
              <w:rPr>
                <w:rFonts w:ascii="Times New Roman" w:hAnsi="Times New Roman"/>
                <w:kern w:val="2"/>
              </w:rPr>
            </w:pPr>
            <w:r>
              <w:rPr>
                <w:rFonts w:ascii="Times New Roman" w:hAnsi="Times New Roman"/>
                <w:kern w:val="2"/>
              </w:rPr>
              <w:t>三级</w:t>
            </w:r>
          </w:p>
        </w:tc>
        <w:tc>
          <w:tcPr>
            <w:tcW w:w="837" w:type="dxa"/>
            <w:gridSpan w:val="2"/>
            <w:vAlign w:val="center"/>
          </w:tcPr>
          <w:p>
            <w:pPr>
              <w:spacing w:line="280" w:lineRule="exact"/>
              <w:jc w:val="center"/>
              <w:rPr>
                <w:rFonts w:ascii="Times New Roman" w:hAnsi="Times New Roman"/>
                <w:kern w:val="2"/>
              </w:rPr>
            </w:pPr>
            <w:r>
              <w:rPr>
                <w:rFonts w:ascii="Times New Roman" w:hAnsi="Times New Roman"/>
                <w:kern w:val="2"/>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725" w:type="dxa"/>
            <w:vAlign w:val="center"/>
          </w:tcPr>
          <w:p>
            <w:pPr>
              <w:spacing w:line="280" w:lineRule="exact"/>
              <w:jc w:val="center"/>
              <w:rPr>
                <w:rFonts w:ascii="Times New Roman" w:hAnsi="Times New Roman"/>
                <w:kern w:val="2"/>
              </w:rPr>
            </w:pPr>
            <w:r>
              <w:rPr>
                <w:rFonts w:ascii="Times New Roman" w:hAnsi="Times New Roman"/>
                <w:kern w:val="2"/>
              </w:rPr>
              <w:t>较敏感</w:t>
            </w:r>
          </w:p>
        </w:tc>
        <w:tc>
          <w:tcPr>
            <w:tcW w:w="872" w:type="dxa"/>
            <w:vAlign w:val="center"/>
          </w:tcPr>
          <w:p>
            <w:pPr>
              <w:spacing w:line="280" w:lineRule="exact"/>
              <w:jc w:val="center"/>
              <w:rPr>
                <w:rFonts w:ascii="Times New Roman" w:hAnsi="Times New Roman"/>
                <w:kern w:val="2"/>
              </w:rPr>
            </w:pPr>
            <w:r>
              <w:rPr>
                <w:rFonts w:ascii="Times New Roman" w:hAnsi="Times New Roman"/>
                <w:kern w:val="2"/>
              </w:rPr>
              <w:t>一级</w:t>
            </w:r>
          </w:p>
        </w:tc>
        <w:tc>
          <w:tcPr>
            <w:tcW w:w="709" w:type="dxa"/>
            <w:vAlign w:val="center"/>
          </w:tcPr>
          <w:p>
            <w:pPr>
              <w:spacing w:line="280" w:lineRule="exact"/>
              <w:jc w:val="center"/>
              <w:rPr>
                <w:rFonts w:ascii="Times New Roman" w:hAnsi="Times New Roman"/>
                <w:kern w:val="2"/>
              </w:rPr>
            </w:pPr>
            <w:r>
              <w:rPr>
                <w:rFonts w:ascii="Times New Roman" w:hAnsi="Times New Roman"/>
                <w:kern w:val="2"/>
              </w:rPr>
              <w:t>一级</w:t>
            </w:r>
          </w:p>
        </w:tc>
        <w:tc>
          <w:tcPr>
            <w:tcW w:w="851" w:type="dxa"/>
            <w:vAlign w:val="center"/>
          </w:tcPr>
          <w:p>
            <w:pPr>
              <w:spacing w:line="280" w:lineRule="exact"/>
              <w:jc w:val="center"/>
              <w:rPr>
                <w:rFonts w:ascii="Times New Roman" w:hAnsi="Times New Roman"/>
                <w:kern w:val="2"/>
              </w:rPr>
            </w:pPr>
            <w:r>
              <w:rPr>
                <w:rFonts w:ascii="Times New Roman" w:hAnsi="Times New Roman"/>
                <w:kern w:val="2"/>
                <w:shd w:val="pct10" w:color="auto" w:fill="FFFFFF"/>
              </w:rPr>
              <w:t>二级</w:t>
            </w:r>
          </w:p>
        </w:tc>
        <w:tc>
          <w:tcPr>
            <w:tcW w:w="850" w:type="dxa"/>
            <w:vAlign w:val="center"/>
          </w:tcPr>
          <w:p>
            <w:pPr>
              <w:spacing w:line="280" w:lineRule="exact"/>
              <w:jc w:val="center"/>
              <w:rPr>
                <w:rFonts w:ascii="Times New Roman" w:hAnsi="Times New Roman"/>
                <w:kern w:val="2"/>
              </w:rPr>
            </w:pPr>
            <w:r>
              <w:rPr>
                <w:rFonts w:ascii="Times New Roman" w:hAnsi="Times New Roman"/>
                <w:kern w:val="2"/>
              </w:rPr>
              <w:t>二级</w:t>
            </w:r>
          </w:p>
        </w:tc>
        <w:tc>
          <w:tcPr>
            <w:tcW w:w="709" w:type="dxa"/>
            <w:vAlign w:val="center"/>
          </w:tcPr>
          <w:p>
            <w:pPr>
              <w:spacing w:line="280" w:lineRule="exact"/>
              <w:jc w:val="center"/>
              <w:rPr>
                <w:rFonts w:ascii="Times New Roman" w:hAnsi="Times New Roman"/>
                <w:kern w:val="2"/>
              </w:rPr>
            </w:pPr>
            <w:r>
              <w:rPr>
                <w:rFonts w:ascii="Times New Roman" w:hAnsi="Times New Roman"/>
                <w:kern w:val="2"/>
              </w:rPr>
              <w:t>二级</w:t>
            </w:r>
          </w:p>
        </w:tc>
        <w:tc>
          <w:tcPr>
            <w:tcW w:w="850" w:type="dxa"/>
            <w:vAlign w:val="center"/>
          </w:tcPr>
          <w:p>
            <w:pPr>
              <w:spacing w:line="280" w:lineRule="exact"/>
              <w:jc w:val="center"/>
              <w:rPr>
                <w:rFonts w:ascii="Times New Roman" w:hAnsi="Times New Roman"/>
                <w:kern w:val="2"/>
              </w:rPr>
            </w:pPr>
            <w:r>
              <w:rPr>
                <w:rFonts w:ascii="Times New Roman" w:hAnsi="Times New Roman"/>
                <w:kern w:val="2"/>
              </w:rPr>
              <w:t>三级</w:t>
            </w:r>
          </w:p>
        </w:tc>
        <w:tc>
          <w:tcPr>
            <w:tcW w:w="709" w:type="dxa"/>
            <w:vAlign w:val="center"/>
          </w:tcPr>
          <w:p>
            <w:pPr>
              <w:spacing w:line="280" w:lineRule="exact"/>
              <w:jc w:val="center"/>
              <w:rPr>
                <w:rFonts w:ascii="Times New Roman" w:hAnsi="Times New Roman"/>
                <w:kern w:val="2"/>
              </w:rPr>
            </w:pPr>
            <w:r>
              <w:rPr>
                <w:rFonts w:ascii="Times New Roman" w:hAnsi="Times New Roman"/>
                <w:kern w:val="2"/>
              </w:rPr>
              <w:t>三级</w:t>
            </w:r>
          </w:p>
        </w:tc>
        <w:tc>
          <w:tcPr>
            <w:tcW w:w="851" w:type="dxa"/>
            <w:vAlign w:val="center"/>
          </w:tcPr>
          <w:p>
            <w:pPr>
              <w:spacing w:line="280" w:lineRule="exact"/>
              <w:jc w:val="center"/>
              <w:rPr>
                <w:rFonts w:ascii="Times New Roman" w:hAnsi="Times New Roman"/>
                <w:kern w:val="2"/>
              </w:rPr>
            </w:pPr>
            <w:r>
              <w:rPr>
                <w:rFonts w:ascii="Times New Roman" w:hAnsi="Times New Roman"/>
                <w:kern w:val="2"/>
              </w:rPr>
              <w:t>三级</w:t>
            </w:r>
          </w:p>
        </w:tc>
        <w:tc>
          <w:tcPr>
            <w:tcW w:w="837" w:type="dxa"/>
            <w:gridSpan w:val="2"/>
            <w:vAlign w:val="center"/>
          </w:tcPr>
          <w:p>
            <w:pPr>
              <w:spacing w:line="280" w:lineRule="exact"/>
              <w:jc w:val="center"/>
              <w:rPr>
                <w:rFonts w:ascii="Times New Roman" w:hAnsi="Times New Roman"/>
                <w:kern w:val="2"/>
              </w:rPr>
            </w:pPr>
            <w:r>
              <w:rPr>
                <w:rFonts w:ascii="Times New Roman" w:hAnsi="Times New Roman"/>
                <w:kern w:val="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725" w:type="dxa"/>
            <w:vAlign w:val="center"/>
          </w:tcPr>
          <w:p>
            <w:pPr>
              <w:spacing w:line="280" w:lineRule="exact"/>
              <w:jc w:val="center"/>
              <w:rPr>
                <w:rFonts w:ascii="Times New Roman" w:hAnsi="Times New Roman"/>
                <w:kern w:val="2"/>
              </w:rPr>
            </w:pPr>
            <w:r>
              <w:rPr>
                <w:rFonts w:ascii="Times New Roman" w:hAnsi="Times New Roman"/>
                <w:kern w:val="2"/>
              </w:rPr>
              <w:t>不敏感</w:t>
            </w:r>
          </w:p>
        </w:tc>
        <w:tc>
          <w:tcPr>
            <w:tcW w:w="872" w:type="dxa"/>
            <w:vAlign w:val="center"/>
          </w:tcPr>
          <w:p>
            <w:pPr>
              <w:spacing w:line="280" w:lineRule="exact"/>
              <w:jc w:val="center"/>
              <w:rPr>
                <w:rFonts w:ascii="Times New Roman" w:hAnsi="Times New Roman"/>
                <w:kern w:val="2"/>
              </w:rPr>
            </w:pPr>
            <w:r>
              <w:rPr>
                <w:rFonts w:ascii="Times New Roman" w:hAnsi="Times New Roman"/>
                <w:kern w:val="2"/>
              </w:rPr>
              <w:t>一级</w:t>
            </w:r>
          </w:p>
        </w:tc>
        <w:tc>
          <w:tcPr>
            <w:tcW w:w="709" w:type="dxa"/>
            <w:vAlign w:val="center"/>
          </w:tcPr>
          <w:p>
            <w:pPr>
              <w:spacing w:line="280" w:lineRule="exact"/>
              <w:jc w:val="center"/>
              <w:rPr>
                <w:rFonts w:ascii="Times New Roman" w:hAnsi="Times New Roman"/>
                <w:kern w:val="2"/>
              </w:rPr>
            </w:pPr>
            <w:r>
              <w:rPr>
                <w:rFonts w:ascii="Times New Roman" w:hAnsi="Times New Roman"/>
                <w:kern w:val="2"/>
              </w:rPr>
              <w:t>二级</w:t>
            </w:r>
          </w:p>
        </w:tc>
        <w:tc>
          <w:tcPr>
            <w:tcW w:w="851" w:type="dxa"/>
            <w:vAlign w:val="center"/>
          </w:tcPr>
          <w:p>
            <w:pPr>
              <w:spacing w:line="280" w:lineRule="exact"/>
              <w:jc w:val="center"/>
              <w:rPr>
                <w:rFonts w:ascii="Times New Roman" w:hAnsi="Times New Roman"/>
                <w:kern w:val="2"/>
              </w:rPr>
            </w:pPr>
            <w:r>
              <w:rPr>
                <w:rFonts w:ascii="Times New Roman" w:hAnsi="Times New Roman"/>
                <w:kern w:val="2"/>
              </w:rPr>
              <w:t>二级</w:t>
            </w:r>
          </w:p>
        </w:tc>
        <w:tc>
          <w:tcPr>
            <w:tcW w:w="850" w:type="dxa"/>
            <w:vAlign w:val="center"/>
          </w:tcPr>
          <w:p>
            <w:pPr>
              <w:spacing w:line="280" w:lineRule="exact"/>
              <w:jc w:val="center"/>
              <w:rPr>
                <w:rFonts w:ascii="Times New Roman" w:hAnsi="Times New Roman"/>
                <w:kern w:val="2"/>
              </w:rPr>
            </w:pPr>
            <w:r>
              <w:rPr>
                <w:rFonts w:ascii="Times New Roman" w:hAnsi="Times New Roman"/>
                <w:kern w:val="2"/>
              </w:rPr>
              <w:t>二级</w:t>
            </w:r>
          </w:p>
        </w:tc>
        <w:tc>
          <w:tcPr>
            <w:tcW w:w="709" w:type="dxa"/>
            <w:vAlign w:val="center"/>
          </w:tcPr>
          <w:p>
            <w:pPr>
              <w:spacing w:line="280" w:lineRule="exact"/>
              <w:jc w:val="center"/>
              <w:rPr>
                <w:rFonts w:ascii="Times New Roman" w:hAnsi="Times New Roman"/>
                <w:kern w:val="2"/>
              </w:rPr>
            </w:pPr>
            <w:r>
              <w:rPr>
                <w:rFonts w:ascii="Times New Roman" w:hAnsi="Times New Roman"/>
                <w:kern w:val="2"/>
              </w:rPr>
              <w:t>三级</w:t>
            </w:r>
          </w:p>
        </w:tc>
        <w:tc>
          <w:tcPr>
            <w:tcW w:w="850" w:type="dxa"/>
            <w:vAlign w:val="center"/>
          </w:tcPr>
          <w:p>
            <w:pPr>
              <w:spacing w:line="280" w:lineRule="exact"/>
              <w:jc w:val="center"/>
              <w:rPr>
                <w:rFonts w:ascii="Times New Roman" w:hAnsi="Times New Roman"/>
                <w:kern w:val="2"/>
              </w:rPr>
            </w:pPr>
            <w:r>
              <w:rPr>
                <w:rFonts w:ascii="Times New Roman" w:hAnsi="Times New Roman"/>
                <w:kern w:val="2"/>
              </w:rPr>
              <w:t>三级</w:t>
            </w:r>
          </w:p>
        </w:tc>
        <w:tc>
          <w:tcPr>
            <w:tcW w:w="709" w:type="dxa"/>
            <w:vAlign w:val="center"/>
          </w:tcPr>
          <w:p>
            <w:pPr>
              <w:spacing w:line="280" w:lineRule="exact"/>
              <w:jc w:val="center"/>
              <w:rPr>
                <w:rFonts w:ascii="Times New Roman" w:hAnsi="Times New Roman"/>
                <w:kern w:val="2"/>
              </w:rPr>
            </w:pPr>
            <w:r>
              <w:rPr>
                <w:rFonts w:ascii="Times New Roman" w:hAnsi="Times New Roman"/>
                <w:kern w:val="2"/>
              </w:rPr>
              <w:t>三级</w:t>
            </w:r>
          </w:p>
        </w:tc>
        <w:tc>
          <w:tcPr>
            <w:tcW w:w="851" w:type="dxa"/>
            <w:vAlign w:val="center"/>
          </w:tcPr>
          <w:p>
            <w:pPr>
              <w:spacing w:line="280" w:lineRule="exact"/>
              <w:jc w:val="center"/>
              <w:rPr>
                <w:rFonts w:ascii="Times New Roman" w:hAnsi="Times New Roman"/>
                <w:kern w:val="2"/>
              </w:rPr>
            </w:pPr>
            <w:r>
              <w:rPr>
                <w:rFonts w:ascii="Times New Roman" w:hAnsi="Times New Roman"/>
                <w:kern w:val="2"/>
              </w:rPr>
              <w:t>-</w:t>
            </w:r>
          </w:p>
        </w:tc>
        <w:tc>
          <w:tcPr>
            <w:tcW w:w="837" w:type="dxa"/>
            <w:gridSpan w:val="2"/>
            <w:vAlign w:val="center"/>
          </w:tcPr>
          <w:p>
            <w:pPr>
              <w:spacing w:line="280" w:lineRule="exact"/>
              <w:jc w:val="center"/>
              <w:rPr>
                <w:rFonts w:ascii="Times New Roman" w:hAnsi="Times New Roman"/>
                <w:kern w:val="2"/>
              </w:rPr>
            </w:pPr>
            <w:r>
              <w:rPr>
                <w:rFonts w:ascii="Times New Roman" w:hAnsi="Times New Roman"/>
                <w:kern w:val="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963" w:type="dxa"/>
            <w:gridSpan w:val="11"/>
            <w:vAlign w:val="center"/>
          </w:tcPr>
          <w:p>
            <w:pPr>
              <w:spacing w:line="280" w:lineRule="exact"/>
              <w:rPr>
                <w:rFonts w:ascii="Times New Roman" w:hAnsi="Times New Roman"/>
                <w:kern w:val="2"/>
              </w:rPr>
            </w:pPr>
            <w:r>
              <w:rPr>
                <w:rFonts w:ascii="Times New Roman" w:hAnsi="Times New Roman"/>
                <w:kern w:val="2"/>
              </w:rPr>
              <w:t>注：“-”表示可不开展土壤环境影响评价工作</w:t>
            </w:r>
          </w:p>
        </w:tc>
      </w:tr>
    </w:tbl>
    <w:p>
      <w:pPr>
        <w:widowControl/>
        <w:spacing w:line="480" w:lineRule="exact"/>
        <w:outlineLvl w:val="3"/>
        <w:rPr>
          <w:rFonts w:ascii="Times New Roman" w:hAnsi="Times New Roman" w:eastAsia="黑体"/>
          <w:sz w:val="24"/>
        </w:rPr>
      </w:pPr>
      <w:bookmarkStart w:id="390" w:name="_Toc464036656"/>
      <w:bookmarkStart w:id="391" w:name="_Toc480190434"/>
      <w:bookmarkStart w:id="392" w:name="_Toc466271354"/>
      <w:bookmarkStart w:id="393" w:name="_Toc458063826"/>
      <w:bookmarkStart w:id="394" w:name="_Toc482020597"/>
      <w:bookmarkStart w:id="395" w:name="_Toc480983815"/>
      <w:bookmarkStart w:id="396" w:name="_Toc486970358"/>
      <w:r>
        <w:rPr>
          <w:rFonts w:ascii="Times New Roman" w:hAnsi="Times New Roman" w:eastAsia="黑体"/>
          <w:sz w:val="24"/>
        </w:rPr>
        <w:t>2.4.1.6.环境风险</w:t>
      </w:r>
    </w:p>
    <w:p>
      <w:pPr>
        <w:spacing w:line="480" w:lineRule="exact"/>
        <w:ind w:firstLine="480" w:firstLineChars="200"/>
        <w:rPr>
          <w:rFonts w:ascii="Times New Roman" w:hAnsi="Times New Roman"/>
          <w:sz w:val="24"/>
        </w:rPr>
      </w:pPr>
      <w:r>
        <w:rPr>
          <w:rFonts w:ascii="Times New Roman" w:hAnsi="Times New Roman"/>
          <w:sz w:val="24"/>
        </w:rPr>
        <w:t>根据《建设项目环境风险评价技术导则》（HJ169-2018）中的规定，建设项目环境风险潜势划分见表2.4-15。</w:t>
      </w:r>
    </w:p>
    <w:p>
      <w:pPr>
        <w:pStyle w:val="171"/>
        <w:spacing w:line="480" w:lineRule="exact"/>
        <w:ind w:firstLine="0" w:firstLineChars="0"/>
        <w:jc w:val="center"/>
        <w:rPr>
          <w:rFonts w:ascii="Times New Roman" w:hAnsi="Times New Roman"/>
          <w:b/>
          <w:kern w:val="0"/>
          <w:sz w:val="21"/>
          <w:szCs w:val="21"/>
        </w:rPr>
      </w:pPr>
      <w:r>
        <w:rPr>
          <w:rFonts w:ascii="Times New Roman" w:hAnsi="Times New Roman"/>
          <w:b/>
          <w:kern w:val="0"/>
          <w:sz w:val="21"/>
          <w:szCs w:val="21"/>
        </w:rPr>
        <w:t>表2.4-15 建设项目环境风险潜势划分表</w:t>
      </w:r>
    </w:p>
    <w:tbl>
      <w:tblPr>
        <w:tblStyle w:val="77"/>
        <w:tblW w:w="5000" w:type="pct"/>
        <w:tblInd w:w="108"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07"/>
        <w:gridCol w:w="1706"/>
        <w:gridCol w:w="1704"/>
        <w:gridCol w:w="1705"/>
        <w:gridCol w:w="170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706" w:type="dxa"/>
            <w:vAlign w:val="center"/>
          </w:tcPr>
          <w:p>
            <w:pPr>
              <w:spacing w:line="280" w:lineRule="exact"/>
              <w:jc w:val="center"/>
              <w:rPr>
                <w:rFonts w:ascii="Times New Roman" w:hAnsi="Times New Roman"/>
                <w:b/>
              </w:rPr>
            </w:pPr>
            <w:r>
              <w:rPr>
                <w:rFonts w:ascii="Times New Roman" w:hAnsi="Times New Roman"/>
                <w:b/>
              </w:rPr>
              <w:t>环境风险潜势</w:t>
            </w:r>
          </w:p>
        </w:tc>
        <w:tc>
          <w:tcPr>
            <w:tcW w:w="1705" w:type="dxa"/>
            <w:vAlign w:val="center"/>
          </w:tcPr>
          <w:p>
            <w:pPr>
              <w:pStyle w:val="304"/>
              <w:spacing w:line="280" w:lineRule="exact"/>
              <w:jc w:val="center"/>
              <w:textAlignment w:val="center"/>
              <w:rPr>
                <w:rFonts w:ascii="Times New Roman" w:hAnsi="Times New Roman"/>
                <w:b/>
                <w:sz w:val="21"/>
                <w:szCs w:val="21"/>
              </w:rPr>
            </w:pPr>
            <w:r>
              <w:rPr>
                <w:rFonts w:ascii="Times New Roman" w:hAnsi="Times New Roman"/>
                <w:b/>
                <w:sz w:val="21"/>
                <w:szCs w:val="21"/>
              </w:rPr>
              <w:t>Ⅳ、Ⅳ</w:t>
            </w:r>
            <w:r>
              <w:rPr>
                <w:rFonts w:ascii="Times New Roman" w:hAnsi="Times New Roman"/>
                <w:b/>
                <w:sz w:val="21"/>
                <w:szCs w:val="21"/>
                <w:vertAlign w:val="superscript"/>
              </w:rPr>
              <w:t>+</w:t>
            </w:r>
          </w:p>
        </w:tc>
        <w:tc>
          <w:tcPr>
            <w:tcW w:w="1703" w:type="dxa"/>
            <w:vAlign w:val="center"/>
          </w:tcPr>
          <w:p>
            <w:pPr>
              <w:pStyle w:val="304"/>
              <w:spacing w:line="280" w:lineRule="exact"/>
              <w:jc w:val="center"/>
              <w:textAlignment w:val="center"/>
              <w:rPr>
                <w:rFonts w:ascii="Times New Roman" w:hAnsi="Times New Roman"/>
                <w:b/>
                <w:sz w:val="21"/>
                <w:szCs w:val="21"/>
              </w:rPr>
            </w:pPr>
            <w:r>
              <w:rPr>
                <w:rFonts w:ascii="Times New Roman" w:hAnsi="Times New Roman"/>
                <w:b/>
                <w:sz w:val="21"/>
                <w:szCs w:val="21"/>
              </w:rPr>
              <w:t>Ⅲ</w:t>
            </w:r>
          </w:p>
        </w:tc>
        <w:tc>
          <w:tcPr>
            <w:tcW w:w="1704" w:type="dxa"/>
            <w:vAlign w:val="center"/>
          </w:tcPr>
          <w:p>
            <w:pPr>
              <w:pStyle w:val="304"/>
              <w:spacing w:line="280" w:lineRule="exact"/>
              <w:jc w:val="center"/>
              <w:textAlignment w:val="center"/>
              <w:rPr>
                <w:rFonts w:ascii="Times New Roman" w:hAnsi="Times New Roman"/>
                <w:b/>
                <w:sz w:val="21"/>
                <w:szCs w:val="21"/>
              </w:rPr>
            </w:pPr>
            <w:r>
              <w:rPr>
                <w:rFonts w:ascii="Times New Roman" w:hAnsi="Times New Roman"/>
                <w:b/>
                <w:sz w:val="21"/>
                <w:szCs w:val="21"/>
              </w:rPr>
              <w:t>Ⅱ</w:t>
            </w:r>
          </w:p>
        </w:tc>
        <w:tc>
          <w:tcPr>
            <w:tcW w:w="1704" w:type="dxa"/>
            <w:vAlign w:val="center"/>
          </w:tcPr>
          <w:p>
            <w:pPr>
              <w:pStyle w:val="304"/>
              <w:spacing w:line="280" w:lineRule="exact"/>
              <w:jc w:val="center"/>
              <w:textAlignment w:val="center"/>
              <w:rPr>
                <w:rFonts w:ascii="Times New Roman" w:hAnsi="Times New Roman"/>
                <w:b/>
                <w:sz w:val="21"/>
                <w:szCs w:val="21"/>
              </w:rPr>
            </w:pPr>
            <w:r>
              <w:rPr>
                <w:rFonts w:ascii="Times New Roman" w:hAnsi="Times New Roman"/>
                <w:b/>
                <w:sz w:val="21"/>
                <w:szCs w:val="21"/>
              </w:rPr>
              <w:t>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706" w:type="dxa"/>
            <w:vAlign w:val="center"/>
          </w:tcPr>
          <w:p>
            <w:pPr>
              <w:spacing w:line="280" w:lineRule="exact"/>
              <w:jc w:val="center"/>
              <w:rPr>
                <w:rFonts w:ascii="Times New Roman" w:hAnsi="Times New Roman"/>
              </w:rPr>
            </w:pPr>
            <w:r>
              <w:rPr>
                <w:rFonts w:ascii="Times New Roman" w:hAnsi="Times New Roman"/>
              </w:rPr>
              <w:t>评价工作等级</w:t>
            </w:r>
          </w:p>
        </w:tc>
        <w:tc>
          <w:tcPr>
            <w:tcW w:w="1705" w:type="dxa"/>
            <w:vAlign w:val="center"/>
          </w:tcPr>
          <w:p>
            <w:pPr>
              <w:spacing w:line="280" w:lineRule="exact"/>
              <w:jc w:val="center"/>
              <w:rPr>
                <w:rFonts w:ascii="Times New Roman" w:hAnsi="Times New Roman"/>
              </w:rPr>
            </w:pPr>
            <w:r>
              <w:rPr>
                <w:rFonts w:ascii="Times New Roman" w:hAnsi="Times New Roman"/>
              </w:rPr>
              <w:t>一</w:t>
            </w:r>
          </w:p>
        </w:tc>
        <w:tc>
          <w:tcPr>
            <w:tcW w:w="1703" w:type="dxa"/>
            <w:vAlign w:val="center"/>
          </w:tcPr>
          <w:p>
            <w:pPr>
              <w:pStyle w:val="304"/>
              <w:spacing w:line="280" w:lineRule="exact"/>
              <w:jc w:val="center"/>
              <w:textAlignment w:val="center"/>
              <w:rPr>
                <w:rFonts w:ascii="Times New Roman" w:hAnsi="Times New Roman"/>
                <w:sz w:val="21"/>
                <w:szCs w:val="21"/>
              </w:rPr>
            </w:pPr>
            <w:r>
              <w:rPr>
                <w:rFonts w:ascii="Times New Roman" w:hAnsi="Times New Roman"/>
                <w:sz w:val="21"/>
                <w:szCs w:val="21"/>
              </w:rPr>
              <w:t>二</w:t>
            </w:r>
          </w:p>
        </w:tc>
        <w:tc>
          <w:tcPr>
            <w:tcW w:w="1704" w:type="dxa"/>
            <w:vAlign w:val="center"/>
          </w:tcPr>
          <w:p>
            <w:pPr>
              <w:pStyle w:val="304"/>
              <w:spacing w:line="280" w:lineRule="exact"/>
              <w:jc w:val="center"/>
              <w:textAlignment w:val="center"/>
              <w:rPr>
                <w:rFonts w:ascii="Times New Roman" w:hAnsi="Times New Roman"/>
                <w:sz w:val="21"/>
                <w:szCs w:val="21"/>
              </w:rPr>
            </w:pPr>
            <w:r>
              <w:rPr>
                <w:rFonts w:ascii="Times New Roman" w:hAnsi="Times New Roman"/>
                <w:sz w:val="21"/>
                <w:szCs w:val="21"/>
              </w:rPr>
              <w:t>三</w:t>
            </w:r>
          </w:p>
        </w:tc>
        <w:tc>
          <w:tcPr>
            <w:tcW w:w="1704" w:type="dxa"/>
            <w:vAlign w:val="center"/>
          </w:tcPr>
          <w:p>
            <w:pPr>
              <w:pStyle w:val="304"/>
              <w:spacing w:line="280" w:lineRule="exact"/>
              <w:jc w:val="center"/>
              <w:textAlignment w:val="center"/>
              <w:rPr>
                <w:rFonts w:ascii="Times New Roman" w:hAnsi="Times New Roman"/>
                <w:sz w:val="21"/>
                <w:szCs w:val="21"/>
              </w:rPr>
            </w:pPr>
            <w:r>
              <w:rPr>
                <w:rFonts w:ascii="Times New Roman" w:hAnsi="Times New Roman"/>
                <w:sz w:val="21"/>
                <w:szCs w:val="21"/>
              </w:rPr>
              <w:t>简单分析</w:t>
            </w:r>
            <w:r>
              <w:rPr>
                <w:rFonts w:ascii="Times New Roman" w:hAnsi="Times New Roman"/>
                <w:sz w:val="21"/>
                <w:szCs w:val="21"/>
                <w:vertAlign w:val="superscript"/>
              </w:rPr>
              <w: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522" w:type="dxa"/>
            <w:gridSpan w:val="5"/>
            <w:vAlign w:val="center"/>
          </w:tcPr>
          <w:p>
            <w:pPr>
              <w:spacing w:line="280" w:lineRule="exact"/>
              <w:rPr>
                <w:rFonts w:ascii="Times New Roman" w:hAnsi="Times New Roman"/>
              </w:rPr>
            </w:pPr>
            <w:r>
              <w:rPr>
                <w:rFonts w:ascii="Times New Roman" w:hAnsi="Times New Roman"/>
              </w:rPr>
              <w:t>a是相对于详细评价工作内容而言，在描述危险物质、环境影响途径、环境危害后果、风险防范措施等方面给出定性的说明</w:t>
            </w:r>
          </w:p>
        </w:tc>
      </w:tr>
    </w:tbl>
    <w:p>
      <w:pPr>
        <w:spacing w:line="480" w:lineRule="exact"/>
        <w:ind w:firstLine="480" w:firstLineChars="200"/>
        <w:rPr>
          <w:rFonts w:ascii="Times New Roman" w:hAnsi="Times New Roman"/>
          <w:sz w:val="24"/>
        </w:rPr>
      </w:pPr>
      <w:r>
        <w:rPr>
          <w:rFonts w:ascii="Times New Roman" w:hAnsi="Times New Roman"/>
          <w:sz w:val="24"/>
        </w:rPr>
        <w:t>计算所涉及的每种危险物质在厂界内的最大存在总量与其在《建设项目环境风险评价技术导则》（HJ169-2018）附录B中对应临界量的比值Q。在不同厂区的每一种物质，按其在厂界内的最大存在总量计算。</w:t>
      </w:r>
    </w:p>
    <w:p>
      <w:pPr>
        <w:spacing w:line="480" w:lineRule="exact"/>
        <w:ind w:firstLine="480" w:firstLineChars="200"/>
        <w:rPr>
          <w:rFonts w:ascii="Times New Roman" w:hAnsi="Times New Roman"/>
          <w:sz w:val="24"/>
        </w:rPr>
      </w:pPr>
      <w:r>
        <w:rPr>
          <w:rFonts w:ascii="Times New Roman" w:hAnsi="Times New Roman"/>
          <w:sz w:val="24"/>
        </w:rPr>
        <w:t>当只涉及一种危险物质时，计算该物质的总量与其临界量比值，即为Q；</w:t>
      </w:r>
    </w:p>
    <w:p>
      <w:pPr>
        <w:spacing w:line="480" w:lineRule="exact"/>
        <w:ind w:firstLine="480" w:firstLineChars="200"/>
        <w:rPr>
          <w:rFonts w:ascii="Times New Roman" w:hAnsi="Times New Roman"/>
          <w:sz w:val="24"/>
        </w:rPr>
      </w:pPr>
      <w:r>
        <w:rPr>
          <w:rFonts w:ascii="Times New Roman" w:hAnsi="Times New Roman"/>
          <w:sz w:val="24"/>
        </w:rPr>
        <w:t>当存在多种危险物质时，则按下式计算物质总量与其临界量比值（Q）：</w:t>
      </w:r>
    </w:p>
    <w:p>
      <w:pPr>
        <w:adjustRightInd w:val="0"/>
        <w:snapToGrid w:val="0"/>
        <w:rPr>
          <w:rFonts w:ascii="Times New Roman" w:hAnsi="Times New Roman"/>
          <w:sz w:val="28"/>
          <w:szCs w:val="28"/>
        </w:rPr>
      </w:pPr>
      <w:r>
        <w:rPr>
          <w:rFonts w:ascii="Times New Roman" w:hAnsi="Times New Roman"/>
          <w:sz w:val="28"/>
          <w:szCs w:val="28"/>
        </w:rPr>
        <w:drawing>
          <wp:inline distT="0" distB="0" distL="114300" distR="114300">
            <wp:extent cx="1397000" cy="356870"/>
            <wp:effectExtent l="0" t="0" r="3175" b="5080"/>
            <wp:docPr id="26"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23"/>
                    <pic:cNvPicPr>
                      <a:picLocks noChangeAspect="1"/>
                    </pic:cNvPicPr>
                  </pic:nvPicPr>
                  <pic:blipFill>
                    <a:blip r:embed="rId23"/>
                    <a:stretch>
                      <a:fillRect/>
                    </a:stretch>
                  </pic:blipFill>
                  <pic:spPr>
                    <a:xfrm>
                      <a:off x="0" y="0"/>
                      <a:ext cx="1397000" cy="356870"/>
                    </a:xfrm>
                    <a:prstGeom prst="rect">
                      <a:avLst/>
                    </a:prstGeom>
                    <a:noFill/>
                    <a:ln>
                      <a:noFill/>
                    </a:ln>
                  </pic:spPr>
                </pic:pic>
              </a:graphicData>
            </a:graphic>
          </wp:inline>
        </w:drawing>
      </w:r>
    </w:p>
    <w:p>
      <w:pPr>
        <w:spacing w:line="480" w:lineRule="exact"/>
        <w:ind w:firstLine="480" w:firstLineChars="200"/>
        <w:rPr>
          <w:rFonts w:ascii="Times New Roman" w:hAnsi="Times New Roman"/>
          <w:sz w:val="24"/>
        </w:rPr>
      </w:pPr>
      <w:r>
        <w:rPr>
          <w:rFonts w:ascii="Times New Roman" w:hAnsi="Times New Roman"/>
          <w:sz w:val="24"/>
        </w:rPr>
        <w:t>式中：q</w:t>
      </w:r>
      <w:r>
        <w:rPr>
          <w:rFonts w:ascii="Times New Roman" w:hAnsi="Times New Roman"/>
          <w:sz w:val="24"/>
          <w:vertAlign w:val="subscript"/>
        </w:rPr>
        <w:t>1</w:t>
      </w:r>
      <w:r>
        <w:rPr>
          <w:rFonts w:ascii="Times New Roman" w:hAnsi="Times New Roman"/>
          <w:sz w:val="24"/>
        </w:rPr>
        <w:t>，q</w:t>
      </w:r>
      <w:r>
        <w:rPr>
          <w:rFonts w:ascii="Times New Roman" w:hAnsi="Times New Roman"/>
          <w:sz w:val="24"/>
          <w:vertAlign w:val="subscript"/>
        </w:rPr>
        <w:t>2</w:t>
      </w:r>
      <w:r>
        <w:rPr>
          <w:rFonts w:ascii="Times New Roman" w:hAnsi="Times New Roman"/>
          <w:sz w:val="24"/>
        </w:rPr>
        <w:t>，q</w:t>
      </w:r>
      <w:r>
        <w:rPr>
          <w:rFonts w:ascii="Times New Roman" w:hAnsi="Times New Roman"/>
          <w:sz w:val="24"/>
          <w:vertAlign w:val="subscript"/>
        </w:rPr>
        <w:t>n</w:t>
      </w:r>
      <w:r>
        <w:rPr>
          <w:rFonts w:ascii="Times New Roman" w:hAnsi="Times New Roman"/>
          <w:sz w:val="24"/>
        </w:rPr>
        <w:t>—每种危险物质的最大存在总量，t；</w:t>
      </w:r>
    </w:p>
    <w:p>
      <w:pPr>
        <w:spacing w:line="480" w:lineRule="exact"/>
        <w:ind w:firstLine="1200" w:firstLineChars="500"/>
        <w:rPr>
          <w:rFonts w:ascii="Times New Roman" w:hAnsi="Times New Roman"/>
          <w:sz w:val="24"/>
        </w:rPr>
      </w:pPr>
      <w:r>
        <w:rPr>
          <w:rFonts w:ascii="Times New Roman" w:hAnsi="Times New Roman"/>
          <w:sz w:val="24"/>
        </w:rPr>
        <w:t>Q</w:t>
      </w:r>
      <w:r>
        <w:rPr>
          <w:rFonts w:ascii="Times New Roman" w:hAnsi="Times New Roman"/>
          <w:sz w:val="24"/>
          <w:vertAlign w:val="subscript"/>
        </w:rPr>
        <w:t>1</w:t>
      </w:r>
      <w:r>
        <w:rPr>
          <w:rFonts w:ascii="Times New Roman" w:hAnsi="Times New Roman"/>
          <w:sz w:val="24"/>
        </w:rPr>
        <w:t>，Q</w:t>
      </w:r>
      <w:r>
        <w:rPr>
          <w:rFonts w:ascii="Times New Roman" w:hAnsi="Times New Roman"/>
          <w:sz w:val="24"/>
          <w:vertAlign w:val="subscript"/>
        </w:rPr>
        <w:t>2</w:t>
      </w:r>
      <w:r>
        <w:rPr>
          <w:rFonts w:ascii="Times New Roman" w:hAnsi="Times New Roman"/>
          <w:sz w:val="24"/>
        </w:rPr>
        <w:t>，Q</w:t>
      </w:r>
      <w:r>
        <w:rPr>
          <w:rFonts w:ascii="Times New Roman" w:hAnsi="Times New Roman"/>
          <w:sz w:val="24"/>
          <w:vertAlign w:val="subscript"/>
        </w:rPr>
        <w:t>n</w:t>
      </w:r>
      <w:r>
        <w:rPr>
          <w:rFonts w:ascii="Times New Roman" w:hAnsi="Times New Roman"/>
          <w:sz w:val="24"/>
        </w:rPr>
        <w:t>—每种危险物质的的临界量，t。</w:t>
      </w:r>
    </w:p>
    <w:p>
      <w:pPr>
        <w:spacing w:line="480" w:lineRule="exact"/>
        <w:ind w:firstLine="480" w:firstLineChars="200"/>
        <w:rPr>
          <w:rFonts w:ascii="Times New Roman" w:hAnsi="Times New Roman"/>
          <w:sz w:val="24"/>
        </w:rPr>
      </w:pPr>
      <w:r>
        <w:rPr>
          <w:rFonts w:ascii="Times New Roman" w:hAnsi="Times New Roman"/>
          <w:sz w:val="24"/>
        </w:rPr>
        <w:t>当Q＜1时，该项目环境风险潜势为Ⅰ级。当Q≥1时，将Q值划分为：（1）1≤Q＜10；（2）10≤Q＜100；（3）Q≥100。</w:t>
      </w:r>
    </w:p>
    <w:p>
      <w:pPr>
        <w:spacing w:line="480" w:lineRule="exact"/>
        <w:ind w:firstLine="480" w:firstLineChars="200"/>
        <w:rPr>
          <w:rFonts w:ascii="Times New Roman" w:hAnsi="Times New Roman"/>
          <w:sz w:val="24"/>
        </w:rPr>
      </w:pPr>
      <w:r>
        <w:rPr>
          <w:rFonts w:ascii="Times New Roman" w:hAnsi="Times New Roman"/>
          <w:sz w:val="24"/>
        </w:rPr>
        <w:t>本项目危险物质为氯酸钠、次氯酸钠、</w:t>
      </w:r>
      <w:r>
        <w:rPr>
          <w:rFonts w:hint="eastAsia" w:ascii="Times New Roman" w:hAnsi="Times New Roman"/>
          <w:sz w:val="24"/>
        </w:rPr>
        <w:t>导热油、废导热油和轻质柴油</w:t>
      </w:r>
      <w:r>
        <w:rPr>
          <w:rFonts w:ascii="Times New Roman" w:hAnsi="Times New Roman"/>
          <w:sz w:val="24"/>
        </w:rPr>
        <w:t>，最大存在总量和临界量的比值情况见表2.4-16。</w:t>
      </w:r>
    </w:p>
    <w:p>
      <w:pPr>
        <w:spacing w:line="480" w:lineRule="exact"/>
        <w:jc w:val="center"/>
        <w:rPr>
          <w:rFonts w:ascii="Times New Roman" w:hAnsi="Times New Roman"/>
          <w:b/>
        </w:rPr>
      </w:pPr>
      <w:r>
        <w:rPr>
          <w:rFonts w:ascii="Times New Roman" w:hAnsi="Times New Roman"/>
          <w:b/>
        </w:rPr>
        <w:t>表2.4-16 建设项目Q值确定</w:t>
      </w:r>
    </w:p>
    <w:tbl>
      <w:tblPr>
        <w:tblStyle w:val="77"/>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775"/>
        <w:gridCol w:w="1550"/>
        <w:gridCol w:w="1459"/>
        <w:gridCol w:w="1527"/>
        <w:gridCol w:w="1527"/>
        <w:gridCol w:w="152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0" w:hRule="atLeast"/>
        </w:trPr>
        <w:tc>
          <w:tcPr>
            <w:tcW w:w="770" w:type="dxa"/>
            <w:vAlign w:val="center"/>
          </w:tcPr>
          <w:p>
            <w:pPr>
              <w:spacing w:line="280" w:lineRule="exact"/>
              <w:jc w:val="center"/>
              <w:rPr>
                <w:rFonts w:ascii="Times New Roman" w:hAnsi="Times New Roman"/>
                <w:b/>
              </w:rPr>
            </w:pPr>
            <w:r>
              <w:rPr>
                <w:rFonts w:ascii="Times New Roman" w:hAnsi="Times New Roman"/>
                <w:b/>
              </w:rPr>
              <w:t>序号</w:t>
            </w:r>
          </w:p>
        </w:tc>
        <w:tc>
          <w:tcPr>
            <w:tcW w:w="1540" w:type="dxa"/>
            <w:vAlign w:val="center"/>
          </w:tcPr>
          <w:p>
            <w:pPr>
              <w:spacing w:line="280" w:lineRule="exact"/>
              <w:jc w:val="center"/>
              <w:rPr>
                <w:rFonts w:ascii="Times New Roman" w:hAnsi="Times New Roman"/>
                <w:b/>
              </w:rPr>
            </w:pPr>
            <w:r>
              <w:rPr>
                <w:rFonts w:ascii="Times New Roman" w:hAnsi="Times New Roman"/>
                <w:b/>
              </w:rPr>
              <w:t>危险物质名称</w:t>
            </w:r>
          </w:p>
        </w:tc>
        <w:tc>
          <w:tcPr>
            <w:tcW w:w="1449" w:type="dxa"/>
            <w:vAlign w:val="center"/>
          </w:tcPr>
          <w:p>
            <w:pPr>
              <w:spacing w:line="280" w:lineRule="exact"/>
              <w:jc w:val="center"/>
              <w:rPr>
                <w:rFonts w:ascii="Times New Roman" w:hAnsi="Times New Roman"/>
                <w:b/>
              </w:rPr>
            </w:pPr>
            <w:r>
              <w:rPr>
                <w:rFonts w:ascii="Times New Roman" w:hAnsi="Times New Roman"/>
                <w:b/>
              </w:rPr>
              <w:t>CAS号</w:t>
            </w:r>
          </w:p>
        </w:tc>
        <w:tc>
          <w:tcPr>
            <w:tcW w:w="1517" w:type="dxa"/>
            <w:vAlign w:val="center"/>
          </w:tcPr>
          <w:p>
            <w:pPr>
              <w:spacing w:line="280" w:lineRule="exact"/>
              <w:jc w:val="center"/>
              <w:rPr>
                <w:rFonts w:ascii="Times New Roman" w:hAnsi="Times New Roman"/>
                <w:b/>
              </w:rPr>
            </w:pPr>
            <w:r>
              <w:rPr>
                <w:rFonts w:ascii="Times New Roman" w:hAnsi="Times New Roman"/>
                <w:b/>
              </w:rPr>
              <w:t>最大贮存量（t）</w:t>
            </w:r>
          </w:p>
        </w:tc>
        <w:tc>
          <w:tcPr>
            <w:tcW w:w="1517" w:type="dxa"/>
            <w:vAlign w:val="center"/>
          </w:tcPr>
          <w:p>
            <w:pPr>
              <w:spacing w:line="280" w:lineRule="exact"/>
              <w:jc w:val="center"/>
              <w:rPr>
                <w:rFonts w:ascii="Times New Roman" w:hAnsi="Times New Roman"/>
                <w:b/>
              </w:rPr>
            </w:pPr>
            <w:r>
              <w:rPr>
                <w:rFonts w:ascii="Times New Roman" w:hAnsi="Times New Roman"/>
                <w:b/>
              </w:rPr>
              <w:t>临界量（t）</w:t>
            </w:r>
          </w:p>
        </w:tc>
        <w:tc>
          <w:tcPr>
            <w:tcW w:w="1517" w:type="dxa"/>
            <w:vAlign w:val="center"/>
          </w:tcPr>
          <w:p>
            <w:pPr>
              <w:spacing w:line="280" w:lineRule="exact"/>
              <w:jc w:val="center"/>
              <w:rPr>
                <w:rFonts w:ascii="Times New Roman" w:hAnsi="Times New Roman"/>
                <w:b/>
              </w:rPr>
            </w:pPr>
            <w:r>
              <w:rPr>
                <w:rFonts w:ascii="Times New Roman" w:hAnsi="Times New Roman"/>
                <w:b/>
                <w:kern w:val="2"/>
              </w:rPr>
              <w:t>Q值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0" w:hRule="atLeast"/>
        </w:trPr>
        <w:tc>
          <w:tcPr>
            <w:tcW w:w="770" w:type="dxa"/>
            <w:vAlign w:val="center"/>
          </w:tcPr>
          <w:p>
            <w:pPr>
              <w:spacing w:line="280" w:lineRule="exact"/>
              <w:jc w:val="center"/>
              <w:rPr>
                <w:rFonts w:ascii="Times New Roman" w:hAnsi="Times New Roman"/>
                <w:bCs/>
              </w:rPr>
            </w:pPr>
            <w:r>
              <w:rPr>
                <w:rFonts w:ascii="Times New Roman" w:hAnsi="Times New Roman"/>
                <w:bCs/>
              </w:rPr>
              <w:t>1</w:t>
            </w:r>
          </w:p>
        </w:tc>
        <w:tc>
          <w:tcPr>
            <w:tcW w:w="1540" w:type="dxa"/>
            <w:vAlign w:val="center"/>
          </w:tcPr>
          <w:p>
            <w:pPr>
              <w:spacing w:line="280" w:lineRule="exact"/>
              <w:jc w:val="center"/>
              <w:rPr>
                <w:rFonts w:ascii="Times New Roman" w:hAnsi="Times New Roman"/>
                <w:bCs/>
              </w:rPr>
            </w:pPr>
            <w:r>
              <w:rPr>
                <w:rFonts w:ascii="Times New Roman" w:hAnsi="Times New Roman"/>
                <w:bCs/>
              </w:rPr>
              <w:t>氯酸钠</w:t>
            </w:r>
          </w:p>
        </w:tc>
        <w:tc>
          <w:tcPr>
            <w:tcW w:w="1449" w:type="dxa"/>
            <w:vAlign w:val="center"/>
          </w:tcPr>
          <w:p>
            <w:pPr>
              <w:spacing w:line="280" w:lineRule="exact"/>
              <w:jc w:val="center"/>
              <w:rPr>
                <w:rFonts w:ascii="Times New Roman" w:hAnsi="Times New Roman"/>
                <w:bCs/>
              </w:rPr>
            </w:pPr>
            <w:r>
              <w:rPr>
                <w:rFonts w:ascii="Times New Roman" w:hAnsi="Times New Roman"/>
                <w:bCs/>
              </w:rPr>
              <w:t>7775-09-9</w:t>
            </w:r>
          </w:p>
        </w:tc>
        <w:tc>
          <w:tcPr>
            <w:tcW w:w="1517" w:type="dxa"/>
            <w:vAlign w:val="center"/>
          </w:tcPr>
          <w:p>
            <w:pPr>
              <w:spacing w:line="280" w:lineRule="exact"/>
              <w:jc w:val="center"/>
              <w:rPr>
                <w:rFonts w:ascii="Times New Roman" w:hAnsi="Times New Roman"/>
                <w:bCs/>
              </w:rPr>
            </w:pPr>
            <w:r>
              <w:rPr>
                <w:rFonts w:ascii="Times New Roman" w:hAnsi="Times New Roman"/>
                <w:bCs/>
              </w:rPr>
              <w:t>0.2</w:t>
            </w:r>
          </w:p>
        </w:tc>
        <w:tc>
          <w:tcPr>
            <w:tcW w:w="1517" w:type="dxa"/>
            <w:vAlign w:val="center"/>
          </w:tcPr>
          <w:p>
            <w:pPr>
              <w:spacing w:line="280" w:lineRule="exact"/>
              <w:jc w:val="center"/>
              <w:rPr>
                <w:rFonts w:ascii="Times New Roman" w:hAnsi="Times New Roman"/>
                <w:bCs/>
              </w:rPr>
            </w:pPr>
            <w:r>
              <w:rPr>
                <w:rFonts w:ascii="Times New Roman" w:hAnsi="Times New Roman"/>
                <w:bCs/>
              </w:rPr>
              <w:t>100</w:t>
            </w:r>
          </w:p>
        </w:tc>
        <w:tc>
          <w:tcPr>
            <w:tcW w:w="1517" w:type="dxa"/>
            <w:vAlign w:val="center"/>
          </w:tcPr>
          <w:p>
            <w:pPr>
              <w:spacing w:line="280" w:lineRule="exact"/>
              <w:jc w:val="center"/>
              <w:rPr>
                <w:rFonts w:ascii="Times New Roman" w:hAnsi="Times New Roman"/>
                <w:bCs/>
              </w:rPr>
            </w:pPr>
            <w:r>
              <w:rPr>
                <w:rFonts w:ascii="Times New Roman" w:hAnsi="Times New Roman"/>
                <w:bCs/>
              </w:rPr>
              <w:t>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0" w:hRule="atLeast"/>
        </w:trPr>
        <w:tc>
          <w:tcPr>
            <w:tcW w:w="770" w:type="dxa"/>
            <w:vAlign w:val="center"/>
          </w:tcPr>
          <w:p>
            <w:pPr>
              <w:spacing w:line="280" w:lineRule="exact"/>
              <w:jc w:val="center"/>
              <w:rPr>
                <w:rFonts w:ascii="Times New Roman" w:hAnsi="Times New Roman"/>
                <w:bCs/>
              </w:rPr>
            </w:pPr>
            <w:r>
              <w:rPr>
                <w:rFonts w:ascii="Times New Roman" w:hAnsi="Times New Roman"/>
                <w:bCs/>
              </w:rPr>
              <w:t>2</w:t>
            </w:r>
          </w:p>
        </w:tc>
        <w:tc>
          <w:tcPr>
            <w:tcW w:w="1540" w:type="dxa"/>
            <w:vAlign w:val="center"/>
          </w:tcPr>
          <w:p>
            <w:pPr>
              <w:spacing w:line="280" w:lineRule="exact"/>
              <w:jc w:val="center"/>
              <w:rPr>
                <w:rFonts w:ascii="Times New Roman" w:hAnsi="Times New Roman"/>
                <w:bCs/>
              </w:rPr>
            </w:pPr>
            <w:r>
              <w:rPr>
                <w:rFonts w:ascii="Times New Roman" w:hAnsi="Times New Roman"/>
                <w:bCs/>
              </w:rPr>
              <w:t>次氯酸钠</w:t>
            </w:r>
          </w:p>
        </w:tc>
        <w:tc>
          <w:tcPr>
            <w:tcW w:w="1449" w:type="dxa"/>
            <w:vAlign w:val="center"/>
          </w:tcPr>
          <w:p>
            <w:pPr>
              <w:spacing w:line="280" w:lineRule="exact"/>
              <w:jc w:val="center"/>
              <w:rPr>
                <w:rFonts w:ascii="Times New Roman" w:hAnsi="Times New Roman"/>
                <w:bCs/>
              </w:rPr>
            </w:pPr>
            <w:r>
              <w:rPr>
                <w:rFonts w:ascii="Times New Roman" w:hAnsi="Times New Roman"/>
                <w:bCs/>
              </w:rPr>
              <w:t>7681-52-9</w:t>
            </w:r>
          </w:p>
        </w:tc>
        <w:tc>
          <w:tcPr>
            <w:tcW w:w="1517" w:type="dxa"/>
            <w:vAlign w:val="center"/>
          </w:tcPr>
          <w:p>
            <w:pPr>
              <w:spacing w:line="280" w:lineRule="exact"/>
              <w:jc w:val="center"/>
              <w:rPr>
                <w:rFonts w:ascii="Times New Roman" w:hAnsi="Times New Roman"/>
                <w:bCs/>
              </w:rPr>
            </w:pPr>
            <w:r>
              <w:rPr>
                <w:rFonts w:ascii="Times New Roman" w:hAnsi="Times New Roman"/>
                <w:bCs/>
              </w:rPr>
              <w:t>0.2</w:t>
            </w:r>
          </w:p>
        </w:tc>
        <w:tc>
          <w:tcPr>
            <w:tcW w:w="1517" w:type="dxa"/>
            <w:vAlign w:val="center"/>
          </w:tcPr>
          <w:p>
            <w:pPr>
              <w:spacing w:line="280" w:lineRule="exact"/>
              <w:jc w:val="center"/>
              <w:rPr>
                <w:rFonts w:ascii="Times New Roman" w:hAnsi="Times New Roman"/>
                <w:bCs/>
              </w:rPr>
            </w:pPr>
            <w:r>
              <w:rPr>
                <w:rFonts w:ascii="Times New Roman" w:hAnsi="Times New Roman"/>
                <w:bCs/>
              </w:rPr>
              <w:t>5</w:t>
            </w:r>
          </w:p>
        </w:tc>
        <w:tc>
          <w:tcPr>
            <w:tcW w:w="1517" w:type="dxa"/>
            <w:vAlign w:val="center"/>
          </w:tcPr>
          <w:p>
            <w:pPr>
              <w:spacing w:line="280" w:lineRule="exact"/>
              <w:jc w:val="center"/>
              <w:rPr>
                <w:rFonts w:ascii="Times New Roman" w:hAnsi="Times New Roman"/>
                <w:bCs/>
                <w:kern w:val="2"/>
              </w:rPr>
            </w:pPr>
            <w:r>
              <w:rPr>
                <w:rFonts w:ascii="Times New Roman" w:hAnsi="Times New Roman"/>
                <w:bCs/>
              </w:rPr>
              <w:t>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0" w:hRule="atLeast"/>
        </w:trPr>
        <w:tc>
          <w:tcPr>
            <w:tcW w:w="770" w:type="dxa"/>
            <w:vAlign w:val="center"/>
          </w:tcPr>
          <w:p>
            <w:pPr>
              <w:jc w:val="center"/>
              <w:rPr>
                <w:rFonts w:ascii="Times New Roman" w:hAnsi="Times New Roman"/>
              </w:rPr>
            </w:pPr>
            <w:r>
              <w:rPr>
                <w:rFonts w:ascii="Times New Roman" w:hAnsi="Times New Roman"/>
              </w:rPr>
              <w:t>3</w:t>
            </w:r>
          </w:p>
        </w:tc>
        <w:tc>
          <w:tcPr>
            <w:tcW w:w="1540" w:type="dxa"/>
            <w:vAlign w:val="center"/>
          </w:tcPr>
          <w:p>
            <w:pPr>
              <w:spacing w:line="280" w:lineRule="exact"/>
              <w:jc w:val="center"/>
              <w:rPr>
                <w:rFonts w:ascii="Times New Roman" w:hAnsi="Times New Roman"/>
                <w:bCs/>
              </w:rPr>
            </w:pPr>
            <w:r>
              <w:rPr>
                <w:rFonts w:hint="eastAsia" w:ascii="Times New Roman" w:hAnsi="Times New Roman"/>
                <w:bCs/>
              </w:rPr>
              <w:t>导热油</w:t>
            </w:r>
          </w:p>
        </w:tc>
        <w:tc>
          <w:tcPr>
            <w:tcW w:w="1449" w:type="dxa"/>
            <w:vAlign w:val="center"/>
          </w:tcPr>
          <w:p>
            <w:pPr>
              <w:spacing w:line="280" w:lineRule="exact"/>
              <w:jc w:val="center"/>
              <w:rPr>
                <w:rFonts w:ascii="Times New Roman" w:hAnsi="Times New Roman"/>
                <w:bCs/>
              </w:rPr>
            </w:pPr>
            <w:r>
              <w:rPr>
                <w:rFonts w:ascii="Times New Roman" w:hAnsi="Times New Roman"/>
                <w:bCs/>
              </w:rPr>
              <w:t>/</w:t>
            </w:r>
          </w:p>
        </w:tc>
        <w:tc>
          <w:tcPr>
            <w:tcW w:w="1517" w:type="dxa"/>
            <w:vAlign w:val="center"/>
          </w:tcPr>
          <w:p>
            <w:pPr>
              <w:spacing w:line="280" w:lineRule="exact"/>
              <w:jc w:val="center"/>
              <w:rPr>
                <w:rFonts w:ascii="Times New Roman" w:hAnsi="Times New Roman"/>
                <w:bCs/>
              </w:rPr>
            </w:pPr>
            <w:r>
              <w:rPr>
                <w:rFonts w:ascii="Times New Roman" w:hAnsi="Times New Roman"/>
                <w:bCs/>
              </w:rPr>
              <w:t>0.206</w:t>
            </w:r>
          </w:p>
        </w:tc>
        <w:tc>
          <w:tcPr>
            <w:tcW w:w="1517" w:type="dxa"/>
            <w:vAlign w:val="center"/>
          </w:tcPr>
          <w:p>
            <w:pPr>
              <w:spacing w:line="280" w:lineRule="exact"/>
              <w:jc w:val="center"/>
              <w:rPr>
                <w:rFonts w:ascii="Times New Roman" w:hAnsi="Times New Roman"/>
                <w:bCs/>
              </w:rPr>
            </w:pPr>
            <w:r>
              <w:rPr>
                <w:rFonts w:hint="eastAsia" w:ascii="Times New Roman" w:hAnsi="Times New Roman"/>
                <w:bCs/>
              </w:rPr>
              <w:t>2</w:t>
            </w:r>
            <w:r>
              <w:rPr>
                <w:rFonts w:ascii="Times New Roman" w:hAnsi="Times New Roman"/>
                <w:bCs/>
              </w:rPr>
              <w:t>500</w:t>
            </w:r>
          </w:p>
        </w:tc>
        <w:tc>
          <w:tcPr>
            <w:tcW w:w="1517" w:type="dxa"/>
            <w:vAlign w:val="center"/>
          </w:tcPr>
          <w:p>
            <w:pPr>
              <w:spacing w:line="280" w:lineRule="exact"/>
              <w:jc w:val="center"/>
              <w:rPr>
                <w:rFonts w:ascii="Times New Roman" w:hAnsi="Times New Roman"/>
                <w:bCs/>
              </w:rPr>
            </w:pPr>
            <w:r>
              <w:rPr>
                <w:rFonts w:ascii="Times New Roman" w:hAnsi="Times New Roman"/>
                <w:bCs/>
              </w:rPr>
              <w:t>0.000082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0" w:hRule="atLeast"/>
        </w:trPr>
        <w:tc>
          <w:tcPr>
            <w:tcW w:w="770" w:type="dxa"/>
            <w:vAlign w:val="center"/>
          </w:tcPr>
          <w:p>
            <w:pPr>
              <w:jc w:val="center"/>
              <w:rPr>
                <w:rFonts w:ascii="Times New Roman" w:hAnsi="Times New Roman"/>
              </w:rPr>
            </w:pPr>
            <w:r>
              <w:rPr>
                <w:rFonts w:ascii="Times New Roman" w:hAnsi="Times New Roman"/>
              </w:rPr>
              <w:t>4</w:t>
            </w:r>
          </w:p>
        </w:tc>
        <w:tc>
          <w:tcPr>
            <w:tcW w:w="1540" w:type="dxa"/>
            <w:vAlign w:val="center"/>
          </w:tcPr>
          <w:p>
            <w:pPr>
              <w:spacing w:line="280" w:lineRule="exact"/>
              <w:jc w:val="center"/>
              <w:rPr>
                <w:rFonts w:ascii="Times New Roman" w:hAnsi="Times New Roman"/>
                <w:bCs/>
              </w:rPr>
            </w:pPr>
            <w:r>
              <w:rPr>
                <w:rFonts w:hint="eastAsia" w:ascii="Times New Roman" w:hAnsi="Times New Roman"/>
                <w:bCs/>
              </w:rPr>
              <w:t>废导热油</w:t>
            </w:r>
          </w:p>
        </w:tc>
        <w:tc>
          <w:tcPr>
            <w:tcW w:w="1449" w:type="dxa"/>
            <w:vAlign w:val="center"/>
          </w:tcPr>
          <w:p>
            <w:pPr>
              <w:spacing w:line="280" w:lineRule="exact"/>
              <w:jc w:val="center"/>
              <w:rPr>
                <w:rFonts w:ascii="Times New Roman" w:hAnsi="Times New Roman"/>
                <w:bCs/>
              </w:rPr>
            </w:pPr>
            <w:r>
              <w:rPr>
                <w:rFonts w:ascii="Times New Roman" w:hAnsi="Times New Roman"/>
                <w:bCs/>
              </w:rPr>
              <w:t>/</w:t>
            </w:r>
          </w:p>
        </w:tc>
        <w:tc>
          <w:tcPr>
            <w:tcW w:w="1517" w:type="dxa"/>
            <w:vAlign w:val="center"/>
          </w:tcPr>
          <w:p>
            <w:pPr>
              <w:spacing w:line="280" w:lineRule="exact"/>
              <w:jc w:val="center"/>
              <w:rPr>
                <w:rFonts w:ascii="Times New Roman" w:hAnsi="Times New Roman"/>
                <w:bCs/>
              </w:rPr>
            </w:pPr>
            <w:r>
              <w:rPr>
                <w:rFonts w:hint="eastAsia" w:ascii="Times New Roman" w:hAnsi="Times New Roman"/>
                <w:bCs/>
              </w:rPr>
              <w:t>0</w:t>
            </w:r>
            <w:r>
              <w:rPr>
                <w:rFonts w:ascii="Times New Roman" w:hAnsi="Times New Roman"/>
                <w:bCs/>
              </w:rPr>
              <w:t>.206</w:t>
            </w:r>
          </w:p>
        </w:tc>
        <w:tc>
          <w:tcPr>
            <w:tcW w:w="1517" w:type="dxa"/>
            <w:vAlign w:val="center"/>
          </w:tcPr>
          <w:p>
            <w:pPr>
              <w:spacing w:line="280" w:lineRule="exact"/>
              <w:jc w:val="center"/>
              <w:rPr>
                <w:rFonts w:ascii="Times New Roman" w:hAnsi="Times New Roman"/>
                <w:bCs/>
              </w:rPr>
            </w:pPr>
            <w:r>
              <w:rPr>
                <w:rFonts w:hint="eastAsia" w:ascii="Times New Roman" w:hAnsi="Times New Roman"/>
                <w:bCs/>
              </w:rPr>
              <w:t>2</w:t>
            </w:r>
            <w:r>
              <w:rPr>
                <w:rFonts w:ascii="Times New Roman" w:hAnsi="Times New Roman"/>
                <w:bCs/>
              </w:rPr>
              <w:t>500</w:t>
            </w:r>
          </w:p>
        </w:tc>
        <w:tc>
          <w:tcPr>
            <w:tcW w:w="1517" w:type="dxa"/>
            <w:vAlign w:val="center"/>
          </w:tcPr>
          <w:p>
            <w:pPr>
              <w:spacing w:line="280" w:lineRule="exact"/>
              <w:jc w:val="center"/>
              <w:rPr>
                <w:rFonts w:ascii="Times New Roman" w:hAnsi="Times New Roman"/>
                <w:bCs/>
              </w:rPr>
            </w:pPr>
            <w:r>
              <w:rPr>
                <w:rFonts w:hint="eastAsia" w:ascii="Times New Roman" w:hAnsi="Times New Roman"/>
                <w:bCs/>
              </w:rPr>
              <w:t>0</w:t>
            </w:r>
            <w:r>
              <w:rPr>
                <w:rFonts w:ascii="Times New Roman" w:hAnsi="Times New Roman"/>
                <w:bCs/>
              </w:rPr>
              <w:t>.000082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0" w:hRule="atLeast"/>
        </w:trPr>
        <w:tc>
          <w:tcPr>
            <w:tcW w:w="770" w:type="dxa"/>
            <w:vAlign w:val="center"/>
          </w:tcPr>
          <w:p>
            <w:pPr>
              <w:jc w:val="center"/>
              <w:rPr>
                <w:rFonts w:ascii="Times New Roman" w:hAnsi="Times New Roman"/>
              </w:rPr>
            </w:pPr>
            <w:r>
              <w:rPr>
                <w:rFonts w:ascii="Times New Roman" w:hAnsi="Times New Roman"/>
              </w:rPr>
              <w:t>5</w:t>
            </w:r>
          </w:p>
        </w:tc>
        <w:tc>
          <w:tcPr>
            <w:tcW w:w="1540" w:type="dxa"/>
            <w:vAlign w:val="center"/>
          </w:tcPr>
          <w:p>
            <w:pPr>
              <w:spacing w:line="280" w:lineRule="exact"/>
              <w:jc w:val="center"/>
              <w:rPr>
                <w:rFonts w:ascii="Times New Roman" w:hAnsi="Times New Roman"/>
                <w:bCs/>
              </w:rPr>
            </w:pPr>
            <w:r>
              <w:rPr>
                <w:rFonts w:hint="eastAsia" w:ascii="Times New Roman" w:hAnsi="Times New Roman"/>
                <w:bCs/>
              </w:rPr>
              <w:t>轻质柴油</w:t>
            </w:r>
          </w:p>
        </w:tc>
        <w:tc>
          <w:tcPr>
            <w:tcW w:w="1449" w:type="dxa"/>
            <w:vAlign w:val="center"/>
          </w:tcPr>
          <w:p>
            <w:pPr>
              <w:spacing w:line="280" w:lineRule="exact"/>
              <w:jc w:val="center"/>
              <w:rPr>
                <w:rFonts w:ascii="Times New Roman" w:hAnsi="Times New Roman"/>
                <w:bCs/>
              </w:rPr>
            </w:pPr>
            <w:r>
              <w:rPr>
                <w:rFonts w:hint="eastAsia" w:ascii="Times New Roman" w:hAnsi="Times New Roman"/>
                <w:bCs/>
              </w:rPr>
              <w:t>/</w:t>
            </w:r>
          </w:p>
        </w:tc>
        <w:tc>
          <w:tcPr>
            <w:tcW w:w="1517" w:type="dxa"/>
            <w:vAlign w:val="center"/>
          </w:tcPr>
          <w:p>
            <w:pPr>
              <w:spacing w:line="280" w:lineRule="exact"/>
              <w:jc w:val="center"/>
              <w:rPr>
                <w:rFonts w:ascii="Times New Roman" w:hAnsi="Times New Roman"/>
                <w:bCs/>
              </w:rPr>
            </w:pPr>
            <w:r>
              <w:rPr>
                <w:rFonts w:ascii="Times New Roman" w:hAnsi="Times New Roman"/>
                <w:bCs/>
              </w:rPr>
              <w:t>0.0096</w:t>
            </w:r>
          </w:p>
        </w:tc>
        <w:tc>
          <w:tcPr>
            <w:tcW w:w="1517" w:type="dxa"/>
            <w:vAlign w:val="center"/>
          </w:tcPr>
          <w:p>
            <w:pPr>
              <w:spacing w:line="280" w:lineRule="exact"/>
              <w:jc w:val="center"/>
              <w:rPr>
                <w:rFonts w:ascii="Times New Roman" w:hAnsi="Times New Roman"/>
                <w:bCs/>
              </w:rPr>
            </w:pPr>
            <w:r>
              <w:rPr>
                <w:rFonts w:hint="eastAsia" w:ascii="Times New Roman" w:hAnsi="Times New Roman"/>
                <w:bCs/>
              </w:rPr>
              <w:t>2</w:t>
            </w:r>
            <w:r>
              <w:rPr>
                <w:rFonts w:ascii="Times New Roman" w:hAnsi="Times New Roman"/>
                <w:bCs/>
              </w:rPr>
              <w:t>500</w:t>
            </w:r>
          </w:p>
        </w:tc>
        <w:tc>
          <w:tcPr>
            <w:tcW w:w="1517" w:type="dxa"/>
            <w:vAlign w:val="center"/>
          </w:tcPr>
          <w:p>
            <w:pPr>
              <w:spacing w:line="280" w:lineRule="exact"/>
              <w:jc w:val="center"/>
              <w:rPr>
                <w:rFonts w:ascii="Times New Roman" w:hAnsi="Times New Roman"/>
                <w:bCs/>
              </w:rPr>
            </w:pPr>
            <w:r>
              <w:rPr>
                <w:rFonts w:hint="eastAsia" w:ascii="Times New Roman" w:hAnsi="Times New Roman"/>
                <w:bCs/>
              </w:rPr>
              <w:t>0</w:t>
            </w:r>
            <w:r>
              <w:rPr>
                <w:rFonts w:ascii="Times New Roman" w:hAnsi="Times New Roman"/>
                <w:bCs/>
              </w:rPr>
              <w:t>.00000384</w:t>
            </w:r>
          </w:p>
        </w:tc>
      </w:tr>
    </w:tbl>
    <w:p>
      <w:pPr>
        <w:spacing w:line="480" w:lineRule="exact"/>
        <w:ind w:firstLine="480" w:firstLineChars="200"/>
        <w:rPr>
          <w:rFonts w:ascii="Times New Roman" w:hAnsi="Times New Roman"/>
          <w:sz w:val="24"/>
        </w:rPr>
      </w:pPr>
      <w:r>
        <w:rPr>
          <w:rFonts w:ascii="Times New Roman" w:hAnsi="Times New Roman"/>
          <w:sz w:val="24"/>
        </w:rPr>
        <w:t>通过上述分析可知，本项目Q=0.060＜1，因此本项目环境风险潜势划分为Ⅰ级。</w:t>
      </w:r>
    </w:p>
    <w:p>
      <w:pPr>
        <w:widowControl/>
        <w:spacing w:line="480" w:lineRule="exact"/>
        <w:outlineLvl w:val="3"/>
        <w:rPr>
          <w:rFonts w:ascii="Times New Roman" w:hAnsi="Times New Roman" w:eastAsia="黑体"/>
          <w:sz w:val="24"/>
        </w:rPr>
      </w:pPr>
      <w:r>
        <w:rPr>
          <w:rFonts w:ascii="Times New Roman" w:hAnsi="Times New Roman" w:eastAsia="黑体"/>
          <w:sz w:val="24"/>
        </w:rPr>
        <w:t>2.4.1.7.生态环境</w:t>
      </w:r>
    </w:p>
    <w:p>
      <w:pPr>
        <w:pStyle w:val="244"/>
        <w:spacing w:line="480" w:lineRule="exact"/>
        <w:rPr>
          <w:color w:val="auto"/>
          <w:kern w:val="0"/>
          <w:szCs w:val="21"/>
        </w:rPr>
      </w:pPr>
      <w:r>
        <w:rPr>
          <w:color w:val="auto"/>
          <w:kern w:val="0"/>
          <w:szCs w:val="21"/>
        </w:rPr>
        <w:t>根据《环境影响评价技术导则 生态影响》（HJ19-2022）</w:t>
      </w:r>
      <w:r>
        <w:rPr>
          <w:rFonts w:hint="eastAsia"/>
          <w:color w:val="auto"/>
          <w:kern w:val="0"/>
          <w:szCs w:val="21"/>
        </w:rPr>
        <w:t>中的</w:t>
      </w:r>
      <w:r>
        <w:rPr>
          <w:color w:val="auto"/>
          <w:kern w:val="0"/>
          <w:szCs w:val="21"/>
        </w:rPr>
        <w:t>6.1.8</w:t>
      </w:r>
      <w:r>
        <w:rPr>
          <w:rFonts w:hint="eastAsia"/>
          <w:color w:val="auto"/>
          <w:kern w:val="0"/>
          <w:szCs w:val="21"/>
        </w:rPr>
        <w:t>，“符合生态环境分区管控要求且位于原厂界（或永久用地）范围内的污染影响类改扩建项目，位于已批准规划环评的产业园区内且符合规划环评要求、不涉及生态敏感区的污染影响类建设项目，可不确定评价等级，直接进行生态影响简单分析”本项目符合生态环境分区管控要求且为位于原厂界内的污染影响类改扩建项目，位于双鸭山市环境卫生专项规划规划区域内，且符合规划环评要求，不涉及生态敏感区，所以本项目只进行生态影响简单分析。</w:t>
      </w:r>
    </w:p>
    <w:bookmarkEnd w:id="310"/>
    <w:bookmarkEnd w:id="311"/>
    <w:bookmarkEnd w:id="390"/>
    <w:bookmarkEnd w:id="391"/>
    <w:bookmarkEnd w:id="392"/>
    <w:bookmarkEnd w:id="393"/>
    <w:bookmarkEnd w:id="394"/>
    <w:bookmarkEnd w:id="395"/>
    <w:bookmarkEnd w:id="396"/>
    <w:p>
      <w:pPr>
        <w:pStyle w:val="4"/>
        <w:spacing w:before="120" w:beforeLines="50" w:after="120" w:afterLines="50" w:line="480" w:lineRule="exact"/>
        <w:ind w:left="17"/>
        <w:rPr>
          <w:rFonts w:ascii="Times New Roman" w:hAnsi="Times New Roman" w:eastAsia="黑体"/>
          <w:bCs/>
          <w:sz w:val="28"/>
          <w:szCs w:val="28"/>
        </w:rPr>
      </w:pPr>
      <w:bookmarkStart w:id="397" w:name="_Toc7005"/>
      <w:bookmarkStart w:id="398" w:name="_Toc534537593"/>
      <w:bookmarkStart w:id="399" w:name="_Toc487111475"/>
      <w:bookmarkStart w:id="400" w:name="_Toc535348432"/>
      <w:bookmarkStart w:id="401" w:name="_Toc9843785"/>
      <w:bookmarkStart w:id="402" w:name="_Toc27134274"/>
      <w:bookmarkStart w:id="403" w:name="_Toc15596"/>
      <w:bookmarkStart w:id="404" w:name="_Toc527205705"/>
      <w:bookmarkStart w:id="405" w:name="_Toc532556578"/>
      <w:bookmarkStart w:id="406" w:name="_Toc26187998"/>
      <w:bookmarkStart w:id="407" w:name="_Toc14766"/>
      <w:bookmarkStart w:id="408" w:name="_Toc530655938"/>
      <w:bookmarkStart w:id="409" w:name="_Toc13575"/>
      <w:bookmarkStart w:id="410" w:name="_Toc535168878"/>
      <w:bookmarkStart w:id="411" w:name="_Toc497228803"/>
      <w:bookmarkStart w:id="412" w:name="_Toc7613"/>
      <w:bookmarkStart w:id="413" w:name="_Toc534537597"/>
      <w:bookmarkStart w:id="414" w:name="_Toc291021132"/>
      <w:r>
        <w:rPr>
          <w:rFonts w:ascii="Times New Roman" w:hAnsi="Times New Roman" w:eastAsia="黑体"/>
          <w:bCs/>
          <w:sz w:val="28"/>
          <w:szCs w:val="28"/>
        </w:rPr>
        <w:t>评价范围</w:t>
      </w:r>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p>
    <w:p>
      <w:pPr>
        <w:spacing w:line="480" w:lineRule="exact"/>
        <w:ind w:firstLine="480" w:firstLineChars="200"/>
        <w:rPr>
          <w:rFonts w:ascii="Times New Roman" w:hAnsi="Times New Roman"/>
          <w:sz w:val="24"/>
          <w:szCs w:val="24"/>
        </w:rPr>
      </w:pPr>
      <w:r>
        <w:rPr>
          <w:rFonts w:ascii="Times New Roman" w:hAnsi="Times New Roman"/>
          <w:sz w:val="24"/>
          <w:szCs w:val="24"/>
        </w:rPr>
        <w:t>根据当地气象、水文地质条件，结合项目建设特点、污染物排放情况及评价工作等级的要求，确定本次评价的范围见表2.4-17。</w:t>
      </w:r>
    </w:p>
    <w:p>
      <w:pPr>
        <w:spacing w:line="480" w:lineRule="exact"/>
        <w:jc w:val="center"/>
        <w:rPr>
          <w:rFonts w:ascii="Times New Roman" w:hAnsi="Times New Roman"/>
          <w:b/>
        </w:rPr>
      </w:pPr>
      <w:r>
        <w:rPr>
          <w:rFonts w:ascii="Times New Roman" w:hAnsi="Times New Roman"/>
          <w:b/>
        </w:rPr>
        <w:t>表2.4-17 项目评价范围一览表</w:t>
      </w:r>
    </w:p>
    <w:tbl>
      <w:tblPr>
        <w:tblStyle w:val="7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87"/>
        <w:gridCol w:w="1704"/>
        <w:gridCol w:w="543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84" w:type="dxa"/>
            <w:vAlign w:val="center"/>
          </w:tcPr>
          <w:p>
            <w:pPr>
              <w:spacing w:line="280" w:lineRule="exact"/>
              <w:jc w:val="center"/>
              <w:rPr>
                <w:rFonts w:ascii="Times New Roman" w:hAnsi="Times New Roman"/>
                <w:b/>
              </w:rPr>
            </w:pPr>
            <w:r>
              <w:rPr>
                <w:rFonts w:ascii="Times New Roman" w:hAnsi="Times New Roman"/>
                <w:b/>
              </w:rPr>
              <w:t>评价内容</w:t>
            </w:r>
          </w:p>
        </w:tc>
        <w:tc>
          <w:tcPr>
            <w:tcW w:w="1701" w:type="dxa"/>
            <w:vAlign w:val="center"/>
          </w:tcPr>
          <w:p>
            <w:pPr>
              <w:spacing w:line="280" w:lineRule="exact"/>
              <w:jc w:val="center"/>
              <w:rPr>
                <w:rFonts w:ascii="Times New Roman" w:hAnsi="Times New Roman"/>
                <w:b/>
              </w:rPr>
            </w:pPr>
            <w:r>
              <w:rPr>
                <w:rFonts w:ascii="Times New Roman" w:hAnsi="Times New Roman"/>
                <w:b/>
              </w:rPr>
              <w:t>评价工作等级</w:t>
            </w:r>
          </w:p>
        </w:tc>
        <w:tc>
          <w:tcPr>
            <w:tcW w:w="5443" w:type="dxa"/>
            <w:vAlign w:val="center"/>
          </w:tcPr>
          <w:p>
            <w:pPr>
              <w:spacing w:line="280" w:lineRule="exact"/>
              <w:jc w:val="center"/>
              <w:rPr>
                <w:rFonts w:ascii="Times New Roman" w:hAnsi="Times New Roman"/>
                <w:b/>
              </w:rPr>
            </w:pPr>
            <w:r>
              <w:rPr>
                <w:rFonts w:ascii="Times New Roman" w:hAnsi="Times New Roman"/>
                <w:b/>
              </w:rPr>
              <w:t>评价范围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384" w:type="dxa"/>
            <w:vAlign w:val="center"/>
          </w:tcPr>
          <w:p>
            <w:pPr>
              <w:spacing w:line="280" w:lineRule="exact"/>
              <w:jc w:val="center"/>
              <w:rPr>
                <w:rFonts w:ascii="Times New Roman" w:hAnsi="Times New Roman"/>
              </w:rPr>
            </w:pPr>
            <w:r>
              <w:rPr>
                <w:rFonts w:ascii="Times New Roman" w:hAnsi="Times New Roman"/>
              </w:rPr>
              <w:t>环境空气</w:t>
            </w:r>
          </w:p>
        </w:tc>
        <w:tc>
          <w:tcPr>
            <w:tcW w:w="1701" w:type="dxa"/>
            <w:vAlign w:val="center"/>
          </w:tcPr>
          <w:p>
            <w:pPr>
              <w:spacing w:line="280" w:lineRule="exact"/>
              <w:jc w:val="center"/>
              <w:rPr>
                <w:rFonts w:ascii="Times New Roman" w:hAnsi="Times New Roman"/>
              </w:rPr>
            </w:pPr>
            <w:r>
              <w:rPr>
                <w:rFonts w:ascii="Times New Roman" w:hAnsi="Times New Roman"/>
              </w:rPr>
              <w:t>二级</w:t>
            </w:r>
          </w:p>
        </w:tc>
        <w:tc>
          <w:tcPr>
            <w:tcW w:w="5443" w:type="dxa"/>
            <w:vAlign w:val="center"/>
          </w:tcPr>
          <w:p>
            <w:pPr>
              <w:spacing w:line="280" w:lineRule="exact"/>
              <w:rPr>
                <w:rFonts w:ascii="Times New Roman" w:hAnsi="Times New Roman"/>
              </w:rPr>
            </w:pPr>
            <w:r>
              <w:rPr>
                <w:rFonts w:ascii="Times New Roman" w:hAnsi="Times New Roman"/>
              </w:rPr>
              <w:t>以项目厂址为中心，边长为5km的矩形，评价范围为25km</w:t>
            </w:r>
            <w:r>
              <w:rPr>
                <w:rFonts w:ascii="Times New Roman" w:hAnsi="Times New Roman"/>
                <w:vertAlign w:val="superscript"/>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384" w:type="dxa"/>
            <w:vAlign w:val="center"/>
          </w:tcPr>
          <w:p>
            <w:pPr>
              <w:spacing w:line="280" w:lineRule="exact"/>
              <w:jc w:val="center"/>
              <w:rPr>
                <w:rFonts w:ascii="Times New Roman" w:hAnsi="Times New Roman"/>
              </w:rPr>
            </w:pPr>
            <w:r>
              <w:rPr>
                <w:rFonts w:ascii="Times New Roman" w:hAnsi="Times New Roman"/>
              </w:rPr>
              <w:t>地表水环境</w:t>
            </w:r>
          </w:p>
        </w:tc>
        <w:tc>
          <w:tcPr>
            <w:tcW w:w="1701" w:type="dxa"/>
            <w:vAlign w:val="center"/>
          </w:tcPr>
          <w:p>
            <w:pPr>
              <w:spacing w:line="280" w:lineRule="exact"/>
              <w:jc w:val="center"/>
              <w:rPr>
                <w:rFonts w:ascii="Times New Roman" w:hAnsi="Times New Roman"/>
              </w:rPr>
            </w:pPr>
            <w:r>
              <w:rPr>
                <w:rFonts w:ascii="Times New Roman" w:hAnsi="Times New Roman"/>
              </w:rPr>
              <w:t>三级B</w:t>
            </w:r>
          </w:p>
        </w:tc>
        <w:tc>
          <w:tcPr>
            <w:tcW w:w="5443" w:type="dxa"/>
            <w:vAlign w:val="center"/>
          </w:tcPr>
          <w:p>
            <w:pPr>
              <w:spacing w:line="280" w:lineRule="exact"/>
              <w:jc w:val="center"/>
              <w:rPr>
                <w:rFonts w:ascii="Times New Roman" w:hAnsi="Times New Roman"/>
              </w:rPr>
            </w:pPr>
            <w:r>
              <w:rPr>
                <w:rFonts w:ascii="Times New Roman" w:hAnsi="Times New Roma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84" w:type="dxa"/>
            <w:vAlign w:val="center"/>
          </w:tcPr>
          <w:p>
            <w:pPr>
              <w:spacing w:line="280" w:lineRule="exact"/>
              <w:jc w:val="center"/>
              <w:rPr>
                <w:rFonts w:ascii="Times New Roman" w:hAnsi="Times New Roman"/>
              </w:rPr>
            </w:pPr>
            <w:r>
              <w:rPr>
                <w:rFonts w:ascii="Times New Roman" w:hAnsi="Times New Roman"/>
              </w:rPr>
              <w:t>地下水环境</w:t>
            </w:r>
          </w:p>
        </w:tc>
        <w:tc>
          <w:tcPr>
            <w:tcW w:w="1701" w:type="dxa"/>
            <w:vAlign w:val="center"/>
          </w:tcPr>
          <w:p>
            <w:pPr>
              <w:spacing w:line="280" w:lineRule="exact"/>
              <w:jc w:val="center"/>
              <w:rPr>
                <w:rFonts w:ascii="Times New Roman" w:hAnsi="Times New Roman"/>
              </w:rPr>
            </w:pPr>
            <w:r>
              <w:rPr>
                <w:rFonts w:ascii="Times New Roman" w:hAnsi="Times New Roman"/>
              </w:rPr>
              <w:t>二级</w:t>
            </w:r>
          </w:p>
        </w:tc>
        <w:tc>
          <w:tcPr>
            <w:tcW w:w="5443" w:type="dxa"/>
            <w:vAlign w:val="center"/>
          </w:tcPr>
          <w:p>
            <w:pPr>
              <w:widowControl/>
              <w:spacing w:line="280" w:lineRule="exact"/>
              <w:rPr>
                <w:rFonts w:ascii="Times New Roman" w:hAnsi="Times New Roman"/>
              </w:rPr>
            </w:pPr>
            <w:r>
              <w:rPr>
                <w:rFonts w:ascii="Times New Roman" w:hAnsi="Times New Roman"/>
              </w:rPr>
              <w:t>根据区域资料及现场调查， 拟建项目场地位于丘陵山区， 水文地质界限明显， 因此本次地下水环境影响评价范围采用自定义法进行确定为： 项目南侧、 西侧及东侧以地表水分水岭为界； 考虑包含红星五队地下水环境保护目标， 北侧以距离拟建项目 1.8km 的直线为界。 根据测算， 本次评价范围面积为 6.32km</w:t>
            </w:r>
            <w:r>
              <w:rPr>
                <w:rFonts w:ascii="Times New Roman" w:hAnsi="Times New Roman"/>
                <w:vertAlign w:val="superscript"/>
              </w:rPr>
              <w:t>2</w:t>
            </w:r>
            <w:r>
              <w:rPr>
                <w:rFonts w:ascii="Times New Roman" w:hAnsi="Times New Roma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84" w:type="dxa"/>
            <w:vAlign w:val="center"/>
          </w:tcPr>
          <w:p>
            <w:pPr>
              <w:spacing w:line="280" w:lineRule="exact"/>
              <w:jc w:val="center"/>
              <w:rPr>
                <w:rFonts w:ascii="Times New Roman" w:hAnsi="Times New Roman"/>
              </w:rPr>
            </w:pPr>
            <w:r>
              <w:rPr>
                <w:rFonts w:ascii="Times New Roman" w:hAnsi="Times New Roman"/>
              </w:rPr>
              <w:t>声环境</w:t>
            </w:r>
          </w:p>
        </w:tc>
        <w:tc>
          <w:tcPr>
            <w:tcW w:w="1701" w:type="dxa"/>
            <w:vAlign w:val="center"/>
          </w:tcPr>
          <w:p>
            <w:pPr>
              <w:widowControl/>
              <w:spacing w:line="280" w:lineRule="exact"/>
              <w:jc w:val="center"/>
              <w:rPr>
                <w:rFonts w:ascii="Times New Roman" w:hAnsi="Times New Roman"/>
              </w:rPr>
            </w:pPr>
            <w:r>
              <w:rPr>
                <w:rFonts w:hint="eastAsia" w:ascii="Times New Roman" w:hAnsi="Times New Roman"/>
              </w:rPr>
              <w:t>二级</w:t>
            </w:r>
          </w:p>
        </w:tc>
        <w:tc>
          <w:tcPr>
            <w:tcW w:w="5443" w:type="dxa"/>
            <w:vAlign w:val="center"/>
          </w:tcPr>
          <w:p>
            <w:pPr>
              <w:widowControl/>
              <w:spacing w:line="280" w:lineRule="exact"/>
              <w:jc w:val="center"/>
              <w:rPr>
                <w:rFonts w:ascii="Times New Roman" w:hAnsi="Times New Roman"/>
              </w:rPr>
            </w:pPr>
            <w:r>
              <w:rPr>
                <w:rFonts w:ascii="Times New Roman" w:hAnsi="Times New Roman"/>
              </w:rPr>
              <w:t>厂界外延200m范围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84" w:type="dxa"/>
            <w:vAlign w:val="center"/>
          </w:tcPr>
          <w:p>
            <w:pPr>
              <w:spacing w:line="280" w:lineRule="exact"/>
              <w:jc w:val="center"/>
              <w:rPr>
                <w:rFonts w:ascii="Times New Roman" w:hAnsi="Times New Roman"/>
              </w:rPr>
            </w:pPr>
            <w:r>
              <w:rPr>
                <w:rFonts w:ascii="Times New Roman" w:hAnsi="Times New Roman"/>
              </w:rPr>
              <w:t>土壤环境</w:t>
            </w:r>
          </w:p>
        </w:tc>
        <w:tc>
          <w:tcPr>
            <w:tcW w:w="1701" w:type="dxa"/>
            <w:vAlign w:val="center"/>
          </w:tcPr>
          <w:p>
            <w:pPr>
              <w:widowControl/>
              <w:spacing w:line="280" w:lineRule="exact"/>
              <w:jc w:val="center"/>
              <w:rPr>
                <w:rFonts w:ascii="Times New Roman" w:hAnsi="Times New Roman"/>
              </w:rPr>
            </w:pPr>
            <w:r>
              <w:rPr>
                <w:rFonts w:ascii="Times New Roman" w:hAnsi="Times New Roman"/>
              </w:rPr>
              <w:t>二级</w:t>
            </w:r>
          </w:p>
        </w:tc>
        <w:tc>
          <w:tcPr>
            <w:tcW w:w="5443" w:type="dxa"/>
            <w:vAlign w:val="center"/>
          </w:tcPr>
          <w:p>
            <w:pPr>
              <w:widowControl/>
              <w:spacing w:line="280" w:lineRule="exact"/>
              <w:jc w:val="center"/>
              <w:rPr>
                <w:rFonts w:ascii="Times New Roman" w:hAnsi="Times New Roman"/>
              </w:rPr>
            </w:pPr>
            <w:r>
              <w:rPr>
                <w:rFonts w:ascii="Times New Roman" w:hAnsi="Times New Roman"/>
              </w:rPr>
              <w:t>厂界外延200m范围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84" w:type="dxa"/>
            <w:vAlign w:val="center"/>
          </w:tcPr>
          <w:p>
            <w:pPr>
              <w:spacing w:line="280" w:lineRule="exact"/>
              <w:jc w:val="center"/>
              <w:rPr>
                <w:rFonts w:ascii="Times New Roman" w:hAnsi="Times New Roman"/>
              </w:rPr>
            </w:pPr>
            <w:r>
              <w:rPr>
                <w:rFonts w:ascii="Times New Roman" w:hAnsi="Times New Roman"/>
              </w:rPr>
              <w:t>生态环境</w:t>
            </w:r>
          </w:p>
        </w:tc>
        <w:tc>
          <w:tcPr>
            <w:tcW w:w="1701" w:type="dxa"/>
            <w:vAlign w:val="center"/>
          </w:tcPr>
          <w:p>
            <w:pPr>
              <w:widowControl/>
              <w:spacing w:line="280" w:lineRule="exact"/>
              <w:jc w:val="center"/>
              <w:rPr>
                <w:rFonts w:ascii="Times New Roman" w:hAnsi="Times New Roman"/>
              </w:rPr>
            </w:pPr>
            <w:r>
              <w:rPr>
                <w:rFonts w:hint="eastAsia" w:ascii="Times New Roman" w:hAnsi="Times New Roman"/>
              </w:rPr>
              <w:t>简单分析</w:t>
            </w:r>
          </w:p>
        </w:tc>
        <w:tc>
          <w:tcPr>
            <w:tcW w:w="5443" w:type="dxa"/>
            <w:vAlign w:val="center"/>
          </w:tcPr>
          <w:p>
            <w:pPr>
              <w:widowControl/>
              <w:spacing w:line="280" w:lineRule="exact"/>
              <w:jc w:val="center"/>
              <w:rPr>
                <w:rFonts w:ascii="Times New Roman" w:hAnsi="Times New Roman"/>
              </w:rPr>
            </w:pPr>
            <w:r>
              <w:rPr>
                <w:rFonts w:hint="eastAsi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84" w:type="dxa"/>
            <w:vAlign w:val="center"/>
          </w:tcPr>
          <w:p>
            <w:pPr>
              <w:spacing w:line="280" w:lineRule="exact"/>
              <w:jc w:val="center"/>
              <w:rPr>
                <w:rFonts w:ascii="Times New Roman" w:hAnsi="Times New Roman"/>
              </w:rPr>
            </w:pPr>
            <w:r>
              <w:rPr>
                <w:rFonts w:ascii="Times New Roman" w:hAnsi="Times New Roman"/>
              </w:rPr>
              <w:t>环境风险</w:t>
            </w:r>
          </w:p>
        </w:tc>
        <w:tc>
          <w:tcPr>
            <w:tcW w:w="1701" w:type="dxa"/>
            <w:vAlign w:val="center"/>
          </w:tcPr>
          <w:p>
            <w:pPr>
              <w:widowControl/>
              <w:spacing w:line="280" w:lineRule="exact"/>
              <w:jc w:val="center"/>
              <w:rPr>
                <w:rFonts w:ascii="Times New Roman" w:hAnsi="Times New Roman"/>
              </w:rPr>
            </w:pPr>
            <w:r>
              <w:rPr>
                <w:rFonts w:ascii="Times New Roman" w:hAnsi="Times New Roman"/>
              </w:rPr>
              <w:t>简要分析</w:t>
            </w:r>
          </w:p>
        </w:tc>
        <w:tc>
          <w:tcPr>
            <w:tcW w:w="5443" w:type="dxa"/>
            <w:vAlign w:val="center"/>
          </w:tcPr>
          <w:p>
            <w:pPr>
              <w:spacing w:line="280" w:lineRule="exact"/>
              <w:jc w:val="center"/>
              <w:rPr>
                <w:rFonts w:ascii="Times New Roman" w:hAnsi="Times New Roman"/>
              </w:rPr>
            </w:pPr>
            <w:r>
              <w:rPr>
                <w:rFonts w:hint="eastAsia" w:ascii="Times New Roman" w:hAnsi="Times New Roman"/>
              </w:rPr>
              <w:t>/</w:t>
            </w:r>
          </w:p>
        </w:tc>
      </w:tr>
    </w:tbl>
    <w:p>
      <w:pPr>
        <w:pStyle w:val="3"/>
        <w:spacing w:before="120" w:beforeLines="50" w:after="120" w:afterLines="50" w:line="480" w:lineRule="exact"/>
        <w:ind w:left="-11"/>
        <w:rPr>
          <w:rFonts w:ascii="Times New Roman" w:hAnsi="Times New Roman" w:eastAsia="黑体"/>
          <w:sz w:val="30"/>
          <w:szCs w:val="30"/>
        </w:rPr>
      </w:pPr>
      <w:bookmarkStart w:id="415" w:name="_Toc116379700"/>
      <w:r>
        <w:rPr>
          <w:rFonts w:ascii="Times New Roman" w:hAnsi="Times New Roman" w:eastAsia="黑体"/>
          <w:sz w:val="30"/>
          <w:szCs w:val="30"/>
        </w:rPr>
        <w:t>环境功能区划</w:t>
      </w:r>
      <w:bookmarkEnd w:id="413"/>
      <w:bookmarkEnd w:id="415"/>
    </w:p>
    <w:p>
      <w:pPr>
        <w:pStyle w:val="155"/>
        <w:spacing w:line="480" w:lineRule="exact"/>
        <w:ind w:firstLine="480"/>
      </w:pPr>
      <w:r>
        <w:t>本项目评价区环境质量功能区划见表2.5-1。</w:t>
      </w:r>
    </w:p>
    <w:p>
      <w:pPr>
        <w:spacing w:line="480" w:lineRule="exact"/>
        <w:jc w:val="center"/>
        <w:rPr>
          <w:rFonts w:ascii="Times New Roman" w:hAnsi="Times New Roman"/>
          <w:b/>
        </w:rPr>
      </w:pPr>
      <w:r>
        <w:rPr>
          <w:rFonts w:ascii="Times New Roman" w:hAnsi="Times New Roman"/>
          <w:b/>
        </w:rPr>
        <w:t>表2.5-1 环境功能区划一览表</w:t>
      </w:r>
    </w:p>
    <w:tbl>
      <w:tblPr>
        <w:tblStyle w:val="77"/>
        <w:tblW w:w="5000"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704"/>
        <w:gridCol w:w="1134"/>
        <w:gridCol w:w="1559"/>
        <w:gridCol w:w="1276"/>
        <w:gridCol w:w="363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704" w:type="dxa"/>
            <w:shd w:val="clear" w:color="auto" w:fill="FFFFFF"/>
            <w:vAlign w:val="center"/>
          </w:tcPr>
          <w:p>
            <w:pPr>
              <w:spacing w:line="280" w:lineRule="exact"/>
              <w:jc w:val="center"/>
              <w:rPr>
                <w:rFonts w:ascii="Times New Roman" w:hAnsi="Times New Roman"/>
                <w:b/>
                <w:kern w:val="2"/>
              </w:rPr>
            </w:pPr>
            <w:r>
              <w:rPr>
                <w:rFonts w:ascii="Times New Roman" w:hAnsi="Times New Roman"/>
                <w:b/>
                <w:kern w:val="2"/>
              </w:rPr>
              <w:t>序号</w:t>
            </w:r>
          </w:p>
        </w:tc>
        <w:tc>
          <w:tcPr>
            <w:tcW w:w="1134" w:type="dxa"/>
            <w:shd w:val="clear" w:color="auto" w:fill="FFFFFF"/>
            <w:vAlign w:val="center"/>
          </w:tcPr>
          <w:p>
            <w:pPr>
              <w:spacing w:line="280" w:lineRule="exact"/>
              <w:jc w:val="center"/>
              <w:rPr>
                <w:rFonts w:ascii="Times New Roman" w:hAnsi="Times New Roman"/>
                <w:b/>
                <w:kern w:val="2"/>
              </w:rPr>
            </w:pPr>
            <w:r>
              <w:rPr>
                <w:rFonts w:ascii="Times New Roman" w:hAnsi="Times New Roman"/>
                <w:b/>
                <w:kern w:val="2"/>
              </w:rPr>
              <w:t>环境要素</w:t>
            </w:r>
          </w:p>
        </w:tc>
        <w:tc>
          <w:tcPr>
            <w:tcW w:w="1559" w:type="dxa"/>
            <w:shd w:val="clear" w:color="auto" w:fill="FFFFFF"/>
            <w:vAlign w:val="center"/>
          </w:tcPr>
          <w:p>
            <w:pPr>
              <w:spacing w:line="280" w:lineRule="exact"/>
              <w:jc w:val="center"/>
              <w:rPr>
                <w:rFonts w:ascii="Times New Roman" w:hAnsi="Times New Roman"/>
                <w:b/>
                <w:kern w:val="2"/>
              </w:rPr>
            </w:pPr>
            <w:r>
              <w:rPr>
                <w:rFonts w:ascii="Times New Roman" w:hAnsi="Times New Roman"/>
                <w:b/>
                <w:kern w:val="2"/>
              </w:rPr>
              <w:t>所属区域</w:t>
            </w:r>
          </w:p>
        </w:tc>
        <w:tc>
          <w:tcPr>
            <w:tcW w:w="1276" w:type="dxa"/>
            <w:shd w:val="clear" w:color="auto" w:fill="FFFFFF"/>
            <w:vAlign w:val="center"/>
          </w:tcPr>
          <w:p>
            <w:pPr>
              <w:spacing w:line="280" w:lineRule="exact"/>
              <w:jc w:val="center"/>
              <w:rPr>
                <w:rFonts w:ascii="Times New Roman" w:hAnsi="Times New Roman"/>
                <w:b/>
                <w:kern w:val="2"/>
              </w:rPr>
            </w:pPr>
            <w:r>
              <w:rPr>
                <w:rFonts w:ascii="Times New Roman" w:hAnsi="Times New Roman"/>
                <w:b/>
                <w:kern w:val="2"/>
              </w:rPr>
              <w:t>功能区划</w:t>
            </w:r>
          </w:p>
        </w:tc>
        <w:tc>
          <w:tcPr>
            <w:tcW w:w="3639" w:type="dxa"/>
            <w:shd w:val="clear" w:color="auto" w:fill="FFFFFF"/>
            <w:vAlign w:val="center"/>
          </w:tcPr>
          <w:p>
            <w:pPr>
              <w:spacing w:line="280" w:lineRule="exact"/>
              <w:jc w:val="center"/>
              <w:rPr>
                <w:rFonts w:ascii="Times New Roman" w:hAnsi="Times New Roman"/>
                <w:b/>
                <w:kern w:val="2"/>
              </w:rPr>
            </w:pPr>
            <w:r>
              <w:rPr>
                <w:rFonts w:ascii="Times New Roman" w:hAnsi="Times New Roman"/>
                <w:b/>
                <w:kern w:val="2"/>
              </w:rPr>
              <w:t>划分依据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704" w:type="dxa"/>
            <w:shd w:val="clear" w:color="auto" w:fill="FFFFFF"/>
            <w:vAlign w:val="center"/>
          </w:tcPr>
          <w:p>
            <w:pPr>
              <w:spacing w:line="280" w:lineRule="exact"/>
              <w:jc w:val="center"/>
              <w:rPr>
                <w:rFonts w:ascii="Times New Roman" w:hAnsi="Times New Roman"/>
                <w:kern w:val="2"/>
              </w:rPr>
            </w:pPr>
            <w:r>
              <w:rPr>
                <w:rFonts w:ascii="Times New Roman" w:hAnsi="Times New Roman"/>
                <w:kern w:val="2"/>
              </w:rPr>
              <w:t>1</w:t>
            </w:r>
          </w:p>
        </w:tc>
        <w:tc>
          <w:tcPr>
            <w:tcW w:w="1134" w:type="dxa"/>
            <w:shd w:val="clear" w:color="auto" w:fill="FFFFFF"/>
            <w:vAlign w:val="center"/>
          </w:tcPr>
          <w:p>
            <w:pPr>
              <w:spacing w:line="280" w:lineRule="exact"/>
              <w:jc w:val="center"/>
              <w:rPr>
                <w:rFonts w:ascii="Times New Roman" w:hAnsi="Times New Roman"/>
                <w:kern w:val="2"/>
              </w:rPr>
            </w:pPr>
            <w:r>
              <w:rPr>
                <w:rFonts w:ascii="Times New Roman" w:hAnsi="Times New Roman"/>
                <w:kern w:val="2"/>
              </w:rPr>
              <w:t>环境空气</w:t>
            </w:r>
          </w:p>
        </w:tc>
        <w:tc>
          <w:tcPr>
            <w:tcW w:w="1559" w:type="dxa"/>
            <w:shd w:val="clear" w:color="auto" w:fill="FFFFFF"/>
            <w:vAlign w:val="center"/>
          </w:tcPr>
          <w:p>
            <w:pPr>
              <w:spacing w:line="280" w:lineRule="exact"/>
              <w:jc w:val="center"/>
              <w:rPr>
                <w:rFonts w:ascii="Times New Roman" w:hAnsi="Times New Roman"/>
                <w:kern w:val="2"/>
              </w:rPr>
            </w:pPr>
            <w:r>
              <w:rPr>
                <w:rFonts w:ascii="Times New Roman" w:hAnsi="Times New Roman"/>
                <w:kern w:val="2"/>
              </w:rPr>
              <w:t>双鸭山市四方台区</w:t>
            </w:r>
          </w:p>
        </w:tc>
        <w:tc>
          <w:tcPr>
            <w:tcW w:w="1276" w:type="dxa"/>
            <w:shd w:val="clear" w:color="auto" w:fill="FFFFFF"/>
            <w:vAlign w:val="center"/>
          </w:tcPr>
          <w:p>
            <w:pPr>
              <w:spacing w:line="280" w:lineRule="exact"/>
              <w:jc w:val="center"/>
              <w:rPr>
                <w:rFonts w:ascii="Times New Roman" w:hAnsi="Times New Roman"/>
                <w:kern w:val="2"/>
              </w:rPr>
            </w:pPr>
            <w:r>
              <w:rPr>
                <w:rFonts w:ascii="Times New Roman" w:hAnsi="Times New Roman"/>
                <w:kern w:val="2"/>
              </w:rPr>
              <w:t>二类区</w:t>
            </w:r>
          </w:p>
        </w:tc>
        <w:tc>
          <w:tcPr>
            <w:tcW w:w="3639" w:type="dxa"/>
            <w:shd w:val="clear" w:color="auto" w:fill="FFFFFF"/>
            <w:vAlign w:val="center"/>
          </w:tcPr>
          <w:p>
            <w:pPr>
              <w:spacing w:line="280" w:lineRule="exact"/>
              <w:rPr>
                <w:rFonts w:ascii="Times New Roman" w:hAnsi="Times New Roman"/>
                <w:kern w:val="2"/>
              </w:rPr>
            </w:pPr>
            <w:r>
              <w:rPr>
                <w:rFonts w:ascii="Times New Roman" w:hAnsi="Times New Roman"/>
                <w:kern w:val="2"/>
              </w:rPr>
              <w:t>《环境空气质量标准》（GB3095-2012）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704" w:type="dxa"/>
            <w:shd w:val="clear" w:color="auto" w:fill="FFFFFF"/>
            <w:vAlign w:val="center"/>
          </w:tcPr>
          <w:p>
            <w:pPr>
              <w:spacing w:line="280" w:lineRule="exact"/>
              <w:jc w:val="center"/>
              <w:rPr>
                <w:rFonts w:ascii="Times New Roman" w:hAnsi="Times New Roman"/>
                <w:kern w:val="2"/>
              </w:rPr>
            </w:pPr>
            <w:r>
              <w:rPr>
                <w:rFonts w:ascii="Times New Roman" w:hAnsi="Times New Roman"/>
                <w:kern w:val="2"/>
              </w:rPr>
              <w:t>2</w:t>
            </w:r>
          </w:p>
        </w:tc>
        <w:tc>
          <w:tcPr>
            <w:tcW w:w="1134" w:type="dxa"/>
            <w:shd w:val="clear" w:color="auto" w:fill="FFFFFF"/>
            <w:vAlign w:val="center"/>
          </w:tcPr>
          <w:p>
            <w:pPr>
              <w:spacing w:line="280" w:lineRule="exact"/>
              <w:jc w:val="center"/>
              <w:rPr>
                <w:rFonts w:ascii="Times New Roman" w:hAnsi="Times New Roman"/>
                <w:kern w:val="2"/>
              </w:rPr>
            </w:pPr>
            <w:r>
              <w:rPr>
                <w:rFonts w:ascii="Times New Roman" w:hAnsi="Times New Roman"/>
                <w:kern w:val="2"/>
              </w:rPr>
              <w:t>地表水</w:t>
            </w:r>
          </w:p>
        </w:tc>
        <w:tc>
          <w:tcPr>
            <w:tcW w:w="1559" w:type="dxa"/>
            <w:shd w:val="clear" w:color="auto" w:fill="FFFFFF"/>
            <w:vAlign w:val="center"/>
          </w:tcPr>
          <w:p>
            <w:pPr>
              <w:spacing w:line="280" w:lineRule="exact"/>
              <w:jc w:val="center"/>
              <w:rPr>
                <w:rFonts w:ascii="Times New Roman" w:hAnsi="Times New Roman"/>
                <w:kern w:val="2"/>
              </w:rPr>
            </w:pPr>
            <w:r>
              <w:rPr>
                <w:rFonts w:ascii="Times New Roman" w:hAnsi="Times New Roman"/>
                <w:kern w:val="2"/>
              </w:rPr>
              <w:t>扁石河</w:t>
            </w:r>
          </w:p>
        </w:tc>
        <w:tc>
          <w:tcPr>
            <w:tcW w:w="1276" w:type="dxa"/>
            <w:shd w:val="clear" w:color="auto" w:fill="FFFFFF"/>
            <w:vAlign w:val="center"/>
          </w:tcPr>
          <w:p>
            <w:pPr>
              <w:spacing w:line="280" w:lineRule="exact"/>
              <w:jc w:val="center"/>
              <w:rPr>
                <w:rFonts w:ascii="Times New Roman" w:hAnsi="Times New Roman"/>
                <w:kern w:val="2"/>
              </w:rPr>
            </w:pPr>
            <w:r>
              <w:rPr>
                <w:rFonts w:ascii="Times New Roman" w:hAnsi="Times New Roman"/>
                <w:kern w:val="2"/>
              </w:rPr>
              <w:t>III类</w:t>
            </w:r>
          </w:p>
        </w:tc>
        <w:tc>
          <w:tcPr>
            <w:tcW w:w="3639" w:type="dxa"/>
            <w:shd w:val="clear" w:color="auto" w:fill="FFFFFF"/>
            <w:vAlign w:val="center"/>
          </w:tcPr>
          <w:p>
            <w:pPr>
              <w:spacing w:line="280" w:lineRule="exact"/>
              <w:rPr>
                <w:rFonts w:ascii="Times New Roman" w:hAnsi="Times New Roman"/>
                <w:kern w:val="2"/>
              </w:rPr>
            </w:pPr>
            <w:r>
              <w:rPr>
                <w:rFonts w:ascii="Times New Roman" w:hAnsi="Times New Roman"/>
                <w:kern w:val="2"/>
              </w:rPr>
              <w:t>《地表水环境质量标准》（GB3838-2002）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704" w:type="dxa"/>
            <w:shd w:val="clear" w:color="auto" w:fill="FFFFFF"/>
            <w:vAlign w:val="center"/>
          </w:tcPr>
          <w:p>
            <w:pPr>
              <w:spacing w:line="280" w:lineRule="exact"/>
              <w:jc w:val="center"/>
              <w:rPr>
                <w:rFonts w:ascii="Times New Roman" w:hAnsi="Times New Roman"/>
                <w:kern w:val="2"/>
              </w:rPr>
            </w:pPr>
            <w:r>
              <w:rPr>
                <w:rFonts w:ascii="Times New Roman" w:hAnsi="Times New Roman"/>
                <w:kern w:val="2"/>
              </w:rPr>
              <w:t>2</w:t>
            </w:r>
          </w:p>
        </w:tc>
        <w:tc>
          <w:tcPr>
            <w:tcW w:w="1134" w:type="dxa"/>
            <w:shd w:val="clear" w:color="auto" w:fill="FFFFFF"/>
            <w:vAlign w:val="center"/>
          </w:tcPr>
          <w:p>
            <w:pPr>
              <w:spacing w:line="280" w:lineRule="exact"/>
              <w:jc w:val="center"/>
              <w:rPr>
                <w:rFonts w:ascii="Times New Roman" w:hAnsi="Times New Roman"/>
                <w:kern w:val="2"/>
              </w:rPr>
            </w:pPr>
            <w:r>
              <w:rPr>
                <w:rFonts w:ascii="Times New Roman" w:hAnsi="Times New Roman"/>
                <w:kern w:val="2"/>
              </w:rPr>
              <w:t>地下水</w:t>
            </w:r>
          </w:p>
        </w:tc>
        <w:tc>
          <w:tcPr>
            <w:tcW w:w="1559" w:type="dxa"/>
            <w:shd w:val="clear" w:color="auto" w:fill="FFFFFF"/>
            <w:vAlign w:val="center"/>
          </w:tcPr>
          <w:p>
            <w:pPr>
              <w:spacing w:line="280" w:lineRule="exact"/>
              <w:jc w:val="center"/>
              <w:rPr>
                <w:rFonts w:ascii="Times New Roman" w:hAnsi="Times New Roman"/>
                <w:kern w:val="2"/>
              </w:rPr>
            </w:pPr>
            <w:r>
              <w:rPr>
                <w:rFonts w:ascii="Times New Roman" w:hAnsi="Times New Roman"/>
                <w:kern w:val="2"/>
              </w:rPr>
              <w:t>III类</w:t>
            </w:r>
          </w:p>
        </w:tc>
        <w:tc>
          <w:tcPr>
            <w:tcW w:w="1276" w:type="dxa"/>
            <w:shd w:val="clear" w:color="auto" w:fill="FFFFFF"/>
            <w:vAlign w:val="center"/>
          </w:tcPr>
          <w:p>
            <w:pPr>
              <w:spacing w:line="280" w:lineRule="exact"/>
              <w:jc w:val="center"/>
              <w:rPr>
                <w:rFonts w:ascii="Times New Roman" w:hAnsi="Times New Roman"/>
                <w:kern w:val="2"/>
              </w:rPr>
            </w:pPr>
            <w:r>
              <w:rPr>
                <w:rFonts w:ascii="Times New Roman" w:hAnsi="Times New Roman"/>
                <w:kern w:val="2"/>
              </w:rPr>
              <w:t>III类</w:t>
            </w:r>
          </w:p>
        </w:tc>
        <w:tc>
          <w:tcPr>
            <w:tcW w:w="3639" w:type="dxa"/>
            <w:shd w:val="clear" w:color="auto" w:fill="FFFFFF"/>
            <w:vAlign w:val="center"/>
          </w:tcPr>
          <w:p>
            <w:pPr>
              <w:spacing w:line="280" w:lineRule="exact"/>
              <w:rPr>
                <w:rFonts w:ascii="Times New Roman" w:hAnsi="Times New Roman"/>
                <w:kern w:val="2"/>
              </w:rPr>
            </w:pPr>
            <w:r>
              <w:rPr>
                <w:rFonts w:ascii="Times New Roman" w:hAnsi="Times New Roman"/>
                <w:kern w:val="2"/>
              </w:rPr>
              <w:t>《地下水质量标准》（GB/T14848-2017）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40" w:hRule="atLeast"/>
        </w:trPr>
        <w:tc>
          <w:tcPr>
            <w:tcW w:w="704" w:type="dxa"/>
            <w:shd w:val="clear" w:color="auto" w:fill="FFFFFF"/>
            <w:vAlign w:val="center"/>
          </w:tcPr>
          <w:p>
            <w:pPr>
              <w:spacing w:line="280" w:lineRule="exact"/>
              <w:jc w:val="center"/>
              <w:rPr>
                <w:rFonts w:ascii="Times New Roman" w:hAnsi="Times New Roman"/>
                <w:kern w:val="2"/>
              </w:rPr>
            </w:pPr>
            <w:r>
              <w:rPr>
                <w:rFonts w:ascii="Times New Roman" w:hAnsi="Times New Roman"/>
                <w:kern w:val="2"/>
              </w:rPr>
              <w:t>3</w:t>
            </w:r>
          </w:p>
        </w:tc>
        <w:tc>
          <w:tcPr>
            <w:tcW w:w="1134" w:type="dxa"/>
            <w:shd w:val="clear" w:color="auto" w:fill="FFFFFF"/>
            <w:vAlign w:val="center"/>
          </w:tcPr>
          <w:p>
            <w:pPr>
              <w:spacing w:line="280" w:lineRule="exact"/>
              <w:jc w:val="center"/>
              <w:rPr>
                <w:rFonts w:ascii="Times New Roman" w:hAnsi="Times New Roman"/>
                <w:kern w:val="2"/>
              </w:rPr>
            </w:pPr>
            <w:r>
              <w:rPr>
                <w:rFonts w:ascii="Times New Roman" w:hAnsi="Times New Roman"/>
                <w:kern w:val="2"/>
              </w:rPr>
              <w:t>声环境</w:t>
            </w:r>
          </w:p>
        </w:tc>
        <w:tc>
          <w:tcPr>
            <w:tcW w:w="1559" w:type="dxa"/>
            <w:shd w:val="clear" w:color="auto" w:fill="FFFFFF"/>
            <w:vAlign w:val="center"/>
          </w:tcPr>
          <w:p>
            <w:pPr>
              <w:spacing w:line="280" w:lineRule="exact"/>
              <w:jc w:val="center"/>
              <w:rPr>
                <w:rFonts w:ascii="Times New Roman" w:hAnsi="Times New Roman"/>
                <w:kern w:val="2"/>
              </w:rPr>
            </w:pPr>
            <w:r>
              <w:rPr>
                <w:rFonts w:ascii="Times New Roman" w:hAnsi="Times New Roman"/>
                <w:kern w:val="2"/>
              </w:rPr>
              <w:t>2类区</w:t>
            </w:r>
          </w:p>
        </w:tc>
        <w:tc>
          <w:tcPr>
            <w:tcW w:w="1276" w:type="dxa"/>
            <w:shd w:val="clear" w:color="auto" w:fill="FFFFFF"/>
            <w:vAlign w:val="center"/>
          </w:tcPr>
          <w:p>
            <w:pPr>
              <w:spacing w:line="280" w:lineRule="exact"/>
              <w:jc w:val="center"/>
              <w:rPr>
                <w:rFonts w:ascii="Times New Roman" w:hAnsi="Times New Roman"/>
                <w:kern w:val="2"/>
              </w:rPr>
            </w:pPr>
            <w:r>
              <w:rPr>
                <w:rFonts w:ascii="Times New Roman" w:hAnsi="Times New Roman"/>
                <w:kern w:val="2"/>
              </w:rPr>
              <w:t>2类</w:t>
            </w:r>
          </w:p>
        </w:tc>
        <w:tc>
          <w:tcPr>
            <w:tcW w:w="3639" w:type="dxa"/>
            <w:shd w:val="clear" w:color="auto" w:fill="FFFFFF"/>
            <w:vAlign w:val="center"/>
          </w:tcPr>
          <w:p>
            <w:pPr>
              <w:spacing w:line="280" w:lineRule="exact"/>
              <w:jc w:val="center"/>
              <w:rPr>
                <w:rFonts w:ascii="Times New Roman" w:hAnsi="Times New Roman"/>
                <w:kern w:val="2"/>
              </w:rPr>
            </w:pPr>
            <w:r>
              <w:rPr>
                <w:rFonts w:ascii="Times New Roman" w:hAnsi="Times New Roman"/>
                <w:kern w:val="2"/>
              </w:rPr>
              <w:t>《声环境质量标准》（GB3096-2008）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704" w:type="dxa"/>
            <w:shd w:val="clear" w:color="auto" w:fill="FFFFFF"/>
            <w:vAlign w:val="center"/>
          </w:tcPr>
          <w:p>
            <w:pPr>
              <w:spacing w:line="280" w:lineRule="exact"/>
              <w:jc w:val="center"/>
              <w:rPr>
                <w:rFonts w:ascii="Times New Roman" w:hAnsi="Times New Roman"/>
                <w:kern w:val="2"/>
              </w:rPr>
            </w:pPr>
            <w:r>
              <w:rPr>
                <w:rFonts w:ascii="Times New Roman" w:hAnsi="Times New Roman"/>
                <w:kern w:val="2"/>
              </w:rPr>
              <w:t>4</w:t>
            </w:r>
          </w:p>
        </w:tc>
        <w:tc>
          <w:tcPr>
            <w:tcW w:w="1134" w:type="dxa"/>
            <w:shd w:val="clear" w:color="auto" w:fill="FFFFFF"/>
            <w:vAlign w:val="center"/>
          </w:tcPr>
          <w:p>
            <w:pPr>
              <w:spacing w:line="280" w:lineRule="exact"/>
              <w:jc w:val="center"/>
              <w:rPr>
                <w:rFonts w:ascii="Times New Roman" w:hAnsi="Times New Roman"/>
                <w:kern w:val="2"/>
              </w:rPr>
            </w:pPr>
            <w:r>
              <w:rPr>
                <w:rFonts w:ascii="Times New Roman" w:hAnsi="Times New Roman"/>
                <w:kern w:val="2"/>
              </w:rPr>
              <w:t>土壤环境</w:t>
            </w:r>
          </w:p>
        </w:tc>
        <w:tc>
          <w:tcPr>
            <w:tcW w:w="6474" w:type="dxa"/>
            <w:gridSpan w:val="3"/>
            <w:shd w:val="clear" w:color="auto" w:fill="FFFFFF"/>
            <w:vAlign w:val="center"/>
          </w:tcPr>
          <w:p>
            <w:pPr>
              <w:spacing w:line="280" w:lineRule="exact"/>
              <w:rPr>
                <w:rFonts w:ascii="Times New Roman" w:hAnsi="Times New Roman"/>
                <w:kern w:val="2"/>
              </w:rPr>
            </w:pPr>
            <w:r>
              <w:rPr>
                <w:rFonts w:ascii="Times New Roman" w:hAnsi="Times New Roman"/>
                <w:kern w:val="2"/>
              </w:rPr>
              <w:t>《土壤环境质量 建设用地土壤污染风险管控标准（试行）》（GB36600-2018）第二类用地筛选值</w:t>
            </w:r>
          </w:p>
        </w:tc>
      </w:tr>
    </w:tbl>
    <w:p>
      <w:pPr>
        <w:pStyle w:val="3"/>
        <w:spacing w:before="120" w:beforeLines="50" w:after="120" w:afterLines="50" w:line="480" w:lineRule="exact"/>
        <w:ind w:left="-11"/>
        <w:rPr>
          <w:rFonts w:ascii="Times New Roman" w:hAnsi="Times New Roman" w:eastAsia="黑体"/>
          <w:sz w:val="30"/>
          <w:szCs w:val="30"/>
        </w:rPr>
      </w:pPr>
      <w:bookmarkStart w:id="416" w:name="_Toc116379701"/>
      <w:r>
        <w:rPr>
          <w:rFonts w:ascii="Times New Roman" w:hAnsi="Times New Roman" w:eastAsia="黑体"/>
          <w:sz w:val="30"/>
          <w:szCs w:val="30"/>
        </w:rPr>
        <w:t>控制污染与环境保护目标</w:t>
      </w:r>
      <w:bookmarkEnd w:id="414"/>
      <w:bookmarkEnd w:id="416"/>
    </w:p>
    <w:p>
      <w:pPr>
        <w:pStyle w:val="4"/>
        <w:spacing w:before="120" w:beforeLines="50" w:after="120" w:afterLines="50" w:line="480" w:lineRule="exact"/>
        <w:ind w:left="17"/>
        <w:rPr>
          <w:rFonts w:ascii="Times New Roman" w:hAnsi="Times New Roman" w:eastAsia="黑体"/>
          <w:bCs/>
          <w:sz w:val="28"/>
          <w:szCs w:val="28"/>
        </w:rPr>
      </w:pPr>
      <w:bookmarkStart w:id="417" w:name="_Toc26188001"/>
      <w:bookmarkStart w:id="418" w:name="_Toc15179"/>
      <w:bookmarkStart w:id="419" w:name="_Toc26920"/>
      <w:bookmarkStart w:id="420" w:name="_Toc27134277"/>
      <w:bookmarkStart w:id="421" w:name="_Toc28132"/>
      <w:bookmarkStart w:id="422" w:name="_Toc29245"/>
      <w:bookmarkStart w:id="423" w:name="_Toc30135"/>
      <w:r>
        <w:rPr>
          <w:rFonts w:ascii="Times New Roman" w:hAnsi="Times New Roman" w:eastAsia="黑体"/>
          <w:bCs/>
          <w:sz w:val="28"/>
          <w:szCs w:val="28"/>
        </w:rPr>
        <w:t>控制污染的目标</w:t>
      </w:r>
      <w:bookmarkEnd w:id="417"/>
      <w:bookmarkEnd w:id="418"/>
      <w:bookmarkEnd w:id="419"/>
      <w:bookmarkEnd w:id="420"/>
      <w:bookmarkEnd w:id="421"/>
      <w:bookmarkEnd w:id="422"/>
      <w:bookmarkEnd w:id="423"/>
    </w:p>
    <w:p>
      <w:pPr>
        <w:pStyle w:val="155"/>
        <w:ind w:firstLine="480"/>
      </w:pPr>
      <w:r>
        <w:t>按照“突出环境影响评价的源头预防作用，坚持保护和改善环境质量，依法评价、科学评价、突出重点”的原则，贯彻执行我国环境保护相关法律法规、标准、政策和规划等，优化项目建设，服务环境管理，规范环境影响评价方法，科学分析项目建设对环境质量的影响。根据建设项目的工程内容及其特点，明确与环境要素间的作用效应关系，根据规划环境影响评价结论和审查意见，充分利用符合时效的数据资料及成果，对建设项目主要环境影响予以重点分析和评价。</w:t>
      </w:r>
    </w:p>
    <w:p>
      <w:pPr>
        <w:pStyle w:val="155"/>
        <w:ind w:firstLine="480"/>
      </w:pPr>
      <w:r>
        <w:t>本工程污染控制分</w:t>
      </w:r>
      <w:r>
        <w:rPr>
          <w:rFonts w:hint="eastAsia"/>
        </w:rPr>
        <w:t>主要</w:t>
      </w:r>
      <w:r>
        <w:t>为运营期。</w:t>
      </w:r>
    </w:p>
    <w:p>
      <w:pPr>
        <w:pStyle w:val="155"/>
        <w:ind w:firstLine="480"/>
      </w:pPr>
      <w:r>
        <w:t>运营期主要控制废气、废水、噪声和固体废物的排放，控制工艺过程不发生或少发生非正常排放。控制污染的内容与控制目标见表2.6-1。</w:t>
      </w:r>
    </w:p>
    <w:p>
      <w:pPr>
        <w:spacing w:line="400" w:lineRule="exact"/>
        <w:jc w:val="center"/>
        <w:rPr>
          <w:rFonts w:ascii="Times New Roman" w:hAnsi="Times New Roman"/>
          <w:b/>
        </w:rPr>
      </w:pPr>
      <w:r>
        <w:rPr>
          <w:rFonts w:ascii="Times New Roman" w:hAnsi="Times New Roman"/>
          <w:b/>
        </w:rPr>
        <w:t>表2.6-1 污染物控制内容与控制目标</w:t>
      </w:r>
    </w:p>
    <w:tbl>
      <w:tblPr>
        <w:tblStyle w:val="7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30" w:type="dxa"/>
          <w:bottom w:w="0" w:type="dxa"/>
          <w:right w:w="30" w:type="dxa"/>
        </w:tblCellMar>
      </w:tblPr>
      <w:tblGrid>
        <w:gridCol w:w="1007"/>
        <w:gridCol w:w="5726"/>
        <w:gridCol w:w="163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30" w:type="dxa"/>
            <w:bottom w:w="0" w:type="dxa"/>
            <w:right w:w="30" w:type="dxa"/>
          </w:tblCellMar>
        </w:tblPrEx>
        <w:trPr>
          <w:jc w:val="center"/>
        </w:trPr>
        <w:tc>
          <w:tcPr>
            <w:tcW w:w="1007" w:type="dxa"/>
            <w:vAlign w:val="center"/>
          </w:tcPr>
          <w:p>
            <w:pPr>
              <w:jc w:val="center"/>
              <w:rPr>
                <w:rFonts w:ascii="Times New Roman" w:hAnsi="Times New Roman"/>
                <w:b/>
              </w:rPr>
            </w:pPr>
            <w:r>
              <w:rPr>
                <w:rFonts w:ascii="Times New Roman" w:hAnsi="Times New Roman"/>
                <w:b/>
              </w:rPr>
              <w:t>控制对象</w:t>
            </w:r>
          </w:p>
        </w:tc>
        <w:tc>
          <w:tcPr>
            <w:tcW w:w="5727" w:type="dxa"/>
            <w:vAlign w:val="center"/>
          </w:tcPr>
          <w:p>
            <w:pPr>
              <w:jc w:val="center"/>
              <w:rPr>
                <w:rFonts w:ascii="Times New Roman" w:hAnsi="Times New Roman"/>
                <w:b/>
              </w:rPr>
            </w:pPr>
            <w:r>
              <w:rPr>
                <w:rFonts w:ascii="Times New Roman" w:hAnsi="Times New Roman"/>
                <w:b/>
              </w:rPr>
              <w:t>控制内容</w:t>
            </w:r>
          </w:p>
        </w:tc>
        <w:tc>
          <w:tcPr>
            <w:tcW w:w="1638" w:type="dxa"/>
            <w:vAlign w:val="center"/>
          </w:tcPr>
          <w:p>
            <w:pPr>
              <w:jc w:val="center"/>
              <w:rPr>
                <w:rFonts w:ascii="Times New Roman" w:hAnsi="Times New Roman"/>
                <w:b/>
              </w:rPr>
            </w:pPr>
            <w:r>
              <w:rPr>
                <w:rFonts w:ascii="Times New Roman" w:hAnsi="Times New Roman"/>
                <w:b/>
              </w:rPr>
              <w:t>控制目标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90" w:hRule="atLeast"/>
          <w:jc w:val="center"/>
        </w:trPr>
        <w:tc>
          <w:tcPr>
            <w:tcW w:w="1007" w:type="dxa"/>
            <w:vAlign w:val="center"/>
          </w:tcPr>
          <w:p>
            <w:pPr>
              <w:jc w:val="center"/>
              <w:rPr>
                <w:rFonts w:ascii="Times New Roman" w:hAnsi="Times New Roman"/>
              </w:rPr>
            </w:pPr>
            <w:r>
              <w:rPr>
                <w:rFonts w:ascii="Times New Roman" w:hAnsi="Times New Roman"/>
              </w:rPr>
              <w:t>废水</w:t>
            </w:r>
          </w:p>
        </w:tc>
        <w:tc>
          <w:tcPr>
            <w:tcW w:w="5727" w:type="dxa"/>
            <w:vAlign w:val="center"/>
          </w:tcPr>
          <w:p>
            <w:pPr>
              <w:jc w:val="center"/>
              <w:rPr>
                <w:rFonts w:ascii="Times New Roman" w:hAnsi="Times New Roman"/>
              </w:rPr>
            </w:pPr>
            <w:r>
              <w:rPr>
                <w:rFonts w:ascii="Times New Roman" w:hAnsi="Times New Roman"/>
              </w:rPr>
              <w:t>转运车清洗消毒废水、周转箱清洗消毒废水、灭菌车清洗消毒废水、高温干热灭菌工艺产渗滤液</w:t>
            </w:r>
          </w:p>
        </w:tc>
        <w:tc>
          <w:tcPr>
            <w:tcW w:w="1638" w:type="dxa"/>
            <w:vAlign w:val="center"/>
          </w:tcPr>
          <w:p>
            <w:pPr>
              <w:jc w:val="center"/>
              <w:rPr>
                <w:rFonts w:ascii="Times New Roman" w:hAnsi="Times New Roman"/>
              </w:rPr>
            </w:pPr>
            <w:r>
              <w:rPr>
                <w:rFonts w:ascii="Times New Roman" w:hAnsi="Times New Roman"/>
              </w:rPr>
              <w:t>污染物排放达标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30" w:type="dxa"/>
            <w:bottom w:w="0" w:type="dxa"/>
            <w:right w:w="30" w:type="dxa"/>
          </w:tblCellMar>
        </w:tblPrEx>
        <w:trPr>
          <w:jc w:val="center"/>
        </w:trPr>
        <w:tc>
          <w:tcPr>
            <w:tcW w:w="1007" w:type="dxa"/>
            <w:vAlign w:val="center"/>
          </w:tcPr>
          <w:p>
            <w:pPr>
              <w:jc w:val="center"/>
              <w:rPr>
                <w:rFonts w:ascii="Times New Roman" w:hAnsi="Times New Roman"/>
              </w:rPr>
            </w:pPr>
            <w:r>
              <w:rPr>
                <w:rFonts w:ascii="Times New Roman" w:hAnsi="Times New Roman"/>
              </w:rPr>
              <w:t>废气</w:t>
            </w:r>
          </w:p>
        </w:tc>
        <w:tc>
          <w:tcPr>
            <w:tcW w:w="5727" w:type="dxa"/>
            <w:vAlign w:val="center"/>
          </w:tcPr>
          <w:p>
            <w:pPr>
              <w:jc w:val="center"/>
              <w:rPr>
                <w:rFonts w:ascii="Times New Roman" w:hAnsi="Times New Roman"/>
              </w:rPr>
            </w:pPr>
            <w:r>
              <w:rPr>
                <w:rFonts w:ascii="Times New Roman" w:hAnsi="Times New Roman"/>
              </w:rPr>
              <w:t>高温干热单元产生的废气、进卸料过程废气、医疗</w:t>
            </w:r>
          </w:p>
          <w:p>
            <w:pPr>
              <w:jc w:val="center"/>
              <w:rPr>
                <w:rFonts w:ascii="Times New Roman" w:hAnsi="Times New Roman"/>
              </w:rPr>
            </w:pPr>
            <w:r>
              <w:rPr>
                <w:rFonts w:ascii="Times New Roman" w:hAnsi="Times New Roman"/>
              </w:rPr>
              <w:t>废物暂存库恶臭气体、导热油炉烟气、污水处理间恶臭</w:t>
            </w:r>
          </w:p>
        </w:tc>
        <w:tc>
          <w:tcPr>
            <w:tcW w:w="1638" w:type="dxa"/>
            <w:vAlign w:val="center"/>
          </w:tcPr>
          <w:p>
            <w:pPr>
              <w:jc w:val="center"/>
              <w:rPr>
                <w:rFonts w:ascii="Times New Roman" w:hAnsi="Times New Roman"/>
              </w:rPr>
            </w:pPr>
            <w:r>
              <w:rPr>
                <w:rFonts w:ascii="Times New Roman" w:hAnsi="Times New Roman"/>
              </w:rPr>
              <w:t>污染物排放达标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30" w:type="dxa"/>
            <w:bottom w:w="0" w:type="dxa"/>
            <w:right w:w="30" w:type="dxa"/>
          </w:tblCellMar>
        </w:tblPrEx>
        <w:trPr>
          <w:jc w:val="center"/>
        </w:trPr>
        <w:tc>
          <w:tcPr>
            <w:tcW w:w="1007" w:type="dxa"/>
            <w:vAlign w:val="center"/>
          </w:tcPr>
          <w:p>
            <w:pPr>
              <w:jc w:val="center"/>
              <w:rPr>
                <w:rFonts w:ascii="Times New Roman" w:hAnsi="Times New Roman"/>
              </w:rPr>
            </w:pPr>
            <w:r>
              <w:rPr>
                <w:rFonts w:ascii="Times New Roman" w:hAnsi="Times New Roman"/>
              </w:rPr>
              <w:t>噪声</w:t>
            </w:r>
          </w:p>
        </w:tc>
        <w:tc>
          <w:tcPr>
            <w:tcW w:w="5727" w:type="dxa"/>
            <w:vAlign w:val="center"/>
          </w:tcPr>
          <w:p>
            <w:pPr>
              <w:jc w:val="center"/>
              <w:rPr>
                <w:rFonts w:ascii="Times New Roman" w:hAnsi="Times New Roman"/>
              </w:rPr>
            </w:pPr>
            <w:r>
              <w:rPr>
                <w:rFonts w:ascii="Times New Roman" w:hAnsi="Times New Roman"/>
              </w:rPr>
              <w:t>设备噪声</w:t>
            </w:r>
          </w:p>
        </w:tc>
        <w:tc>
          <w:tcPr>
            <w:tcW w:w="1638" w:type="dxa"/>
            <w:vAlign w:val="center"/>
          </w:tcPr>
          <w:p>
            <w:pPr>
              <w:jc w:val="center"/>
              <w:rPr>
                <w:rFonts w:ascii="Times New Roman" w:hAnsi="Times New Roman"/>
              </w:rPr>
            </w:pPr>
            <w:r>
              <w:rPr>
                <w:rFonts w:ascii="Times New Roman" w:hAnsi="Times New Roman"/>
              </w:rPr>
              <w:t>厂界噪声值达标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30" w:type="dxa"/>
            <w:bottom w:w="0" w:type="dxa"/>
            <w:right w:w="30" w:type="dxa"/>
          </w:tblCellMar>
        </w:tblPrEx>
        <w:trPr>
          <w:jc w:val="center"/>
        </w:trPr>
        <w:tc>
          <w:tcPr>
            <w:tcW w:w="1007" w:type="dxa"/>
            <w:vAlign w:val="center"/>
          </w:tcPr>
          <w:p>
            <w:pPr>
              <w:jc w:val="center"/>
              <w:rPr>
                <w:rFonts w:ascii="Times New Roman" w:hAnsi="Times New Roman"/>
              </w:rPr>
            </w:pPr>
            <w:r>
              <w:rPr>
                <w:rFonts w:ascii="Times New Roman" w:hAnsi="Times New Roman"/>
              </w:rPr>
              <w:t>固体废物</w:t>
            </w:r>
          </w:p>
        </w:tc>
        <w:tc>
          <w:tcPr>
            <w:tcW w:w="5727" w:type="dxa"/>
            <w:vAlign w:val="center"/>
          </w:tcPr>
          <w:p>
            <w:pPr>
              <w:jc w:val="center"/>
              <w:rPr>
                <w:rFonts w:ascii="Times New Roman" w:hAnsi="Times New Roman"/>
              </w:rPr>
            </w:pPr>
            <w:r>
              <w:rPr>
                <w:rFonts w:ascii="Times New Roman" w:hAnsi="Times New Roman"/>
              </w:rPr>
              <w:t>医疗废物消毒破碎处理后的</w:t>
            </w:r>
            <w:r>
              <w:rPr>
                <w:rFonts w:hint="eastAsia" w:ascii="Times New Roman" w:hAnsi="Times New Roman"/>
              </w:rPr>
              <w:t>废物</w:t>
            </w:r>
            <w:r>
              <w:rPr>
                <w:rFonts w:ascii="Times New Roman" w:hAnsi="Times New Roman"/>
              </w:rPr>
              <w:t>、废活性炭和污水处理间污泥</w:t>
            </w:r>
            <w:r>
              <w:rPr>
                <w:rFonts w:hint="eastAsia" w:ascii="Times New Roman" w:hAnsi="Times New Roman"/>
              </w:rPr>
              <w:t>、栅渣</w:t>
            </w:r>
          </w:p>
        </w:tc>
        <w:tc>
          <w:tcPr>
            <w:tcW w:w="1638" w:type="dxa"/>
            <w:vAlign w:val="center"/>
          </w:tcPr>
          <w:p>
            <w:pPr>
              <w:jc w:val="center"/>
              <w:rPr>
                <w:rFonts w:ascii="Times New Roman" w:hAnsi="Times New Roman"/>
              </w:rPr>
            </w:pPr>
            <w:r>
              <w:rPr>
                <w:rFonts w:ascii="Times New Roman" w:hAnsi="Times New Roman"/>
              </w:rPr>
              <w:t>按要求处置</w:t>
            </w:r>
          </w:p>
        </w:tc>
      </w:tr>
    </w:tbl>
    <w:p>
      <w:pPr>
        <w:pStyle w:val="4"/>
        <w:spacing w:before="120" w:beforeLines="50" w:after="120" w:afterLines="50" w:line="480" w:lineRule="exact"/>
        <w:ind w:left="17"/>
        <w:rPr>
          <w:rFonts w:ascii="Times New Roman" w:hAnsi="Times New Roman" w:eastAsia="黑体"/>
          <w:bCs/>
          <w:sz w:val="28"/>
          <w:szCs w:val="28"/>
        </w:rPr>
      </w:pPr>
      <w:bookmarkStart w:id="424" w:name="_Toc25508"/>
      <w:bookmarkStart w:id="425" w:name="_Toc19860"/>
      <w:bookmarkStart w:id="426" w:name="_Toc20823"/>
      <w:bookmarkStart w:id="427" w:name="_Toc310"/>
      <w:bookmarkStart w:id="428" w:name="_Toc25091"/>
      <w:bookmarkStart w:id="429" w:name="_Toc27134278"/>
      <w:bookmarkStart w:id="430" w:name="_Toc26188002"/>
      <w:r>
        <w:rPr>
          <w:rFonts w:ascii="Times New Roman" w:hAnsi="Times New Roman" w:eastAsia="黑体"/>
          <w:bCs/>
          <w:sz w:val="28"/>
          <w:szCs w:val="28"/>
        </w:rPr>
        <w:t>环境保护目标</w:t>
      </w:r>
      <w:bookmarkEnd w:id="424"/>
      <w:bookmarkEnd w:id="425"/>
      <w:bookmarkEnd w:id="426"/>
      <w:bookmarkEnd w:id="427"/>
      <w:bookmarkEnd w:id="428"/>
      <w:bookmarkEnd w:id="429"/>
      <w:bookmarkEnd w:id="430"/>
    </w:p>
    <w:p>
      <w:pPr>
        <w:pStyle w:val="155"/>
        <w:ind w:firstLine="480"/>
        <w:sectPr>
          <w:pgSz w:w="11906" w:h="16838"/>
          <w:pgMar w:top="1440" w:right="1797" w:bottom="1440" w:left="1797" w:header="851" w:footer="850" w:gutter="0"/>
          <w:cols w:space="720" w:num="1"/>
          <w:docGrid w:linePitch="312" w:charSpace="0"/>
        </w:sectPr>
      </w:pPr>
      <w:r>
        <w:t>本项目双鸭山市四方台梨花盖子沟垃圾处理场院内。评价区范围内村屯主要为</w:t>
      </w:r>
      <w:r>
        <w:rPr>
          <w:rFonts w:hint="eastAsia"/>
        </w:rPr>
        <w:t>红星五队</w:t>
      </w:r>
      <w:r>
        <w:t>、四新村和小北沟，评价区范围内分布有分散式饮用水水源井，</w:t>
      </w:r>
      <w:r>
        <w:rPr>
          <w:rFonts w:hint="eastAsia"/>
        </w:rPr>
        <w:t>水源埋深4</w:t>
      </w:r>
      <w:r>
        <w:t>0</w:t>
      </w:r>
      <w:r>
        <w:rPr>
          <w:rFonts w:hint="eastAsia"/>
        </w:rPr>
        <w:t>-</w:t>
      </w:r>
      <w:r>
        <w:t>60</w:t>
      </w:r>
      <w:r>
        <w:rPr>
          <w:rFonts w:hint="eastAsia"/>
        </w:rPr>
        <w:t>m</w:t>
      </w:r>
      <w:r>
        <w:t>，开采目的含水层为基岩风化裂隙水，无与地下水相关的水源保护区和其它资源保护区。</w:t>
      </w:r>
      <w:r>
        <w:rPr>
          <w:rFonts w:hint="eastAsia"/>
        </w:rPr>
        <w:t>垃圾场管理委员会饮用水水源井井深1</w:t>
      </w:r>
      <w:r>
        <w:t>28</w:t>
      </w:r>
      <w:r>
        <w:rPr>
          <w:rFonts w:hint="eastAsia"/>
        </w:rPr>
        <w:t>米，水位2</w:t>
      </w:r>
      <w:r>
        <w:t>10.03</w:t>
      </w:r>
      <w:r>
        <w:rPr>
          <w:rFonts w:hint="eastAsia"/>
        </w:rPr>
        <w:t>m，供水规模根据厂区用水需求确定，在5</w:t>
      </w:r>
      <w:r>
        <w:t>0</w:t>
      </w:r>
      <w:r>
        <w:rPr>
          <w:rFonts w:hint="eastAsia"/>
        </w:rPr>
        <w:t>-</w:t>
      </w:r>
      <w:r>
        <w:t>100</w:t>
      </w:r>
      <w:r>
        <w:rPr>
          <w:rFonts w:hint="eastAsia"/>
        </w:rPr>
        <w:t>m</w:t>
      </w:r>
      <w:r>
        <w:rPr>
          <w:vertAlign w:val="superscript"/>
        </w:rPr>
        <w:t>3</w:t>
      </w:r>
      <w:r>
        <w:t>/</w:t>
      </w:r>
      <w:r>
        <w:rPr>
          <w:rFonts w:hint="eastAsia"/>
        </w:rPr>
        <w:t>d；</w:t>
      </w:r>
      <w:r>
        <w:rPr>
          <w:szCs w:val="24"/>
        </w:rPr>
        <w:t>红星五队饮用水水源井</w:t>
      </w:r>
      <w:r>
        <w:rPr>
          <w:rFonts w:hint="eastAsia"/>
          <w:szCs w:val="24"/>
        </w:rPr>
        <w:t>深1</w:t>
      </w:r>
      <w:r>
        <w:rPr>
          <w:szCs w:val="24"/>
        </w:rPr>
        <w:t>25</w:t>
      </w:r>
      <w:r>
        <w:rPr>
          <w:rFonts w:hint="eastAsia"/>
          <w:szCs w:val="24"/>
        </w:rPr>
        <w:t>m，水位1</w:t>
      </w:r>
      <w:r>
        <w:rPr>
          <w:szCs w:val="24"/>
        </w:rPr>
        <w:t>55.8</w:t>
      </w:r>
      <w:r>
        <w:rPr>
          <w:rFonts w:hint="eastAsia"/>
          <w:szCs w:val="24"/>
        </w:rPr>
        <w:t>m，供水规模较小，因为只供给几户居民。</w:t>
      </w:r>
      <w:r>
        <w:t>因此，本次保护目标含水层为受拟建设项目直接影响的基岩风化裂隙含水层，水源地保护目标确定为评价范围内居民饮用水源井。本项目评价区内无国家、省、市级自然保护区，为了保护所在区域内的敏感保护人群，应贯彻污染源治理“达标排放”的原则，使本项目投产后所排各类污染物能够达标排放并满足总量控制的要求，以减轻对评价区环境及敏感保护人群的不良环境影响。经现场踏查，本项目评价区环境保护目标具体情况见表2.6-2。</w:t>
      </w:r>
    </w:p>
    <w:p>
      <w:pPr>
        <w:spacing w:line="400" w:lineRule="exact"/>
        <w:jc w:val="center"/>
        <w:rPr>
          <w:rFonts w:ascii="Times New Roman" w:hAnsi="Times New Roman"/>
          <w:b/>
        </w:rPr>
      </w:pPr>
      <w:r>
        <w:rPr>
          <w:rFonts w:ascii="Times New Roman" w:hAnsi="Times New Roman"/>
          <w:b/>
        </w:rPr>
        <w:t>表2.6-2 主要环境保护目标一览表</w:t>
      </w:r>
    </w:p>
    <w:tbl>
      <w:tblPr>
        <w:tblStyle w:val="7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90"/>
        <w:gridCol w:w="1708"/>
        <w:gridCol w:w="1058"/>
        <w:gridCol w:w="1163"/>
        <w:gridCol w:w="1122"/>
        <w:gridCol w:w="2686"/>
        <w:gridCol w:w="2229"/>
        <w:gridCol w:w="1186"/>
        <w:gridCol w:w="141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76" w:type="dxa"/>
            <w:vMerge w:val="restart"/>
            <w:vAlign w:val="center"/>
          </w:tcPr>
          <w:p>
            <w:pPr>
              <w:spacing w:line="280" w:lineRule="exact"/>
              <w:jc w:val="center"/>
              <w:rPr>
                <w:rFonts w:ascii="Times New Roman" w:hAnsi="Times New Roman"/>
                <w:b/>
              </w:rPr>
            </w:pPr>
            <w:r>
              <w:rPr>
                <w:rFonts w:ascii="Times New Roman" w:hAnsi="Times New Roman"/>
                <w:b/>
              </w:rPr>
              <w:t>环境</w:t>
            </w:r>
          </w:p>
          <w:p>
            <w:pPr>
              <w:spacing w:line="280" w:lineRule="exact"/>
              <w:jc w:val="center"/>
              <w:rPr>
                <w:rFonts w:ascii="Times New Roman" w:hAnsi="Times New Roman"/>
                <w:b/>
              </w:rPr>
            </w:pPr>
            <w:r>
              <w:rPr>
                <w:rFonts w:ascii="Times New Roman" w:hAnsi="Times New Roman"/>
                <w:b/>
              </w:rPr>
              <w:t>要素</w:t>
            </w:r>
          </w:p>
        </w:tc>
        <w:tc>
          <w:tcPr>
            <w:tcW w:w="1681" w:type="dxa"/>
            <w:vMerge w:val="restart"/>
            <w:vAlign w:val="center"/>
          </w:tcPr>
          <w:p>
            <w:pPr>
              <w:spacing w:line="280" w:lineRule="exact"/>
              <w:jc w:val="center"/>
              <w:rPr>
                <w:rFonts w:ascii="Times New Roman" w:hAnsi="Times New Roman"/>
                <w:b/>
              </w:rPr>
            </w:pPr>
            <w:r>
              <w:rPr>
                <w:rFonts w:ascii="Times New Roman" w:hAnsi="Times New Roman"/>
                <w:b/>
              </w:rPr>
              <w:t>名称</w:t>
            </w:r>
          </w:p>
        </w:tc>
        <w:tc>
          <w:tcPr>
            <w:tcW w:w="2185" w:type="dxa"/>
            <w:gridSpan w:val="2"/>
            <w:vAlign w:val="center"/>
          </w:tcPr>
          <w:p>
            <w:pPr>
              <w:spacing w:line="280" w:lineRule="exact"/>
              <w:jc w:val="center"/>
              <w:rPr>
                <w:rFonts w:ascii="Times New Roman" w:hAnsi="Times New Roman"/>
                <w:b/>
              </w:rPr>
            </w:pPr>
            <w:r>
              <w:rPr>
                <w:rFonts w:ascii="Times New Roman" w:hAnsi="Times New Roman"/>
                <w:b/>
              </w:rPr>
              <w:t>坐标</w:t>
            </w:r>
            <w:r>
              <w:rPr>
                <w:rFonts w:hint="eastAsia" w:ascii="Times New Roman" w:hAnsi="Times New Roman"/>
                <w:b/>
              </w:rPr>
              <w:t>/m</w:t>
            </w:r>
          </w:p>
        </w:tc>
        <w:tc>
          <w:tcPr>
            <w:tcW w:w="1104" w:type="dxa"/>
            <w:vMerge w:val="restart"/>
            <w:vAlign w:val="center"/>
          </w:tcPr>
          <w:p>
            <w:pPr>
              <w:spacing w:line="280" w:lineRule="exact"/>
              <w:jc w:val="center"/>
              <w:rPr>
                <w:rFonts w:ascii="Times New Roman" w:hAnsi="Times New Roman"/>
                <w:b/>
              </w:rPr>
            </w:pPr>
            <w:r>
              <w:rPr>
                <w:rFonts w:ascii="Times New Roman" w:hAnsi="Times New Roman"/>
                <w:b/>
              </w:rPr>
              <w:t>保护对象</w:t>
            </w:r>
          </w:p>
        </w:tc>
        <w:tc>
          <w:tcPr>
            <w:tcW w:w="2643" w:type="dxa"/>
            <w:vMerge w:val="restart"/>
            <w:vAlign w:val="center"/>
          </w:tcPr>
          <w:p>
            <w:pPr>
              <w:spacing w:line="280" w:lineRule="exact"/>
              <w:jc w:val="center"/>
              <w:rPr>
                <w:rFonts w:ascii="Times New Roman" w:hAnsi="Times New Roman"/>
                <w:b/>
              </w:rPr>
            </w:pPr>
            <w:r>
              <w:rPr>
                <w:rFonts w:ascii="Times New Roman" w:hAnsi="Times New Roman"/>
                <w:b/>
              </w:rPr>
              <w:t>保护内容</w:t>
            </w:r>
          </w:p>
        </w:tc>
        <w:tc>
          <w:tcPr>
            <w:tcW w:w="2193" w:type="dxa"/>
            <w:vMerge w:val="restart"/>
            <w:vAlign w:val="center"/>
          </w:tcPr>
          <w:p>
            <w:pPr>
              <w:spacing w:line="280" w:lineRule="exact"/>
              <w:jc w:val="center"/>
              <w:rPr>
                <w:rFonts w:ascii="Times New Roman" w:hAnsi="Times New Roman"/>
                <w:b/>
              </w:rPr>
            </w:pPr>
            <w:r>
              <w:rPr>
                <w:rFonts w:ascii="Times New Roman" w:hAnsi="Times New Roman"/>
                <w:b/>
              </w:rPr>
              <w:t>环境功能区</w:t>
            </w:r>
          </w:p>
        </w:tc>
        <w:tc>
          <w:tcPr>
            <w:tcW w:w="1167" w:type="dxa"/>
            <w:vMerge w:val="restart"/>
            <w:vAlign w:val="center"/>
          </w:tcPr>
          <w:p>
            <w:pPr>
              <w:spacing w:line="280" w:lineRule="exact"/>
              <w:jc w:val="center"/>
              <w:rPr>
                <w:rFonts w:ascii="Times New Roman" w:hAnsi="Times New Roman"/>
                <w:b/>
              </w:rPr>
            </w:pPr>
            <w:r>
              <w:rPr>
                <w:rFonts w:ascii="Times New Roman" w:hAnsi="Times New Roman"/>
                <w:b/>
              </w:rPr>
              <w:t>相对厂址方位</w:t>
            </w:r>
          </w:p>
        </w:tc>
        <w:tc>
          <w:tcPr>
            <w:tcW w:w="1395" w:type="dxa"/>
            <w:vMerge w:val="restart"/>
            <w:vAlign w:val="center"/>
          </w:tcPr>
          <w:p>
            <w:pPr>
              <w:spacing w:line="280" w:lineRule="exact"/>
              <w:jc w:val="center"/>
              <w:rPr>
                <w:rFonts w:ascii="Times New Roman" w:hAnsi="Times New Roman"/>
                <w:b/>
              </w:rPr>
            </w:pPr>
            <w:r>
              <w:rPr>
                <w:rFonts w:ascii="Times New Roman" w:hAnsi="Times New Roman"/>
                <w:b/>
              </w:rPr>
              <w:t>相对厂</w:t>
            </w:r>
            <w:r>
              <w:rPr>
                <w:rFonts w:hint="eastAsia" w:ascii="Times New Roman" w:hAnsi="Times New Roman"/>
                <w:b/>
              </w:rPr>
              <w:t>界</w:t>
            </w:r>
            <w:r>
              <w:rPr>
                <w:rFonts w:ascii="Times New Roman" w:hAnsi="Times New Roman"/>
                <w:b/>
              </w:rPr>
              <w:t>距离（m）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76" w:type="dxa"/>
            <w:vMerge w:val="continue"/>
            <w:vAlign w:val="center"/>
          </w:tcPr>
          <w:p>
            <w:pPr>
              <w:spacing w:line="280" w:lineRule="exact"/>
              <w:jc w:val="center"/>
              <w:rPr>
                <w:rFonts w:ascii="Times New Roman" w:hAnsi="Times New Roman"/>
              </w:rPr>
            </w:pPr>
          </w:p>
        </w:tc>
        <w:tc>
          <w:tcPr>
            <w:tcW w:w="1681" w:type="dxa"/>
            <w:vMerge w:val="continue"/>
            <w:vAlign w:val="center"/>
          </w:tcPr>
          <w:p>
            <w:pPr>
              <w:spacing w:line="280" w:lineRule="exact"/>
              <w:jc w:val="center"/>
              <w:rPr>
                <w:rFonts w:ascii="Times New Roman" w:hAnsi="Times New Roman"/>
              </w:rPr>
            </w:pPr>
          </w:p>
        </w:tc>
        <w:tc>
          <w:tcPr>
            <w:tcW w:w="1041" w:type="dxa"/>
            <w:vAlign w:val="center"/>
          </w:tcPr>
          <w:p>
            <w:pPr>
              <w:spacing w:line="280" w:lineRule="exact"/>
              <w:jc w:val="center"/>
              <w:rPr>
                <w:rFonts w:ascii="Times New Roman" w:hAnsi="Times New Roman"/>
                <w:b/>
              </w:rPr>
            </w:pPr>
            <w:r>
              <w:rPr>
                <w:rFonts w:ascii="Times New Roman" w:hAnsi="Times New Roman"/>
                <w:b/>
              </w:rPr>
              <w:t>X</w:t>
            </w:r>
          </w:p>
        </w:tc>
        <w:tc>
          <w:tcPr>
            <w:tcW w:w="1144" w:type="dxa"/>
            <w:vAlign w:val="center"/>
          </w:tcPr>
          <w:p>
            <w:pPr>
              <w:spacing w:line="280" w:lineRule="exact"/>
              <w:jc w:val="center"/>
              <w:rPr>
                <w:rFonts w:ascii="Times New Roman" w:hAnsi="Times New Roman"/>
                <w:b/>
              </w:rPr>
            </w:pPr>
            <w:r>
              <w:rPr>
                <w:rFonts w:ascii="Times New Roman" w:hAnsi="Times New Roman"/>
                <w:b/>
              </w:rPr>
              <w:t>Y</w:t>
            </w:r>
          </w:p>
        </w:tc>
        <w:tc>
          <w:tcPr>
            <w:tcW w:w="1104" w:type="dxa"/>
            <w:vMerge w:val="continue"/>
            <w:vAlign w:val="center"/>
          </w:tcPr>
          <w:p>
            <w:pPr>
              <w:spacing w:line="280" w:lineRule="exact"/>
              <w:jc w:val="center"/>
              <w:rPr>
                <w:rFonts w:ascii="Times New Roman" w:hAnsi="Times New Roman"/>
              </w:rPr>
            </w:pPr>
          </w:p>
        </w:tc>
        <w:tc>
          <w:tcPr>
            <w:tcW w:w="2643" w:type="dxa"/>
            <w:vMerge w:val="continue"/>
            <w:vAlign w:val="center"/>
          </w:tcPr>
          <w:p>
            <w:pPr>
              <w:spacing w:line="280" w:lineRule="exact"/>
              <w:jc w:val="center"/>
              <w:rPr>
                <w:rFonts w:ascii="Times New Roman" w:hAnsi="Times New Roman"/>
              </w:rPr>
            </w:pPr>
          </w:p>
        </w:tc>
        <w:tc>
          <w:tcPr>
            <w:tcW w:w="2193" w:type="dxa"/>
            <w:vMerge w:val="continue"/>
            <w:vAlign w:val="center"/>
          </w:tcPr>
          <w:p>
            <w:pPr>
              <w:spacing w:line="280" w:lineRule="exact"/>
              <w:jc w:val="center"/>
              <w:rPr>
                <w:rFonts w:ascii="Times New Roman" w:hAnsi="Times New Roman"/>
              </w:rPr>
            </w:pPr>
          </w:p>
        </w:tc>
        <w:tc>
          <w:tcPr>
            <w:tcW w:w="1167" w:type="dxa"/>
            <w:vMerge w:val="continue"/>
            <w:vAlign w:val="center"/>
          </w:tcPr>
          <w:p>
            <w:pPr>
              <w:spacing w:line="280" w:lineRule="exact"/>
              <w:jc w:val="center"/>
              <w:rPr>
                <w:rFonts w:ascii="Times New Roman" w:hAnsi="Times New Roman"/>
              </w:rPr>
            </w:pPr>
          </w:p>
        </w:tc>
        <w:tc>
          <w:tcPr>
            <w:tcW w:w="1395" w:type="dxa"/>
            <w:vMerge w:val="continue"/>
            <w:vAlign w:val="center"/>
          </w:tcPr>
          <w:p>
            <w:pPr>
              <w:spacing w:line="280" w:lineRule="exact"/>
              <w:jc w:val="center"/>
              <w:rPr>
                <w:rFonts w:ascii="Times New Roman" w:hAnsi="Times New Roma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76" w:type="dxa"/>
            <w:vMerge w:val="restart"/>
            <w:vAlign w:val="center"/>
          </w:tcPr>
          <w:p>
            <w:pPr>
              <w:spacing w:line="280" w:lineRule="exact"/>
              <w:jc w:val="center"/>
              <w:rPr>
                <w:rFonts w:ascii="Times New Roman" w:hAnsi="Times New Roman"/>
              </w:rPr>
            </w:pPr>
            <w:r>
              <w:rPr>
                <w:rFonts w:ascii="Times New Roman" w:hAnsi="Times New Roman"/>
              </w:rPr>
              <w:t>环境</w:t>
            </w:r>
          </w:p>
          <w:p>
            <w:pPr>
              <w:spacing w:line="280" w:lineRule="exact"/>
              <w:jc w:val="center"/>
              <w:rPr>
                <w:rFonts w:ascii="Times New Roman" w:hAnsi="Times New Roman"/>
              </w:rPr>
            </w:pPr>
            <w:r>
              <w:rPr>
                <w:rFonts w:ascii="Times New Roman" w:hAnsi="Times New Roman"/>
              </w:rPr>
              <w:t>空气</w:t>
            </w:r>
          </w:p>
        </w:tc>
        <w:tc>
          <w:tcPr>
            <w:tcW w:w="1681" w:type="dxa"/>
            <w:vAlign w:val="center"/>
          </w:tcPr>
          <w:p>
            <w:pPr>
              <w:spacing w:line="280" w:lineRule="exact"/>
              <w:jc w:val="center"/>
              <w:rPr>
                <w:rFonts w:ascii="Times New Roman" w:hAnsi="Times New Roman"/>
              </w:rPr>
            </w:pPr>
            <w:r>
              <w:rPr>
                <w:rFonts w:ascii="Times New Roman" w:hAnsi="Times New Roman"/>
              </w:rPr>
              <w:t>四新村</w:t>
            </w:r>
          </w:p>
        </w:tc>
        <w:tc>
          <w:tcPr>
            <w:tcW w:w="1041" w:type="dxa"/>
            <w:vAlign w:val="center"/>
          </w:tcPr>
          <w:p>
            <w:pPr>
              <w:spacing w:line="280" w:lineRule="exact"/>
              <w:jc w:val="center"/>
              <w:rPr>
                <w:rFonts w:ascii="Times New Roman" w:hAnsi="Times New Roman"/>
                <w:snapToGrid w:val="0"/>
              </w:rPr>
            </w:pPr>
            <w:r>
              <w:rPr>
                <w:rFonts w:ascii="Times New Roman" w:hAnsi="Times New Roman"/>
              </w:rPr>
              <w:t>5164217</w:t>
            </w:r>
          </w:p>
        </w:tc>
        <w:tc>
          <w:tcPr>
            <w:tcW w:w="1144" w:type="dxa"/>
            <w:vAlign w:val="center"/>
          </w:tcPr>
          <w:p>
            <w:pPr>
              <w:spacing w:line="280" w:lineRule="exact"/>
              <w:jc w:val="center"/>
              <w:rPr>
                <w:rFonts w:ascii="Times New Roman" w:hAnsi="Times New Roman"/>
                <w:snapToGrid w:val="0"/>
              </w:rPr>
            </w:pPr>
            <w:r>
              <w:rPr>
                <w:rFonts w:ascii="Times New Roman" w:hAnsi="Times New Roman"/>
              </w:rPr>
              <w:t>44446756</w:t>
            </w:r>
          </w:p>
        </w:tc>
        <w:tc>
          <w:tcPr>
            <w:tcW w:w="1104" w:type="dxa"/>
            <w:vAlign w:val="center"/>
          </w:tcPr>
          <w:p>
            <w:pPr>
              <w:spacing w:line="280" w:lineRule="exact"/>
              <w:jc w:val="center"/>
              <w:rPr>
                <w:rFonts w:ascii="Times New Roman" w:hAnsi="Times New Roman"/>
              </w:rPr>
            </w:pPr>
            <w:r>
              <w:rPr>
                <w:rFonts w:ascii="Times New Roman" w:hAnsi="Times New Roman"/>
              </w:rPr>
              <w:t>居住区</w:t>
            </w:r>
          </w:p>
        </w:tc>
        <w:tc>
          <w:tcPr>
            <w:tcW w:w="2643" w:type="dxa"/>
            <w:vAlign w:val="center"/>
          </w:tcPr>
          <w:p>
            <w:pPr>
              <w:jc w:val="center"/>
              <w:rPr>
                <w:rFonts w:ascii="Times New Roman" w:hAnsi="Times New Roman"/>
              </w:rPr>
            </w:pPr>
            <w:r>
              <w:rPr>
                <w:rFonts w:ascii="Times New Roman" w:hAnsi="Times New Roman"/>
              </w:rPr>
              <w:t>人群</w:t>
            </w:r>
            <w:r>
              <w:rPr>
                <w:rFonts w:hint="eastAsia" w:ascii="Times New Roman" w:hAnsi="Times New Roman"/>
              </w:rPr>
              <w:t>（约</w:t>
            </w:r>
            <w:r>
              <w:rPr>
                <w:rFonts w:ascii="Times New Roman" w:hAnsi="Times New Roman"/>
              </w:rPr>
              <w:t>180</w:t>
            </w:r>
            <w:r>
              <w:rPr>
                <w:rFonts w:hint="eastAsia" w:ascii="Times New Roman" w:hAnsi="Times New Roman"/>
              </w:rPr>
              <w:t>人）</w:t>
            </w:r>
          </w:p>
        </w:tc>
        <w:tc>
          <w:tcPr>
            <w:tcW w:w="2193" w:type="dxa"/>
            <w:vMerge w:val="restart"/>
            <w:vAlign w:val="center"/>
          </w:tcPr>
          <w:p>
            <w:pPr>
              <w:pStyle w:val="423"/>
              <w:spacing w:line="280" w:lineRule="exact"/>
              <w:jc w:val="both"/>
              <w:rPr>
                <w:rFonts w:ascii="Times New Roman" w:hAnsi="Times New Roman" w:cs="Times New Roman"/>
                <w:snapToGrid w:val="0"/>
                <w:color w:val="auto"/>
                <w:sz w:val="21"/>
                <w:szCs w:val="21"/>
              </w:rPr>
            </w:pPr>
            <w:r>
              <w:rPr>
                <w:rFonts w:ascii="Times New Roman" w:hAnsi="Times New Roman" w:cs="Times New Roman"/>
                <w:snapToGrid w:val="0"/>
                <w:color w:val="auto"/>
                <w:sz w:val="21"/>
                <w:szCs w:val="21"/>
              </w:rPr>
              <w:t>《环境空气质量标准》（GB3095-2012）及其修改清单中二级标准</w:t>
            </w:r>
          </w:p>
        </w:tc>
        <w:tc>
          <w:tcPr>
            <w:tcW w:w="1167" w:type="dxa"/>
            <w:vAlign w:val="center"/>
          </w:tcPr>
          <w:p>
            <w:pPr>
              <w:spacing w:line="280" w:lineRule="exact"/>
              <w:jc w:val="center"/>
              <w:rPr>
                <w:rFonts w:ascii="Times New Roman" w:hAnsi="Times New Roman"/>
                <w:snapToGrid w:val="0"/>
              </w:rPr>
            </w:pPr>
            <w:r>
              <w:rPr>
                <w:rFonts w:ascii="Times New Roman" w:hAnsi="Times New Roman"/>
              </w:rPr>
              <w:t>S</w:t>
            </w:r>
          </w:p>
        </w:tc>
        <w:tc>
          <w:tcPr>
            <w:tcW w:w="1395" w:type="dxa"/>
            <w:vAlign w:val="center"/>
          </w:tcPr>
          <w:p>
            <w:pPr>
              <w:jc w:val="center"/>
              <w:rPr>
                <w:rFonts w:ascii="Times New Roman" w:hAnsi="Times New Roman"/>
              </w:rPr>
            </w:pPr>
            <w:r>
              <w:rPr>
                <w:rFonts w:ascii="Times New Roman" w:hAnsi="Times New Roman"/>
              </w:rPr>
              <w:t>2674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76" w:type="dxa"/>
            <w:vMerge w:val="continue"/>
            <w:vAlign w:val="center"/>
          </w:tcPr>
          <w:p>
            <w:pPr>
              <w:spacing w:line="280" w:lineRule="exact"/>
              <w:jc w:val="center"/>
              <w:rPr>
                <w:rFonts w:ascii="Times New Roman" w:hAnsi="Times New Roman"/>
              </w:rPr>
            </w:pPr>
          </w:p>
        </w:tc>
        <w:tc>
          <w:tcPr>
            <w:tcW w:w="1681" w:type="dxa"/>
            <w:vAlign w:val="center"/>
          </w:tcPr>
          <w:p>
            <w:pPr>
              <w:spacing w:line="280" w:lineRule="exact"/>
              <w:jc w:val="center"/>
              <w:rPr>
                <w:rFonts w:ascii="Times New Roman" w:hAnsi="Times New Roman"/>
              </w:rPr>
            </w:pPr>
            <w:r>
              <w:rPr>
                <w:rFonts w:ascii="Times New Roman" w:hAnsi="Times New Roman"/>
              </w:rPr>
              <w:t>红星五队</w:t>
            </w:r>
          </w:p>
        </w:tc>
        <w:tc>
          <w:tcPr>
            <w:tcW w:w="1041" w:type="dxa"/>
            <w:vAlign w:val="center"/>
          </w:tcPr>
          <w:p>
            <w:pPr>
              <w:spacing w:line="280" w:lineRule="exact"/>
              <w:jc w:val="center"/>
              <w:rPr>
                <w:rFonts w:ascii="Times New Roman" w:hAnsi="Times New Roman"/>
              </w:rPr>
            </w:pPr>
            <w:r>
              <w:rPr>
                <w:rFonts w:ascii="Times New Roman" w:hAnsi="Times New Roman"/>
              </w:rPr>
              <w:t>5168658</w:t>
            </w:r>
          </w:p>
        </w:tc>
        <w:tc>
          <w:tcPr>
            <w:tcW w:w="1144" w:type="dxa"/>
            <w:vAlign w:val="center"/>
          </w:tcPr>
          <w:p>
            <w:pPr>
              <w:spacing w:line="280" w:lineRule="exact"/>
              <w:jc w:val="center"/>
              <w:rPr>
                <w:rFonts w:ascii="Times New Roman" w:hAnsi="Times New Roman"/>
              </w:rPr>
            </w:pPr>
            <w:r>
              <w:rPr>
                <w:rFonts w:ascii="Times New Roman" w:hAnsi="Times New Roman"/>
              </w:rPr>
              <w:t>44447485</w:t>
            </w:r>
          </w:p>
        </w:tc>
        <w:tc>
          <w:tcPr>
            <w:tcW w:w="1104" w:type="dxa"/>
            <w:vAlign w:val="center"/>
          </w:tcPr>
          <w:p>
            <w:pPr>
              <w:spacing w:line="280" w:lineRule="exact"/>
              <w:jc w:val="center"/>
              <w:rPr>
                <w:rFonts w:ascii="Times New Roman" w:hAnsi="Times New Roman"/>
              </w:rPr>
            </w:pPr>
            <w:r>
              <w:rPr>
                <w:rFonts w:ascii="Times New Roman" w:hAnsi="Times New Roman"/>
              </w:rPr>
              <w:t>居住区</w:t>
            </w:r>
          </w:p>
        </w:tc>
        <w:tc>
          <w:tcPr>
            <w:tcW w:w="2643" w:type="dxa"/>
            <w:vAlign w:val="center"/>
          </w:tcPr>
          <w:p>
            <w:pPr>
              <w:jc w:val="center"/>
              <w:rPr>
                <w:rFonts w:ascii="Times New Roman" w:hAnsi="Times New Roman"/>
              </w:rPr>
            </w:pPr>
            <w:r>
              <w:rPr>
                <w:rFonts w:ascii="Times New Roman" w:hAnsi="Times New Roman"/>
              </w:rPr>
              <w:t>人群</w:t>
            </w:r>
            <w:r>
              <w:rPr>
                <w:rFonts w:hint="eastAsia" w:ascii="Times New Roman" w:hAnsi="Times New Roman"/>
              </w:rPr>
              <w:t>（约</w:t>
            </w:r>
            <w:r>
              <w:rPr>
                <w:rFonts w:ascii="Times New Roman" w:hAnsi="Times New Roman"/>
              </w:rPr>
              <w:t>50</w:t>
            </w:r>
            <w:r>
              <w:rPr>
                <w:rFonts w:hint="eastAsia" w:ascii="Times New Roman" w:hAnsi="Times New Roman"/>
              </w:rPr>
              <w:t>人）</w:t>
            </w:r>
          </w:p>
        </w:tc>
        <w:tc>
          <w:tcPr>
            <w:tcW w:w="2193" w:type="dxa"/>
            <w:vMerge w:val="continue"/>
            <w:vAlign w:val="center"/>
          </w:tcPr>
          <w:p>
            <w:pPr>
              <w:pStyle w:val="423"/>
              <w:spacing w:line="280" w:lineRule="exact"/>
              <w:jc w:val="center"/>
              <w:rPr>
                <w:rFonts w:ascii="Times New Roman" w:hAnsi="Times New Roman" w:cs="Times New Roman"/>
                <w:snapToGrid w:val="0"/>
                <w:color w:val="auto"/>
                <w:sz w:val="21"/>
                <w:szCs w:val="21"/>
              </w:rPr>
            </w:pPr>
          </w:p>
        </w:tc>
        <w:tc>
          <w:tcPr>
            <w:tcW w:w="1167" w:type="dxa"/>
            <w:vAlign w:val="center"/>
          </w:tcPr>
          <w:p>
            <w:pPr>
              <w:spacing w:line="280" w:lineRule="exact"/>
              <w:jc w:val="center"/>
              <w:rPr>
                <w:rFonts w:ascii="Times New Roman" w:hAnsi="Times New Roman"/>
              </w:rPr>
            </w:pPr>
            <w:r>
              <w:rPr>
                <w:rFonts w:ascii="Times New Roman" w:hAnsi="Times New Roman"/>
              </w:rPr>
              <w:t>NE</w:t>
            </w:r>
          </w:p>
        </w:tc>
        <w:tc>
          <w:tcPr>
            <w:tcW w:w="1395" w:type="dxa"/>
            <w:vAlign w:val="center"/>
          </w:tcPr>
          <w:p>
            <w:pPr>
              <w:jc w:val="center"/>
              <w:rPr>
                <w:rFonts w:ascii="Times New Roman" w:hAnsi="Times New Roman"/>
              </w:rPr>
            </w:pPr>
            <w:r>
              <w:rPr>
                <w:rFonts w:ascii="Times New Roman" w:hAnsi="Times New Roman"/>
              </w:rPr>
              <w:t>2099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76" w:type="dxa"/>
            <w:vMerge w:val="continue"/>
            <w:vAlign w:val="center"/>
          </w:tcPr>
          <w:p>
            <w:pPr>
              <w:spacing w:line="280" w:lineRule="exact"/>
              <w:jc w:val="center"/>
              <w:rPr>
                <w:rFonts w:ascii="Times New Roman" w:hAnsi="Times New Roman"/>
              </w:rPr>
            </w:pPr>
          </w:p>
        </w:tc>
        <w:tc>
          <w:tcPr>
            <w:tcW w:w="1681" w:type="dxa"/>
            <w:vAlign w:val="center"/>
          </w:tcPr>
          <w:p>
            <w:pPr>
              <w:spacing w:line="280" w:lineRule="exact"/>
              <w:jc w:val="center"/>
              <w:rPr>
                <w:rFonts w:ascii="Times New Roman" w:hAnsi="Times New Roman"/>
              </w:rPr>
            </w:pPr>
            <w:r>
              <w:rPr>
                <w:rFonts w:hint="eastAsia" w:ascii="Times New Roman" w:hAnsi="Times New Roman"/>
              </w:rPr>
              <w:t>小北沟</w:t>
            </w:r>
          </w:p>
        </w:tc>
        <w:tc>
          <w:tcPr>
            <w:tcW w:w="1041" w:type="dxa"/>
            <w:vAlign w:val="center"/>
          </w:tcPr>
          <w:p>
            <w:pPr>
              <w:spacing w:line="280" w:lineRule="exact"/>
              <w:jc w:val="center"/>
              <w:rPr>
                <w:rFonts w:ascii="Times New Roman" w:hAnsi="Times New Roman"/>
              </w:rPr>
            </w:pPr>
            <w:r>
              <w:rPr>
                <w:rFonts w:ascii="Times New Roman" w:hAnsi="Times New Roman"/>
              </w:rPr>
              <w:t>5164064</w:t>
            </w:r>
          </w:p>
        </w:tc>
        <w:tc>
          <w:tcPr>
            <w:tcW w:w="1144" w:type="dxa"/>
            <w:vAlign w:val="center"/>
          </w:tcPr>
          <w:p>
            <w:pPr>
              <w:spacing w:line="280" w:lineRule="exact"/>
              <w:jc w:val="center"/>
              <w:rPr>
                <w:rFonts w:ascii="Times New Roman" w:hAnsi="Times New Roman"/>
              </w:rPr>
            </w:pPr>
            <w:r>
              <w:rPr>
                <w:rFonts w:ascii="Times New Roman" w:hAnsi="Times New Roman"/>
              </w:rPr>
              <w:t>44448007</w:t>
            </w:r>
          </w:p>
        </w:tc>
        <w:tc>
          <w:tcPr>
            <w:tcW w:w="1104" w:type="dxa"/>
            <w:vAlign w:val="center"/>
          </w:tcPr>
          <w:p>
            <w:pPr>
              <w:spacing w:line="280" w:lineRule="exact"/>
              <w:jc w:val="center"/>
              <w:rPr>
                <w:rFonts w:ascii="Times New Roman" w:hAnsi="Times New Roman"/>
              </w:rPr>
            </w:pPr>
            <w:r>
              <w:rPr>
                <w:rFonts w:hint="eastAsia" w:ascii="Times New Roman" w:hAnsi="Times New Roman"/>
              </w:rPr>
              <w:t>居住区</w:t>
            </w:r>
          </w:p>
        </w:tc>
        <w:tc>
          <w:tcPr>
            <w:tcW w:w="2643" w:type="dxa"/>
            <w:vAlign w:val="center"/>
          </w:tcPr>
          <w:p>
            <w:pPr>
              <w:jc w:val="center"/>
              <w:rPr>
                <w:rFonts w:ascii="Times New Roman" w:hAnsi="Times New Roman"/>
              </w:rPr>
            </w:pPr>
            <w:r>
              <w:rPr>
                <w:rFonts w:hint="eastAsia" w:ascii="Times New Roman" w:hAnsi="Times New Roman"/>
              </w:rPr>
              <w:t>人群（约8</w:t>
            </w:r>
            <w:r>
              <w:rPr>
                <w:rFonts w:ascii="Times New Roman" w:hAnsi="Times New Roman"/>
              </w:rPr>
              <w:t>0</w:t>
            </w:r>
            <w:r>
              <w:rPr>
                <w:rFonts w:hint="eastAsia" w:ascii="Times New Roman" w:hAnsi="Times New Roman"/>
              </w:rPr>
              <w:t>人）</w:t>
            </w:r>
          </w:p>
        </w:tc>
        <w:tc>
          <w:tcPr>
            <w:tcW w:w="2193" w:type="dxa"/>
            <w:vMerge w:val="continue"/>
            <w:vAlign w:val="center"/>
          </w:tcPr>
          <w:p>
            <w:pPr>
              <w:pStyle w:val="423"/>
              <w:spacing w:line="280" w:lineRule="exact"/>
              <w:jc w:val="center"/>
              <w:rPr>
                <w:rFonts w:ascii="Times New Roman" w:hAnsi="Times New Roman" w:cs="Times New Roman"/>
                <w:snapToGrid w:val="0"/>
                <w:color w:val="auto"/>
                <w:sz w:val="21"/>
                <w:szCs w:val="21"/>
              </w:rPr>
            </w:pPr>
          </w:p>
        </w:tc>
        <w:tc>
          <w:tcPr>
            <w:tcW w:w="1167" w:type="dxa"/>
            <w:vAlign w:val="center"/>
          </w:tcPr>
          <w:p>
            <w:pPr>
              <w:spacing w:line="280" w:lineRule="exact"/>
              <w:jc w:val="center"/>
              <w:rPr>
                <w:rFonts w:ascii="Times New Roman" w:hAnsi="Times New Roman"/>
              </w:rPr>
            </w:pPr>
            <w:r>
              <w:rPr>
                <w:rFonts w:hint="eastAsia" w:ascii="Times New Roman" w:hAnsi="Times New Roman"/>
              </w:rPr>
              <w:t>E</w:t>
            </w:r>
            <w:r>
              <w:rPr>
                <w:rFonts w:ascii="Times New Roman" w:hAnsi="Times New Roman"/>
              </w:rPr>
              <w:t>S</w:t>
            </w:r>
          </w:p>
        </w:tc>
        <w:tc>
          <w:tcPr>
            <w:tcW w:w="1395" w:type="dxa"/>
            <w:vAlign w:val="center"/>
          </w:tcPr>
          <w:p>
            <w:pPr>
              <w:jc w:val="center"/>
              <w:rPr>
                <w:rFonts w:ascii="Times New Roman" w:hAnsi="Times New Roman"/>
              </w:rPr>
            </w:pPr>
            <w:r>
              <w:rPr>
                <w:rFonts w:hint="eastAsia" w:ascii="Times New Roman" w:hAnsi="Times New Roman"/>
              </w:rPr>
              <w:t>2</w:t>
            </w:r>
            <w:r>
              <w:rPr>
                <w:rFonts w:ascii="Times New Roman" w:hAnsi="Times New Roman"/>
              </w:rPr>
              <w:t>643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76" w:type="dxa"/>
            <w:vMerge w:val="restart"/>
            <w:vAlign w:val="center"/>
          </w:tcPr>
          <w:p>
            <w:pPr>
              <w:spacing w:line="280" w:lineRule="exact"/>
              <w:jc w:val="center"/>
              <w:rPr>
                <w:rFonts w:ascii="Times New Roman" w:hAnsi="Times New Roman"/>
              </w:rPr>
            </w:pPr>
            <w:r>
              <w:rPr>
                <w:rFonts w:hint="eastAsia" w:ascii="Times New Roman" w:hAnsi="Times New Roman"/>
              </w:rPr>
              <w:t>地下水</w:t>
            </w:r>
          </w:p>
        </w:tc>
        <w:tc>
          <w:tcPr>
            <w:tcW w:w="1681" w:type="dxa"/>
            <w:vAlign w:val="center"/>
          </w:tcPr>
          <w:p>
            <w:pPr>
              <w:spacing w:line="280" w:lineRule="exact"/>
              <w:jc w:val="center"/>
              <w:rPr>
                <w:rFonts w:ascii="Times New Roman" w:hAnsi="Times New Roman"/>
              </w:rPr>
            </w:pPr>
            <w:r>
              <w:rPr>
                <w:rFonts w:ascii="Times New Roman" w:hAnsi="Times New Roman"/>
                <w:kern w:val="2"/>
                <w:szCs w:val="24"/>
              </w:rPr>
              <w:t>垃圾场管理委员会饮用水水源井</w:t>
            </w:r>
          </w:p>
        </w:tc>
        <w:tc>
          <w:tcPr>
            <w:tcW w:w="1041" w:type="dxa"/>
            <w:vAlign w:val="center"/>
          </w:tcPr>
          <w:p>
            <w:pPr>
              <w:spacing w:line="280" w:lineRule="exact"/>
              <w:jc w:val="center"/>
              <w:rPr>
                <w:rFonts w:ascii="Times New Roman" w:hAnsi="Times New Roman"/>
              </w:rPr>
            </w:pPr>
            <w:r>
              <w:rPr>
                <w:rFonts w:ascii="Times New Roman" w:hAnsi="Times New Roman"/>
              </w:rPr>
              <w:t>5166424</w:t>
            </w:r>
          </w:p>
        </w:tc>
        <w:tc>
          <w:tcPr>
            <w:tcW w:w="1144" w:type="dxa"/>
            <w:vAlign w:val="center"/>
          </w:tcPr>
          <w:p>
            <w:pPr>
              <w:spacing w:line="280" w:lineRule="exact"/>
              <w:jc w:val="center"/>
              <w:rPr>
                <w:rFonts w:ascii="Times New Roman" w:hAnsi="Times New Roman"/>
              </w:rPr>
            </w:pPr>
            <w:r>
              <w:rPr>
                <w:rFonts w:ascii="Times New Roman" w:hAnsi="Times New Roman"/>
              </w:rPr>
              <w:t>44446478</w:t>
            </w:r>
          </w:p>
        </w:tc>
        <w:tc>
          <w:tcPr>
            <w:tcW w:w="1104" w:type="dxa"/>
            <w:vAlign w:val="center"/>
          </w:tcPr>
          <w:p>
            <w:pPr>
              <w:spacing w:line="280" w:lineRule="exact"/>
              <w:jc w:val="center"/>
              <w:rPr>
                <w:rFonts w:ascii="Times New Roman" w:hAnsi="Times New Roman"/>
              </w:rPr>
            </w:pPr>
            <w:r>
              <w:rPr>
                <w:rFonts w:hint="eastAsia" w:ascii="Times New Roman" w:hAnsi="Times New Roman"/>
              </w:rPr>
              <w:t>分散式饮用水水源地</w:t>
            </w:r>
          </w:p>
        </w:tc>
        <w:tc>
          <w:tcPr>
            <w:tcW w:w="2643" w:type="dxa"/>
            <w:vAlign w:val="center"/>
          </w:tcPr>
          <w:p>
            <w:pPr>
              <w:jc w:val="center"/>
              <w:rPr>
                <w:rFonts w:ascii="Times New Roman" w:hAnsi="Times New Roman"/>
              </w:rPr>
            </w:pPr>
            <w:r>
              <w:rPr>
                <w:rFonts w:hint="eastAsia" w:ascii="Times New Roman" w:hAnsi="Times New Roman"/>
              </w:rPr>
              <w:t>饮用水安全</w:t>
            </w:r>
          </w:p>
        </w:tc>
        <w:tc>
          <w:tcPr>
            <w:tcW w:w="2193" w:type="dxa"/>
            <w:vMerge w:val="restart"/>
            <w:vAlign w:val="center"/>
          </w:tcPr>
          <w:p>
            <w:pPr>
              <w:pStyle w:val="423"/>
              <w:spacing w:line="280" w:lineRule="exact"/>
              <w:jc w:val="center"/>
              <w:rPr>
                <w:rFonts w:ascii="Times New Roman" w:hAnsi="Times New Roman" w:cs="Times New Roman"/>
                <w:snapToGrid w:val="0"/>
                <w:color w:val="auto"/>
                <w:sz w:val="21"/>
                <w:szCs w:val="21"/>
              </w:rPr>
            </w:pPr>
            <w:r>
              <w:rPr>
                <w:rFonts w:ascii="Times New Roman" w:hAnsi="Times New Roman"/>
                <w:color w:val="auto"/>
                <w:sz w:val="21"/>
                <w:szCs w:val="21"/>
              </w:rPr>
              <w:t>地下水质量标准》（GB/T14848-2017）III类标准</w:t>
            </w:r>
          </w:p>
        </w:tc>
        <w:tc>
          <w:tcPr>
            <w:tcW w:w="1167" w:type="dxa"/>
            <w:vAlign w:val="center"/>
          </w:tcPr>
          <w:p>
            <w:pPr>
              <w:spacing w:line="280" w:lineRule="exact"/>
              <w:jc w:val="center"/>
              <w:rPr>
                <w:rFonts w:ascii="Times New Roman" w:hAnsi="Times New Roman"/>
              </w:rPr>
            </w:pPr>
            <w:r>
              <w:rPr>
                <w:rFonts w:hint="eastAsia" w:ascii="Times New Roman" w:hAnsi="Times New Roman"/>
              </w:rPr>
              <w:t>S</w:t>
            </w:r>
          </w:p>
        </w:tc>
        <w:tc>
          <w:tcPr>
            <w:tcW w:w="1395" w:type="dxa"/>
            <w:vAlign w:val="center"/>
          </w:tcPr>
          <w:p>
            <w:pPr>
              <w:jc w:val="center"/>
              <w:rPr>
                <w:rFonts w:ascii="Times New Roman" w:hAnsi="Times New Roman"/>
              </w:rPr>
            </w:pPr>
            <w:r>
              <w:rPr>
                <w:rFonts w:hint="eastAsia" w:ascii="Times New Roman" w:hAnsi="Times New Roman"/>
              </w:rPr>
              <w:t>8</w:t>
            </w:r>
            <w:r>
              <w:rPr>
                <w:rFonts w:ascii="Times New Roman" w:hAnsi="Times New Roman"/>
              </w:rPr>
              <w:t>84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76" w:type="dxa"/>
            <w:vMerge w:val="continue"/>
            <w:vAlign w:val="center"/>
          </w:tcPr>
          <w:p>
            <w:pPr>
              <w:spacing w:line="280" w:lineRule="exact"/>
              <w:jc w:val="center"/>
              <w:rPr>
                <w:rFonts w:ascii="Times New Roman" w:hAnsi="Times New Roman"/>
              </w:rPr>
            </w:pPr>
          </w:p>
        </w:tc>
        <w:tc>
          <w:tcPr>
            <w:tcW w:w="1681" w:type="dxa"/>
            <w:vAlign w:val="center"/>
          </w:tcPr>
          <w:p>
            <w:pPr>
              <w:spacing w:line="280" w:lineRule="exact"/>
              <w:jc w:val="center"/>
              <w:rPr>
                <w:rFonts w:ascii="Times New Roman" w:hAnsi="Times New Roman"/>
              </w:rPr>
            </w:pPr>
            <w:r>
              <w:rPr>
                <w:rFonts w:ascii="Times New Roman" w:hAnsi="Times New Roman"/>
                <w:kern w:val="2"/>
                <w:szCs w:val="24"/>
              </w:rPr>
              <w:t>红星五队饮用水水源井</w:t>
            </w:r>
          </w:p>
        </w:tc>
        <w:tc>
          <w:tcPr>
            <w:tcW w:w="1041" w:type="dxa"/>
            <w:vAlign w:val="center"/>
          </w:tcPr>
          <w:p>
            <w:pPr>
              <w:spacing w:line="280" w:lineRule="exact"/>
              <w:jc w:val="center"/>
              <w:rPr>
                <w:rFonts w:ascii="Times New Roman" w:hAnsi="Times New Roman"/>
              </w:rPr>
            </w:pPr>
            <w:r>
              <w:rPr>
                <w:rFonts w:ascii="Times New Roman" w:hAnsi="Times New Roman"/>
              </w:rPr>
              <w:t>5168602</w:t>
            </w:r>
          </w:p>
        </w:tc>
        <w:tc>
          <w:tcPr>
            <w:tcW w:w="1144" w:type="dxa"/>
            <w:vAlign w:val="center"/>
          </w:tcPr>
          <w:p>
            <w:pPr>
              <w:spacing w:line="280" w:lineRule="exact"/>
              <w:jc w:val="center"/>
              <w:rPr>
                <w:rFonts w:ascii="Times New Roman" w:hAnsi="Times New Roman"/>
              </w:rPr>
            </w:pPr>
            <w:r>
              <w:rPr>
                <w:rFonts w:ascii="Times New Roman" w:hAnsi="Times New Roman"/>
              </w:rPr>
              <w:t>44447448</w:t>
            </w:r>
          </w:p>
        </w:tc>
        <w:tc>
          <w:tcPr>
            <w:tcW w:w="1104" w:type="dxa"/>
            <w:vAlign w:val="center"/>
          </w:tcPr>
          <w:p>
            <w:pPr>
              <w:spacing w:line="280" w:lineRule="exact"/>
              <w:jc w:val="center"/>
              <w:rPr>
                <w:rFonts w:ascii="Times New Roman" w:hAnsi="Times New Roman"/>
              </w:rPr>
            </w:pPr>
            <w:r>
              <w:rPr>
                <w:rFonts w:hint="eastAsia" w:ascii="Times New Roman" w:hAnsi="Times New Roman"/>
              </w:rPr>
              <w:t>分散式饮用水水源地</w:t>
            </w:r>
          </w:p>
        </w:tc>
        <w:tc>
          <w:tcPr>
            <w:tcW w:w="2643" w:type="dxa"/>
            <w:vAlign w:val="center"/>
          </w:tcPr>
          <w:p>
            <w:pPr>
              <w:jc w:val="center"/>
              <w:rPr>
                <w:rFonts w:ascii="Times New Roman" w:hAnsi="Times New Roman"/>
              </w:rPr>
            </w:pPr>
            <w:r>
              <w:rPr>
                <w:rFonts w:hint="eastAsia" w:ascii="Times New Roman" w:hAnsi="Times New Roman"/>
              </w:rPr>
              <w:t>饮用水安全</w:t>
            </w:r>
          </w:p>
        </w:tc>
        <w:tc>
          <w:tcPr>
            <w:tcW w:w="2193" w:type="dxa"/>
            <w:vMerge w:val="continue"/>
            <w:vAlign w:val="center"/>
          </w:tcPr>
          <w:p>
            <w:pPr>
              <w:pStyle w:val="423"/>
              <w:spacing w:line="280" w:lineRule="exact"/>
              <w:jc w:val="center"/>
              <w:rPr>
                <w:rFonts w:ascii="Times New Roman" w:hAnsi="Times New Roman" w:cs="Times New Roman"/>
                <w:snapToGrid w:val="0"/>
                <w:color w:val="auto"/>
                <w:sz w:val="21"/>
                <w:szCs w:val="21"/>
              </w:rPr>
            </w:pPr>
          </w:p>
        </w:tc>
        <w:tc>
          <w:tcPr>
            <w:tcW w:w="1167" w:type="dxa"/>
            <w:vAlign w:val="center"/>
          </w:tcPr>
          <w:p>
            <w:pPr>
              <w:spacing w:line="280" w:lineRule="exact"/>
              <w:jc w:val="center"/>
              <w:rPr>
                <w:rFonts w:ascii="Times New Roman" w:hAnsi="Times New Roman"/>
              </w:rPr>
            </w:pPr>
            <w:r>
              <w:rPr>
                <w:rFonts w:hint="eastAsia" w:ascii="Times New Roman" w:hAnsi="Times New Roman"/>
              </w:rPr>
              <w:t>N</w:t>
            </w:r>
          </w:p>
        </w:tc>
        <w:tc>
          <w:tcPr>
            <w:tcW w:w="1395" w:type="dxa"/>
            <w:vAlign w:val="center"/>
          </w:tcPr>
          <w:p>
            <w:pPr>
              <w:jc w:val="center"/>
              <w:rPr>
                <w:rFonts w:ascii="Times New Roman" w:hAnsi="Times New Roman"/>
              </w:rPr>
            </w:pPr>
            <w:r>
              <w:rPr>
                <w:rFonts w:hint="eastAsia" w:ascii="Times New Roman" w:hAnsi="Times New Roman"/>
              </w:rPr>
              <w:t>2</w:t>
            </w:r>
            <w:r>
              <w:rPr>
                <w:rFonts w:ascii="Times New Roman" w:hAnsi="Times New Roman"/>
              </w:rPr>
              <w:t>066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76" w:type="dxa"/>
            <w:vAlign w:val="center"/>
          </w:tcPr>
          <w:p>
            <w:pPr>
              <w:spacing w:line="280" w:lineRule="exact"/>
              <w:jc w:val="center"/>
              <w:rPr>
                <w:rFonts w:ascii="Times New Roman" w:hAnsi="Times New Roman"/>
              </w:rPr>
            </w:pPr>
            <w:r>
              <w:rPr>
                <w:rFonts w:hint="eastAsia" w:ascii="Times New Roman" w:hAnsi="Times New Roman"/>
              </w:rPr>
              <w:t>土壤</w:t>
            </w:r>
          </w:p>
        </w:tc>
        <w:tc>
          <w:tcPr>
            <w:tcW w:w="3866" w:type="dxa"/>
            <w:gridSpan w:val="3"/>
            <w:vAlign w:val="center"/>
          </w:tcPr>
          <w:p>
            <w:pPr>
              <w:spacing w:line="280" w:lineRule="exact"/>
              <w:jc w:val="center"/>
              <w:rPr>
                <w:rFonts w:ascii="Times New Roman" w:hAnsi="Times New Roman"/>
              </w:rPr>
            </w:pPr>
            <w:r>
              <w:rPr>
                <w:rFonts w:hint="eastAsia" w:ascii="Times New Roman" w:hAnsi="Times New Roman"/>
              </w:rPr>
              <w:t>厂界外延2</w:t>
            </w:r>
            <w:r>
              <w:rPr>
                <w:rFonts w:ascii="Times New Roman" w:hAnsi="Times New Roman"/>
              </w:rPr>
              <w:t>00</w:t>
            </w:r>
            <w:r>
              <w:rPr>
                <w:rFonts w:hint="eastAsia" w:ascii="Times New Roman" w:hAnsi="Times New Roman"/>
              </w:rPr>
              <w:t>m范围内的天然林（北侧、南侧和西侧）</w:t>
            </w:r>
          </w:p>
        </w:tc>
        <w:tc>
          <w:tcPr>
            <w:tcW w:w="1104" w:type="dxa"/>
            <w:vAlign w:val="center"/>
          </w:tcPr>
          <w:p>
            <w:pPr>
              <w:spacing w:line="280" w:lineRule="exact"/>
              <w:jc w:val="center"/>
              <w:rPr>
                <w:rFonts w:ascii="Times New Roman" w:hAnsi="Times New Roman"/>
              </w:rPr>
            </w:pPr>
            <w:r>
              <w:rPr>
                <w:rFonts w:hint="eastAsia" w:ascii="Times New Roman" w:hAnsi="Times New Roman"/>
              </w:rPr>
              <w:t>天然林</w:t>
            </w:r>
          </w:p>
        </w:tc>
        <w:tc>
          <w:tcPr>
            <w:tcW w:w="2643" w:type="dxa"/>
            <w:vAlign w:val="center"/>
          </w:tcPr>
          <w:p>
            <w:pPr>
              <w:jc w:val="center"/>
              <w:rPr>
                <w:rFonts w:ascii="Times New Roman" w:hAnsi="Times New Roman"/>
              </w:rPr>
            </w:pPr>
            <w:r>
              <w:rPr>
                <w:rFonts w:hint="eastAsia" w:ascii="Times New Roman" w:hAnsi="Times New Roman"/>
              </w:rPr>
              <w:t>天然林土壤</w:t>
            </w:r>
          </w:p>
        </w:tc>
        <w:tc>
          <w:tcPr>
            <w:tcW w:w="4755" w:type="dxa"/>
            <w:gridSpan w:val="3"/>
            <w:vAlign w:val="center"/>
          </w:tcPr>
          <w:p>
            <w:pPr>
              <w:jc w:val="center"/>
              <w:rPr>
                <w:rFonts w:ascii="Times New Roman" w:hAnsi="Times New Roman"/>
              </w:rPr>
            </w:pPr>
            <w:r>
              <w:rPr>
                <w:rFonts w:hint="eastAsia" w:ascii="Times New Roman" w:hAnsi="Times New Roman"/>
              </w:rPr>
              <w:t>/</w:t>
            </w:r>
          </w:p>
        </w:tc>
      </w:tr>
    </w:tbl>
    <w:p>
      <w:pPr>
        <w:pStyle w:val="14"/>
        <w:ind w:left="0" w:leftChars="0"/>
        <w:sectPr>
          <w:pgSz w:w="16838" w:h="11906" w:orient="landscape"/>
          <w:pgMar w:top="1440" w:right="1797" w:bottom="1440" w:left="1797" w:header="851" w:footer="850" w:gutter="0"/>
          <w:cols w:space="720" w:num="1"/>
          <w:docGrid w:linePitch="312" w:charSpace="0"/>
        </w:sectPr>
      </w:pPr>
      <w:r>
        <w:rPr>
          <w:rFonts w:hint="eastAsia"/>
        </w:rPr>
        <w:t>备注：坐标使用C</w:t>
      </w:r>
      <w:r>
        <w:t>GCS2000</w:t>
      </w:r>
      <w:r>
        <w:rPr>
          <w:rFonts w:hint="eastAsia"/>
        </w:rPr>
        <w:t>大地坐标。</w:t>
      </w:r>
    </w:p>
    <w:p>
      <w:pPr>
        <w:pStyle w:val="2"/>
        <w:numPr>
          <w:ilvl w:val="0"/>
          <w:numId w:val="2"/>
        </w:numPr>
        <w:ind w:left="0"/>
        <w:jc w:val="both"/>
        <w:rPr>
          <w:color w:val="auto"/>
        </w:rPr>
      </w:pPr>
      <w:bookmarkStart w:id="431" w:name="_Toc116379702"/>
      <w:r>
        <w:rPr>
          <w:color w:val="auto"/>
        </w:rPr>
        <w:t>建设项目工程分析</w:t>
      </w:r>
      <w:bookmarkEnd w:id="431"/>
    </w:p>
    <w:p>
      <w:pPr>
        <w:pStyle w:val="3"/>
        <w:spacing w:before="120" w:beforeLines="50" w:after="120" w:afterLines="50" w:line="480" w:lineRule="exact"/>
        <w:rPr>
          <w:rFonts w:ascii="Times New Roman" w:hAnsi="Times New Roman" w:eastAsia="黑体"/>
          <w:sz w:val="30"/>
          <w:szCs w:val="30"/>
        </w:rPr>
      </w:pPr>
      <w:bookmarkStart w:id="432" w:name="_Toc25507"/>
      <w:bookmarkStart w:id="433" w:name="_Toc116379703"/>
      <w:r>
        <w:rPr>
          <w:rFonts w:ascii="Times New Roman" w:hAnsi="Times New Roman" w:eastAsia="黑体"/>
          <w:sz w:val="30"/>
          <w:szCs w:val="30"/>
        </w:rPr>
        <w:t>现有工程</w:t>
      </w:r>
      <w:bookmarkEnd w:id="432"/>
      <w:bookmarkEnd w:id="433"/>
    </w:p>
    <w:p>
      <w:pPr>
        <w:pStyle w:val="4"/>
        <w:spacing w:before="120" w:beforeLines="50" w:after="120" w:afterLines="50" w:line="480" w:lineRule="exact"/>
        <w:rPr>
          <w:rFonts w:ascii="Times New Roman" w:hAnsi="Times New Roman" w:eastAsia="黑体"/>
          <w:bCs/>
          <w:sz w:val="28"/>
          <w:szCs w:val="28"/>
        </w:rPr>
      </w:pPr>
      <w:bookmarkStart w:id="434" w:name="_Toc5876"/>
      <w:bookmarkStart w:id="435" w:name="_Toc31375"/>
      <w:bookmarkStart w:id="436" w:name="_Toc7384"/>
      <w:bookmarkStart w:id="437" w:name="_Toc19114"/>
      <w:bookmarkStart w:id="438" w:name="_Toc24982"/>
      <w:r>
        <w:rPr>
          <w:rFonts w:ascii="Times New Roman" w:hAnsi="Times New Roman" w:eastAsia="黑体"/>
          <w:bCs/>
          <w:sz w:val="28"/>
          <w:szCs w:val="28"/>
        </w:rPr>
        <w:t>现有</w:t>
      </w:r>
      <w:bookmarkEnd w:id="434"/>
      <w:bookmarkEnd w:id="435"/>
      <w:bookmarkEnd w:id="436"/>
      <w:bookmarkEnd w:id="437"/>
      <w:r>
        <w:rPr>
          <w:rFonts w:ascii="Times New Roman" w:hAnsi="Times New Roman" w:eastAsia="黑体"/>
          <w:bCs/>
          <w:sz w:val="28"/>
          <w:szCs w:val="28"/>
        </w:rPr>
        <w:t>工程概况</w:t>
      </w:r>
      <w:bookmarkEnd w:id="438"/>
    </w:p>
    <w:p>
      <w:pPr>
        <w:spacing w:line="480" w:lineRule="exact"/>
        <w:ind w:firstLine="480" w:firstLineChars="200"/>
        <w:rPr>
          <w:rFonts w:ascii="Times New Roman" w:hAnsi="Times New Roman"/>
          <w:sz w:val="24"/>
          <w:szCs w:val="24"/>
        </w:rPr>
      </w:pPr>
      <w:r>
        <w:rPr>
          <w:rFonts w:ascii="Times New Roman" w:hAnsi="Times New Roman"/>
          <w:sz w:val="24"/>
          <w:szCs w:val="24"/>
        </w:rPr>
        <w:t>（1）项目名称：双鸭山市医疗废物集中处置工程。</w:t>
      </w:r>
    </w:p>
    <w:p>
      <w:pPr>
        <w:spacing w:line="480" w:lineRule="exact"/>
        <w:ind w:firstLine="480" w:firstLineChars="200"/>
        <w:rPr>
          <w:rFonts w:ascii="Times New Roman" w:hAnsi="Times New Roman"/>
          <w:sz w:val="24"/>
          <w:szCs w:val="24"/>
        </w:rPr>
      </w:pPr>
      <w:r>
        <w:rPr>
          <w:rFonts w:ascii="Times New Roman" w:hAnsi="Times New Roman"/>
          <w:sz w:val="24"/>
          <w:szCs w:val="24"/>
        </w:rPr>
        <w:t>（2）建设单位：双鸭山市大地城市建设投资有限公司。</w:t>
      </w:r>
      <w:r>
        <w:rPr>
          <w:rFonts w:hint="eastAsia" w:ascii="Times New Roman" w:hAnsi="Times New Roman"/>
          <w:sz w:val="24"/>
          <w:szCs w:val="24"/>
        </w:rPr>
        <w:t>大地城市建设公司属于双鸭山城投公司代表政府，新建现有项目时是大地城市建设公司建设的。翁氏环保属于租赁代经营30年。</w:t>
      </w:r>
    </w:p>
    <w:p>
      <w:pPr>
        <w:spacing w:line="480" w:lineRule="exact"/>
        <w:ind w:firstLine="480" w:firstLineChars="200"/>
        <w:rPr>
          <w:rFonts w:ascii="Times New Roman" w:hAnsi="Times New Roman"/>
          <w:sz w:val="24"/>
          <w:szCs w:val="24"/>
        </w:rPr>
      </w:pPr>
      <w:r>
        <w:rPr>
          <w:rFonts w:ascii="Times New Roman" w:hAnsi="Times New Roman"/>
          <w:sz w:val="24"/>
          <w:szCs w:val="24"/>
        </w:rPr>
        <w:t>（3）建成时间：2012年4月建成。</w:t>
      </w:r>
    </w:p>
    <w:p>
      <w:pPr>
        <w:pStyle w:val="528"/>
        <w:spacing w:before="0" w:after="0" w:line="480" w:lineRule="exact"/>
        <w:ind w:firstLine="480" w:firstLineChars="200"/>
        <w:rPr>
          <w:rFonts w:cs="Times New Roman"/>
          <w:szCs w:val="24"/>
        </w:rPr>
      </w:pPr>
      <w:r>
        <w:rPr>
          <w:rFonts w:cs="Times New Roman"/>
          <w:szCs w:val="24"/>
        </w:rPr>
        <w:t>（4）建设地点：</w:t>
      </w:r>
      <w:r>
        <w:rPr>
          <w:rFonts w:cs="Times New Roman"/>
        </w:rPr>
        <w:t>双鸭山市四方台梨花盖子沟垃圾处理场院内</w:t>
      </w:r>
      <w:r>
        <w:rPr>
          <w:rFonts w:cs="Times New Roman"/>
          <w:szCs w:val="24"/>
        </w:rPr>
        <w:t>。</w:t>
      </w:r>
    </w:p>
    <w:p>
      <w:pPr>
        <w:pStyle w:val="528"/>
        <w:spacing w:before="0" w:after="0" w:line="480" w:lineRule="exact"/>
        <w:ind w:firstLine="480" w:firstLineChars="200"/>
        <w:rPr>
          <w:rFonts w:cs="Times New Roman"/>
          <w:szCs w:val="24"/>
        </w:rPr>
      </w:pPr>
      <w:r>
        <w:rPr>
          <w:rFonts w:cs="Times New Roman"/>
          <w:szCs w:val="24"/>
        </w:rPr>
        <w:t>（5）占地面积：</w:t>
      </w:r>
      <w:r>
        <w:rPr>
          <w:rFonts w:cs="Times New Roman"/>
        </w:rPr>
        <w:t>3093m</w:t>
      </w:r>
      <w:r>
        <w:rPr>
          <w:rFonts w:cs="Times New Roman"/>
          <w:vertAlign w:val="superscript"/>
        </w:rPr>
        <w:t>2</w:t>
      </w:r>
      <w:r>
        <w:rPr>
          <w:rFonts w:cs="Times New Roman"/>
        </w:rPr>
        <w:t>。</w:t>
      </w:r>
    </w:p>
    <w:p>
      <w:pPr>
        <w:pStyle w:val="155"/>
        <w:spacing w:line="480" w:lineRule="exact"/>
        <w:ind w:firstLine="480"/>
        <w:rPr>
          <w:szCs w:val="24"/>
        </w:rPr>
      </w:pPr>
      <w:r>
        <w:rPr>
          <w:szCs w:val="24"/>
        </w:rPr>
        <w:t>（6）建设内容：</w:t>
      </w:r>
      <w:r>
        <w:t>现有工程</w:t>
      </w:r>
      <w:r>
        <w:rPr>
          <w:szCs w:val="24"/>
        </w:rPr>
        <w:t>建设一条3t/d医疗废物生产线的“微波+蒸汽”灭菌处理设施及相应配套设施，主要包括暂存间、运输系统、收集系统、消毒清洗系统。</w:t>
      </w:r>
    </w:p>
    <w:p>
      <w:pPr>
        <w:pStyle w:val="528"/>
        <w:spacing w:before="0" w:after="0" w:line="480" w:lineRule="exact"/>
        <w:ind w:firstLine="480" w:firstLineChars="200"/>
        <w:rPr>
          <w:rFonts w:cs="Times New Roman"/>
          <w:szCs w:val="24"/>
        </w:rPr>
      </w:pPr>
      <w:r>
        <w:rPr>
          <w:rFonts w:cs="Times New Roman"/>
          <w:szCs w:val="24"/>
        </w:rPr>
        <w:t>（7）处置方案：</w:t>
      </w:r>
      <w:r>
        <w:rPr>
          <w:rFonts w:cs="Times New Roman"/>
        </w:rPr>
        <w:t>现有工程</w:t>
      </w:r>
      <w:r>
        <w:rPr>
          <w:rFonts w:cs="Times New Roman"/>
          <w:szCs w:val="24"/>
        </w:rPr>
        <w:t>采用“微波+蒸汽”灭菌处理医疗废物（感染性废物和操作性废物），不含放射性废物、带压/密闭器具、麻醉、精神性、细胞毒性药品、病理性废物、药物性废物、化学性废物、处理汞和挥发性有机物含量较高的医疗废物、可重复使用的医疗器械的消毒或灭菌。</w:t>
      </w:r>
    </w:p>
    <w:p>
      <w:pPr>
        <w:pStyle w:val="528"/>
        <w:spacing w:before="0" w:after="0" w:line="480" w:lineRule="exact"/>
        <w:ind w:firstLine="480" w:firstLineChars="200"/>
        <w:rPr>
          <w:rFonts w:cs="Times New Roman"/>
          <w:szCs w:val="24"/>
        </w:rPr>
      </w:pPr>
      <w:r>
        <w:rPr>
          <w:rFonts w:cs="Times New Roman"/>
          <w:szCs w:val="24"/>
        </w:rPr>
        <w:t>（8）服务范围：</w:t>
      </w:r>
      <w:r>
        <w:rPr>
          <w:rFonts w:cs="Times New Roman"/>
        </w:rPr>
        <w:t>现有工程</w:t>
      </w:r>
      <w:r>
        <w:rPr>
          <w:rFonts w:cs="Times New Roman"/>
          <w:szCs w:val="24"/>
        </w:rPr>
        <w:t>服务范围为双鸭山市。</w:t>
      </w:r>
    </w:p>
    <w:p>
      <w:pPr>
        <w:pStyle w:val="528"/>
        <w:spacing w:before="0" w:after="0" w:line="480" w:lineRule="exact"/>
        <w:ind w:firstLine="480" w:firstLineChars="200"/>
        <w:rPr>
          <w:rFonts w:cs="Times New Roman"/>
          <w:szCs w:val="24"/>
        </w:rPr>
      </w:pPr>
      <w:r>
        <w:rPr>
          <w:rFonts w:cs="Times New Roman"/>
          <w:szCs w:val="24"/>
        </w:rPr>
        <w:t>（9）劳动定员及生产制度：</w:t>
      </w:r>
      <w:r>
        <w:rPr>
          <w:rFonts w:cs="Times New Roman"/>
        </w:rPr>
        <w:t>现有工程</w:t>
      </w:r>
      <w:r>
        <w:rPr>
          <w:rFonts w:cs="Times New Roman"/>
          <w:szCs w:val="24"/>
        </w:rPr>
        <w:t>工作人员30人，实行2班制，每班工作8h，年工作日为365天。</w:t>
      </w:r>
    </w:p>
    <w:p>
      <w:pPr>
        <w:pStyle w:val="528"/>
        <w:spacing w:before="0" w:after="0" w:line="480" w:lineRule="exact"/>
        <w:ind w:firstLine="480" w:firstLineChars="200"/>
        <w:rPr>
          <w:rFonts w:cs="Times New Roman"/>
          <w:szCs w:val="24"/>
        </w:rPr>
      </w:pPr>
      <w:r>
        <w:rPr>
          <w:rFonts w:cs="Times New Roman"/>
          <w:szCs w:val="24"/>
        </w:rPr>
        <w:t>（10）周围环境：项目厂区北侧、南侧和西侧为树林，东侧为填埋场飞灰固化区。</w:t>
      </w:r>
    </w:p>
    <w:p>
      <w:pPr>
        <w:pStyle w:val="528"/>
        <w:spacing w:before="0" w:after="0" w:line="480" w:lineRule="exact"/>
        <w:ind w:firstLine="480" w:firstLineChars="200"/>
        <w:rPr>
          <w:rFonts w:cs="Times New Roman"/>
          <w:szCs w:val="24"/>
        </w:rPr>
      </w:pPr>
      <w:r>
        <w:rPr>
          <w:rFonts w:hint="eastAsia" w:cs="Times New Roman"/>
          <w:szCs w:val="24"/>
        </w:rPr>
        <w:t>（1</w:t>
      </w:r>
      <w:r>
        <w:rPr>
          <w:rFonts w:cs="Times New Roman"/>
          <w:szCs w:val="24"/>
        </w:rPr>
        <w:t>1</w:t>
      </w:r>
      <w:r>
        <w:rPr>
          <w:rFonts w:hint="eastAsia" w:cs="Times New Roman"/>
          <w:szCs w:val="24"/>
        </w:rPr>
        <w:t>）环保手续履行情况：</w:t>
      </w:r>
    </w:p>
    <w:p>
      <w:pPr>
        <w:pStyle w:val="65"/>
        <w:spacing w:line="480" w:lineRule="exact"/>
        <w:ind w:left="0" w:firstLine="480" w:firstLineChars="200"/>
        <w:jc w:val="both"/>
        <w:rPr>
          <w:smallCaps w:val="0"/>
          <w:sz w:val="24"/>
          <w:szCs w:val="24"/>
        </w:rPr>
      </w:pPr>
      <w:r>
        <w:rPr>
          <w:smallCaps w:val="0"/>
          <w:sz w:val="24"/>
          <w:szCs w:val="24"/>
        </w:rPr>
        <w:t>2007年6月双鸭山市大地城市建设开发投资有限公司委托黑龙江省环境保护科学研究院编制《双鸭山市医疗废物集中处置工程环境影响报告书》，2007年9月15日取得了黑龙江省环境保护厅《关于黑龙江省双鸭山市医疗废物集中处置工程环境影响报告书的批复》（黑环函[2007]284号）。</w:t>
      </w:r>
    </w:p>
    <w:p>
      <w:pPr>
        <w:pStyle w:val="65"/>
        <w:spacing w:line="480" w:lineRule="exact"/>
        <w:ind w:left="0" w:firstLine="480" w:firstLineChars="200"/>
        <w:jc w:val="both"/>
        <w:rPr>
          <w:smallCaps w:val="0"/>
          <w:sz w:val="24"/>
          <w:szCs w:val="24"/>
        </w:rPr>
      </w:pPr>
      <w:r>
        <w:rPr>
          <w:smallCaps w:val="0"/>
          <w:sz w:val="24"/>
          <w:szCs w:val="24"/>
        </w:rPr>
        <w:t>2012年4月黑龙江省环境保护厅组织双鸭山市环境保护局对项目进行了竣工环境保护验收现场检查，2012年7月26日取得了黑龙江省环境保护厅《关于双鸭山市医疗废物处置工程项目竣工环境保护验收意见的函》（黑环验[2012]99号）。</w:t>
      </w:r>
    </w:p>
    <w:p>
      <w:pPr>
        <w:pStyle w:val="65"/>
        <w:spacing w:line="480" w:lineRule="exact"/>
        <w:ind w:left="0" w:firstLine="480" w:firstLineChars="200"/>
        <w:jc w:val="both"/>
        <w:rPr>
          <w:smallCaps w:val="0"/>
          <w:sz w:val="24"/>
          <w:szCs w:val="24"/>
        </w:rPr>
      </w:pPr>
      <w:r>
        <w:rPr>
          <w:smallCaps w:val="0"/>
          <w:sz w:val="24"/>
          <w:szCs w:val="24"/>
        </w:rPr>
        <w:t>2013</w:t>
      </w:r>
      <w:r>
        <w:rPr>
          <w:rFonts w:hint="eastAsia"/>
          <w:smallCaps w:val="0"/>
          <w:sz w:val="24"/>
          <w:szCs w:val="24"/>
        </w:rPr>
        <w:t>年3月1</w:t>
      </w:r>
      <w:r>
        <w:rPr>
          <w:smallCaps w:val="0"/>
          <w:sz w:val="24"/>
          <w:szCs w:val="24"/>
        </w:rPr>
        <w:t>8</w:t>
      </w:r>
      <w:r>
        <w:rPr>
          <w:rFonts w:hint="eastAsia"/>
          <w:smallCaps w:val="0"/>
          <w:sz w:val="24"/>
          <w:szCs w:val="24"/>
        </w:rPr>
        <w:t>日初次取得了医疗废物经营许可证，由于初次领证时日期打印错误，于2</w:t>
      </w:r>
      <w:r>
        <w:rPr>
          <w:smallCaps w:val="0"/>
          <w:sz w:val="24"/>
          <w:szCs w:val="24"/>
        </w:rPr>
        <w:t>018</w:t>
      </w:r>
      <w:r>
        <w:rPr>
          <w:rFonts w:hint="eastAsia"/>
          <w:smallCaps w:val="0"/>
          <w:sz w:val="24"/>
          <w:szCs w:val="24"/>
        </w:rPr>
        <w:t>年3月1</w:t>
      </w:r>
      <w:r>
        <w:rPr>
          <w:smallCaps w:val="0"/>
          <w:sz w:val="24"/>
          <w:szCs w:val="24"/>
        </w:rPr>
        <w:t>6</w:t>
      </w:r>
      <w:r>
        <w:rPr>
          <w:rFonts w:hint="eastAsia"/>
          <w:smallCaps w:val="0"/>
          <w:sz w:val="24"/>
          <w:szCs w:val="24"/>
        </w:rPr>
        <w:t>日，更换并取得了双鸭山市生态环境局发放的医疗废物经营许可证，证书编号为2</w:t>
      </w:r>
      <w:r>
        <w:rPr>
          <w:smallCaps w:val="0"/>
          <w:sz w:val="24"/>
          <w:szCs w:val="24"/>
        </w:rPr>
        <w:t>305051301</w:t>
      </w:r>
      <w:r>
        <w:rPr>
          <w:rFonts w:hint="eastAsia"/>
          <w:smallCaps w:val="0"/>
          <w:sz w:val="24"/>
          <w:szCs w:val="24"/>
        </w:rPr>
        <w:t>。</w:t>
      </w:r>
    </w:p>
    <w:p>
      <w:pPr>
        <w:pStyle w:val="65"/>
        <w:spacing w:line="480" w:lineRule="exact"/>
        <w:ind w:left="0" w:firstLine="480" w:firstLineChars="200"/>
        <w:jc w:val="both"/>
        <w:rPr>
          <w:smallCaps w:val="0"/>
          <w:sz w:val="24"/>
          <w:szCs w:val="24"/>
        </w:rPr>
      </w:pPr>
      <w:r>
        <w:rPr>
          <w:rFonts w:hint="eastAsia"/>
          <w:smallCaps w:val="0"/>
          <w:sz w:val="24"/>
          <w:szCs w:val="24"/>
        </w:rPr>
        <w:t>2019年9月20日，</w:t>
      </w:r>
      <w:r>
        <w:rPr>
          <w:smallCaps w:val="0"/>
          <w:sz w:val="24"/>
          <w:szCs w:val="24"/>
        </w:rPr>
        <w:t>取得了</w:t>
      </w:r>
      <w:r>
        <w:rPr>
          <w:rFonts w:hint="eastAsia"/>
          <w:smallCaps w:val="0"/>
          <w:sz w:val="24"/>
          <w:szCs w:val="24"/>
        </w:rPr>
        <w:t>双鸭山市环境保护局</w:t>
      </w:r>
      <w:r>
        <w:rPr>
          <w:smallCaps w:val="0"/>
          <w:sz w:val="24"/>
          <w:szCs w:val="24"/>
        </w:rPr>
        <w:t>《</w:t>
      </w:r>
      <w:r>
        <w:rPr>
          <w:rFonts w:hint="eastAsia"/>
          <w:smallCaps w:val="0"/>
          <w:sz w:val="24"/>
          <w:szCs w:val="24"/>
        </w:rPr>
        <w:t>关于双鸭山市医疗废物集中处置中心扩建项目环境影响报告书的批复</w:t>
      </w:r>
      <w:r>
        <w:rPr>
          <w:smallCaps w:val="0"/>
          <w:sz w:val="24"/>
          <w:szCs w:val="24"/>
        </w:rPr>
        <w:t>》（</w:t>
      </w:r>
      <w:r>
        <w:rPr>
          <w:rFonts w:hint="eastAsia"/>
          <w:smallCaps w:val="0"/>
          <w:sz w:val="24"/>
          <w:szCs w:val="24"/>
        </w:rPr>
        <w:t>双环函〔2019〕79号</w:t>
      </w:r>
      <w:r>
        <w:rPr>
          <w:smallCaps w:val="0"/>
          <w:sz w:val="24"/>
          <w:szCs w:val="24"/>
        </w:rPr>
        <w:t>）。</w:t>
      </w:r>
      <w:r>
        <w:rPr>
          <w:rFonts w:hint="eastAsia"/>
          <w:smallCaps w:val="0"/>
          <w:sz w:val="24"/>
          <w:szCs w:val="24"/>
        </w:rPr>
        <w:t>该项目拟新建高温蒸汽灭菌处理生产线1条，取得批复后，在项目实际建设之前，经建设单位研究，高温蒸汽灭菌设备不适合本项目使用，故未进行相关内容的扩建，也未进行验收。本次扩建采用工艺为高温干热系统，具有高效、环保、低成本的特点，符合世界卫生组织生物医学废物处理技术标准。属于重大变更，故本次扩建重新报批。</w:t>
      </w:r>
    </w:p>
    <w:p>
      <w:pPr>
        <w:pStyle w:val="65"/>
        <w:spacing w:line="480" w:lineRule="exact"/>
        <w:ind w:left="0" w:firstLine="480" w:firstLineChars="200"/>
        <w:jc w:val="both"/>
        <w:rPr>
          <w:smallCaps w:val="0"/>
          <w:sz w:val="24"/>
          <w:szCs w:val="24"/>
        </w:rPr>
      </w:pPr>
      <w:r>
        <w:rPr>
          <w:smallCaps w:val="0"/>
          <w:sz w:val="24"/>
          <w:szCs w:val="24"/>
        </w:rPr>
        <w:t>2019年12月20日，取得了双鸭山市生态环境局关于该项目的排污许可证（证书编号：91230500MA19975B7D001R）。目前企业正在进一步履行排污许可执行报告、台帐、跟踪监测等后续工作。</w:t>
      </w:r>
    </w:p>
    <w:p>
      <w:pPr>
        <w:pStyle w:val="4"/>
        <w:spacing w:before="120" w:beforeLines="50" w:after="120" w:afterLines="50" w:line="480" w:lineRule="exact"/>
        <w:rPr>
          <w:rFonts w:ascii="Times New Roman" w:hAnsi="Times New Roman" w:eastAsia="黑体"/>
          <w:bCs/>
          <w:sz w:val="28"/>
          <w:szCs w:val="28"/>
        </w:rPr>
      </w:pPr>
      <w:bookmarkStart w:id="439" w:name="_Toc7026"/>
      <w:bookmarkStart w:id="440" w:name="_Toc6034"/>
      <w:bookmarkStart w:id="441" w:name="_Toc17667"/>
      <w:bookmarkStart w:id="442" w:name="_Toc24222"/>
      <w:bookmarkStart w:id="443" w:name="_Toc16896"/>
      <w:r>
        <w:rPr>
          <w:rFonts w:hint="eastAsia" w:ascii="Times New Roman" w:hAnsi="Times New Roman" w:eastAsia="黑体"/>
          <w:bCs/>
          <w:sz w:val="28"/>
          <w:szCs w:val="28"/>
        </w:rPr>
        <w:t>现有</w:t>
      </w:r>
      <w:r>
        <w:rPr>
          <w:rFonts w:ascii="Times New Roman" w:hAnsi="Times New Roman" w:eastAsia="黑体"/>
          <w:bCs/>
          <w:sz w:val="28"/>
          <w:szCs w:val="28"/>
        </w:rPr>
        <w:t>工艺流程</w:t>
      </w:r>
      <w:bookmarkEnd w:id="439"/>
      <w:bookmarkEnd w:id="440"/>
      <w:bookmarkEnd w:id="441"/>
      <w:bookmarkEnd w:id="442"/>
      <w:bookmarkEnd w:id="443"/>
    </w:p>
    <w:p>
      <w:pPr>
        <w:pStyle w:val="65"/>
        <w:spacing w:line="480" w:lineRule="exact"/>
        <w:ind w:left="0" w:firstLine="480" w:firstLineChars="200"/>
        <w:jc w:val="both"/>
        <w:rPr>
          <w:smallCaps w:val="0"/>
          <w:sz w:val="24"/>
          <w:szCs w:val="24"/>
        </w:rPr>
      </w:pPr>
      <w:r>
        <w:rPr>
          <w:smallCaps w:val="0"/>
          <w:sz w:val="24"/>
          <w:szCs w:val="24"/>
        </w:rPr>
        <w:t>现有工程工艺流程及产排污节点见图3.1-1。</w:t>
      </w:r>
    </w:p>
    <w:p>
      <w:pPr>
        <w:pStyle w:val="65"/>
        <w:ind w:left="0"/>
        <w:jc w:val="center"/>
      </w:pPr>
      <w:r>
        <w:drawing>
          <wp:inline distT="0" distB="0" distL="114300" distR="114300">
            <wp:extent cx="4701540" cy="2962910"/>
            <wp:effectExtent l="0" t="0" r="3810" b="8890"/>
            <wp:docPr id="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
                    <pic:cNvPicPr>
                      <a:picLocks noChangeAspect="1"/>
                    </pic:cNvPicPr>
                  </pic:nvPicPr>
                  <pic:blipFill>
                    <a:blip r:embed="rId24"/>
                    <a:stretch>
                      <a:fillRect/>
                    </a:stretch>
                  </pic:blipFill>
                  <pic:spPr>
                    <a:xfrm>
                      <a:off x="0" y="0"/>
                      <a:ext cx="4719656" cy="2974473"/>
                    </a:xfrm>
                    <a:prstGeom prst="rect">
                      <a:avLst/>
                    </a:prstGeom>
                    <a:noFill/>
                    <a:ln>
                      <a:noFill/>
                    </a:ln>
                  </pic:spPr>
                </pic:pic>
              </a:graphicData>
            </a:graphic>
          </wp:inline>
        </w:drawing>
      </w:r>
    </w:p>
    <w:p>
      <w:pPr>
        <w:spacing w:line="480" w:lineRule="exact"/>
        <w:jc w:val="center"/>
        <w:rPr>
          <w:rFonts w:ascii="Times New Roman" w:hAnsi="Times New Roman"/>
          <w:b/>
        </w:rPr>
      </w:pPr>
      <w:r>
        <w:rPr>
          <w:rFonts w:ascii="Times New Roman" w:hAnsi="Times New Roman"/>
          <w:b/>
        </w:rPr>
        <w:t>图3.1-1 现有工程工艺流程及产污节点图</w:t>
      </w:r>
    </w:p>
    <w:p>
      <w:pPr>
        <w:pStyle w:val="155"/>
        <w:spacing w:line="480" w:lineRule="exact"/>
        <w:ind w:firstLine="480"/>
      </w:pPr>
      <w:r>
        <w:t>本消毒设备为微波+蒸汽灭菌消毒设备，物料在一个充满饱和蒸汽（压力为3atm），并有微波辐射（频率为2.45GHz）的封闭腔体内被消毒。依靠饱和蒸汽的压力，消毒室内的温度将超过135℃，这是蒸汽和微波共同作用的结果。微波能够作用于物料碎片内部和周围的水分子，因此具有加热功能。电磁场在分子内部引起偶极旋转和离子导电，将能量以热量形式释放出来，从而确保消毒室内每一个角落都能被消毒。</w:t>
      </w:r>
    </w:p>
    <w:p>
      <w:pPr>
        <w:pStyle w:val="155"/>
        <w:numPr>
          <w:ilvl w:val="0"/>
          <w:numId w:val="6"/>
        </w:numPr>
        <w:spacing w:line="480" w:lineRule="exact"/>
        <w:ind w:firstLineChars="0"/>
      </w:pPr>
      <w:r>
        <w:t>进料：控制面板上的灯闪烁，提醒操作人员进料。操作人员按下按钮，进料舱门打开，然后将废物放入提升系统。经过一个设定时间，并发出一个声音警报信号，进料舱门关闭，进料装置提升废物并投入破碎机料斗。装填完毕后，操作人员不再接触特殊废物，后续处理阶段将自动执行，因此废物将不再具有直接感染性。如果采用包装袋进料，需要将包装袋再装入硬质容器里。</w:t>
      </w:r>
    </w:p>
    <w:p>
      <w:pPr>
        <w:pStyle w:val="155"/>
        <w:numPr>
          <w:ilvl w:val="0"/>
          <w:numId w:val="6"/>
        </w:numPr>
        <w:spacing w:line="480" w:lineRule="exact"/>
        <w:ind w:firstLineChars="0"/>
      </w:pPr>
      <w:r>
        <w:t>破碎：从这个阶段开始，所有的废物将与外界完全隔离，所有的处理副产品将被消毒并在内部循环。特殊的传感器确认破碎系统密封关闭，然后才开始操作周期。注意破碎阶段只有在破碎机不透气的情况才开始，因为废物的预处理阶段需要在完全与周围环境隔绝的情况下完成。当料斗清空的时候，破碎阶段完成。废物变成小碎块，准备输送到消毒室。</w:t>
      </w:r>
    </w:p>
    <w:p>
      <w:pPr>
        <w:pStyle w:val="155"/>
        <w:numPr>
          <w:ilvl w:val="0"/>
          <w:numId w:val="6"/>
        </w:numPr>
        <w:spacing w:line="480" w:lineRule="exact"/>
        <w:ind w:firstLineChars="0"/>
      </w:pPr>
      <w:r>
        <w:t>把废物输送到消毒室：废物通过一根与水平夹角45°的卷轴输送到消毒室。物料到达消毒室的入口处，消毒室的入口由截止阀控制，当（输送）时间达到“装载时间”计时器所设定的时限，截止阀关闭，停止装载。 此时消毒阶段的废物和装载阶段的废物被分隔开。</w:t>
      </w:r>
    </w:p>
    <w:p>
      <w:pPr>
        <w:pStyle w:val="155"/>
        <w:numPr>
          <w:ilvl w:val="0"/>
          <w:numId w:val="6"/>
        </w:numPr>
        <w:spacing w:line="480" w:lineRule="exact"/>
        <w:ind w:firstLineChars="0"/>
      </w:pPr>
      <w:r>
        <w:t>消毒：这是整个过程中最重要和最精密的阶段，系统的核心是微波室，执行消毒过程的桶型腔体用来确保磁控管生产的电场分布均匀，以便能够均匀加热进入设备的所有废物。随着蒸汽进入消毒室，消毒过程开始。当蒸汽压达到预先设定值，计算机系统自动切换2个磁控管的开关状态。在消毒周期中，为了使蒸汽能够作用于废物的每个部分，一个内部搅拌系统自动翻动废物。在蒸汽释放之前，这个系统不需要预先抽真空。因此即使存在蒸汽与空气混合，也能够确保消毒彻底。蒸汽和微波的复合作用，能够确保消毒。通过程序，微波发生器能够被激活、合理使用和优化能量传递。发生器产生的微波频率是2.45GHz，因为具有对水分子的特殊效果而选择的频率（这就是在待处理物料中注入水蒸气之所以重要的原因）。消毒室的上端由截止阀控制（直径300mm），前面有一个卸料舱门。每一个密封件可确保端部的气密性。</w:t>
      </w:r>
    </w:p>
    <w:p>
      <w:pPr>
        <w:pStyle w:val="155"/>
        <w:numPr>
          <w:ilvl w:val="0"/>
          <w:numId w:val="6"/>
        </w:numPr>
        <w:spacing w:line="480" w:lineRule="exact"/>
        <w:ind w:firstLineChars="0"/>
      </w:pPr>
      <w:r>
        <w:t>废物的排出：当消毒室打开时，废物排出装置开始转动，并持续一个设定的时间，废物被推入下面的料斗。一个卷轴卸料装置把消毒后的从设备中废物排出，经打包后作为城市固体废物运走。</w:t>
      </w:r>
    </w:p>
    <w:p/>
    <w:p>
      <w:pPr>
        <w:pStyle w:val="4"/>
        <w:spacing w:before="120" w:beforeLines="50" w:after="120" w:afterLines="50" w:line="480" w:lineRule="exact"/>
        <w:rPr>
          <w:rFonts w:ascii="Times New Roman" w:hAnsi="Times New Roman" w:eastAsia="黑体"/>
          <w:bCs/>
          <w:sz w:val="28"/>
          <w:szCs w:val="28"/>
        </w:rPr>
      </w:pPr>
      <w:bookmarkStart w:id="444" w:name="_Toc16642"/>
      <w:r>
        <w:rPr>
          <w:rFonts w:ascii="Times New Roman" w:hAnsi="Times New Roman" w:eastAsia="黑体"/>
          <w:bCs/>
          <w:sz w:val="28"/>
          <w:szCs w:val="28"/>
        </w:rPr>
        <w:t>现有工程项目组成</w:t>
      </w:r>
      <w:bookmarkEnd w:id="444"/>
    </w:p>
    <w:p>
      <w:pPr>
        <w:spacing w:line="480" w:lineRule="exact"/>
        <w:ind w:firstLine="480" w:firstLineChars="200"/>
        <w:rPr>
          <w:rFonts w:ascii="Times New Roman" w:hAnsi="Times New Roman"/>
          <w:sz w:val="24"/>
          <w:szCs w:val="24"/>
        </w:rPr>
      </w:pPr>
      <w:r>
        <w:rPr>
          <w:rFonts w:ascii="Times New Roman" w:hAnsi="Times New Roman"/>
          <w:sz w:val="24"/>
          <w:szCs w:val="24"/>
        </w:rPr>
        <w:t>现有工程建设内容见表3.1-1。</w:t>
      </w:r>
    </w:p>
    <w:p>
      <w:pPr>
        <w:spacing w:line="480" w:lineRule="exact"/>
        <w:jc w:val="center"/>
        <w:rPr>
          <w:rFonts w:ascii="Times New Roman" w:hAnsi="Times New Roman"/>
          <w:b/>
          <w:bCs/>
        </w:rPr>
      </w:pPr>
      <w:r>
        <w:rPr>
          <w:rFonts w:ascii="Times New Roman" w:hAnsi="Times New Roman"/>
          <w:b/>
          <w:bCs/>
        </w:rPr>
        <w:t>表3.1-1 现有工程建设内容一览表</w:t>
      </w:r>
    </w:p>
    <w:tbl>
      <w:tblPr>
        <w:tblStyle w:val="77"/>
        <w:tblW w:w="5000"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28" w:type="dxa"/>
          <w:bottom w:w="0" w:type="dxa"/>
          <w:right w:w="28" w:type="dxa"/>
        </w:tblCellMar>
      </w:tblPr>
      <w:tblGrid>
        <w:gridCol w:w="979"/>
        <w:gridCol w:w="1767"/>
        <w:gridCol w:w="5623"/>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0" w:hRule="atLeast"/>
        </w:trPr>
        <w:tc>
          <w:tcPr>
            <w:tcW w:w="972" w:type="dxa"/>
            <w:vAlign w:val="center"/>
          </w:tcPr>
          <w:p>
            <w:pPr>
              <w:adjustRightInd w:val="0"/>
              <w:snapToGrid w:val="0"/>
              <w:jc w:val="center"/>
              <w:rPr>
                <w:rFonts w:ascii="Times New Roman" w:hAnsi="Times New Roman"/>
                <w:b/>
                <w:bCs/>
                <w:kern w:val="2"/>
              </w:rPr>
            </w:pPr>
            <w:r>
              <w:rPr>
                <w:rFonts w:ascii="Times New Roman" w:hAnsi="Times New Roman"/>
                <w:b/>
                <w:bCs/>
                <w:kern w:val="2"/>
              </w:rPr>
              <w:t>工程类别</w:t>
            </w:r>
          </w:p>
        </w:tc>
        <w:tc>
          <w:tcPr>
            <w:tcW w:w="1755" w:type="dxa"/>
            <w:vAlign w:val="center"/>
          </w:tcPr>
          <w:p>
            <w:pPr>
              <w:adjustRightInd w:val="0"/>
              <w:snapToGrid w:val="0"/>
              <w:jc w:val="center"/>
              <w:rPr>
                <w:rFonts w:ascii="Times New Roman" w:hAnsi="Times New Roman"/>
                <w:b/>
                <w:bCs/>
                <w:kern w:val="2"/>
              </w:rPr>
            </w:pPr>
            <w:r>
              <w:rPr>
                <w:rFonts w:ascii="Times New Roman" w:hAnsi="Times New Roman"/>
                <w:b/>
                <w:bCs/>
                <w:kern w:val="2"/>
              </w:rPr>
              <w:t>项目名称</w:t>
            </w:r>
          </w:p>
        </w:tc>
        <w:tc>
          <w:tcPr>
            <w:tcW w:w="5586" w:type="dxa"/>
            <w:vAlign w:val="center"/>
          </w:tcPr>
          <w:p>
            <w:pPr>
              <w:adjustRightInd w:val="0"/>
              <w:snapToGrid w:val="0"/>
              <w:jc w:val="center"/>
              <w:rPr>
                <w:rFonts w:ascii="Times New Roman" w:hAnsi="Times New Roman"/>
                <w:b/>
                <w:bCs/>
                <w:kern w:val="2"/>
              </w:rPr>
            </w:pPr>
            <w:r>
              <w:rPr>
                <w:rFonts w:ascii="Times New Roman" w:hAnsi="Times New Roman"/>
                <w:b/>
                <w:bCs/>
                <w:kern w:val="2"/>
              </w:rPr>
              <w:t>现有工程建设内容</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0" w:hRule="atLeast"/>
        </w:trPr>
        <w:tc>
          <w:tcPr>
            <w:tcW w:w="972" w:type="dxa"/>
            <w:vAlign w:val="center"/>
          </w:tcPr>
          <w:p>
            <w:pPr>
              <w:adjustRightInd w:val="0"/>
              <w:snapToGrid w:val="0"/>
              <w:jc w:val="center"/>
              <w:rPr>
                <w:rFonts w:ascii="Times New Roman" w:hAnsi="Times New Roman"/>
                <w:kern w:val="2"/>
              </w:rPr>
            </w:pPr>
            <w:r>
              <w:rPr>
                <w:rFonts w:ascii="Times New Roman" w:hAnsi="Times New Roman"/>
                <w:kern w:val="2"/>
              </w:rPr>
              <w:t>主体工程</w:t>
            </w:r>
          </w:p>
        </w:tc>
        <w:tc>
          <w:tcPr>
            <w:tcW w:w="1755" w:type="dxa"/>
            <w:vAlign w:val="center"/>
          </w:tcPr>
          <w:p>
            <w:pPr>
              <w:adjustRightInd w:val="0"/>
              <w:snapToGrid w:val="0"/>
              <w:jc w:val="center"/>
              <w:rPr>
                <w:rFonts w:ascii="Times New Roman" w:hAnsi="Times New Roman"/>
                <w:kern w:val="2"/>
              </w:rPr>
            </w:pPr>
            <w:r>
              <w:rPr>
                <w:rFonts w:ascii="Times New Roman" w:hAnsi="Times New Roman"/>
                <w:kern w:val="2"/>
              </w:rPr>
              <w:t>“蒸汽+微波”灭菌车间</w:t>
            </w:r>
          </w:p>
        </w:tc>
        <w:tc>
          <w:tcPr>
            <w:tcW w:w="5586" w:type="dxa"/>
            <w:vAlign w:val="center"/>
          </w:tcPr>
          <w:p>
            <w:pPr>
              <w:adjustRightInd w:val="0"/>
              <w:snapToGrid w:val="0"/>
              <w:jc w:val="center"/>
              <w:rPr>
                <w:rFonts w:ascii="Times New Roman" w:hAnsi="Times New Roman"/>
                <w:kern w:val="2"/>
              </w:rPr>
            </w:pPr>
            <w:r>
              <w:rPr>
                <w:rFonts w:ascii="Times New Roman" w:hAnsi="Times New Roman"/>
                <w:kern w:val="2"/>
              </w:rPr>
              <w:t>现有灭菌车间1座，占地面积432m</w:t>
            </w:r>
            <w:r>
              <w:rPr>
                <w:rFonts w:ascii="Times New Roman" w:hAnsi="Times New Roman"/>
                <w:kern w:val="2"/>
                <w:vertAlign w:val="superscript"/>
              </w:rPr>
              <w:t>2</w:t>
            </w:r>
            <w:r>
              <w:rPr>
                <w:rFonts w:ascii="Times New Roman" w:hAnsi="Times New Roman"/>
                <w:kern w:val="2"/>
              </w:rPr>
              <w:t>，内置一条3t/d医疗废物生产线的高温蒸汽+微波灭菌处理设施及相应配套设施</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0" w:hRule="atLeast"/>
        </w:trPr>
        <w:tc>
          <w:tcPr>
            <w:tcW w:w="972" w:type="dxa"/>
            <w:vMerge w:val="restart"/>
            <w:vAlign w:val="center"/>
          </w:tcPr>
          <w:p>
            <w:pPr>
              <w:adjustRightInd w:val="0"/>
              <w:snapToGrid w:val="0"/>
              <w:jc w:val="center"/>
              <w:rPr>
                <w:rFonts w:ascii="Times New Roman" w:hAnsi="Times New Roman"/>
                <w:kern w:val="2"/>
              </w:rPr>
            </w:pPr>
            <w:r>
              <w:rPr>
                <w:rFonts w:ascii="Times New Roman" w:hAnsi="Times New Roman"/>
                <w:kern w:val="2"/>
              </w:rPr>
              <w:t>辅助工程</w:t>
            </w:r>
          </w:p>
        </w:tc>
        <w:tc>
          <w:tcPr>
            <w:tcW w:w="1755" w:type="dxa"/>
            <w:vAlign w:val="center"/>
          </w:tcPr>
          <w:p>
            <w:pPr>
              <w:adjustRightInd w:val="0"/>
              <w:snapToGrid w:val="0"/>
              <w:jc w:val="center"/>
              <w:rPr>
                <w:rFonts w:ascii="Times New Roman" w:hAnsi="Times New Roman"/>
                <w:kern w:val="2"/>
              </w:rPr>
            </w:pPr>
            <w:r>
              <w:rPr>
                <w:rFonts w:ascii="Times New Roman" w:hAnsi="Times New Roman"/>
                <w:kern w:val="2"/>
              </w:rPr>
              <w:t>污水处理间</w:t>
            </w:r>
          </w:p>
        </w:tc>
        <w:tc>
          <w:tcPr>
            <w:tcW w:w="5586" w:type="dxa"/>
            <w:vAlign w:val="center"/>
          </w:tcPr>
          <w:p>
            <w:pPr>
              <w:adjustRightInd w:val="0"/>
              <w:snapToGrid w:val="0"/>
              <w:jc w:val="center"/>
              <w:rPr>
                <w:rFonts w:ascii="Times New Roman" w:hAnsi="Times New Roman"/>
                <w:kern w:val="2"/>
              </w:rPr>
            </w:pPr>
            <w:r>
              <w:rPr>
                <w:rFonts w:ascii="Times New Roman" w:hAnsi="Times New Roman"/>
                <w:kern w:val="2"/>
              </w:rPr>
              <w:t>现有污水处理间1座，占地面积15m</w:t>
            </w:r>
            <w:r>
              <w:rPr>
                <w:rFonts w:ascii="Times New Roman" w:hAnsi="Times New Roman"/>
                <w:kern w:val="2"/>
                <w:vertAlign w:val="superscript"/>
              </w:rPr>
              <w:t>2</w:t>
            </w:r>
            <w:r>
              <w:rPr>
                <w:rFonts w:ascii="Times New Roman" w:hAnsi="Times New Roman"/>
                <w:kern w:val="2"/>
              </w:rPr>
              <w:t>，采用</w:t>
            </w:r>
          </w:p>
          <w:p>
            <w:pPr>
              <w:adjustRightInd w:val="0"/>
              <w:snapToGrid w:val="0"/>
              <w:jc w:val="center"/>
              <w:rPr>
                <w:rFonts w:ascii="Times New Roman" w:hAnsi="Times New Roman"/>
                <w:kern w:val="2"/>
              </w:rPr>
            </w:pPr>
            <w:r>
              <w:rPr>
                <w:rFonts w:ascii="Times New Roman" w:hAnsi="Times New Roman"/>
                <w:kern w:val="2"/>
              </w:rPr>
              <w:t>“格栅→调节池→一体化污水处理设备（水解酸化池→接触氧化池 →二沉池 →MBR 池）→二氧化氯发生器→回用水池”工艺，处理能力为</w:t>
            </w:r>
            <w:r>
              <w:rPr>
                <w:rFonts w:hint="eastAsia" w:ascii="Times New Roman" w:hAnsi="Times New Roman"/>
                <w:kern w:val="2"/>
              </w:rPr>
              <w:t>1</w:t>
            </w:r>
            <w:r>
              <w:rPr>
                <w:rFonts w:ascii="Times New Roman" w:hAnsi="Times New Roman"/>
                <w:kern w:val="2"/>
              </w:rPr>
              <w:t>5t/d</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0" w:hRule="atLeast"/>
        </w:trPr>
        <w:tc>
          <w:tcPr>
            <w:tcW w:w="972" w:type="dxa"/>
            <w:vMerge w:val="continue"/>
            <w:vAlign w:val="center"/>
          </w:tcPr>
          <w:p>
            <w:pPr>
              <w:adjustRightInd w:val="0"/>
              <w:snapToGrid w:val="0"/>
              <w:jc w:val="center"/>
              <w:rPr>
                <w:rFonts w:ascii="Times New Roman" w:hAnsi="Times New Roman"/>
                <w:kern w:val="2"/>
              </w:rPr>
            </w:pPr>
          </w:p>
        </w:tc>
        <w:tc>
          <w:tcPr>
            <w:tcW w:w="1755" w:type="dxa"/>
            <w:vAlign w:val="center"/>
          </w:tcPr>
          <w:p>
            <w:pPr>
              <w:pStyle w:val="304"/>
              <w:spacing w:line="240" w:lineRule="auto"/>
              <w:jc w:val="center"/>
              <w:rPr>
                <w:rFonts w:ascii="Times New Roman" w:hAnsi="Times New Roman"/>
                <w:sz w:val="21"/>
                <w:szCs w:val="21"/>
              </w:rPr>
            </w:pPr>
            <w:r>
              <w:rPr>
                <w:rFonts w:hint="eastAsia" w:ascii="Times New Roman" w:hAnsi="Times New Roman"/>
                <w:sz w:val="21"/>
                <w:szCs w:val="21"/>
              </w:rPr>
              <w:t>医疗废物暂存间</w:t>
            </w:r>
          </w:p>
        </w:tc>
        <w:tc>
          <w:tcPr>
            <w:tcW w:w="5586" w:type="dxa"/>
            <w:vAlign w:val="center"/>
          </w:tcPr>
          <w:p>
            <w:pPr>
              <w:jc w:val="center"/>
              <w:rPr>
                <w:rFonts w:ascii="Calibri" w:hAnsi="Calibri"/>
                <w:kern w:val="2"/>
              </w:rPr>
            </w:pPr>
            <w:r>
              <w:rPr>
                <w:rFonts w:ascii="Times New Roman" w:hAnsi="Times New Roman"/>
                <w:kern w:val="2"/>
              </w:rPr>
              <w:t>现有低温贮存间一座，占地面积33m</w:t>
            </w:r>
            <w:r>
              <w:rPr>
                <w:rFonts w:ascii="Times New Roman" w:hAnsi="Times New Roman"/>
                <w:kern w:val="2"/>
                <w:vertAlign w:val="superscript"/>
              </w:rPr>
              <w:t>2</w:t>
            </w:r>
            <w:r>
              <w:rPr>
                <w:rFonts w:hint="eastAsia" w:ascii="Times New Roman" w:hAnsi="Times New Roman"/>
                <w:kern w:val="2"/>
              </w:rPr>
              <w:t>，暂存间在车间内部，配有一台HDF5N风冷型恒温机组，储存能力20吨，储存间为密闭间，储存间内废气负压收集后通过管道经D</w:t>
            </w:r>
            <w:r>
              <w:rPr>
                <w:rFonts w:ascii="Times New Roman" w:hAnsi="Times New Roman"/>
                <w:kern w:val="2"/>
              </w:rPr>
              <w:t>A001</w:t>
            </w:r>
            <w:r>
              <w:rPr>
                <w:rFonts w:hint="eastAsia" w:ascii="Times New Roman" w:hAnsi="Times New Roman"/>
                <w:kern w:val="2"/>
              </w:rPr>
              <w:t>排放口排放。</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0" w:hRule="atLeast"/>
        </w:trPr>
        <w:tc>
          <w:tcPr>
            <w:tcW w:w="972" w:type="dxa"/>
            <w:vMerge w:val="continue"/>
            <w:vAlign w:val="center"/>
          </w:tcPr>
          <w:p>
            <w:pPr>
              <w:adjustRightInd w:val="0"/>
              <w:snapToGrid w:val="0"/>
              <w:jc w:val="center"/>
              <w:rPr>
                <w:rFonts w:ascii="Times New Roman" w:hAnsi="Times New Roman"/>
                <w:kern w:val="2"/>
              </w:rPr>
            </w:pPr>
          </w:p>
        </w:tc>
        <w:tc>
          <w:tcPr>
            <w:tcW w:w="1755" w:type="dxa"/>
            <w:vAlign w:val="center"/>
          </w:tcPr>
          <w:p>
            <w:pPr>
              <w:pStyle w:val="304"/>
              <w:spacing w:line="240" w:lineRule="auto"/>
              <w:jc w:val="center"/>
              <w:rPr>
                <w:rFonts w:ascii="Times New Roman" w:hAnsi="Times New Roman"/>
                <w:sz w:val="21"/>
                <w:szCs w:val="21"/>
              </w:rPr>
            </w:pPr>
            <w:r>
              <w:rPr>
                <w:rFonts w:ascii="Times New Roman" w:hAnsi="Times New Roman"/>
                <w:sz w:val="21"/>
                <w:szCs w:val="21"/>
              </w:rPr>
              <w:t>蒸汽供给来源</w:t>
            </w:r>
          </w:p>
        </w:tc>
        <w:tc>
          <w:tcPr>
            <w:tcW w:w="5586" w:type="dxa"/>
            <w:vAlign w:val="center"/>
          </w:tcPr>
          <w:p>
            <w:pPr>
              <w:adjustRightInd w:val="0"/>
              <w:snapToGrid w:val="0"/>
              <w:jc w:val="center"/>
              <w:rPr>
                <w:rFonts w:ascii="Times New Roman" w:hAnsi="Times New Roman"/>
                <w:kern w:val="2"/>
              </w:rPr>
            </w:pPr>
            <w:r>
              <w:rPr>
                <w:rFonts w:ascii="Times New Roman" w:hAnsi="Times New Roman"/>
                <w:kern w:val="2"/>
              </w:rPr>
              <w:t>120kw电锅炉</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0" w:hRule="atLeast"/>
        </w:trPr>
        <w:tc>
          <w:tcPr>
            <w:tcW w:w="972" w:type="dxa"/>
            <w:vMerge w:val="continue"/>
            <w:vAlign w:val="center"/>
          </w:tcPr>
          <w:p>
            <w:pPr>
              <w:adjustRightInd w:val="0"/>
              <w:snapToGrid w:val="0"/>
              <w:jc w:val="center"/>
              <w:rPr>
                <w:rFonts w:ascii="Times New Roman" w:hAnsi="Times New Roman"/>
                <w:kern w:val="2"/>
              </w:rPr>
            </w:pPr>
          </w:p>
        </w:tc>
        <w:tc>
          <w:tcPr>
            <w:tcW w:w="1755" w:type="dxa"/>
            <w:vAlign w:val="center"/>
          </w:tcPr>
          <w:p>
            <w:pPr>
              <w:pStyle w:val="304"/>
              <w:spacing w:line="240" w:lineRule="auto"/>
              <w:jc w:val="center"/>
              <w:rPr>
                <w:rFonts w:ascii="Times New Roman" w:hAnsi="Times New Roman"/>
                <w:sz w:val="21"/>
                <w:szCs w:val="21"/>
              </w:rPr>
            </w:pPr>
            <w:r>
              <w:rPr>
                <w:rFonts w:ascii="Times New Roman" w:hAnsi="Times New Roman"/>
                <w:sz w:val="21"/>
                <w:szCs w:val="21"/>
              </w:rPr>
              <w:t>废气处理单元</w:t>
            </w:r>
          </w:p>
        </w:tc>
        <w:tc>
          <w:tcPr>
            <w:tcW w:w="5586" w:type="dxa"/>
            <w:vAlign w:val="center"/>
          </w:tcPr>
          <w:p>
            <w:pPr>
              <w:adjustRightInd w:val="0"/>
              <w:snapToGrid w:val="0"/>
              <w:jc w:val="center"/>
              <w:rPr>
                <w:rFonts w:ascii="Times New Roman" w:hAnsi="Times New Roman"/>
                <w:kern w:val="2"/>
              </w:rPr>
            </w:pPr>
            <w:r>
              <w:rPr>
                <w:rFonts w:ascii="Times New Roman" w:hAnsi="Times New Roman"/>
                <w:kern w:val="2"/>
              </w:rPr>
              <w:t>一套为复合塔，塔内包含生物除臭剂和活性炭</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0" w:hRule="atLeast"/>
        </w:trPr>
        <w:tc>
          <w:tcPr>
            <w:tcW w:w="972" w:type="dxa"/>
            <w:vMerge w:val="continue"/>
            <w:vAlign w:val="center"/>
          </w:tcPr>
          <w:p>
            <w:pPr>
              <w:adjustRightInd w:val="0"/>
              <w:snapToGrid w:val="0"/>
              <w:jc w:val="center"/>
              <w:rPr>
                <w:rFonts w:ascii="Times New Roman" w:hAnsi="Times New Roman"/>
                <w:kern w:val="2"/>
              </w:rPr>
            </w:pPr>
          </w:p>
        </w:tc>
        <w:tc>
          <w:tcPr>
            <w:tcW w:w="1755" w:type="dxa"/>
            <w:vAlign w:val="center"/>
          </w:tcPr>
          <w:p>
            <w:pPr>
              <w:pStyle w:val="304"/>
              <w:spacing w:line="240" w:lineRule="auto"/>
              <w:jc w:val="center"/>
              <w:rPr>
                <w:rFonts w:ascii="Times New Roman" w:hAnsi="Times New Roman"/>
                <w:sz w:val="21"/>
                <w:szCs w:val="21"/>
              </w:rPr>
            </w:pPr>
            <w:r>
              <w:rPr>
                <w:rFonts w:ascii="Times New Roman" w:hAnsi="Times New Roman"/>
                <w:sz w:val="21"/>
                <w:szCs w:val="21"/>
              </w:rPr>
              <w:t>办公综合楼</w:t>
            </w:r>
          </w:p>
        </w:tc>
        <w:tc>
          <w:tcPr>
            <w:tcW w:w="5586" w:type="dxa"/>
            <w:vAlign w:val="center"/>
          </w:tcPr>
          <w:p>
            <w:pPr>
              <w:adjustRightInd w:val="0"/>
              <w:snapToGrid w:val="0"/>
              <w:jc w:val="center"/>
              <w:rPr>
                <w:rFonts w:ascii="Times New Roman" w:hAnsi="Times New Roman"/>
                <w:kern w:val="2"/>
              </w:rPr>
            </w:pPr>
            <w:r>
              <w:rPr>
                <w:rFonts w:ascii="Times New Roman" w:hAnsi="Times New Roman"/>
                <w:kern w:val="2"/>
              </w:rPr>
              <w:t>468m</w:t>
            </w:r>
            <w:r>
              <w:rPr>
                <w:rFonts w:ascii="Times New Roman" w:hAnsi="Times New Roman"/>
                <w:kern w:val="2"/>
                <w:vertAlign w:val="superscript"/>
              </w:rPr>
              <w:t>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73" w:hRule="atLeast"/>
        </w:trPr>
        <w:tc>
          <w:tcPr>
            <w:tcW w:w="972" w:type="dxa"/>
            <w:vMerge w:val="restart"/>
            <w:vAlign w:val="center"/>
          </w:tcPr>
          <w:p>
            <w:pPr>
              <w:adjustRightInd w:val="0"/>
              <w:snapToGrid w:val="0"/>
              <w:jc w:val="center"/>
              <w:rPr>
                <w:rFonts w:ascii="Times New Roman" w:hAnsi="Times New Roman"/>
                <w:kern w:val="2"/>
              </w:rPr>
            </w:pPr>
            <w:r>
              <w:rPr>
                <w:rFonts w:ascii="Times New Roman" w:hAnsi="Times New Roman"/>
                <w:kern w:val="2"/>
              </w:rPr>
              <w:t>储运工程</w:t>
            </w:r>
          </w:p>
        </w:tc>
        <w:tc>
          <w:tcPr>
            <w:tcW w:w="1755" w:type="dxa"/>
            <w:vAlign w:val="center"/>
          </w:tcPr>
          <w:p>
            <w:pPr>
              <w:pStyle w:val="304"/>
              <w:spacing w:line="240" w:lineRule="auto"/>
              <w:jc w:val="center"/>
              <w:rPr>
                <w:rFonts w:ascii="Times New Roman" w:hAnsi="Times New Roman"/>
                <w:sz w:val="21"/>
                <w:szCs w:val="21"/>
              </w:rPr>
            </w:pPr>
            <w:r>
              <w:rPr>
                <w:rFonts w:ascii="Times New Roman" w:hAnsi="Times New Roman"/>
                <w:bCs/>
                <w:sz w:val="21"/>
                <w:szCs w:val="21"/>
              </w:rPr>
              <w:t>库房</w:t>
            </w:r>
          </w:p>
        </w:tc>
        <w:tc>
          <w:tcPr>
            <w:tcW w:w="5586" w:type="dxa"/>
            <w:vAlign w:val="center"/>
          </w:tcPr>
          <w:p>
            <w:pPr>
              <w:adjustRightInd w:val="0"/>
              <w:snapToGrid w:val="0"/>
              <w:jc w:val="center"/>
              <w:rPr>
                <w:rFonts w:ascii="Times New Roman" w:hAnsi="Times New Roman"/>
                <w:kern w:val="2"/>
              </w:rPr>
            </w:pPr>
            <w:r>
              <w:rPr>
                <w:rFonts w:ascii="Times New Roman" w:hAnsi="Times New Roman"/>
                <w:kern w:val="2"/>
              </w:rPr>
              <w:t>现有库房1座，占地面积13m</w:t>
            </w:r>
            <w:r>
              <w:rPr>
                <w:rFonts w:ascii="Times New Roman" w:hAnsi="Times New Roman"/>
                <w:kern w:val="2"/>
                <w:vertAlign w:val="superscript"/>
              </w:rPr>
              <w:t>2</w:t>
            </w:r>
            <w:r>
              <w:rPr>
                <w:rFonts w:ascii="Times New Roman" w:hAnsi="Times New Roman"/>
                <w:kern w:val="2"/>
              </w:rPr>
              <w:t>，用于暂存杂物</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0" w:hRule="atLeast"/>
        </w:trPr>
        <w:tc>
          <w:tcPr>
            <w:tcW w:w="972" w:type="dxa"/>
            <w:vMerge w:val="continue"/>
            <w:vAlign w:val="center"/>
          </w:tcPr>
          <w:p>
            <w:pPr>
              <w:adjustRightInd w:val="0"/>
              <w:snapToGrid w:val="0"/>
              <w:jc w:val="center"/>
              <w:rPr>
                <w:rFonts w:ascii="Times New Roman" w:hAnsi="Times New Roman"/>
                <w:kern w:val="2"/>
              </w:rPr>
            </w:pPr>
          </w:p>
        </w:tc>
        <w:tc>
          <w:tcPr>
            <w:tcW w:w="1755" w:type="dxa"/>
            <w:vAlign w:val="center"/>
          </w:tcPr>
          <w:p>
            <w:pPr>
              <w:pStyle w:val="304"/>
              <w:spacing w:line="240" w:lineRule="auto"/>
              <w:jc w:val="center"/>
              <w:rPr>
                <w:rFonts w:ascii="Times New Roman" w:hAnsi="Times New Roman"/>
                <w:sz w:val="21"/>
                <w:szCs w:val="21"/>
              </w:rPr>
            </w:pPr>
            <w:r>
              <w:rPr>
                <w:rFonts w:ascii="Times New Roman" w:hAnsi="Times New Roman"/>
                <w:sz w:val="21"/>
                <w:szCs w:val="21"/>
              </w:rPr>
              <w:t>车库</w:t>
            </w:r>
          </w:p>
        </w:tc>
        <w:tc>
          <w:tcPr>
            <w:tcW w:w="5586" w:type="dxa"/>
            <w:vAlign w:val="center"/>
          </w:tcPr>
          <w:p>
            <w:pPr>
              <w:adjustRightInd w:val="0"/>
              <w:snapToGrid w:val="0"/>
              <w:jc w:val="center"/>
              <w:rPr>
                <w:rFonts w:ascii="Times New Roman" w:hAnsi="Times New Roman"/>
                <w:kern w:val="2"/>
              </w:rPr>
            </w:pPr>
            <w:r>
              <w:rPr>
                <w:rFonts w:ascii="Times New Roman" w:hAnsi="Times New Roman"/>
                <w:kern w:val="2"/>
              </w:rPr>
              <w:t>现有车库1座，占地面积350m</w:t>
            </w:r>
            <w:r>
              <w:rPr>
                <w:rFonts w:ascii="Times New Roman" w:hAnsi="Times New Roman"/>
                <w:kern w:val="2"/>
                <w:vertAlign w:val="superscript"/>
              </w:rPr>
              <w:t>2</w:t>
            </w:r>
            <w:r>
              <w:rPr>
                <w:rFonts w:ascii="Times New Roman" w:hAnsi="Times New Roman"/>
                <w:kern w:val="2"/>
              </w:rPr>
              <w:t>，用于暂存车辆</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0" w:hRule="atLeast"/>
        </w:trPr>
        <w:tc>
          <w:tcPr>
            <w:tcW w:w="972" w:type="dxa"/>
            <w:vMerge w:val="continue"/>
            <w:vAlign w:val="center"/>
          </w:tcPr>
          <w:p>
            <w:pPr>
              <w:adjustRightInd w:val="0"/>
              <w:snapToGrid w:val="0"/>
              <w:jc w:val="center"/>
              <w:rPr>
                <w:rFonts w:ascii="Times New Roman" w:hAnsi="Times New Roman"/>
                <w:kern w:val="2"/>
              </w:rPr>
            </w:pPr>
          </w:p>
        </w:tc>
        <w:tc>
          <w:tcPr>
            <w:tcW w:w="1755" w:type="dxa"/>
            <w:vAlign w:val="center"/>
          </w:tcPr>
          <w:p>
            <w:pPr>
              <w:pStyle w:val="304"/>
              <w:spacing w:line="240" w:lineRule="auto"/>
              <w:jc w:val="center"/>
              <w:rPr>
                <w:rFonts w:ascii="Times New Roman" w:hAnsi="Times New Roman"/>
                <w:sz w:val="21"/>
                <w:szCs w:val="21"/>
              </w:rPr>
            </w:pPr>
            <w:r>
              <w:rPr>
                <w:rFonts w:ascii="Times New Roman" w:hAnsi="Times New Roman"/>
                <w:sz w:val="21"/>
                <w:szCs w:val="21"/>
              </w:rPr>
              <w:t>事故应急池</w:t>
            </w:r>
          </w:p>
        </w:tc>
        <w:tc>
          <w:tcPr>
            <w:tcW w:w="5586" w:type="dxa"/>
            <w:vAlign w:val="center"/>
          </w:tcPr>
          <w:p>
            <w:pPr>
              <w:adjustRightInd w:val="0"/>
              <w:snapToGrid w:val="0"/>
              <w:jc w:val="center"/>
              <w:rPr>
                <w:rFonts w:ascii="Times New Roman" w:hAnsi="Times New Roman"/>
                <w:kern w:val="2"/>
              </w:rPr>
            </w:pPr>
            <w:r>
              <w:rPr>
                <w:rFonts w:ascii="Times New Roman" w:hAnsi="Times New Roman"/>
                <w:kern w:val="2"/>
              </w:rPr>
              <w:t>现有事故应急池1座，容积115m</w:t>
            </w:r>
            <w:r>
              <w:rPr>
                <w:rFonts w:ascii="Times New Roman" w:hAnsi="Times New Roman"/>
                <w:kern w:val="2"/>
                <w:vertAlign w:val="superscript"/>
              </w:rPr>
              <w:t>3</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0" w:hRule="atLeast"/>
        </w:trPr>
        <w:tc>
          <w:tcPr>
            <w:tcW w:w="972" w:type="dxa"/>
            <w:vMerge w:val="continue"/>
            <w:vAlign w:val="center"/>
          </w:tcPr>
          <w:p>
            <w:pPr>
              <w:adjustRightInd w:val="0"/>
              <w:snapToGrid w:val="0"/>
              <w:jc w:val="center"/>
              <w:rPr>
                <w:rFonts w:ascii="Times New Roman" w:hAnsi="Times New Roman"/>
                <w:kern w:val="2"/>
              </w:rPr>
            </w:pPr>
          </w:p>
        </w:tc>
        <w:tc>
          <w:tcPr>
            <w:tcW w:w="1755" w:type="dxa"/>
            <w:vAlign w:val="center"/>
          </w:tcPr>
          <w:p>
            <w:pPr>
              <w:pStyle w:val="304"/>
              <w:spacing w:line="240" w:lineRule="auto"/>
              <w:jc w:val="center"/>
              <w:rPr>
                <w:rFonts w:ascii="Times New Roman" w:hAnsi="Times New Roman"/>
                <w:sz w:val="21"/>
                <w:szCs w:val="21"/>
              </w:rPr>
            </w:pPr>
            <w:r>
              <w:rPr>
                <w:rFonts w:ascii="Times New Roman" w:hAnsi="Times New Roman"/>
                <w:sz w:val="21"/>
                <w:szCs w:val="21"/>
              </w:rPr>
              <w:t>初期雨水池</w:t>
            </w:r>
          </w:p>
        </w:tc>
        <w:tc>
          <w:tcPr>
            <w:tcW w:w="5586" w:type="dxa"/>
            <w:vAlign w:val="center"/>
          </w:tcPr>
          <w:p>
            <w:pPr>
              <w:adjustRightInd w:val="0"/>
              <w:snapToGrid w:val="0"/>
              <w:jc w:val="center"/>
              <w:rPr>
                <w:rFonts w:ascii="Times New Roman" w:hAnsi="Times New Roman"/>
                <w:kern w:val="2"/>
              </w:rPr>
            </w:pPr>
            <w:r>
              <w:rPr>
                <w:rFonts w:ascii="Times New Roman" w:hAnsi="Times New Roman"/>
                <w:kern w:val="2"/>
              </w:rPr>
              <w:t>现有</w:t>
            </w:r>
            <w:r>
              <w:rPr>
                <w:rFonts w:hint="eastAsia" w:ascii="Times New Roman" w:hAnsi="Times New Roman"/>
                <w:kern w:val="2"/>
              </w:rPr>
              <w:t>初期雨水池</w:t>
            </w:r>
            <w:r>
              <w:rPr>
                <w:rFonts w:ascii="Times New Roman" w:hAnsi="Times New Roman"/>
                <w:kern w:val="2"/>
              </w:rPr>
              <w:t>1座，容积20m</w:t>
            </w:r>
            <w:r>
              <w:rPr>
                <w:rFonts w:ascii="Times New Roman" w:hAnsi="Times New Roman"/>
                <w:kern w:val="2"/>
                <w:vertAlign w:val="superscript"/>
              </w:rPr>
              <w:t>3</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0" w:hRule="atLeast"/>
        </w:trPr>
        <w:tc>
          <w:tcPr>
            <w:tcW w:w="972" w:type="dxa"/>
            <w:vMerge w:val="restart"/>
            <w:vAlign w:val="center"/>
          </w:tcPr>
          <w:p>
            <w:pPr>
              <w:adjustRightInd w:val="0"/>
              <w:snapToGrid w:val="0"/>
              <w:jc w:val="center"/>
              <w:rPr>
                <w:rFonts w:ascii="Times New Roman" w:hAnsi="Times New Roman"/>
                <w:kern w:val="2"/>
              </w:rPr>
            </w:pPr>
            <w:r>
              <w:rPr>
                <w:rFonts w:ascii="Times New Roman" w:hAnsi="Times New Roman"/>
                <w:kern w:val="2"/>
              </w:rPr>
              <w:t>公用工程</w:t>
            </w:r>
          </w:p>
        </w:tc>
        <w:tc>
          <w:tcPr>
            <w:tcW w:w="1755" w:type="dxa"/>
            <w:vAlign w:val="center"/>
          </w:tcPr>
          <w:p>
            <w:pPr>
              <w:adjustRightInd w:val="0"/>
              <w:snapToGrid w:val="0"/>
              <w:jc w:val="center"/>
              <w:rPr>
                <w:rFonts w:ascii="Times New Roman" w:hAnsi="Times New Roman"/>
                <w:kern w:val="2"/>
              </w:rPr>
            </w:pPr>
            <w:r>
              <w:rPr>
                <w:rFonts w:ascii="Times New Roman" w:hAnsi="Times New Roman"/>
                <w:kern w:val="2"/>
              </w:rPr>
              <w:t>供电</w:t>
            </w:r>
          </w:p>
        </w:tc>
        <w:tc>
          <w:tcPr>
            <w:tcW w:w="5586" w:type="dxa"/>
            <w:vAlign w:val="center"/>
          </w:tcPr>
          <w:p>
            <w:pPr>
              <w:adjustRightInd w:val="0"/>
              <w:snapToGrid w:val="0"/>
              <w:jc w:val="center"/>
              <w:rPr>
                <w:rFonts w:ascii="Times New Roman" w:hAnsi="Times New Roman"/>
                <w:kern w:val="2"/>
              </w:rPr>
            </w:pPr>
            <w:r>
              <w:rPr>
                <w:rFonts w:ascii="Times New Roman" w:hAnsi="Times New Roman"/>
                <w:kern w:val="2"/>
              </w:rPr>
              <w:t>现有工程用电由</w:t>
            </w:r>
            <w:r>
              <w:rPr>
                <w:rFonts w:hint="eastAsia" w:ascii="Times New Roman" w:hAnsi="Times New Roman"/>
                <w:kern w:val="2"/>
              </w:rPr>
              <w:t>双鸭山市</w:t>
            </w:r>
            <w:r>
              <w:rPr>
                <w:rFonts w:ascii="Times New Roman" w:hAnsi="Times New Roman"/>
                <w:kern w:val="2"/>
              </w:rPr>
              <w:t>供电局电力变电所供应</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0" w:hRule="atLeast"/>
        </w:trPr>
        <w:tc>
          <w:tcPr>
            <w:tcW w:w="972" w:type="dxa"/>
            <w:vMerge w:val="continue"/>
            <w:vAlign w:val="center"/>
          </w:tcPr>
          <w:p>
            <w:pPr>
              <w:adjustRightInd w:val="0"/>
              <w:snapToGrid w:val="0"/>
              <w:jc w:val="center"/>
              <w:rPr>
                <w:rFonts w:ascii="Times New Roman" w:hAnsi="Times New Roman"/>
                <w:kern w:val="2"/>
              </w:rPr>
            </w:pPr>
          </w:p>
        </w:tc>
        <w:tc>
          <w:tcPr>
            <w:tcW w:w="1755" w:type="dxa"/>
            <w:vAlign w:val="center"/>
          </w:tcPr>
          <w:p>
            <w:pPr>
              <w:adjustRightInd w:val="0"/>
              <w:snapToGrid w:val="0"/>
              <w:jc w:val="center"/>
              <w:rPr>
                <w:rFonts w:ascii="Times New Roman" w:hAnsi="Times New Roman"/>
                <w:kern w:val="2"/>
              </w:rPr>
            </w:pPr>
            <w:r>
              <w:rPr>
                <w:rFonts w:ascii="Times New Roman" w:hAnsi="Times New Roman"/>
                <w:kern w:val="2"/>
              </w:rPr>
              <w:t>给水</w:t>
            </w:r>
          </w:p>
        </w:tc>
        <w:tc>
          <w:tcPr>
            <w:tcW w:w="5586" w:type="dxa"/>
            <w:vAlign w:val="center"/>
          </w:tcPr>
          <w:p>
            <w:pPr>
              <w:adjustRightInd w:val="0"/>
              <w:snapToGrid w:val="0"/>
              <w:jc w:val="center"/>
              <w:rPr>
                <w:rFonts w:ascii="Times New Roman" w:hAnsi="Times New Roman"/>
                <w:kern w:val="2"/>
              </w:rPr>
            </w:pPr>
            <w:r>
              <w:rPr>
                <w:rFonts w:ascii="Times New Roman" w:hAnsi="Times New Roman"/>
                <w:kern w:val="2"/>
              </w:rPr>
              <w:t>现有工程</w:t>
            </w:r>
            <w:r>
              <w:rPr>
                <w:rFonts w:hint="eastAsia" w:ascii="Times New Roman" w:hAnsi="Times New Roman"/>
                <w:kern w:val="2"/>
              </w:rPr>
              <w:t>生产</w:t>
            </w:r>
            <w:r>
              <w:rPr>
                <w:rFonts w:ascii="Times New Roman" w:hAnsi="Times New Roman"/>
                <w:kern w:val="2"/>
              </w:rPr>
              <w:t>用水由厂区内水井提供</w:t>
            </w:r>
            <w:r>
              <w:rPr>
                <w:rFonts w:hint="eastAsia" w:ascii="Times New Roman" w:hAnsi="Times New Roman"/>
                <w:kern w:val="2"/>
              </w:rPr>
              <w:t>，生活用水购买桶装纯净水</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0" w:hRule="atLeast"/>
        </w:trPr>
        <w:tc>
          <w:tcPr>
            <w:tcW w:w="972" w:type="dxa"/>
            <w:vMerge w:val="continue"/>
            <w:vAlign w:val="center"/>
          </w:tcPr>
          <w:p>
            <w:pPr>
              <w:adjustRightInd w:val="0"/>
              <w:snapToGrid w:val="0"/>
              <w:jc w:val="center"/>
              <w:rPr>
                <w:rFonts w:ascii="Times New Roman" w:hAnsi="Times New Roman"/>
                <w:kern w:val="2"/>
              </w:rPr>
            </w:pPr>
          </w:p>
        </w:tc>
        <w:tc>
          <w:tcPr>
            <w:tcW w:w="1755" w:type="dxa"/>
            <w:vAlign w:val="center"/>
          </w:tcPr>
          <w:p>
            <w:pPr>
              <w:adjustRightInd w:val="0"/>
              <w:snapToGrid w:val="0"/>
              <w:jc w:val="center"/>
              <w:rPr>
                <w:rFonts w:ascii="Times New Roman" w:hAnsi="Times New Roman"/>
                <w:kern w:val="2"/>
              </w:rPr>
            </w:pPr>
            <w:r>
              <w:rPr>
                <w:rFonts w:ascii="Times New Roman" w:hAnsi="Times New Roman"/>
                <w:kern w:val="2"/>
              </w:rPr>
              <w:t>排水</w:t>
            </w:r>
          </w:p>
        </w:tc>
        <w:tc>
          <w:tcPr>
            <w:tcW w:w="5586" w:type="dxa"/>
            <w:vAlign w:val="center"/>
          </w:tcPr>
          <w:p>
            <w:pPr>
              <w:spacing w:before="189"/>
              <w:ind w:left="40" w:right="23"/>
              <w:jc w:val="center"/>
              <w:rPr>
                <w:rFonts w:ascii="Times New Roman" w:hAnsi="Times New Roman"/>
                <w:kern w:val="2"/>
              </w:rPr>
            </w:pPr>
            <w:r>
              <w:rPr>
                <w:rFonts w:ascii="Times New Roman" w:hAnsi="Times New Roman"/>
                <w:kern w:val="2"/>
              </w:rPr>
              <w:t>生产废水经企业原有污水处理站(工艺流程：格栅→调节池→一体化污水处理设备(水解酸化池→接触氧化池 →二沉池 →MBR 池)→二氧化氯发生器→回用水池) 处理后满足《城市污水再生利用城市杂用水水质》( GB/T18920-2002 ) 中“车辆冲洗”标准，厂内全部回用 (回用于车间地面消毒清洗用水、转运车消毒清 洗用水和周转箱消毒清洗用水)，不外排。</w:t>
            </w:r>
            <w:r>
              <w:rPr>
                <w:rFonts w:hint="eastAsia" w:ascii="Times New Roman" w:hAnsi="Times New Roman"/>
                <w:kern w:val="2"/>
              </w:rPr>
              <w:t>生活污水利用罐车运送到双鸭山市城市污水处理厂处理后达到《城镇污水处理厂污染物排放标准》（GB18918-2002）一级A标准后排放。</w:t>
            </w:r>
          </w:p>
          <w:p>
            <w:pPr>
              <w:adjustRightInd w:val="0"/>
              <w:snapToGrid w:val="0"/>
              <w:jc w:val="center"/>
              <w:rPr>
                <w:rFonts w:ascii="Times New Roman" w:hAnsi="Times New Roman"/>
                <w:kern w:val="2"/>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0" w:hRule="atLeast"/>
        </w:trPr>
        <w:tc>
          <w:tcPr>
            <w:tcW w:w="972" w:type="dxa"/>
            <w:vMerge w:val="continue"/>
            <w:vAlign w:val="center"/>
          </w:tcPr>
          <w:p>
            <w:pPr>
              <w:adjustRightInd w:val="0"/>
              <w:snapToGrid w:val="0"/>
              <w:jc w:val="center"/>
              <w:rPr>
                <w:rFonts w:ascii="Times New Roman" w:hAnsi="Times New Roman"/>
                <w:kern w:val="2"/>
              </w:rPr>
            </w:pPr>
          </w:p>
        </w:tc>
        <w:tc>
          <w:tcPr>
            <w:tcW w:w="1755" w:type="dxa"/>
            <w:vAlign w:val="center"/>
          </w:tcPr>
          <w:p>
            <w:pPr>
              <w:adjustRightInd w:val="0"/>
              <w:snapToGrid w:val="0"/>
              <w:jc w:val="center"/>
              <w:rPr>
                <w:rFonts w:ascii="Times New Roman" w:hAnsi="Times New Roman"/>
                <w:kern w:val="2"/>
              </w:rPr>
            </w:pPr>
            <w:r>
              <w:rPr>
                <w:rFonts w:ascii="Times New Roman" w:hAnsi="Times New Roman"/>
                <w:kern w:val="2"/>
              </w:rPr>
              <w:t>供热</w:t>
            </w:r>
          </w:p>
        </w:tc>
        <w:tc>
          <w:tcPr>
            <w:tcW w:w="5586" w:type="dxa"/>
            <w:vAlign w:val="center"/>
          </w:tcPr>
          <w:p>
            <w:pPr>
              <w:adjustRightInd w:val="0"/>
              <w:snapToGrid w:val="0"/>
              <w:jc w:val="center"/>
              <w:rPr>
                <w:rFonts w:ascii="Times New Roman" w:hAnsi="Times New Roman"/>
                <w:kern w:val="2"/>
              </w:rPr>
            </w:pPr>
            <w:r>
              <w:rPr>
                <w:rFonts w:ascii="Times New Roman" w:hAnsi="Times New Roman"/>
                <w:kern w:val="2"/>
              </w:rPr>
              <w:t>120kw电锅炉</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0" w:hRule="atLeast"/>
        </w:trPr>
        <w:tc>
          <w:tcPr>
            <w:tcW w:w="972" w:type="dxa"/>
            <w:vMerge w:val="restart"/>
            <w:vAlign w:val="center"/>
          </w:tcPr>
          <w:p>
            <w:pPr>
              <w:adjustRightInd w:val="0"/>
              <w:snapToGrid w:val="0"/>
              <w:jc w:val="center"/>
              <w:rPr>
                <w:rFonts w:ascii="Times New Roman" w:hAnsi="Times New Roman"/>
                <w:kern w:val="2"/>
              </w:rPr>
            </w:pPr>
            <w:r>
              <w:rPr>
                <w:rFonts w:ascii="Times New Roman" w:hAnsi="Times New Roman"/>
                <w:kern w:val="2"/>
              </w:rPr>
              <w:t>环保</w:t>
            </w:r>
          </w:p>
          <w:p>
            <w:pPr>
              <w:adjustRightInd w:val="0"/>
              <w:snapToGrid w:val="0"/>
              <w:jc w:val="center"/>
              <w:rPr>
                <w:rFonts w:ascii="Times New Roman" w:hAnsi="Times New Roman"/>
                <w:kern w:val="2"/>
              </w:rPr>
            </w:pPr>
            <w:r>
              <w:rPr>
                <w:rFonts w:ascii="Times New Roman" w:hAnsi="Times New Roman"/>
                <w:kern w:val="2"/>
              </w:rPr>
              <w:t>工程</w:t>
            </w:r>
          </w:p>
        </w:tc>
        <w:tc>
          <w:tcPr>
            <w:tcW w:w="1755" w:type="dxa"/>
            <w:vAlign w:val="center"/>
          </w:tcPr>
          <w:p>
            <w:pPr>
              <w:adjustRightInd w:val="0"/>
              <w:snapToGrid w:val="0"/>
              <w:jc w:val="center"/>
              <w:rPr>
                <w:rFonts w:ascii="Times New Roman" w:hAnsi="Times New Roman"/>
                <w:kern w:val="2"/>
              </w:rPr>
            </w:pPr>
            <w:r>
              <w:rPr>
                <w:rFonts w:ascii="Times New Roman" w:hAnsi="Times New Roman"/>
                <w:kern w:val="2"/>
              </w:rPr>
              <w:t>废水处理工程</w:t>
            </w:r>
          </w:p>
        </w:tc>
        <w:tc>
          <w:tcPr>
            <w:tcW w:w="5586" w:type="dxa"/>
            <w:vAlign w:val="center"/>
          </w:tcPr>
          <w:p>
            <w:pPr>
              <w:spacing w:before="189"/>
              <w:ind w:left="40" w:right="23"/>
              <w:jc w:val="center"/>
              <w:rPr>
                <w:rFonts w:ascii="Times New Roman" w:hAnsi="Times New Roman"/>
                <w:kern w:val="2"/>
              </w:rPr>
            </w:pPr>
            <w:r>
              <w:rPr>
                <w:rFonts w:ascii="Times New Roman" w:hAnsi="Times New Roman"/>
                <w:kern w:val="2"/>
              </w:rPr>
              <w:t>生产废水经企业原有污水处理站(工艺流程：格栅→调节池→一体化污水处理设备(水解酸化池→接触氧化池 →二沉池 →MBR 池)→二氧化氯发生器→回用水池) 处理后满足《城市污水再生利用城市杂用水水质》( GB/T18920-2002 ) 中“车辆冲洗”标准，厂内全部回用 (回用于车间地面消毒清洗用水、转运车消毒清 洗用水和周转箱消毒清洗用水)，不外排。</w:t>
            </w:r>
            <w:r>
              <w:rPr>
                <w:rFonts w:hint="eastAsia" w:ascii="Times New Roman" w:hAnsi="Times New Roman"/>
                <w:kern w:val="2"/>
              </w:rPr>
              <w:t>生活污水排入污水管网，进入双鸭山市城市污水处理厂处理后达到《城镇污水处理厂污染物排放标准》（GB18918-2002）一级A标准后排放。</w:t>
            </w:r>
          </w:p>
          <w:p>
            <w:pPr>
              <w:adjustRightInd w:val="0"/>
              <w:snapToGrid w:val="0"/>
              <w:jc w:val="center"/>
              <w:rPr>
                <w:rFonts w:ascii="Times New Roman" w:hAnsi="Times New Roman"/>
                <w:kern w:val="2"/>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816" w:hRule="atLeast"/>
        </w:trPr>
        <w:tc>
          <w:tcPr>
            <w:tcW w:w="972" w:type="dxa"/>
            <w:vMerge w:val="continue"/>
            <w:vAlign w:val="center"/>
          </w:tcPr>
          <w:p>
            <w:pPr>
              <w:adjustRightInd w:val="0"/>
              <w:snapToGrid w:val="0"/>
              <w:jc w:val="center"/>
              <w:rPr>
                <w:rFonts w:ascii="Times New Roman" w:hAnsi="Times New Roman"/>
                <w:kern w:val="2"/>
              </w:rPr>
            </w:pPr>
          </w:p>
        </w:tc>
        <w:tc>
          <w:tcPr>
            <w:tcW w:w="1755" w:type="dxa"/>
            <w:vAlign w:val="center"/>
          </w:tcPr>
          <w:p>
            <w:pPr>
              <w:adjustRightInd w:val="0"/>
              <w:snapToGrid w:val="0"/>
              <w:jc w:val="center"/>
              <w:rPr>
                <w:rFonts w:ascii="Times New Roman" w:hAnsi="Times New Roman"/>
                <w:kern w:val="2"/>
              </w:rPr>
            </w:pPr>
            <w:r>
              <w:rPr>
                <w:rFonts w:ascii="Times New Roman" w:hAnsi="Times New Roman"/>
                <w:kern w:val="2"/>
              </w:rPr>
              <w:t>废气处理工程</w:t>
            </w:r>
          </w:p>
        </w:tc>
        <w:tc>
          <w:tcPr>
            <w:tcW w:w="5586" w:type="dxa"/>
            <w:vAlign w:val="center"/>
          </w:tcPr>
          <w:p>
            <w:pPr>
              <w:adjustRightInd w:val="0"/>
              <w:snapToGrid w:val="0"/>
              <w:jc w:val="center"/>
              <w:rPr>
                <w:rFonts w:ascii="Times New Roman" w:hAnsi="Times New Roman"/>
                <w:kern w:val="2"/>
              </w:rPr>
            </w:pPr>
            <w:r>
              <w:rPr>
                <w:rFonts w:ascii="Times New Roman" w:hAnsi="Times New Roman"/>
                <w:kern w:val="2"/>
              </w:rPr>
              <w:t>现有工程“蒸汽+微波”灭菌车间废气经</w:t>
            </w:r>
            <w:r>
              <w:rPr>
                <w:rFonts w:hint="eastAsia" w:ascii="Times New Roman" w:hAnsi="Times New Roman"/>
                <w:kern w:val="2"/>
              </w:rPr>
              <w:t>除臭塔</w:t>
            </w:r>
            <w:r>
              <w:rPr>
                <w:rFonts w:ascii="Times New Roman" w:hAnsi="Times New Roman"/>
                <w:kern w:val="2"/>
              </w:rPr>
              <w:t>和活性炭吸附装置处理后排放</w:t>
            </w:r>
            <w:r>
              <w:rPr>
                <w:rFonts w:hint="eastAsia" w:ascii="Times New Roman" w:hAnsi="Times New Roman"/>
                <w:kern w:val="2"/>
              </w:rPr>
              <w:t>，排放口编号为D</w:t>
            </w:r>
            <w:r>
              <w:rPr>
                <w:rFonts w:ascii="Times New Roman" w:hAnsi="Times New Roman"/>
                <w:kern w:val="2"/>
              </w:rPr>
              <w:t>A001</w:t>
            </w:r>
            <w:r>
              <w:rPr>
                <w:rFonts w:hint="eastAsia" w:ascii="Times New Roman" w:hAnsi="Times New Roman"/>
                <w:kern w:val="2"/>
              </w:rPr>
              <w:t>，项目危废暂存间、医疗废物储存间、生产车间的无组织废气经负压收集后也通过这个排气筒排放</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0" w:hRule="atLeast"/>
        </w:trPr>
        <w:tc>
          <w:tcPr>
            <w:tcW w:w="972" w:type="dxa"/>
            <w:vMerge w:val="continue"/>
            <w:vAlign w:val="center"/>
          </w:tcPr>
          <w:p>
            <w:pPr>
              <w:adjustRightInd w:val="0"/>
              <w:snapToGrid w:val="0"/>
              <w:jc w:val="center"/>
              <w:rPr>
                <w:rFonts w:ascii="Times New Roman" w:hAnsi="Times New Roman"/>
                <w:kern w:val="2"/>
              </w:rPr>
            </w:pPr>
          </w:p>
        </w:tc>
        <w:tc>
          <w:tcPr>
            <w:tcW w:w="1755" w:type="dxa"/>
            <w:vAlign w:val="center"/>
          </w:tcPr>
          <w:p>
            <w:pPr>
              <w:adjustRightInd w:val="0"/>
              <w:snapToGrid w:val="0"/>
              <w:jc w:val="center"/>
              <w:rPr>
                <w:rFonts w:ascii="Times New Roman" w:hAnsi="Times New Roman"/>
                <w:kern w:val="2"/>
              </w:rPr>
            </w:pPr>
            <w:r>
              <w:rPr>
                <w:rFonts w:ascii="Times New Roman" w:hAnsi="Times New Roman"/>
                <w:kern w:val="2"/>
              </w:rPr>
              <w:t>噪声治理工程</w:t>
            </w:r>
          </w:p>
        </w:tc>
        <w:tc>
          <w:tcPr>
            <w:tcW w:w="5586" w:type="dxa"/>
            <w:vAlign w:val="center"/>
          </w:tcPr>
          <w:p>
            <w:pPr>
              <w:adjustRightInd w:val="0"/>
              <w:snapToGrid w:val="0"/>
              <w:jc w:val="center"/>
              <w:rPr>
                <w:rFonts w:ascii="Times New Roman" w:hAnsi="Times New Roman"/>
                <w:kern w:val="2"/>
              </w:rPr>
            </w:pPr>
            <w:r>
              <w:rPr>
                <w:rFonts w:ascii="Times New Roman" w:hAnsi="Times New Roman"/>
                <w:kern w:val="2"/>
              </w:rPr>
              <w:t>现有工程采用低噪声设备</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916" w:hRule="atLeast"/>
        </w:trPr>
        <w:tc>
          <w:tcPr>
            <w:tcW w:w="972" w:type="dxa"/>
            <w:vMerge w:val="continue"/>
            <w:vAlign w:val="center"/>
          </w:tcPr>
          <w:p>
            <w:pPr>
              <w:adjustRightInd w:val="0"/>
              <w:snapToGrid w:val="0"/>
              <w:jc w:val="center"/>
              <w:rPr>
                <w:rFonts w:ascii="Times New Roman" w:hAnsi="Times New Roman"/>
                <w:kern w:val="2"/>
              </w:rPr>
            </w:pPr>
          </w:p>
        </w:tc>
        <w:tc>
          <w:tcPr>
            <w:tcW w:w="1755" w:type="dxa"/>
            <w:vMerge w:val="restart"/>
            <w:vAlign w:val="center"/>
          </w:tcPr>
          <w:p>
            <w:pPr>
              <w:adjustRightInd w:val="0"/>
              <w:snapToGrid w:val="0"/>
              <w:jc w:val="center"/>
              <w:rPr>
                <w:rFonts w:ascii="Times New Roman" w:hAnsi="Times New Roman"/>
                <w:kern w:val="2"/>
              </w:rPr>
            </w:pPr>
            <w:r>
              <w:rPr>
                <w:rFonts w:ascii="Times New Roman" w:hAnsi="Times New Roman"/>
                <w:kern w:val="2"/>
              </w:rPr>
              <w:t>固体废物处理工程</w:t>
            </w:r>
          </w:p>
        </w:tc>
        <w:tc>
          <w:tcPr>
            <w:tcW w:w="5586" w:type="dxa"/>
            <w:vAlign w:val="center"/>
          </w:tcPr>
          <w:p>
            <w:pPr>
              <w:adjustRightInd w:val="0"/>
              <w:snapToGrid w:val="0"/>
              <w:jc w:val="center"/>
              <w:rPr>
                <w:rFonts w:ascii="Times New Roman" w:hAnsi="Times New Roman"/>
                <w:kern w:val="2"/>
              </w:rPr>
            </w:pPr>
            <w:r>
              <w:rPr>
                <w:rFonts w:ascii="Times New Roman" w:hAnsi="Times New Roman"/>
                <w:kern w:val="2"/>
              </w:rPr>
              <w:t>现有工程职工生活垃圾集中收集，交由环卫部门处置</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0" w:hRule="atLeast"/>
        </w:trPr>
        <w:tc>
          <w:tcPr>
            <w:tcW w:w="972" w:type="dxa"/>
            <w:vMerge w:val="continue"/>
            <w:vAlign w:val="center"/>
          </w:tcPr>
          <w:p>
            <w:pPr>
              <w:adjustRightInd w:val="0"/>
              <w:snapToGrid w:val="0"/>
              <w:jc w:val="center"/>
              <w:rPr>
                <w:rFonts w:ascii="Times New Roman" w:hAnsi="Times New Roman"/>
                <w:kern w:val="2"/>
              </w:rPr>
            </w:pPr>
          </w:p>
        </w:tc>
        <w:tc>
          <w:tcPr>
            <w:tcW w:w="1755" w:type="dxa"/>
            <w:vMerge w:val="continue"/>
            <w:vAlign w:val="center"/>
          </w:tcPr>
          <w:p>
            <w:pPr>
              <w:adjustRightInd w:val="0"/>
              <w:snapToGrid w:val="0"/>
              <w:jc w:val="center"/>
              <w:rPr>
                <w:rFonts w:ascii="Times New Roman" w:hAnsi="Times New Roman"/>
                <w:kern w:val="2"/>
              </w:rPr>
            </w:pPr>
          </w:p>
        </w:tc>
        <w:tc>
          <w:tcPr>
            <w:tcW w:w="5586" w:type="dxa"/>
            <w:vAlign w:val="center"/>
          </w:tcPr>
          <w:p>
            <w:pPr>
              <w:adjustRightInd w:val="0"/>
              <w:snapToGrid w:val="0"/>
              <w:jc w:val="center"/>
              <w:rPr>
                <w:rFonts w:ascii="Times New Roman" w:hAnsi="Times New Roman"/>
                <w:kern w:val="2"/>
              </w:rPr>
            </w:pPr>
            <w:r>
              <w:rPr>
                <w:rFonts w:ascii="Times New Roman" w:hAnsi="Times New Roman"/>
                <w:kern w:val="2"/>
              </w:rPr>
              <w:t>现有工程处理后的医疗废物处理后的医疗废物经分袋包装后运送至厂址西侧双鸭山市</w:t>
            </w:r>
            <w:r>
              <w:rPr>
                <w:rFonts w:hint="eastAsia" w:ascii="Times New Roman" w:hAnsi="Times New Roman"/>
                <w:kern w:val="2"/>
              </w:rPr>
              <w:t>生活垃圾填埋场处理。</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0" w:hRule="atLeast"/>
        </w:trPr>
        <w:tc>
          <w:tcPr>
            <w:tcW w:w="972" w:type="dxa"/>
            <w:vMerge w:val="continue"/>
            <w:vAlign w:val="center"/>
          </w:tcPr>
          <w:p>
            <w:pPr>
              <w:adjustRightInd w:val="0"/>
              <w:snapToGrid w:val="0"/>
              <w:jc w:val="center"/>
              <w:rPr>
                <w:rFonts w:ascii="Times New Roman" w:hAnsi="Times New Roman"/>
                <w:kern w:val="2"/>
              </w:rPr>
            </w:pPr>
          </w:p>
        </w:tc>
        <w:tc>
          <w:tcPr>
            <w:tcW w:w="1755" w:type="dxa"/>
            <w:vMerge w:val="continue"/>
            <w:vAlign w:val="center"/>
          </w:tcPr>
          <w:p>
            <w:pPr>
              <w:adjustRightInd w:val="0"/>
              <w:snapToGrid w:val="0"/>
              <w:jc w:val="center"/>
              <w:rPr>
                <w:rFonts w:ascii="Times New Roman" w:hAnsi="Times New Roman"/>
                <w:kern w:val="2"/>
              </w:rPr>
            </w:pPr>
          </w:p>
        </w:tc>
        <w:tc>
          <w:tcPr>
            <w:tcW w:w="5586" w:type="dxa"/>
            <w:vAlign w:val="center"/>
          </w:tcPr>
          <w:p>
            <w:pPr>
              <w:adjustRightInd w:val="0"/>
              <w:snapToGrid w:val="0"/>
              <w:jc w:val="center"/>
              <w:rPr>
                <w:rFonts w:ascii="Times New Roman" w:hAnsi="Times New Roman"/>
                <w:kern w:val="2"/>
              </w:rPr>
            </w:pPr>
            <w:r>
              <w:rPr>
                <w:rFonts w:ascii="Times New Roman" w:hAnsi="Times New Roman"/>
                <w:kern w:val="2"/>
              </w:rPr>
              <w:t>现有工程废活性炭污</w:t>
            </w:r>
            <w:r>
              <w:rPr>
                <w:rFonts w:hint="eastAsia" w:ascii="Times New Roman" w:hAnsi="Times New Roman"/>
                <w:kern w:val="2"/>
              </w:rPr>
              <w:t>、</w:t>
            </w:r>
            <w:r>
              <w:rPr>
                <w:rFonts w:ascii="Times New Roman" w:hAnsi="Times New Roman"/>
                <w:kern w:val="2"/>
              </w:rPr>
              <w:t>水处理间污泥</w:t>
            </w:r>
            <w:r>
              <w:rPr>
                <w:rFonts w:hint="eastAsia" w:ascii="Times New Roman" w:hAnsi="Times New Roman"/>
                <w:kern w:val="2"/>
              </w:rPr>
              <w:t>栅渣</w:t>
            </w:r>
            <w:r>
              <w:rPr>
                <w:rFonts w:ascii="Times New Roman" w:hAnsi="Times New Roman"/>
                <w:kern w:val="2"/>
              </w:rPr>
              <w:t>交由黑龙江京盛华环保科技有限公司处置</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0" w:hRule="atLeast"/>
        </w:trPr>
        <w:tc>
          <w:tcPr>
            <w:tcW w:w="972" w:type="dxa"/>
            <w:vMerge w:val="continue"/>
            <w:vAlign w:val="center"/>
          </w:tcPr>
          <w:p>
            <w:pPr>
              <w:adjustRightInd w:val="0"/>
              <w:snapToGrid w:val="0"/>
              <w:jc w:val="center"/>
              <w:rPr>
                <w:rFonts w:ascii="Times New Roman" w:hAnsi="Times New Roman"/>
                <w:kern w:val="2"/>
              </w:rPr>
            </w:pPr>
          </w:p>
        </w:tc>
        <w:tc>
          <w:tcPr>
            <w:tcW w:w="1755" w:type="dxa"/>
            <w:vMerge w:val="continue"/>
            <w:vAlign w:val="center"/>
          </w:tcPr>
          <w:p>
            <w:pPr>
              <w:adjustRightInd w:val="0"/>
              <w:snapToGrid w:val="0"/>
              <w:jc w:val="center"/>
              <w:rPr>
                <w:rFonts w:ascii="Times New Roman" w:hAnsi="Times New Roman"/>
                <w:kern w:val="2"/>
              </w:rPr>
            </w:pPr>
          </w:p>
        </w:tc>
        <w:tc>
          <w:tcPr>
            <w:tcW w:w="5586" w:type="dxa"/>
            <w:vAlign w:val="center"/>
          </w:tcPr>
          <w:p>
            <w:pPr>
              <w:adjustRightInd w:val="0"/>
              <w:snapToGrid w:val="0"/>
              <w:jc w:val="center"/>
              <w:rPr>
                <w:rFonts w:ascii="Times New Roman" w:hAnsi="Times New Roman"/>
                <w:kern w:val="2"/>
              </w:rPr>
            </w:pPr>
            <w:r>
              <w:rPr>
                <w:rFonts w:hint="eastAsia" w:ascii="Times New Roman" w:hAnsi="Times New Roman"/>
                <w:kern w:val="2"/>
              </w:rPr>
              <w:t>危险废物暂存间1</w:t>
            </w:r>
            <w:r>
              <w:rPr>
                <w:rFonts w:ascii="Times New Roman" w:hAnsi="Times New Roman"/>
                <w:kern w:val="2"/>
              </w:rPr>
              <w:t>0</w:t>
            </w:r>
            <w:r>
              <w:rPr>
                <w:rFonts w:hint="eastAsia" w:ascii="Times New Roman" w:hAnsi="Times New Roman"/>
                <w:kern w:val="2"/>
              </w:rPr>
              <w:t>m</w:t>
            </w:r>
            <w:r>
              <w:rPr>
                <w:rFonts w:ascii="Times New Roman" w:hAnsi="Times New Roman"/>
                <w:kern w:val="2"/>
                <w:vertAlign w:val="superscript"/>
              </w:rPr>
              <w:t>2</w:t>
            </w:r>
          </w:p>
        </w:tc>
      </w:tr>
    </w:tbl>
    <w:p>
      <w:pPr>
        <w:pStyle w:val="4"/>
        <w:spacing w:before="120" w:beforeLines="50" w:after="120" w:afterLines="50" w:line="480" w:lineRule="exact"/>
        <w:rPr>
          <w:rFonts w:ascii="Times New Roman" w:hAnsi="Times New Roman" w:eastAsia="黑体"/>
          <w:bCs/>
          <w:sz w:val="28"/>
          <w:szCs w:val="28"/>
        </w:rPr>
      </w:pPr>
      <w:bookmarkStart w:id="445" w:name="_Toc27650"/>
      <w:bookmarkStart w:id="446" w:name="_Toc10687"/>
      <w:bookmarkStart w:id="447" w:name="_Toc4853"/>
      <w:bookmarkStart w:id="448" w:name="_Toc8214"/>
      <w:bookmarkStart w:id="449" w:name="_Toc21144"/>
      <w:r>
        <w:rPr>
          <w:rFonts w:ascii="Times New Roman" w:hAnsi="Times New Roman" w:eastAsia="黑体"/>
          <w:bCs/>
          <w:sz w:val="28"/>
          <w:szCs w:val="28"/>
        </w:rPr>
        <w:t>现有工程主要设备</w:t>
      </w:r>
      <w:bookmarkEnd w:id="445"/>
    </w:p>
    <w:p>
      <w:pPr>
        <w:spacing w:line="480" w:lineRule="exact"/>
        <w:ind w:firstLine="480" w:firstLineChars="200"/>
        <w:rPr>
          <w:rFonts w:ascii="Times New Roman" w:hAnsi="Times New Roman"/>
          <w:sz w:val="24"/>
          <w:szCs w:val="24"/>
        </w:rPr>
      </w:pPr>
      <w:r>
        <w:rPr>
          <w:rFonts w:ascii="Times New Roman" w:hAnsi="Times New Roman"/>
          <w:sz w:val="24"/>
          <w:szCs w:val="24"/>
        </w:rPr>
        <w:t>现有工程主要设备情况见表3.1-2。</w:t>
      </w:r>
    </w:p>
    <w:p>
      <w:pPr>
        <w:spacing w:line="480" w:lineRule="exact"/>
        <w:jc w:val="center"/>
        <w:rPr>
          <w:rFonts w:ascii="Times New Roman" w:hAnsi="Times New Roman"/>
          <w:b/>
        </w:rPr>
      </w:pPr>
      <w:r>
        <w:rPr>
          <w:rFonts w:ascii="Times New Roman" w:hAnsi="Times New Roman"/>
          <w:b/>
        </w:rPr>
        <w:t>表3.1-2 现有工程主要设备一览表</w:t>
      </w:r>
    </w:p>
    <w:tbl>
      <w:tblPr>
        <w:tblStyle w:val="77"/>
        <w:tblW w:w="4945" w:type="pct"/>
        <w:tblInd w:w="-142"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570"/>
        <w:gridCol w:w="1687"/>
        <w:gridCol w:w="1259"/>
        <w:gridCol w:w="848"/>
        <w:gridCol w:w="709"/>
        <w:gridCol w:w="1417"/>
        <w:gridCol w:w="994"/>
        <w:gridCol w:w="951"/>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Pr>
        <w:tc>
          <w:tcPr>
            <w:tcW w:w="338" w:type="pct"/>
            <w:tcBorders>
              <w:top w:val="single" w:color="000000" w:sz="12" w:space="0"/>
              <w:left w:val="nil"/>
            </w:tcBorders>
            <w:vAlign w:val="center"/>
          </w:tcPr>
          <w:p>
            <w:pPr>
              <w:widowControl/>
              <w:spacing w:line="280" w:lineRule="exact"/>
              <w:jc w:val="center"/>
              <w:rPr>
                <w:rFonts w:ascii="Times New Roman" w:hAnsi="Times New Roman"/>
                <w:b/>
                <w:bCs/>
              </w:rPr>
            </w:pPr>
            <w:r>
              <w:rPr>
                <w:rFonts w:ascii="Times New Roman" w:hAnsi="Times New Roman"/>
                <w:b/>
                <w:bCs/>
              </w:rPr>
              <w:t>序号</w:t>
            </w:r>
          </w:p>
        </w:tc>
        <w:tc>
          <w:tcPr>
            <w:tcW w:w="1000" w:type="pct"/>
            <w:tcBorders>
              <w:top w:val="single" w:color="000000" w:sz="12" w:space="0"/>
              <w:left w:val="nil"/>
            </w:tcBorders>
            <w:noWrap/>
            <w:vAlign w:val="center"/>
          </w:tcPr>
          <w:p>
            <w:pPr>
              <w:widowControl/>
              <w:spacing w:line="280" w:lineRule="exact"/>
              <w:jc w:val="center"/>
              <w:rPr>
                <w:rFonts w:ascii="Times New Roman" w:hAnsi="Times New Roman"/>
              </w:rPr>
            </w:pPr>
            <w:r>
              <w:rPr>
                <w:rFonts w:ascii="Times New Roman" w:hAnsi="Times New Roman"/>
                <w:b/>
                <w:bCs/>
              </w:rPr>
              <w:t>设备名称</w:t>
            </w:r>
          </w:p>
        </w:tc>
        <w:tc>
          <w:tcPr>
            <w:tcW w:w="746" w:type="pct"/>
            <w:tcBorders>
              <w:top w:val="single" w:color="000000" w:sz="12" w:space="0"/>
            </w:tcBorders>
            <w:noWrap/>
            <w:vAlign w:val="center"/>
          </w:tcPr>
          <w:p>
            <w:pPr>
              <w:widowControl/>
              <w:spacing w:line="280" w:lineRule="exact"/>
              <w:jc w:val="center"/>
              <w:rPr>
                <w:rFonts w:ascii="Times New Roman" w:hAnsi="Times New Roman"/>
              </w:rPr>
            </w:pPr>
            <w:r>
              <w:rPr>
                <w:rFonts w:ascii="Times New Roman" w:hAnsi="Times New Roman"/>
                <w:b/>
                <w:bCs/>
              </w:rPr>
              <w:t>用电负荷（kw）</w:t>
            </w:r>
          </w:p>
        </w:tc>
        <w:tc>
          <w:tcPr>
            <w:tcW w:w="503" w:type="pct"/>
            <w:tcBorders>
              <w:top w:val="single" w:color="000000" w:sz="12" w:space="0"/>
            </w:tcBorders>
            <w:noWrap/>
            <w:vAlign w:val="center"/>
          </w:tcPr>
          <w:p>
            <w:pPr>
              <w:widowControl/>
              <w:spacing w:line="280" w:lineRule="exact"/>
              <w:jc w:val="center"/>
              <w:rPr>
                <w:rFonts w:ascii="Times New Roman" w:hAnsi="Times New Roman"/>
                <w:b/>
                <w:bCs/>
              </w:rPr>
            </w:pPr>
            <w:r>
              <w:rPr>
                <w:rFonts w:ascii="Times New Roman" w:hAnsi="Times New Roman"/>
                <w:b/>
                <w:bCs/>
              </w:rPr>
              <w:t>备用（台套）</w:t>
            </w:r>
          </w:p>
        </w:tc>
        <w:tc>
          <w:tcPr>
            <w:tcW w:w="420" w:type="pct"/>
            <w:tcBorders>
              <w:top w:val="single" w:color="000000" w:sz="12" w:space="0"/>
            </w:tcBorders>
            <w:vAlign w:val="center"/>
          </w:tcPr>
          <w:p>
            <w:pPr>
              <w:widowControl/>
              <w:spacing w:line="280" w:lineRule="exact"/>
              <w:jc w:val="center"/>
              <w:rPr>
                <w:rFonts w:ascii="Times New Roman" w:hAnsi="Times New Roman"/>
                <w:b/>
                <w:bCs/>
              </w:rPr>
            </w:pPr>
            <w:r>
              <w:rPr>
                <w:rFonts w:ascii="Times New Roman" w:hAnsi="Times New Roman"/>
                <w:b/>
                <w:bCs/>
              </w:rPr>
              <w:t>常用（台套）</w:t>
            </w:r>
          </w:p>
        </w:tc>
        <w:tc>
          <w:tcPr>
            <w:tcW w:w="840" w:type="pct"/>
            <w:tcBorders>
              <w:top w:val="single" w:color="000000" w:sz="12" w:space="0"/>
            </w:tcBorders>
            <w:vAlign w:val="center"/>
          </w:tcPr>
          <w:p>
            <w:pPr>
              <w:widowControl/>
              <w:spacing w:line="280" w:lineRule="exact"/>
              <w:jc w:val="center"/>
              <w:rPr>
                <w:rFonts w:ascii="Times New Roman" w:hAnsi="Times New Roman"/>
                <w:b/>
                <w:bCs/>
              </w:rPr>
            </w:pPr>
            <w:r>
              <w:rPr>
                <w:rFonts w:ascii="Times New Roman" w:hAnsi="Times New Roman"/>
                <w:b/>
                <w:bCs/>
              </w:rPr>
              <w:t>设备功率（kw）</w:t>
            </w:r>
          </w:p>
        </w:tc>
        <w:tc>
          <w:tcPr>
            <w:tcW w:w="589" w:type="pct"/>
            <w:tcBorders>
              <w:top w:val="single" w:color="000000" w:sz="12" w:space="0"/>
            </w:tcBorders>
            <w:vAlign w:val="center"/>
          </w:tcPr>
          <w:p>
            <w:pPr>
              <w:widowControl/>
              <w:spacing w:line="280" w:lineRule="exact"/>
              <w:jc w:val="center"/>
              <w:rPr>
                <w:rFonts w:ascii="Times New Roman" w:hAnsi="Times New Roman"/>
                <w:b/>
                <w:bCs/>
              </w:rPr>
            </w:pPr>
            <w:r>
              <w:rPr>
                <w:rFonts w:ascii="Times New Roman" w:hAnsi="Times New Roman"/>
                <w:b/>
                <w:bCs/>
              </w:rPr>
              <w:t>事故状态下用电</w:t>
            </w:r>
          </w:p>
        </w:tc>
        <w:tc>
          <w:tcPr>
            <w:tcW w:w="565" w:type="pct"/>
            <w:tcBorders>
              <w:top w:val="single" w:color="000000" w:sz="12" w:space="0"/>
              <w:right w:val="nil"/>
            </w:tcBorders>
            <w:noWrap/>
            <w:vAlign w:val="center"/>
          </w:tcPr>
          <w:p>
            <w:pPr>
              <w:widowControl/>
              <w:spacing w:line="280" w:lineRule="exact"/>
              <w:jc w:val="center"/>
              <w:rPr>
                <w:rFonts w:ascii="Times New Roman" w:hAnsi="Times New Roman"/>
                <w:b/>
                <w:bCs/>
              </w:rPr>
            </w:pPr>
            <w:r>
              <w:rPr>
                <w:rFonts w:ascii="Times New Roman" w:hAnsi="Times New Roman"/>
                <w:b/>
                <w:bCs/>
              </w:rPr>
              <w:t>备注</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Pr>
        <w:tc>
          <w:tcPr>
            <w:tcW w:w="338" w:type="pct"/>
            <w:tcBorders>
              <w:left w:val="nil"/>
            </w:tcBorders>
            <w:vAlign w:val="center"/>
          </w:tcPr>
          <w:p>
            <w:pPr>
              <w:widowControl/>
              <w:spacing w:line="280" w:lineRule="exact"/>
              <w:jc w:val="center"/>
              <w:rPr>
                <w:rFonts w:ascii="Times New Roman" w:hAnsi="Times New Roman"/>
              </w:rPr>
            </w:pPr>
            <w:r>
              <w:rPr>
                <w:rFonts w:ascii="Times New Roman" w:hAnsi="Times New Roman"/>
              </w:rPr>
              <w:t>1</w:t>
            </w:r>
          </w:p>
        </w:tc>
        <w:tc>
          <w:tcPr>
            <w:tcW w:w="1000" w:type="pct"/>
            <w:tcBorders>
              <w:left w:val="nil"/>
            </w:tcBorders>
            <w:noWrap/>
            <w:vAlign w:val="center"/>
          </w:tcPr>
          <w:p>
            <w:pPr>
              <w:widowControl/>
              <w:spacing w:line="280" w:lineRule="exact"/>
              <w:jc w:val="center"/>
              <w:rPr>
                <w:rFonts w:ascii="Times New Roman" w:hAnsi="Times New Roman"/>
              </w:rPr>
            </w:pPr>
            <w:r>
              <w:rPr>
                <w:rFonts w:ascii="Times New Roman" w:hAnsi="Times New Roman"/>
              </w:rPr>
              <w:t>医疗废物微波处理系统</w:t>
            </w:r>
          </w:p>
        </w:tc>
        <w:tc>
          <w:tcPr>
            <w:tcW w:w="746" w:type="pct"/>
            <w:noWrap/>
            <w:vAlign w:val="center"/>
          </w:tcPr>
          <w:p>
            <w:pPr>
              <w:widowControl/>
              <w:spacing w:line="280" w:lineRule="exact"/>
              <w:jc w:val="center"/>
              <w:rPr>
                <w:rFonts w:ascii="Times New Roman" w:hAnsi="Times New Roman"/>
              </w:rPr>
            </w:pPr>
            <w:r>
              <w:rPr>
                <w:rFonts w:ascii="Times New Roman" w:hAnsi="Times New Roman"/>
              </w:rPr>
              <w:t>35</w:t>
            </w:r>
          </w:p>
        </w:tc>
        <w:tc>
          <w:tcPr>
            <w:tcW w:w="503" w:type="pct"/>
            <w:noWrap/>
            <w:vAlign w:val="center"/>
          </w:tcPr>
          <w:p>
            <w:pPr>
              <w:widowControl/>
              <w:spacing w:line="280" w:lineRule="exact"/>
              <w:jc w:val="center"/>
              <w:rPr>
                <w:rFonts w:ascii="Times New Roman" w:hAnsi="Times New Roman"/>
              </w:rPr>
            </w:pPr>
          </w:p>
        </w:tc>
        <w:tc>
          <w:tcPr>
            <w:tcW w:w="420" w:type="pct"/>
            <w:vAlign w:val="center"/>
          </w:tcPr>
          <w:p>
            <w:pPr>
              <w:widowControl/>
              <w:spacing w:line="280" w:lineRule="exact"/>
              <w:jc w:val="center"/>
              <w:rPr>
                <w:rFonts w:ascii="Times New Roman" w:hAnsi="Times New Roman"/>
              </w:rPr>
            </w:pPr>
            <w:r>
              <w:rPr>
                <w:rFonts w:ascii="Times New Roman" w:hAnsi="Times New Roman"/>
              </w:rPr>
              <w:t>1</w:t>
            </w:r>
          </w:p>
        </w:tc>
        <w:tc>
          <w:tcPr>
            <w:tcW w:w="840" w:type="pct"/>
            <w:vAlign w:val="center"/>
          </w:tcPr>
          <w:p>
            <w:pPr>
              <w:widowControl/>
              <w:spacing w:line="280" w:lineRule="exact"/>
              <w:jc w:val="center"/>
              <w:rPr>
                <w:rFonts w:ascii="Times New Roman" w:hAnsi="Times New Roman"/>
              </w:rPr>
            </w:pPr>
            <w:r>
              <w:rPr>
                <w:rFonts w:ascii="Times New Roman" w:hAnsi="Times New Roman"/>
              </w:rPr>
              <w:t>35</w:t>
            </w:r>
          </w:p>
        </w:tc>
        <w:tc>
          <w:tcPr>
            <w:tcW w:w="589" w:type="pct"/>
            <w:vAlign w:val="center"/>
          </w:tcPr>
          <w:p>
            <w:pPr>
              <w:widowControl/>
              <w:spacing w:line="280" w:lineRule="exact"/>
              <w:jc w:val="center"/>
              <w:rPr>
                <w:rFonts w:ascii="Times New Roman" w:hAnsi="Times New Roman"/>
              </w:rPr>
            </w:pPr>
            <w:r>
              <w:rPr>
                <w:rFonts w:ascii="Times New Roman" w:hAnsi="Times New Roman"/>
              </w:rPr>
              <w:t>10.50</w:t>
            </w:r>
          </w:p>
        </w:tc>
        <w:tc>
          <w:tcPr>
            <w:tcW w:w="565" w:type="pct"/>
            <w:tcBorders>
              <w:right w:val="nil"/>
            </w:tcBorders>
            <w:noWrap/>
            <w:vAlign w:val="center"/>
          </w:tcPr>
          <w:p>
            <w:pPr>
              <w:widowControl/>
              <w:spacing w:line="280" w:lineRule="exact"/>
              <w:jc w:val="center"/>
              <w:rPr>
                <w:rFonts w:ascii="Times New Roman" w:hAnsi="Times New Roman"/>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Pr>
        <w:tc>
          <w:tcPr>
            <w:tcW w:w="338" w:type="pct"/>
            <w:tcBorders>
              <w:left w:val="nil"/>
            </w:tcBorders>
            <w:vAlign w:val="center"/>
          </w:tcPr>
          <w:p>
            <w:pPr>
              <w:widowControl/>
              <w:spacing w:line="280" w:lineRule="exact"/>
              <w:jc w:val="center"/>
              <w:rPr>
                <w:rFonts w:ascii="Times New Roman" w:hAnsi="Times New Roman"/>
              </w:rPr>
            </w:pPr>
            <w:r>
              <w:rPr>
                <w:rFonts w:ascii="Times New Roman" w:hAnsi="Times New Roman"/>
              </w:rPr>
              <w:t>2</w:t>
            </w:r>
          </w:p>
        </w:tc>
        <w:tc>
          <w:tcPr>
            <w:tcW w:w="1000" w:type="pct"/>
            <w:tcBorders>
              <w:left w:val="nil"/>
            </w:tcBorders>
            <w:noWrap/>
            <w:vAlign w:val="center"/>
          </w:tcPr>
          <w:p>
            <w:pPr>
              <w:widowControl/>
              <w:spacing w:line="280" w:lineRule="exact"/>
              <w:jc w:val="center"/>
              <w:rPr>
                <w:rFonts w:ascii="Times New Roman" w:hAnsi="Times New Roman"/>
              </w:rPr>
            </w:pPr>
            <w:r>
              <w:rPr>
                <w:rFonts w:ascii="Times New Roman" w:hAnsi="Times New Roman"/>
              </w:rPr>
              <w:t>蒸汽发生器</w:t>
            </w:r>
          </w:p>
        </w:tc>
        <w:tc>
          <w:tcPr>
            <w:tcW w:w="746" w:type="pct"/>
            <w:noWrap/>
            <w:vAlign w:val="center"/>
          </w:tcPr>
          <w:p>
            <w:pPr>
              <w:widowControl/>
              <w:spacing w:line="280" w:lineRule="exact"/>
              <w:jc w:val="center"/>
              <w:rPr>
                <w:rFonts w:ascii="Times New Roman" w:hAnsi="Times New Roman"/>
              </w:rPr>
            </w:pPr>
            <w:r>
              <w:rPr>
                <w:rFonts w:ascii="Times New Roman" w:hAnsi="Times New Roman"/>
              </w:rPr>
              <w:t>60</w:t>
            </w:r>
          </w:p>
        </w:tc>
        <w:tc>
          <w:tcPr>
            <w:tcW w:w="503" w:type="pct"/>
            <w:noWrap/>
            <w:vAlign w:val="center"/>
          </w:tcPr>
          <w:p>
            <w:pPr>
              <w:widowControl/>
              <w:spacing w:line="280" w:lineRule="exact"/>
              <w:jc w:val="center"/>
              <w:rPr>
                <w:rFonts w:ascii="Times New Roman" w:hAnsi="Times New Roman"/>
              </w:rPr>
            </w:pPr>
          </w:p>
        </w:tc>
        <w:tc>
          <w:tcPr>
            <w:tcW w:w="420" w:type="pct"/>
            <w:vAlign w:val="center"/>
          </w:tcPr>
          <w:p>
            <w:pPr>
              <w:widowControl/>
              <w:spacing w:line="280" w:lineRule="exact"/>
              <w:jc w:val="center"/>
              <w:rPr>
                <w:rFonts w:ascii="Times New Roman" w:hAnsi="Times New Roman"/>
              </w:rPr>
            </w:pPr>
            <w:r>
              <w:rPr>
                <w:rFonts w:ascii="Times New Roman" w:hAnsi="Times New Roman"/>
              </w:rPr>
              <w:t>1</w:t>
            </w:r>
          </w:p>
        </w:tc>
        <w:tc>
          <w:tcPr>
            <w:tcW w:w="840" w:type="pct"/>
            <w:vAlign w:val="center"/>
          </w:tcPr>
          <w:p>
            <w:pPr>
              <w:widowControl/>
              <w:spacing w:line="280" w:lineRule="exact"/>
              <w:jc w:val="center"/>
              <w:rPr>
                <w:rFonts w:ascii="Times New Roman" w:hAnsi="Times New Roman"/>
              </w:rPr>
            </w:pPr>
            <w:r>
              <w:rPr>
                <w:rFonts w:ascii="Times New Roman" w:hAnsi="Times New Roman"/>
              </w:rPr>
              <w:t>60</w:t>
            </w:r>
          </w:p>
        </w:tc>
        <w:tc>
          <w:tcPr>
            <w:tcW w:w="589" w:type="pct"/>
            <w:vAlign w:val="center"/>
          </w:tcPr>
          <w:p>
            <w:pPr>
              <w:widowControl/>
              <w:spacing w:line="280" w:lineRule="exact"/>
              <w:jc w:val="center"/>
              <w:rPr>
                <w:rFonts w:ascii="Times New Roman" w:hAnsi="Times New Roman"/>
              </w:rPr>
            </w:pPr>
            <w:r>
              <w:rPr>
                <w:rFonts w:ascii="Times New Roman" w:hAnsi="Times New Roman"/>
              </w:rPr>
              <w:t>13.50</w:t>
            </w:r>
          </w:p>
        </w:tc>
        <w:tc>
          <w:tcPr>
            <w:tcW w:w="565" w:type="pct"/>
            <w:tcBorders>
              <w:right w:val="nil"/>
            </w:tcBorders>
            <w:noWrap/>
            <w:vAlign w:val="center"/>
          </w:tcPr>
          <w:p>
            <w:pPr>
              <w:widowControl/>
              <w:spacing w:line="280" w:lineRule="exact"/>
              <w:jc w:val="center"/>
              <w:rPr>
                <w:rFonts w:ascii="Times New Roman" w:hAnsi="Times New Roman"/>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Pr>
        <w:tc>
          <w:tcPr>
            <w:tcW w:w="338" w:type="pct"/>
            <w:tcBorders>
              <w:left w:val="nil"/>
            </w:tcBorders>
            <w:vAlign w:val="center"/>
          </w:tcPr>
          <w:p>
            <w:pPr>
              <w:widowControl/>
              <w:spacing w:line="280" w:lineRule="exact"/>
              <w:jc w:val="center"/>
              <w:rPr>
                <w:rFonts w:ascii="Times New Roman" w:hAnsi="Times New Roman"/>
              </w:rPr>
            </w:pPr>
            <w:r>
              <w:rPr>
                <w:rFonts w:ascii="Times New Roman" w:hAnsi="Times New Roman"/>
              </w:rPr>
              <w:t>3</w:t>
            </w:r>
          </w:p>
        </w:tc>
        <w:tc>
          <w:tcPr>
            <w:tcW w:w="1000" w:type="pct"/>
            <w:tcBorders>
              <w:left w:val="nil"/>
            </w:tcBorders>
            <w:noWrap/>
            <w:vAlign w:val="center"/>
          </w:tcPr>
          <w:p>
            <w:pPr>
              <w:widowControl/>
              <w:spacing w:line="280" w:lineRule="exact"/>
              <w:jc w:val="center"/>
              <w:rPr>
                <w:rFonts w:ascii="Times New Roman" w:hAnsi="Times New Roman"/>
              </w:rPr>
            </w:pPr>
            <w:r>
              <w:rPr>
                <w:rFonts w:ascii="Times New Roman" w:hAnsi="Times New Roman"/>
              </w:rPr>
              <w:t>粉碎系统负压风机</w:t>
            </w:r>
          </w:p>
        </w:tc>
        <w:tc>
          <w:tcPr>
            <w:tcW w:w="746" w:type="pct"/>
            <w:noWrap/>
            <w:vAlign w:val="center"/>
          </w:tcPr>
          <w:p>
            <w:pPr>
              <w:widowControl/>
              <w:spacing w:line="280" w:lineRule="exact"/>
              <w:jc w:val="center"/>
              <w:rPr>
                <w:rFonts w:ascii="Times New Roman" w:hAnsi="Times New Roman"/>
              </w:rPr>
            </w:pPr>
            <w:r>
              <w:rPr>
                <w:rFonts w:ascii="Times New Roman" w:hAnsi="Times New Roman"/>
              </w:rPr>
              <w:t>3.5</w:t>
            </w:r>
          </w:p>
        </w:tc>
        <w:tc>
          <w:tcPr>
            <w:tcW w:w="503" w:type="pct"/>
            <w:noWrap/>
            <w:vAlign w:val="center"/>
          </w:tcPr>
          <w:p>
            <w:pPr>
              <w:widowControl/>
              <w:spacing w:line="280" w:lineRule="exact"/>
              <w:jc w:val="center"/>
              <w:rPr>
                <w:rFonts w:ascii="Times New Roman" w:hAnsi="Times New Roman"/>
              </w:rPr>
            </w:pPr>
            <w:r>
              <w:rPr>
                <w:rFonts w:ascii="Times New Roman" w:hAnsi="Times New Roman"/>
              </w:rPr>
              <w:t>1</w:t>
            </w:r>
          </w:p>
        </w:tc>
        <w:tc>
          <w:tcPr>
            <w:tcW w:w="420" w:type="pct"/>
            <w:vAlign w:val="center"/>
          </w:tcPr>
          <w:p>
            <w:pPr>
              <w:widowControl/>
              <w:spacing w:line="280" w:lineRule="exact"/>
              <w:jc w:val="center"/>
              <w:rPr>
                <w:rFonts w:ascii="Times New Roman" w:hAnsi="Times New Roman"/>
              </w:rPr>
            </w:pPr>
            <w:r>
              <w:rPr>
                <w:rFonts w:ascii="Times New Roman" w:hAnsi="Times New Roman"/>
              </w:rPr>
              <w:t>1</w:t>
            </w:r>
          </w:p>
        </w:tc>
        <w:tc>
          <w:tcPr>
            <w:tcW w:w="840" w:type="pct"/>
            <w:vAlign w:val="center"/>
          </w:tcPr>
          <w:p>
            <w:pPr>
              <w:widowControl/>
              <w:spacing w:line="280" w:lineRule="exact"/>
              <w:jc w:val="center"/>
              <w:rPr>
                <w:rFonts w:ascii="Times New Roman" w:hAnsi="Times New Roman"/>
              </w:rPr>
            </w:pPr>
            <w:r>
              <w:rPr>
                <w:rFonts w:ascii="Times New Roman" w:hAnsi="Times New Roman"/>
              </w:rPr>
              <w:t>3.5</w:t>
            </w:r>
          </w:p>
        </w:tc>
        <w:tc>
          <w:tcPr>
            <w:tcW w:w="589" w:type="pct"/>
            <w:vAlign w:val="center"/>
          </w:tcPr>
          <w:p>
            <w:pPr>
              <w:widowControl/>
              <w:spacing w:line="280" w:lineRule="exact"/>
              <w:jc w:val="center"/>
              <w:rPr>
                <w:rFonts w:ascii="Times New Roman" w:hAnsi="Times New Roman"/>
              </w:rPr>
            </w:pPr>
            <w:r>
              <w:rPr>
                <w:rFonts w:ascii="Times New Roman" w:hAnsi="Times New Roman"/>
              </w:rPr>
              <w:t>2.56</w:t>
            </w:r>
          </w:p>
        </w:tc>
        <w:tc>
          <w:tcPr>
            <w:tcW w:w="565" w:type="pct"/>
            <w:tcBorders>
              <w:right w:val="nil"/>
            </w:tcBorders>
            <w:noWrap/>
            <w:vAlign w:val="center"/>
          </w:tcPr>
          <w:p>
            <w:pPr>
              <w:widowControl/>
              <w:spacing w:line="280" w:lineRule="exact"/>
              <w:jc w:val="center"/>
              <w:rPr>
                <w:rFonts w:ascii="Times New Roman" w:hAnsi="Times New Roman"/>
              </w:rPr>
            </w:pPr>
            <w:r>
              <w:rPr>
                <w:rFonts w:ascii="Times New Roman" w:hAnsi="Times New Roman"/>
              </w:rPr>
              <w:t>连续</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Pr>
        <w:tc>
          <w:tcPr>
            <w:tcW w:w="338" w:type="pct"/>
            <w:tcBorders>
              <w:left w:val="nil"/>
            </w:tcBorders>
            <w:vAlign w:val="center"/>
          </w:tcPr>
          <w:p>
            <w:pPr>
              <w:widowControl/>
              <w:spacing w:line="280" w:lineRule="exact"/>
              <w:jc w:val="center"/>
              <w:rPr>
                <w:rFonts w:ascii="Times New Roman" w:hAnsi="Times New Roman"/>
              </w:rPr>
            </w:pPr>
            <w:r>
              <w:rPr>
                <w:rFonts w:ascii="Times New Roman" w:hAnsi="Times New Roman"/>
              </w:rPr>
              <w:t>4</w:t>
            </w:r>
          </w:p>
        </w:tc>
        <w:tc>
          <w:tcPr>
            <w:tcW w:w="1000" w:type="pct"/>
            <w:tcBorders>
              <w:left w:val="nil"/>
            </w:tcBorders>
            <w:noWrap/>
            <w:vAlign w:val="center"/>
          </w:tcPr>
          <w:p>
            <w:pPr>
              <w:widowControl/>
              <w:spacing w:line="280" w:lineRule="exact"/>
              <w:jc w:val="center"/>
              <w:rPr>
                <w:rFonts w:ascii="Times New Roman" w:hAnsi="Times New Roman"/>
              </w:rPr>
            </w:pPr>
            <w:r>
              <w:rPr>
                <w:rFonts w:ascii="Times New Roman" w:hAnsi="Times New Roman"/>
              </w:rPr>
              <w:t>粉碎机驱动电机</w:t>
            </w:r>
          </w:p>
        </w:tc>
        <w:tc>
          <w:tcPr>
            <w:tcW w:w="746" w:type="pct"/>
            <w:noWrap/>
            <w:vAlign w:val="center"/>
          </w:tcPr>
          <w:p>
            <w:pPr>
              <w:widowControl/>
              <w:spacing w:line="280" w:lineRule="exact"/>
              <w:jc w:val="center"/>
              <w:rPr>
                <w:rFonts w:ascii="Times New Roman" w:hAnsi="Times New Roman"/>
              </w:rPr>
            </w:pPr>
            <w:r>
              <w:rPr>
                <w:rFonts w:ascii="Times New Roman" w:hAnsi="Times New Roman"/>
              </w:rPr>
              <w:t>7.5</w:t>
            </w:r>
          </w:p>
        </w:tc>
        <w:tc>
          <w:tcPr>
            <w:tcW w:w="503" w:type="pct"/>
            <w:noWrap/>
            <w:vAlign w:val="center"/>
          </w:tcPr>
          <w:p>
            <w:pPr>
              <w:widowControl/>
              <w:spacing w:line="280" w:lineRule="exact"/>
              <w:jc w:val="center"/>
              <w:rPr>
                <w:rFonts w:ascii="Times New Roman" w:hAnsi="Times New Roman"/>
              </w:rPr>
            </w:pPr>
          </w:p>
        </w:tc>
        <w:tc>
          <w:tcPr>
            <w:tcW w:w="420" w:type="pct"/>
            <w:vAlign w:val="center"/>
          </w:tcPr>
          <w:p>
            <w:pPr>
              <w:widowControl/>
              <w:spacing w:line="280" w:lineRule="exact"/>
              <w:jc w:val="center"/>
              <w:rPr>
                <w:rFonts w:ascii="Times New Roman" w:hAnsi="Times New Roman"/>
              </w:rPr>
            </w:pPr>
            <w:r>
              <w:rPr>
                <w:rFonts w:ascii="Times New Roman" w:hAnsi="Times New Roman"/>
              </w:rPr>
              <w:t>1</w:t>
            </w:r>
          </w:p>
        </w:tc>
        <w:tc>
          <w:tcPr>
            <w:tcW w:w="840" w:type="pct"/>
            <w:vAlign w:val="center"/>
          </w:tcPr>
          <w:p>
            <w:pPr>
              <w:widowControl/>
              <w:spacing w:line="280" w:lineRule="exact"/>
              <w:jc w:val="center"/>
              <w:rPr>
                <w:rFonts w:ascii="Times New Roman" w:hAnsi="Times New Roman"/>
              </w:rPr>
            </w:pPr>
            <w:r>
              <w:rPr>
                <w:rFonts w:ascii="Times New Roman" w:hAnsi="Times New Roman"/>
              </w:rPr>
              <w:t>7.5</w:t>
            </w:r>
          </w:p>
        </w:tc>
        <w:tc>
          <w:tcPr>
            <w:tcW w:w="589" w:type="pct"/>
            <w:vAlign w:val="center"/>
          </w:tcPr>
          <w:p>
            <w:pPr>
              <w:widowControl/>
              <w:spacing w:line="280" w:lineRule="exact"/>
              <w:jc w:val="center"/>
              <w:rPr>
                <w:rFonts w:ascii="Times New Roman" w:hAnsi="Times New Roman"/>
              </w:rPr>
            </w:pPr>
          </w:p>
        </w:tc>
        <w:tc>
          <w:tcPr>
            <w:tcW w:w="565" w:type="pct"/>
            <w:tcBorders>
              <w:right w:val="nil"/>
            </w:tcBorders>
            <w:noWrap/>
            <w:vAlign w:val="center"/>
          </w:tcPr>
          <w:p>
            <w:pPr>
              <w:widowControl/>
              <w:spacing w:line="280" w:lineRule="exact"/>
              <w:jc w:val="center"/>
              <w:rPr>
                <w:rFonts w:ascii="Times New Roman" w:hAnsi="Times New Roman"/>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Pr>
        <w:tc>
          <w:tcPr>
            <w:tcW w:w="338" w:type="pct"/>
            <w:tcBorders>
              <w:left w:val="nil"/>
            </w:tcBorders>
            <w:vAlign w:val="center"/>
          </w:tcPr>
          <w:p>
            <w:pPr>
              <w:widowControl/>
              <w:spacing w:line="280" w:lineRule="exact"/>
              <w:jc w:val="center"/>
              <w:rPr>
                <w:rFonts w:ascii="Times New Roman" w:hAnsi="Times New Roman"/>
              </w:rPr>
            </w:pPr>
            <w:r>
              <w:rPr>
                <w:rFonts w:ascii="Times New Roman" w:hAnsi="Times New Roman"/>
              </w:rPr>
              <w:t>5</w:t>
            </w:r>
          </w:p>
        </w:tc>
        <w:tc>
          <w:tcPr>
            <w:tcW w:w="1000" w:type="pct"/>
            <w:tcBorders>
              <w:left w:val="nil"/>
            </w:tcBorders>
            <w:noWrap/>
            <w:vAlign w:val="center"/>
          </w:tcPr>
          <w:p>
            <w:pPr>
              <w:widowControl/>
              <w:spacing w:line="280" w:lineRule="exact"/>
              <w:jc w:val="center"/>
              <w:rPr>
                <w:rFonts w:ascii="Times New Roman" w:hAnsi="Times New Roman"/>
              </w:rPr>
            </w:pPr>
            <w:r>
              <w:rPr>
                <w:rFonts w:ascii="Times New Roman" w:hAnsi="Times New Roman"/>
              </w:rPr>
              <w:t>低温贮藏室负压风机</w:t>
            </w:r>
          </w:p>
        </w:tc>
        <w:tc>
          <w:tcPr>
            <w:tcW w:w="746" w:type="pct"/>
            <w:noWrap/>
            <w:vAlign w:val="center"/>
          </w:tcPr>
          <w:p>
            <w:pPr>
              <w:widowControl/>
              <w:spacing w:line="280" w:lineRule="exact"/>
              <w:jc w:val="center"/>
              <w:rPr>
                <w:rFonts w:ascii="Times New Roman" w:hAnsi="Times New Roman"/>
              </w:rPr>
            </w:pPr>
            <w:r>
              <w:rPr>
                <w:rFonts w:ascii="Times New Roman" w:hAnsi="Times New Roman"/>
              </w:rPr>
              <w:t>3.5</w:t>
            </w:r>
          </w:p>
        </w:tc>
        <w:tc>
          <w:tcPr>
            <w:tcW w:w="503" w:type="pct"/>
            <w:noWrap/>
            <w:vAlign w:val="center"/>
          </w:tcPr>
          <w:p>
            <w:pPr>
              <w:widowControl/>
              <w:spacing w:line="280" w:lineRule="exact"/>
              <w:jc w:val="center"/>
              <w:rPr>
                <w:rFonts w:ascii="Times New Roman" w:hAnsi="Times New Roman"/>
              </w:rPr>
            </w:pPr>
            <w:r>
              <w:rPr>
                <w:rFonts w:ascii="Times New Roman" w:hAnsi="Times New Roman"/>
              </w:rPr>
              <w:t>1</w:t>
            </w:r>
          </w:p>
        </w:tc>
        <w:tc>
          <w:tcPr>
            <w:tcW w:w="420" w:type="pct"/>
            <w:vAlign w:val="center"/>
          </w:tcPr>
          <w:p>
            <w:pPr>
              <w:widowControl/>
              <w:spacing w:line="280" w:lineRule="exact"/>
              <w:jc w:val="center"/>
              <w:rPr>
                <w:rFonts w:ascii="Times New Roman" w:hAnsi="Times New Roman"/>
              </w:rPr>
            </w:pPr>
            <w:r>
              <w:rPr>
                <w:rFonts w:ascii="Times New Roman" w:hAnsi="Times New Roman"/>
              </w:rPr>
              <w:t>1</w:t>
            </w:r>
          </w:p>
        </w:tc>
        <w:tc>
          <w:tcPr>
            <w:tcW w:w="840" w:type="pct"/>
            <w:vAlign w:val="center"/>
          </w:tcPr>
          <w:p>
            <w:pPr>
              <w:widowControl/>
              <w:spacing w:line="280" w:lineRule="exact"/>
              <w:jc w:val="center"/>
              <w:rPr>
                <w:rFonts w:ascii="Times New Roman" w:hAnsi="Times New Roman"/>
              </w:rPr>
            </w:pPr>
            <w:r>
              <w:rPr>
                <w:rFonts w:ascii="Times New Roman" w:hAnsi="Times New Roman"/>
              </w:rPr>
              <w:t>3.5</w:t>
            </w:r>
          </w:p>
        </w:tc>
        <w:tc>
          <w:tcPr>
            <w:tcW w:w="589" w:type="pct"/>
            <w:vAlign w:val="center"/>
          </w:tcPr>
          <w:p>
            <w:pPr>
              <w:widowControl/>
              <w:spacing w:line="280" w:lineRule="exact"/>
              <w:jc w:val="center"/>
              <w:rPr>
                <w:rFonts w:ascii="Times New Roman" w:hAnsi="Times New Roman"/>
              </w:rPr>
            </w:pPr>
            <w:r>
              <w:rPr>
                <w:rFonts w:ascii="Times New Roman" w:hAnsi="Times New Roman"/>
              </w:rPr>
              <w:t>3.06</w:t>
            </w:r>
          </w:p>
        </w:tc>
        <w:tc>
          <w:tcPr>
            <w:tcW w:w="565" w:type="pct"/>
            <w:tcBorders>
              <w:right w:val="nil"/>
            </w:tcBorders>
            <w:noWrap/>
            <w:vAlign w:val="center"/>
          </w:tcPr>
          <w:p>
            <w:pPr>
              <w:widowControl/>
              <w:spacing w:line="280" w:lineRule="exact"/>
              <w:jc w:val="center"/>
              <w:rPr>
                <w:rFonts w:ascii="Times New Roman" w:hAnsi="Times New Roman"/>
              </w:rPr>
            </w:pPr>
            <w:r>
              <w:rPr>
                <w:rFonts w:ascii="Times New Roman" w:hAnsi="Times New Roman"/>
              </w:rPr>
              <w:t>连续</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Pr>
        <w:tc>
          <w:tcPr>
            <w:tcW w:w="338" w:type="pct"/>
            <w:tcBorders>
              <w:left w:val="nil"/>
            </w:tcBorders>
            <w:vAlign w:val="center"/>
          </w:tcPr>
          <w:p>
            <w:pPr>
              <w:widowControl/>
              <w:spacing w:line="280" w:lineRule="exact"/>
              <w:jc w:val="center"/>
              <w:rPr>
                <w:rFonts w:ascii="Times New Roman" w:hAnsi="Times New Roman"/>
              </w:rPr>
            </w:pPr>
            <w:r>
              <w:rPr>
                <w:rFonts w:ascii="Times New Roman" w:hAnsi="Times New Roman"/>
              </w:rPr>
              <w:t>6</w:t>
            </w:r>
          </w:p>
        </w:tc>
        <w:tc>
          <w:tcPr>
            <w:tcW w:w="1000" w:type="pct"/>
            <w:tcBorders>
              <w:left w:val="nil"/>
            </w:tcBorders>
            <w:noWrap/>
            <w:vAlign w:val="center"/>
          </w:tcPr>
          <w:p>
            <w:pPr>
              <w:widowControl/>
              <w:spacing w:line="280" w:lineRule="exact"/>
              <w:jc w:val="center"/>
              <w:rPr>
                <w:rFonts w:ascii="Times New Roman" w:hAnsi="Times New Roman"/>
              </w:rPr>
            </w:pPr>
            <w:r>
              <w:rPr>
                <w:rFonts w:ascii="Times New Roman" w:hAnsi="Times New Roman"/>
              </w:rPr>
              <w:t>冷藏室压缩机</w:t>
            </w:r>
          </w:p>
        </w:tc>
        <w:tc>
          <w:tcPr>
            <w:tcW w:w="746" w:type="pct"/>
            <w:noWrap/>
            <w:vAlign w:val="center"/>
          </w:tcPr>
          <w:p>
            <w:pPr>
              <w:widowControl/>
              <w:spacing w:line="280" w:lineRule="exact"/>
              <w:jc w:val="center"/>
              <w:rPr>
                <w:rFonts w:ascii="Times New Roman" w:hAnsi="Times New Roman"/>
              </w:rPr>
            </w:pPr>
            <w:r>
              <w:rPr>
                <w:rFonts w:ascii="Times New Roman" w:hAnsi="Times New Roman"/>
              </w:rPr>
              <w:t>15</w:t>
            </w:r>
          </w:p>
        </w:tc>
        <w:tc>
          <w:tcPr>
            <w:tcW w:w="503" w:type="pct"/>
            <w:noWrap/>
            <w:vAlign w:val="center"/>
          </w:tcPr>
          <w:p>
            <w:pPr>
              <w:widowControl/>
              <w:spacing w:line="280" w:lineRule="exact"/>
              <w:jc w:val="center"/>
              <w:rPr>
                <w:rFonts w:ascii="Times New Roman" w:hAnsi="Times New Roman"/>
              </w:rPr>
            </w:pPr>
          </w:p>
        </w:tc>
        <w:tc>
          <w:tcPr>
            <w:tcW w:w="420" w:type="pct"/>
            <w:vAlign w:val="center"/>
          </w:tcPr>
          <w:p>
            <w:pPr>
              <w:widowControl/>
              <w:spacing w:line="280" w:lineRule="exact"/>
              <w:jc w:val="center"/>
              <w:rPr>
                <w:rFonts w:ascii="Times New Roman" w:hAnsi="Times New Roman"/>
              </w:rPr>
            </w:pPr>
            <w:r>
              <w:rPr>
                <w:rFonts w:ascii="Times New Roman" w:hAnsi="Times New Roman"/>
              </w:rPr>
              <w:t>2</w:t>
            </w:r>
          </w:p>
        </w:tc>
        <w:tc>
          <w:tcPr>
            <w:tcW w:w="840" w:type="pct"/>
            <w:vAlign w:val="center"/>
          </w:tcPr>
          <w:p>
            <w:pPr>
              <w:widowControl/>
              <w:spacing w:line="280" w:lineRule="exact"/>
              <w:jc w:val="center"/>
              <w:rPr>
                <w:rFonts w:ascii="Times New Roman" w:hAnsi="Times New Roman"/>
              </w:rPr>
            </w:pPr>
            <w:r>
              <w:rPr>
                <w:rFonts w:ascii="Times New Roman" w:hAnsi="Times New Roman"/>
              </w:rPr>
              <w:t>5</w:t>
            </w:r>
          </w:p>
        </w:tc>
        <w:tc>
          <w:tcPr>
            <w:tcW w:w="589" w:type="pct"/>
            <w:vAlign w:val="center"/>
          </w:tcPr>
          <w:p>
            <w:pPr>
              <w:widowControl/>
              <w:spacing w:line="280" w:lineRule="exact"/>
              <w:jc w:val="center"/>
              <w:rPr>
                <w:rFonts w:ascii="Times New Roman" w:hAnsi="Times New Roman"/>
              </w:rPr>
            </w:pPr>
            <w:r>
              <w:rPr>
                <w:rFonts w:ascii="Times New Roman" w:hAnsi="Times New Roman"/>
              </w:rPr>
              <w:t>3.75</w:t>
            </w:r>
          </w:p>
        </w:tc>
        <w:tc>
          <w:tcPr>
            <w:tcW w:w="565" w:type="pct"/>
            <w:tcBorders>
              <w:right w:val="nil"/>
            </w:tcBorders>
            <w:noWrap/>
            <w:vAlign w:val="center"/>
          </w:tcPr>
          <w:p>
            <w:pPr>
              <w:widowControl/>
              <w:spacing w:line="280" w:lineRule="exact"/>
              <w:jc w:val="center"/>
              <w:rPr>
                <w:rFonts w:ascii="Times New Roman" w:hAnsi="Times New Roman"/>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Pr>
        <w:tc>
          <w:tcPr>
            <w:tcW w:w="338" w:type="pct"/>
            <w:tcBorders>
              <w:left w:val="nil"/>
            </w:tcBorders>
            <w:vAlign w:val="center"/>
          </w:tcPr>
          <w:p>
            <w:pPr>
              <w:widowControl/>
              <w:spacing w:line="280" w:lineRule="exact"/>
              <w:jc w:val="center"/>
              <w:rPr>
                <w:rFonts w:ascii="Times New Roman" w:hAnsi="Times New Roman"/>
              </w:rPr>
            </w:pPr>
            <w:r>
              <w:rPr>
                <w:rFonts w:ascii="Times New Roman" w:hAnsi="Times New Roman"/>
              </w:rPr>
              <w:t>7</w:t>
            </w:r>
          </w:p>
        </w:tc>
        <w:tc>
          <w:tcPr>
            <w:tcW w:w="1000" w:type="pct"/>
            <w:tcBorders>
              <w:left w:val="nil"/>
            </w:tcBorders>
            <w:noWrap/>
            <w:vAlign w:val="center"/>
          </w:tcPr>
          <w:p>
            <w:pPr>
              <w:widowControl/>
              <w:spacing w:line="280" w:lineRule="exact"/>
              <w:jc w:val="center"/>
              <w:rPr>
                <w:rFonts w:ascii="Times New Roman" w:hAnsi="Times New Roman"/>
              </w:rPr>
            </w:pPr>
            <w:r>
              <w:rPr>
                <w:rFonts w:ascii="Times New Roman" w:hAnsi="Times New Roman"/>
              </w:rPr>
              <w:t>清洗消毒泵</w:t>
            </w:r>
          </w:p>
        </w:tc>
        <w:tc>
          <w:tcPr>
            <w:tcW w:w="746" w:type="pct"/>
            <w:noWrap/>
            <w:vAlign w:val="center"/>
          </w:tcPr>
          <w:p>
            <w:pPr>
              <w:widowControl/>
              <w:spacing w:line="280" w:lineRule="exact"/>
              <w:jc w:val="center"/>
              <w:rPr>
                <w:rFonts w:ascii="Times New Roman" w:hAnsi="Times New Roman"/>
              </w:rPr>
            </w:pPr>
            <w:r>
              <w:rPr>
                <w:rFonts w:ascii="Times New Roman" w:hAnsi="Times New Roman"/>
              </w:rPr>
              <w:t>2.5</w:t>
            </w:r>
          </w:p>
        </w:tc>
        <w:tc>
          <w:tcPr>
            <w:tcW w:w="503" w:type="pct"/>
            <w:noWrap/>
            <w:vAlign w:val="center"/>
          </w:tcPr>
          <w:p>
            <w:pPr>
              <w:widowControl/>
              <w:spacing w:line="280" w:lineRule="exact"/>
              <w:jc w:val="center"/>
              <w:rPr>
                <w:rFonts w:ascii="Times New Roman" w:hAnsi="Times New Roman"/>
              </w:rPr>
            </w:pPr>
            <w:r>
              <w:rPr>
                <w:rFonts w:ascii="Times New Roman" w:hAnsi="Times New Roman"/>
              </w:rPr>
              <w:t>台</w:t>
            </w:r>
          </w:p>
        </w:tc>
        <w:tc>
          <w:tcPr>
            <w:tcW w:w="420" w:type="pct"/>
            <w:vAlign w:val="center"/>
          </w:tcPr>
          <w:p>
            <w:pPr>
              <w:widowControl/>
              <w:spacing w:line="280" w:lineRule="exact"/>
              <w:jc w:val="center"/>
              <w:rPr>
                <w:rFonts w:ascii="Times New Roman" w:hAnsi="Times New Roman"/>
              </w:rPr>
            </w:pPr>
          </w:p>
        </w:tc>
        <w:tc>
          <w:tcPr>
            <w:tcW w:w="840" w:type="pct"/>
            <w:vAlign w:val="center"/>
          </w:tcPr>
          <w:p>
            <w:pPr>
              <w:widowControl/>
              <w:spacing w:line="280" w:lineRule="exact"/>
              <w:jc w:val="center"/>
              <w:rPr>
                <w:rFonts w:ascii="Times New Roman" w:hAnsi="Times New Roman"/>
              </w:rPr>
            </w:pPr>
          </w:p>
        </w:tc>
        <w:tc>
          <w:tcPr>
            <w:tcW w:w="589" w:type="pct"/>
            <w:vAlign w:val="center"/>
          </w:tcPr>
          <w:p>
            <w:pPr>
              <w:widowControl/>
              <w:spacing w:line="280" w:lineRule="exact"/>
              <w:jc w:val="center"/>
              <w:rPr>
                <w:rFonts w:ascii="Times New Roman" w:hAnsi="Times New Roman"/>
              </w:rPr>
            </w:pPr>
          </w:p>
        </w:tc>
        <w:tc>
          <w:tcPr>
            <w:tcW w:w="565" w:type="pct"/>
            <w:tcBorders>
              <w:right w:val="nil"/>
            </w:tcBorders>
            <w:noWrap/>
            <w:vAlign w:val="center"/>
          </w:tcPr>
          <w:p>
            <w:pPr>
              <w:widowControl/>
              <w:spacing w:line="280" w:lineRule="exact"/>
              <w:jc w:val="center"/>
              <w:rPr>
                <w:rFonts w:ascii="Times New Roman" w:hAnsi="Times New Roman"/>
              </w:rPr>
            </w:pPr>
            <w:r>
              <w:rPr>
                <w:rFonts w:ascii="Times New Roman" w:hAnsi="Times New Roman"/>
              </w:rPr>
              <w:t>5</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Pr>
        <w:tc>
          <w:tcPr>
            <w:tcW w:w="338" w:type="pct"/>
            <w:tcBorders>
              <w:left w:val="nil"/>
            </w:tcBorders>
            <w:vAlign w:val="center"/>
          </w:tcPr>
          <w:p>
            <w:pPr>
              <w:widowControl/>
              <w:spacing w:line="280" w:lineRule="exact"/>
              <w:jc w:val="center"/>
              <w:rPr>
                <w:rFonts w:ascii="Times New Roman" w:hAnsi="Times New Roman"/>
              </w:rPr>
            </w:pPr>
            <w:r>
              <w:rPr>
                <w:rFonts w:ascii="Times New Roman" w:hAnsi="Times New Roman"/>
              </w:rPr>
              <w:t>8</w:t>
            </w:r>
          </w:p>
        </w:tc>
        <w:tc>
          <w:tcPr>
            <w:tcW w:w="1000" w:type="pct"/>
            <w:tcBorders>
              <w:left w:val="nil"/>
            </w:tcBorders>
            <w:noWrap/>
            <w:vAlign w:val="center"/>
          </w:tcPr>
          <w:p>
            <w:pPr>
              <w:widowControl/>
              <w:spacing w:line="280" w:lineRule="exact"/>
              <w:jc w:val="center"/>
              <w:rPr>
                <w:rFonts w:ascii="Times New Roman" w:hAnsi="Times New Roman"/>
              </w:rPr>
            </w:pPr>
            <w:r>
              <w:rPr>
                <w:rFonts w:ascii="Times New Roman" w:hAnsi="Times New Roman"/>
              </w:rPr>
              <w:t>给水提升泵</w:t>
            </w:r>
          </w:p>
        </w:tc>
        <w:tc>
          <w:tcPr>
            <w:tcW w:w="746" w:type="pct"/>
            <w:noWrap/>
            <w:vAlign w:val="center"/>
          </w:tcPr>
          <w:p>
            <w:pPr>
              <w:widowControl/>
              <w:spacing w:line="280" w:lineRule="exact"/>
              <w:jc w:val="center"/>
              <w:rPr>
                <w:rFonts w:ascii="Times New Roman" w:hAnsi="Times New Roman"/>
              </w:rPr>
            </w:pPr>
            <w:r>
              <w:rPr>
                <w:rFonts w:ascii="Times New Roman" w:hAnsi="Times New Roman"/>
              </w:rPr>
              <w:t>3.5</w:t>
            </w:r>
          </w:p>
        </w:tc>
        <w:tc>
          <w:tcPr>
            <w:tcW w:w="503" w:type="pct"/>
            <w:noWrap/>
            <w:vAlign w:val="center"/>
          </w:tcPr>
          <w:p>
            <w:pPr>
              <w:widowControl/>
              <w:spacing w:line="280" w:lineRule="exact"/>
              <w:jc w:val="center"/>
              <w:rPr>
                <w:rFonts w:ascii="Times New Roman" w:hAnsi="Times New Roman"/>
              </w:rPr>
            </w:pPr>
            <w:r>
              <w:rPr>
                <w:rFonts w:ascii="Times New Roman" w:hAnsi="Times New Roman"/>
              </w:rPr>
              <w:t>1</w:t>
            </w:r>
          </w:p>
        </w:tc>
        <w:tc>
          <w:tcPr>
            <w:tcW w:w="420" w:type="pct"/>
            <w:vAlign w:val="center"/>
          </w:tcPr>
          <w:p>
            <w:pPr>
              <w:widowControl/>
              <w:spacing w:line="280" w:lineRule="exact"/>
              <w:jc w:val="center"/>
              <w:rPr>
                <w:rFonts w:ascii="Times New Roman" w:hAnsi="Times New Roman"/>
              </w:rPr>
            </w:pPr>
            <w:r>
              <w:rPr>
                <w:rFonts w:ascii="Times New Roman" w:hAnsi="Times New Roman"/>
              </w:rPr>
              <w:t>1</w:t>
            </w:r>
          </w:p>
        </w:tc>
        <w:tc>
          <w:tcPr>
            <w:tcW w:w="840" w:type="pct"/>
            <w:vAlign w:val="center"/>
          </w:tcPr>
          <w:p>
            <w:pPr>
              <w:widowControl/>
              <w:spacing w:line="280" w:lineRule="exact"/>
              <w:jc w:val="center"/>
              <w:rPr>
                <w:rFonts w:ascii="Times New Roman" w:hAnsi="Times New Roman"/>
              </w:rPr>
            </w:pPr>
            <w:r>
              <w:rPr>
                <w:rFonts w:ascii="Times New Roman" w:hAnsi="Times New Roman"/>
              </w:rPr>
              <w:t>3.5</w:t>
            </w:r>
          </w:p>
        </w:tc>
        <w:tc>
          <w:tcPr>
            <w:tcW w:w="589" w:type="pct"/>
            <w:vAlign w:val="center"/>
          </w:tcPr>
          <w:p>
            <w:pPr>
              <w:widowControl/>
              <w:spacing w:line="280" w:lineRule="exact"/>
              <w:jc w:val="center"/>
              <w:rPr>
                <w:rFonts w:ascii="Times New Roman" w:hAnsi="Times New Roman"/>
              </w:rPr>
            </w:pPr>
            <w:r>
              <w:rPr>
                <w:rFonts w:ascii="Times New Roman" w:hAnsi="Times New Roman"/>
              </w:rPr>
              <w:t>1.97</w:t>
            </w:r>
          </w:p>
        </w:tc>
        <w:tc>
          <w:tcPr>
            <w:tcW w:w="565" w:type="pct"/>
            <w:tcBorders>
              <w:right w:val="nil"/>
            </w:tcBorders>
            <w:noWrap/>
            <w:vAlign w:val="center"/>
          </w:tcPr>
          <w:p>
            <w:pPr>
              <w:widowControl/>
              <w:spacing w:line="280" w:lineRule="exact"/>
              <w:jc w:val="center"/>
              <w:rPr>
                <w:rFonts w:ascii="Times New Roman" w:hAnsi="Times New Roman"/>
              </w:rPr>
            </w:pPr>
            <w:r>
              <w:rPr>
                <w:rFonts w:ascii="Times New Roman" w:hAnsi="Times New Roman"/>
              </w:rPr>
              <w:t>连续</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Pr>
        <w:tc>
          <w:tcPr>
            <w:tcW w:w="338" w:type="pct"/>
            <w:tcBorders>
              <w:left w:val="nil"/>
            </w:tcBorders>
            <w:vAlign w:val="center"/>
          </w:tcPr>
          <w:p>
            <w:pPr>
              <w:widowControl/>
              <w:spacing w:line="280" w:lineRule="exact"/>
              <w:jc w:val="center"/>
              <w:rPr>
                <w:rFonts w:ascii="Times New Roman" w:hAnsi="Times New Roman"/>
              </w:rPr>
            </w:pPr>
            <w:r>
              <w:rPr>
                <w:rFonts w:ascii="Times New Roman" w:hAnsi="Times New Roman"/>
              </w:rPr>
              <w:t>9</w:t>
            </w:r>
          </w:p>
        </w:tc>
        <w:tc>
          <w:tcPr>
            <w:tcW w:w="1000" w:type="pct"/>
            <w:tcBorders>
              <w:left w:val="nil"/>
            </w:tcBorders>
            <w:noWrap/>
            <w:vAlign w:val="center"/>
          </w:tcPr>
          <w:p>
            <w:pPr>
              <w:widowControl/>
              <w:spacing w:line="280" w:lineRule="exact"/>
              <w:jc w:val="center"/>
              <w:rPr>
                <w:rFonts w:ascii="Times New Roman" w:hAnsi="Times New Roman"/>
              </w:rPr>
            </w:pPr>
            <w:r>
              <w:rPr>
                <w:rFonts w:ascii="Times New Roman" w:hAnsi="Times New Roman"/>
              </w:rPr>
              <w:t>污水提升泵</w:t>
            </w:r>
          </w:p>
        </w:tc>
        <w:tc>
          <w:tcPr>
            <w:tcW w:w="746" w:type="pct"/>
            <w:noWrap/>
            <w:vAlign w:val="center"/>
          </w:tcPr>
          <w:p>
            <w:pPr>
              <w:widowControl/>
              <w:spacing w:line="280" w:lineRule="exact"/>
              <w:jc w:val="center"/>
              <w:rPr>
                <w:rFonts w:ascii="Times New Roman" w:hAnsi="Times New Roman"/>
              </w:rPr>
            </w:pPr>
            <w:r>
              <w:rPr>
                <w:rFonts w:ascii="Times New Roman" w:hAnsi="Times New Roman"/>
              </w:rPr>
              <w:t>3</w:t>
            </w:r>
          </w:p>
        </w:tc>
        <w:tc>
          <w:tcPr>
            <w:tcW w:w="503" w:type="pct"/>
            <w:noWrap/>
            <w:vAlign w:val="center"/>
          </w:tcPr>
          <w:p>
            <w:pPr>
              <w:widowControl/>
              <w:spacing w:line="280" w:lineRule="exact"/>
              <w:jc w:val="center"/>
              <w:rPr>
                <w:rFonts w:ascii="Times New Roman" w:hAnsi="Times New Roman"/>
              </w:rPr>
            </w:pPr>
            <w:r>
              <w:rPr>
                <w:rFonts w:ascii="Times New Roman" w:hAnsi="Times New Roman"/>
              </w:rPr>
              <w:t>1</w:t>
            </w:r>
          </w:p>
        </w:tc>
        <w:tc>
          <w:tcPr>
            <w:tcW w:w="420" w:type="pct"/>
            <w:vAlign w:val="center"/>
          </w:tcPr>
          <w:p>
            <w:pPr>
              <w:widowControl/>
              <w:spacing w:line="280" w:lineRule="exact"/>
              <w:jc w:val="center"/>
              <w:rPr>
                <w:rFonts w:ascii="Times New Roman" w:hAnsi="Times New Roman"/>
              </w:rPr>
            </w:pPr>
            <w:r>
              <w:rPr>
                <w:rFonts w:ascii="Times New Roman" w:hAnsi="Times New Roman"/>
              </w:rPr>
              <w:t>1</w:t>
            </w:r>
          </w:p>
        </w:tc>
        <w:tc>
          <w:tcPr>
            <w:tcW w:w="840" w:type="pct"/>
            <w:vAlign w:val="center"/>
          </w:tcPr>
          <w:p>
            <w:pPr>
              <w:widowControl/>
              <w:spacing w:line="280" w:lineRule="exact"/>
              <w:jc w:val="center"/>
              <w:rPr>
                <w:rFonts w:ascii="Times New Roman" w:hAnsi="Times New Roman"/>
              </w:rPr>
            </w:pPr>
            <w:r>
              <w:rPr>
                <w:rFonts w:ascii="Times New Roman" w:hAnsi="Times New Roman"/>
              </w:rPr>
              <w:t>3</w:t>
            </w:r>
          </w:p>
        </w:tc>
        <w:tc>
          <w:tcPr>
            <w:tcW w:w="589" w:type="pct"/>
            <w:vAlign w:val="center"/>
          </w:tcPr>
          <w:p>
            <w:pPr>
              <w:widowControl/>
              <w:spacing w:line="280" w:lineRule="exact"/>
              <w:jc w:val="center"/>
              <w:rPr>
                <w:rFonts w:ascii="Times New Roman" w:hAnsi="Times New Roman"/>
              </w:rPr>
            </w:pPr>
          </w:p>
        </w:tc>
        <w:tc>
          <w:tcPr>
            <w:tcW w:w="565" w:type="pct"/>
            <w:tcBorders>
              <w:right w:val="nil"/>
            </w:tcBorders>
            <w:noWrap/>
            <w:vAlign w:val="center"/>
          </w:tcPr>
          <w:p>
            <w:pPr>
              <w:widowControl/>
              <w:spacing w:line="280" w:lineRule="exact"/>
              <w:jc w:val="center"/>
              <w:rPr>
                <w:rFonts w:ascii="Times New Roman" w:hAnsi="Times New Roman"/>
              </w:rPr>
            </w:pPr>
            <w:r>
              <w:rPr>
                <w:rFonts w:ascii="Times New Roman" w:hAnsi="Times New Roman"/>
              </w:rPr>
              <w:t>间断运行</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Pr>
        <w:tc>
          <w:tcPr>
            <w:tcW w:w="338" w:type="pct"/>
            <w:tcBorders>
              <w:left w:val="nil"/>
            </w:tcBorders>
            <w:vAlign w:val="center"/>
          </w:tcPr>
          <w:p>
            <w:pPr>
              <w:widowControl/>
              <w:spacing w:line="280" w:lineRule="exact"/>
              <w:jc w:val="center"/>
              <w:rPr>
                <w:rFonts w:ascii="Times New Roman" w:hAnsi="Times New Roman"/>
              </w:rPr>
            </w:pPr>
            <w:r>
              <w:rPr>
                <w:rFonts w:ascii="Times New Roman" w:hAnsi="Times New Roman"/>
              </w:rPr>
              <w:t>10</w:t>
            </w:r>
          </w:p>
        </w:tc>
        <w:tc>
          <w:tcPr>
            <w:tcW w:w="1000" w:type="pct"/>
            <w:tcBorders>
              <w:left w:val="nil"/>
            </w:tcBorders>
            <w:noWrap/>
            <w:vAlign w:val="center"/>
          </w:tcPr>
          <w:p>
            <w:pPr>
              <w:widowControl/>
              <w:spacing w:line="280" w:lineRule="exact"/>
              <w:jc w:val="center"/>
              <w:rPr>
                <w:rFonts w:ascii="Times New Roman" w:hAnsi="Times New Roman"/>
              </w:rPr>
            </w:pPr>
            <w:r>
              <w:rPr>
                <w:rFonts w:ascii="Times New Roman" w:hAnsi="Times New Roman"/>
              </w:rPr>
              <w:t>车间轴流风机</w:t>
            </w:r>
          </w:p>
        </w:tc>
        <w:tc>
          <w:tcPr>
            <w:tcW w:w="746" w:type="pct"/>
            <w:noWrap/>
            <w:vAlign w:val="center"/>
          </w:tcPr>
          <w:p>
            <w:pPr>
              <w:widowControl/>
              <w:spacing w:line="280" w:lineRule="exact"/>
              <w:jc w:val="center"/>
              <w:rPr>
                <w:rFonts w:ascii="Times New Roman" w:hAnsi="Times New Roman"/>
              </w:rPr>
            </w:pPr>
            <w:r>
              <w:rPr>
                <w:rFonts w:ascii="Times New Roman" w:hAnsi="Times New Roman"/>
              </w:rPr>
              <w:t>1.5</w:t>
            </w:r>
          </w:p>
        </w:tc>
        <w:tc>
          <w:tcPr>
            <w:tcW w:w="503" w:type="pct"/>
            <w:noWrap/>
            <w:vAlign w:val="center"/>
          </w:tcPr>
          <w:p>
            <w:pPr>
              <w:widowControl/>
              <w:spacing w:line="280" w:lineRule="exact"/>
              <w:jc w:val="center"/>
              <w:rPr>
                <w:rFonts w:ascii="Times New Roman" w:hAnsi="Times New Roman"/>
              </w:rPr>
            </w:pPr>
          </w:p>
        </w:tc>
        <w:tc>
          <w:tcPr>
            <w:tcW w:w="420" w:type="pct"/>
            <w:vAlign w:val="center"/>
          </w:tcPr>
          <w:p>
            <w:pPr>
              <w:widowControl/>
              <w:spacing w:line="280" w:lineRule="exact"/>
              <w:jc w:val="center"/>
              <w:rPr>
                <w:rFonts w:ascii="Times New Roman" w:hAnsi="Times New Roman"/>
              </w:rPr>
            </w:pPr>
            <w:r>
              <w:rPr>
                <w:rFonts w:ascii="Times New Roman" w:hAnsi="Times New Roman"/>
              </w:rPr>
              <w:t>4</w:t>
            </w:r>
          </w:p>
        </w:tc>
        <w:tc>
          <w:tcPr>
            <w:tcW w:w="840" w:type="pct"/>
            <w:vAlign w:val="center"/>
          </w:tcPr>
          <w:p>
            <w:pPr>
              <w:widowControl/>
              <w:spacing w:line="280" w:lineRule="exact"/>
              <w:jc w:val="center"/>
              <w:rPr>
                <w:rFonts w:ascii="Times New Roman" w:hAnsi="Times New Roman"/>
              </w:rPr>
            </w:pPr>
            <w:r>
              <w:rPr>
                <w:rFonts w:ascii="Times New Roman" w:hAnsi="Times New Roman"/>
              </w:rPr>
              <w:t>6</w:t>
            </w:r>
          </w:p>
        </w:tc>
        <w:tc>
          <w:tcPr>
            <w:tcW w:w="589" w:type="pct"/>
            <w:vAlign w:val="center"/>
          </w:tcPr>
          <w:p>
            <w:pPr>
              <w:widowControl/>
              <w:spacing w:line="280" w:lineRule="exact"/>
              <w:jc w:val="center"/>
              <w:rPr>
                <w:rFonts w:ascii="Times New Roman" w:hAnsi="Times New Roman"/>
              </w:rPr>
            </w:pPr>
          </w:p>
        </w:tc>
        <w:tc>
          <w:tcPr>
            <w:tcW w:w="565" w:type="pct"/>
            <w:tcBorders>
              <w:right w:val="nil"/>
            </w:tcBorders>
            <w:noWrap/>
            <w:vAlign w:val="center"/>
          </w:tcPr>
          <w:p>
            <w:pPr>
              <w:widowControl/>
              <w:spacing w:line="280" w:lineRule="exact"/>
              <w:jc w:val="center"/>
              <w:rPr>
                <w:rFonts w:ascii="Times New Roman" w:hAnsi="Times New Roman"/>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Pr>
        <w:tc>
          <w:tcPr>
            <w:tcW w:w="338" w:type="pct"/>
            <w:tcBorders>
              <w:left w:val="nil"/>
            </w:tcBorders>
            <w:vAlign w:val="center"/>
          </w:tcPr>
          <w:p>
            <w:pPr>
              <w:widowControl/>
              <w:spacing w:line="280" w:lineRule="exact"/>
              <w:jc w:val="center"/>
              <w:rPr>
                <w:rFonts w:ascii="Times New Roman" w:hAnsi="Times New Roman"/>
              </w:rPr>
            </w:pPr>
            <w:r>
              <w:rPr>
                <w:rFonts w:ascii="Times New Roman" w:hAnsi="Times New Roman"/>
              </w:rPr>
              <w:t>11</w:t>
            </w:r>
          </w:p>
        </w:tc>
        <w:tc>
          <w:tcPr>
            <w:tcW w:w="1000" w:type="pct"/>
            <w:tcBorders>
              <w:left w:val="nil"/>
            </w:tcBorders>
            <w:noWrap/>
            <w:vAlign w:val="center"/>
          </w:tcPr>
          <w:p>
            <w:pPr>
              <w:widowControl/>
              <w:spacing w:line="280" w:lineRule="exact"/>
              <w:jc w:val="center"/>
              <w:rPr>
                <w:rFonts w:ascii="Times New Roman" w:hAnsi="Times New Roman"/>
              </w:rPr>
            </w:pPr>
            <w:r>
              <w:rPr>
                <w:rFonts w:ascii="Times New Roman" w:hAnsi="Times New Roman"/>
              </w:rPr>
              <w:t>车间照明</w:t>
            </w:r>
          </w:p>
        </w:tc>
        <w:tc>
          <w:tcPr>
            <w:tcW w:w="746" w:type="pct"/>
            <w:noWrap/>
            <w:vAlign w:val="center"/>
          </w:tcPr>
          <w:p>
            <w:pPr>
              <w:widowControl/>
              <w:spacing w:line="280" w:lineRule="exact"/>
              <w:jc w:val="center"/>
              <w:rPr>
                <w:rFonts w:ascii="Times New Roman" w:hAnsi="Times New Roman"/>
              </w:rPr>
            </w:pPr>
            <w:r>
              <w:rPr>
                <w:rFonts w:ascii="Times New Roman" w:hAnsi="Times New Roman"/>
              </w:rPr>
              <w:t>14.5</w:t>
            </w:r>
          </w:p>
        </w:tc>
        <w:tc>
          <w:tcPr>
            <w:tcW w:w="503" w:type="pct"/>
            <w:noWrap/>
            <w:vAlign w:val="center"/>
          </w:tcPr>
          <w:p>
            <w:pPr>
              <w:widowControl/>
              <w:spacing w:line="280" w:lineRule="exact"/>
              <w:jc w:val="center"/>
              <w:rPr>
                <w:rFonts w:ascii="Times New Roman" w:hAnsi="Times New Roman"/>
              </w:rPr>
            </w:pPr>
          </w:p>
        </w:tc>
        <w:tc>
          <w:tcPr>
            <w:tcW w:w="420" w:type="pct"/>
            <w:vAlign w:val="center"/>
          </w:tcPr>
          <w:p>
            <w:pPr>
              <w:widowControl/>
              <w:spacing w:line="280" w:lineRule="exact"/>
              <w:jc w:val="center"/>
              <w:rPr>
                <w:rFonts w:ascii="Times New Roman" w:hAnsi="Times New Roman"/>
              </w:rPr>
            </w:pPr>
          </w:p>
        </w:tc>
        <w:tc>
          <w:tcPr>
            <w:tcW w:w="840" w:type="pct"/>
            <w:vAlign w:val="center"/>
          </w:tcPr>
          <w:p>
            <w:pPr>
              <w:widowControl/>
              <w:spacing w:line="280" w:lineRule="exact"/>
              <w:jc w:val="center"/>
              <w:rPr>
                <w:rFonts w:ascii="Times New Roman" w:hAnsi="Times New Roman"/>
              </w:rPr>
            </w:pPr>
            <w:r>
              <w:rPr>
                <w:rFonts w:ascii="Times New Roman" w:hAnsi="Times New Roman"/>
              </w:rPr>
              <w:t>14.5</w:t>
            </w:r>
          </w:p>
        </w:tc>
        <w:tc>
          <w:tcPr>
            <w:tcW w:w="589" w:type="pct"/>
            <w:vAlign w:val="center"/>
          </w:tcPr>
          <w:p>
            <w:pPr>
              <w:widowControl/>
              <w:spacing w:line="280" w:lineRule="exact"/>
              <w:jc w:val="center"/>
              <w:rPr>
                <w:rFonts w:ascii="Times New Roman" w:hAnsi="Times New Roman"/>
              </w:rPr>
            </w:pPr>
            <w:r>
              <w:rPr>
                <w:rFonts w:ascii="Times New Roman" w:hAnsi="Times New Roman"/>
              </w:rPr>
              <w:t>4.10</w:t>
            </w:r>
          </w:p>
        </w:tc>
        <w:tc>
          <w:tcPr>
            <w:tcW w:w="565" w:type="pct"/>
            <w:tcBorders>
              <w:right w:val="nil"/>
            </w:tcBorders>
            <w:noWrap/>
            <w:vAlign w:val="center"/>
          </w:tcPr>
          <w:p>
            <w:pPr>
              <w:widowControl/>
              <w:spacing w:line="280" w:lineRule="exact"/>
              <w:jc w:val="center"/>
              <w:rPr>
                <w:rFonts w:ascii="Times New Roman" w:hAnsi="Times New Roman"/>
              </w:rPr>
            </w:pPr>
            <w:r>
              <w:rPr>
                <w:rFonts w:ascii="Times New Roman" w:hAnsi="Times New Roman"/>
              </w:rPr>
              <w:t>面积580m</w:t>
            </w:r>
            <w:r>
              <w:rPr>
                <w:rFonts w:ascii="Times New Roman" w:hAnsi="Times New Roman"/>
                <w:vertAlign w:val="superscript"/>
              </w:rPr>
              <w:t>2</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Pr>
        <w:tc>
          <w:tcPr>
            <w:tcW w:w="338" w:type="pct"/>
            <w:tcBorders>
              <w:left w:val="nil"/>
            </w:tcBorders>
            <w:vAlign w:val="center"/>
          </w:tcPr>
          <w:p>
            <w:pPr>
              <w:widowControl/>
              <w:spacing w:line="280" w:lineRule="exact"/>
              <w:jc w:val="center"/>
              <w:rPr>
                <w:rFonts w:ascii="Times New Roman" w:hAnsi="Times New Roman"/>
              </w:rPr>
            </w:pPr>
            <w:r>
              <w:rPr>
                <w:rFonts w:ascii="Times New Roman" w:hAnsi="Times New Roman"/>
              </w:rPr>
              <w:t>12</w:t>
            </w:r>
          </w:p>
        </w:tc>
        <w:tc>
          <w:tcPr>
            <w:tcW w:w="1000" w:type="pct"/>
            <w:tcBorders>
              <w:left w:val="nil"/>
            </w:tcBorders>
            <w:noWrap/>
            <w:vAlign w:val="center"/>
          </w:tcPr>
          <w:p>
            <w:pPr>
              <w:widowControl/>
              <w:spacing w:line="280" w:lineRule="exact"/>
              <w:jc w:val="center"/>
              <w:rPr>
                <w:rFonts w:ascii="Times New Roman" w:hAnsi="Times New Roman"/>
              </w:rPr>
            </w:pPr>
            <w:r>
              <w:rPr>
                <w:rFonts w:ascii="Times New Roman" w:hAnsi="Times New Roman"/>
              </w:rPr>
              <w:t>生活办公区照明</w:t>
            </w:r>
          </w:p>
        </w:tc>
        <w:tc>
          <w:tcPr>
            <w:tcW w:w="746" w:type="pct"/>
            <w:noWrap/>
            <w:vAlign w:val="center"/>
          </w:tcPr>
          <w:p>
            <w:pPr>
              <w:widowControl/>
              <w:spacing w:line="280" w:lineRule="exact"/>
              <w:jc w:val="center"/>
              <w:rPr>
                <w:rFonts w:ascii="Times New Roman" w:hAnsi="Times New Roman"/>
              </w:rPr>
            </w:pPr>
            <w:r>
              <w:rPr>
                <w:rFonts w:ascii="Times New Roman" w:hAnsi="Times New Roman"/>
              </w:rPr>
              <w:t>2.03</w:t>
            </w:r>
          </w:p>
        </w:tc>
        <w:tc>
          <w:tcPr>
            <w:tcW w:w="503" w:type="pct"/>
            <w:noWrap/>
            <w:vAlign w:val="center"/>
          </w:tcPr>
          <w:p>
            <w:pPr>
              <w:widowControl/>
              <w:spacing w:line="280" w:lineRule="exact"/>
              <w:jc w:val="center"/>
              <w:rPr>
                <w:rFonts w:ascii="Times New Roman" w:hAnsi="Times New Roman"/>
              </w:rPr>
            </w:pPr>
          </w:p>
        </w:tc>
        <w:tc>
          <w:tcPr>
            <w:tcW w:w="420" w:type="pct"/>
            <w:vAlign w:val="center"/>
          </w:tcPr>
          <w:p>
            <w:pPr>
              <w:widowControl/>
              <w:spacing w:line="280" w:lineRule="exact"/>
              <w:jc w:val="center"/>
              <w:rPr>
                <w:rFonts w:ascii="Times New Roman" w:hAnsi="Times New Roman"/>
              </w:rPr>
            </w:pPr>
          </w:p>
        </w:tc>
        <w:tc>
          <w:tcPr>
            <w:tcW w:w="840" w:type="pct"/>
            <w:vAlign w:val="center"/>
          </w:tcPr>
          <w:p>
            <w:pPr>
              <w:widowControl/>
              <w:spacing w:line="280" w:lineRule="exact"/>
              <w:jc w:val="center"/>
              <w:rPr>
                <w:rFonts w:ascii="Times New Roman" w:hAnsi="Times New Roman"/>
              </w:rPr>
            </w:pPr>
            <w:r>
              <w:rPr>
                <w:rFonts w:ascii="Times New Roman" w:hAnsi="Times New Roman"/>
              </w:rPr>
              <w:t>2.03</w:t>
            </w:r>
          </w:p>
        </w:tc>
        <w:tc>
          <w:tcPr>
            <w:tcW w:w="589" w:type="pct"/>
            <w:vAlign w:val="center"/>
          </w:tcPr>
          <w:p>
            <w:pPr>
              <w:widowControl/>
              <w:spacing w:line="280" w:lineRule="exact"/>
              <w:jc w:val="center"/>
              <w:rPr>
                <w:rFonts w:ascii="Times New Roman" w:hAnsi="Times New Roman"/>
              </w:rPr>
            </w:pPr>
            <w:r>
              <w:rPr>
                <w:rFonts w:ascii="Times New Roman" w:hAnsi="Times New Roman"/>
              </w:rPr>
              <w:t>1.91</w:t>
            </w:r>
          </w:p>
        </w:tc>
        <w:tc>
          <w:tcPr>
            <w:tcW w:w="565" w:type="pct"/>
            <w:tcBorders>
              <w:right w:val="nil"/>
            </w:tcBorders>
            <w:noWrap/>
            <w:vAlign w:val="center"/>
          </w:tcPr>
          <w:p>
            <w:pPr>
              <w:widowControl/>
              <w:spacing w:line="280" w:lineRule="exact"/>
              <w:jc w:val="center"/>
              <w:rPr>
                <w:rFonts w:ascii="Times New Roman" w:hAnsi="Times New Roman"/>
              </w:rPr>
            </w:pPr>
            <w:r>
              <w:rPr>
                <w:rFonts w:ascii="Times New Roman" w:hAnsi="Times New Roman"/>
              </w:rPr>
              <w:t>面积81m</w:t>
            </w:r>
            <w:r>
              <w:rPr>
                <w:rFonts w:ascii="Times New Roman" w:hAnsi="Times New Roman"/>
                <w:vertAlign w:val="superscript"/>
              </w:rPr>
              <w:t>2</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Pr>
        <w:tc>
          <w:tcPr>
            <w:tcW w:w="338" w:type="pct"/>
            <w:tcBorders>
              <w:left w:val="nil"/>
              <w:bottom w:val="single" w:color="000000" w:sz="12" w:space="0"/>
            </w:tcBorders>
            <w:vAlign w:val="center"/>
          </w:tcPr>
          <w:p>
            <w:pPr>
              <w:widowControl/>
              <w:spacing w:line="280" w:lineRule="exact"/>
              <w:jc w:val="center"/>
              <w:rPr>
                <w:rFonts w:ascii="Times New Roman" w:hAnsi="Times New Roman"/>
              </w:rPr>
            </w:pPr>
          </w:p>
        </w:tc>
        <w:tc>
          <w:tcPr>
            <w:tcW w:w="1000" w:type="pct"/>
            <w:tcBorders>
              <w:left w:val="nil"/>
              <w:bottom w:val="single" w:color="000000" w:sz="12" w:space="0"/>
            </w:tcBorders>
            <w:noWrap/>
            <w:vAlign w:val="center"/>
          </w:tcPr>
          <w:p>
            <w:pPr>
              <w:widowControl/>
              <w:spacing w:line="280" w:lineRule="exact"/>
              <w:jc w:val="center"/>
              <w:rPr>
                <w:rFonts w:ascii="Times New Roman" w:hAnsi="Times New Roman"/>
              </w:rPr>
            </w:pPr>
            <w:r>
              <w:rPr>
                <w:rFonts w:ascii="Times New Roman" w:hAnsi="Times New Roman"/>
              </w:rPr>
              <w:t>合计</w:t>
            </w:r>
          </w:p>
        </w:tc>
        <w:tc>
          <w:tcPr>
            <w:tcW w:w="746" w:type="pct"/>
            <w:tcBorders>
              <w:bottom w:val="single" w:color="000000" w:sz="12" w:space="0"/>
            </w:tcBorders>
            <w:noWrap/>
            <w:vAlign w:val="center"/>
          </w:tcPr>
          <w:p>
            <w:pPr>
              <w:widowControl/>
              <w:spacing w:line="280" w:lineRule="exact"/>
              <w:jc w:val="center"/>
              <w:rPr>
                <w:rFonts w:ascii="Times New Roman" w:hAnsi="Times New Roman"/>
              </w:rPr>
            </w:pPr>
          </w:p>
        </w:tc>
        <w:tc>
          <w:tcPr>
            <w:tcW w:w="503" w:type="pct"/>
            <w:tcBorders>
              <w:bottom w:val="single" w:color="000000" w:sz="12" w:space="0"/>
            </w:tcBorders>
            <w:noWrap/>
            <w:vAlign w:val="center"/>
          </w:tcPr>
          <w:p>
            <w:pPr>
              <w:widowControl/>
              <w:spacing w:line="280" w:lineRule="exact"/>
              <w:jc w:val="center"/>
              <w:rPr>
                <w:rFonts w:ascii="Times New Roman" w:hAnsi="Times New Roman"/>
              </w:rPr>
            </w:pPr>
          </w:p>
        </w:tc>
        <w:tc>
          <w:tcPr>
            <w:tcW w:w="420" w:type="pct"/>
            <w:tcBorders>
              <w:bottom w:val="single" w:color="000000" w:sz="12" w:space="0"/>
            </w:tcBorders>
            <w:vAlign w:val="center"/>
          </w:tcPr>
          <w:p>
            <w:pPr>
              <w:widowControl/>
              <w:spacing w:line="280" w:lineRule="exact"/>
              <w:jc w:val="center"/>
              <w:rPr>
                <w:rFonts w:ascii="Times New Roman" w:hAnsi="Times New Roman"/>
              </w:rPr>
            </w:pPr>
          </w:p>
        </w:tc>
        <w:tc>
          <w:tcPr>
            <w:tcW w:w="840" w:type="pct"/>
            <w:tcBorders>
              <w:bottom w:val="single" w:color="000000" w:sz="12" w:space="0"/>
            </w:tcBorders>
            <w:vAlign w:val="center"/>
          </w:tcPr>
          <w:p>
            <w:pPr>
              <w:widowControl/>
              <w:spacing w:line="280" w:lineRule="exact"/>
              <w:jc w:val="center"/>
              <w:rPr>
                <w:rFonts w:ascii="Times New Roman" w:hAnsi="Times New Roman"/>
              </w:rPr>
            </w:pPr>
            <w:r>
              <w:rPr>
                <w:rFonts w:ascii="Times New Roman" w:hAnsi="Times New Roman"/>
              </w:rPr>
              <w:t>158.53</w:t>
            </w:r>
          </w:p>
        </w:tc>
        <w:tc>
          <w:tcPr>
            <w:tcW w:w="589" w:type="pct"/>
            <w:tcBorders>
              <w:bottom w:val="single" w:color="000000" w:sz="12" w:space="0"/>
            </w:tcBorders>
            <w:vAlign w:val="center"/>
          </w:tcPr>
          <w:p>
            <w:pPr>
              <w:widowControl/>
              <w:spacing w:line="280" w:lineRule="exact"/>
              <w:jc w:val="center"/>
              <w:rPr>
                <w:rFonts w:ascii="Times New Roman" w:hAnsi="Times New Roman"/>
              </w:rPr>
            </w:pPr>
            <w:r>
              <w:rPr>
                <w:rFonts w:ascii="Times New Roman" w:hAnsi="Times New Roman"/>
              </w:rPr>
              <w:t>48.97</w:t>
            </w:r>
          </w:p>
        </w:tc>
        <w:tc>
          <w:tcPr>
            <w:tcW w:w="565" w:type="pct"/>
            <w:tcBorders>
              <w:bottom w:val="single" w:color="000000" w:sz="12" w:space="0"/>
              <w:right w:val="nil"/>
            </w:tcBorders>
            <w:noWrap/>
            <w:vAlign w:val="center"/>
          </w:tcPr>
          <w:p>
            <w:pPr>
              <w:widowControl/>
              <w:spacing w:line="280" w:lineRule="exact"/>
              <w:jc w:val="center"/>
              <w:rPr>
                <w:rFonts w:ascii="Times New Roman" w:hAnsi="Times New Roman"/>
              </w:rPr>
            </w:pPr>
          </w:p>
        </w:tc>
      </w:tr>
    </w:tbl>
    <w:p>
      <w:pPr>
        <w:pStyle w:val="4"/>
        <w:spacing w:before="120" w:beforeLines="50" w:after="120" w:afterLines="50" w:line="480" w:lineRule="exact"/>
        <w:rPr>
          <w:rFonts w:ascii="Times New Roman" w:hAnsi="Times New Roman" w:eastAsia="黑体"/>
          <w:bCs/>
          <w:sz w:val="28"/>
          <w:szCs w:val="28"/>
        </w:rPr>
      </w:pPr>
      <w:bookmarkStart w:id="450" w:name="_Toc13349"/>
      <w:r>
        <w:rPr>
          <w:rFonts w:ascii="Times New Roman" w:hAnsi="Times New Roman" w:eastAsia="黑体"/>
          <w:bCs/>
          <w:sz w:val="28"/>
          <w:szCs w:val="28"/>
        </w:rPr>
        <w:t>现有工程原辅料及能耗</w:t>
      </w:r>
      <w:bookmarkEnd w:id="450"/>
    </w:p>
    <w:p>
      <w:pPr>
        <w:spacing w:line="480" w:lineRule="exact"/>
        <w:ind w:firstLine="480" w:firstLineChars="200"/>
        <w:rPr>
          <w:rFonts w:ascii="Times New Roman" w:hAnsi="Times New Roman"/>
          <w:sz w:val="24"/>
          <w:szCs w:val="24"/>
        </w:rPr>
      </w:pPr>
      <w:r>
        <w:rPr>
          <w:rFonts w:ascii="Times New Roman" w:hAnsi="Times New Roman"/>
          <w:sz w:val="24"/>
          <w:szCs w:val="24"/>
        </w:rPr>
        <w:t>现有工程原辅料及能耗用量情况见表3.1-3。</w:t>
      </w:r>
    </w:p>
    <w:p>
      <w:pPr>
        <w:spacing w:line="480" w:lineRule="exact"/>
        <w:jc w:val="center"/>
        <w:rPr>
          <w:rFonts w:ascii="Times New Roman" w:hAnsi="Times New Roman"/>
          <w:b/>
        </w:rPr>
      </w:pPr>
      <w:r>
        <w:rPr>
          <w:rFonts w:ascii="Times New Roman" w:hAnsi="Times New Roman"/>
          <w:b/>
        </w:rPr>
        <w:t>表3.1-3 现有工程原辅料及能耗用量一览表</w:t>
      </w:r>
    </w:p>
    <w:tbl>
      <w:tblPr>
        <w:tblStyle w:val="77"/>
        <w:tblW w:w="4829"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2111"/>
        <w:gridCol w:w="1424"/>
        <w:gridCol w:w="1425"/>
        <w:gridCol w:w="1425"/>
        <w:gridCol w:w="142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77" w:type="pct"/>
            <w:gridSpan w:val="2"/>
            <w:tcBorders>
              <w:top w:val="single" w:color="auto" w:sz="12" w:space="0"/>
            </w:tcBorders>
            <w:vAlign w:val="center"/>
          </w:tcPr>
          <w:p>
            <w:pPr>
              <w:jc w:val="center"/>
              <w:rPr>
                <w:rFonts w:ascii="Times New Roman" w:hAnsi="Times New Roman"/>
                <w:b/>
                <w:szCs w:val="20"/>
              </w:rPr>
            </w:pPr>
            <w:r>
              <w:rPr>
                <w:rFonts w:ascii="Times New Roman" w:hAnsi="Times New Roman"/>
                <w:b/>
                <w:szCs w:val="20"/>
              </w:rPr>
              <w:t>名称</w:t>
            </w:r>
          </w:p>
        </w:tc>
        <w:tc>
          <w:tcPr>
            <w:tcW w:w="880" w:type="pct"/>
            <w:tcBorders>
              <w:top w:val="single" w:color="auto" w:sz="12" w:space="0"/>
            </w:tcBorders>
            <w:vAlign w:val="center"/>
          </w:tcPr>
          <w:p>
            <w:pPr>
              <w:jc w:val="center"/>
              <w:rPr>
                <w:rFonts w:ascii="Times New Roman" w:hAnsi="Times New Roman"/>
                <w:b/>
                <w:szCs w:val="20"/>
              </w:rPr>
            </w:pPr>
            <w:r>
              <w:rPr>
                <w:rFonts w:ascii="Times New Roman" w:hAnsi="Times New Roman"/>
                <w:b/>
                <w:szCs w:val="20"/>
              </w:rPr>
              <w:t>单位</w:t>
            </w:r>
          </w:p>
        </w:tc>
        <w:tc>
          <w:tcPr>
            <w:tcW w:w="881" w:type="pct"/>
            <w:tcBorders>
              <w:top w:val="single" w:color="auto" w:sz="12" w:space="0"/>
            </w:tcBorders>
            <w:vAlign w:val="center"/>
          </w:tcPr>
          <w:p>
            <w:pPr>
              <w:jc w:val="center"/>
              <w:rPr>
                <w:rFonts w:ascii="Times New Roman" w:hAnsi="Times New Roman"/>
                <w:b/>
                <w:szCs w:val="20"/>
              </w:rPr>
            </w:pPr>
            <w:r>
              <w:rPr>
                <w:rFonts w:ascii="Times New Roman" w:hAnsi="Times New Roman"/>
                <w:b/>
                <w:szCs w:val="20"/>
              </w:rPr>
              <w:t>用量</w:t>
            </w:r>
          </w:p>
        </w:tc>
        <w:tc>
          <w:tcPr>
            <w:tcW w:w="881" w:type="pct"/>
            <w:tcBorders>
              <w:top w:val="single" w:color="auto" w:sz="12" w:space="0"/>
            </w:tcBorders>
          </w:tcPr>
          <w:p>
            <w:pPr>
              <w:jc w:val="center"/>
              <w:rPr>
                <w:rFonts w:ascii="Times New Roman" w:hAnsi="Times New Roman"/>
                <w:b/>
                <w:szCs w:val="20"/>
              </w:rPr>
            </w:pPr>
            <w:r>
              <w:rPr>
                <w:rFonts w:ascii="Times New Roman" w:hAnsi="Times New Roman"/>
                <w:b/>
                <w:szCs w:val="20"/>
              </w:rPr>
              <w:t>来源</w:t>
            </w:r>
          </w:p>
        </w:tc>
        <w:tc>
          <w:tcPr>
            <w:tcW w:w="881" w:type="pct"/>
            <w:tcBorders>
              <w:top w:val="single" w:color="auto" w:sz="12" w:space="0"/>
            </w:tcBorders>
          </w:tcPr>
          <w:p>
            <w:pPr>
              <w:jc w:val="center"/>
              <w:rPr>
                <w:rFonts w:ascii="Times New Roman" w:hAnsi="Times New Roman"/>
                <w:b/>
                <w:szCs w:val="20"/>
              </w:rPr>
            </w:pPr>
            <w:r>
              <w:rPr>
                <w:rFonts w:ascii="Times New Roman" w:hAnsi="Times New Roman"/>
                <w:b/>
                <w:szCs w:val="20"/>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180" w:type="pct"/>
            <w:vAlign w:val="center"/>
          </w:tcPr>
          <w:p>
            <w:pPr>
              <w:jc w:val="center"/>
              <w:rPr>
                <w:rFonts w:ascii="Times New Roman" w:hAnsi="Times New Roman"/>
                <w:szCs w:val="20"/>
              </w:rPr>
            </w:pPr>
            <w:r>
              <w:rPr>
                <w:rFonts w:ascii="Times New Roman" w:hAnsi="Times New Roman"/>
                <w:szCs w:val="20"/>
              </w:rPr>
              <w:t>原料</w:t>
            </w:r>
          </w:p>
        </w:tc>
        <w:tc>
          <w:tcPr>
            <w:tcW w:w="1297" w:type="pct"/>
            <w:vAlign w:val="center"/>
          </w:tcPr>
          <w:p>
            <w:pPr>
              <w:jc w:val="center"/>
              <w:rPr>
                <w:rFonts w:ascii="Times New Roman" w:hAnsi="Times New Roman"/>
                <w:szCs w:val="20"/>
              </w:rPr>
            </w:pPr>
            <w:r>
              <w:rPr>
                <w:rFonts w:ascii="Times New Roman" w:hAnsi="Times New Roman"/>
                <w:szCs w:val="20"/>
              </w:rPr>
              <w:t>医疗废物</w:t>
            </w:r>
          </w:p>
        </w:tc>
        <w:tc>
          <w:tcPr>
            <w:tcW w:w="880" w:type="pct"/>
            <w:vAlign w:val="center"/>
          </w:tcPr>
          <w:p>
            <w:pPr>
              <w:jc w:val="center"/>
              <w:rPr>
                <w:rFonts w:ascii="Times New Roman" w:hAnsi="Times New Roman"/>
                <w:szCs w:val="20"/>
              </w:rPr>
            </w:pPr>
            <w:r>
              <w:rPr>
                <w:rFonts w:ascii="Times New Roman" w:hAnsi="Times New Roman"/>
                <w:szCs w:val="20"/>
              </w:rPr>
              <w:t>t/d</w:t>
            </w:r>
          </w:p>
        </w:tc>
        <w:tc>
          <w:tcPr>
            <w:tcW w:w="881" w:type="pct"/>
            <w:vAlign w:val="center"/>
          </w:tcPr>
          <w:p>
            <w:pPr>
              <w:jc w:val="center"/>
              <w:rPr>
                <w:rFonts w:ascii="Times New Roman" w:hAnsi="Times New Roman"/>
                <w:szCs w:val="20"/>
              </w:rPr>
            </w:pPr>
            <w:r>
              <w:rPr>
                <w:rFonts w:ascii="Times New Roman" w:hAnsi="Times New Roman"/>
                <w:szCs w:val="20"/>
              </w:rPr>
              <w:t>3</w:t>
            </w:r>
          </w:p>
        </w:tc>
        <w:tc>
          <w:tcPr>
            <w:tcW w:w="881" w:type="pct"/>
          </w:tcPr>
          <w:p>
            <w:pPr>
              <w:jc w:val="center"/>
              <w:rPr>
                <w:rFonts w:ascii="Times New Roman" w:hAnsi="Times New Roman"/>
                <w:szCs w:val="20"/>
              </w:rPr>
            </w:pPr>
            <w:r>
              <w:rPr>
                <w:rFonts w:ascii="Times New Roman" w:hAnsi="Times New Roman"/>
                <w:szCs w:val="20"/>
              </w:rPr>
              <w:t>医疗卫生机构</w:t>
            </w:r>
          </w:p>
        </w:tc>
        <w:tc>
          <w:tcPr>
            <w:tcW w:w="881" w:type="pct"/>
          </w:tcPr>
          <w:p>
            <w:pPr>
              <w:jc w:val="center"/>
              <w:rPr>
                <w:rFonts w:ascii="Times New Roman" w:hAnsi="Times New Roman"/>
                <w:szCs w:val="20"/>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7" w:hRule="atLeast"/>
          <w:jc w:val="center"/>
        </w:trPr>
        <w:tc>
          <w:tcPr>
            <w:tcW w:w="180" w:type="pct"/>
            <w:vMerge w:val="restart"/>
            <w:vAlign w:val="center"/>
          </w:tcPr>
          <w:p>
            <w:pPr>
              <w:jc w:val="center"/>
              <w:rPr>
                <w:rFonts w:ascii="Times New Roman" w:hAnsi="Times New Roman"/>
                <w:szCs w:val="20"/>
              </w:rPr>
            </w:pPr>
            <w:r>
              <w:rPr>
                <w:rFonts w:ascii="Times New Roman" w:hAnsi="Times New Roman"/>
                <w:szCs w:val="20"/>
              </w:rPr>
              <w:t>辅料</w:t>
            </w:r>
          </w:p>
        </w:tc>
        <w:tc>
          <w:tcPr>
            <w:tcW w:w="1297" w:type="pct"/>
            <w:vAlign w:val="center"/>
          </w:tcPr>
          <w:p>
            <w:pPr>
              <w:jc w:val="center"/>
              <w:rPr>
                <w:rFonts w:ascii="Times New Roman" w:hAnsi="Times New Roman"/>
                <w:szCs w:val="20"/>
              </w:rPr>
            </w:pPr>
            <w:r>
              <w:rPr>
                <w:rFonts w:hint="eastAsia" w:ascii="Times New Roman" w:hAnsi="Times New Roman"/>
                <w:szCs w:val="20"/>
              </w:rPr>
              <w:t>石灰石</w:t>
            </w:r>
          </w:p>
        </w:tc>
        <w:tc>
          <w:tcPr>
            <w:tcW w:w="880" w:type="pct"/>
            <w:vAlign w:val="center"/>
          </w:tcPr>
          <w:p>
            <w:pPr>
              <w:jc w:val="center"/>
              <w:rPr>
                <w:rFonts w:ascii="Times New Roman" w:hAnsi="Times New Roman"/>
                <w:szCs w:val="20"/>
              </w:rPr>
            </w:pPr>
            <w:r>
              <w:rPr>
                <w:rFonts w:ascii="Times New Roman" w:hAnsi="Times New Roman"/>
                <w:szCs w:val="20"/>
              </w:rPr>
              <w:t>t/a</w:t>
            </w:r>
          </w:p>
        </w:tc>
        <w:tc>
          <w:tcPr>
            <w:tcW w:w="881" w:type="pct"/>
            <w:vAlign w:val="center"/>
          </w:tcPr>
          <w:p>
            <w:pPr>
              <w:jc w:val="center"/>
              <w:rPr>
                <w:rFonts w:ascii="Times New Roman" w:hAnsi="Times New Roman"/>
                <w:szCs w:val="20"/>
              </w:rPr>
            </w:pPr>
            <w:r>
              <w:rPr>
                <w:rFonts w:ascii="Times New Roman" w:hAnsi="Times New Roman"/>
                <w:szCs w:val="20"/>
              </w:rPr>
              <w:t>0.01</w:t>
            </w:r>
          </w:p>
        </w:tc>
        <w:tc>
          <w:tcPr>
            <w:tcW w:w="881" w:type="pct"/>
          </w:tcPr>
          <w:p>
            <w:pPr>
              <w:jc w:val="center"/>
              <w:rPr>
                <w:rFonts w:ascii="Times New Roman" w:hAnsi="Times New Roman"/>
                <w:szCs w:val="20"/>
              </w:rPr>
            </w:pPr>
            <w:r>
              <w:rPr>
                <w:rFonts w:ascii="Times New Roman" w:hAnsi="Times New Roman"/>
                <w:szCs w:val="20"/>
              </w:rPr>
              <w:t>附近市场购买</w:t>
            </w:r>
          </w:p>
        </w:tc>
        <w:tc>
          <w:tcPr>
            <w:tcW w:w="881" w:type="pct"/>
          </w:tcPr>
          <w:p>
            <w:pPr>
              <w:jc w:val="center"/>
              <w:rPr>
                <w:rFonts w:ascii="Times New Roman" w:hAnsi="Times New Roman"/>
                <w:szCs w:val="20"/>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180" w:type="pct"/>
            <w:vMerge w:val="continue"/>
            <w:vAlign w:val="center"/>
          </w:tcPr>
          <w:p>
            <w:pPr>
              <w:jc w:val="center"/>
              <w:rPr>
                <w:rFonts w:ascii="Times New Roman" w:hAnsi="Times New Roman"/>
                <w:szCs w:val="20"/>
              </w:rPr>
            </w:pPr>
          </w:p>
        </w:tc>
        <w:tc>
          <w:tcPr>
            <w:tcW w:w="1297" w:type="pct"/>
            <w:vAlign w:val="center"/>
          </w:tcPr>
          <w:p>
            <w:pPr>
              <w:jc w:val="center"/>
              <w:rPr>
                <w:rFonts w:ascii="Times New Roman" w:hAnsi="Times New Roman"/>
                <w:szCs w:val="20"/>
              </w:rPr>
            </w:pPr>
            <w:r>
              <w:rPr>
                <w:rFonts w:ascii="Times New Roman" w:hAnsi="Times New Roman"/>
                <w:szCs w:val="20"/>
              </w:rPr>
              <w:t>活性炭</w:t>
            </w:r>
          </w:p>
        </w:tc>
        <w:tc>
          <w:tcPr>
            <w:tcW w:w="880" w:type="pct"/>
            <w:vAlign w:val="center"/>
          </w:tcPr>
          <w:p>
            <w:pPr>
              <w:jc w:val="center"/>
              <w:rPr>
                <w:rFonts w:ascii="Times New Roman" w:hAnsi="Times New Roman"/>
                <w:szCs w:val="20"/>
              </w:rPr>
            </w:pPr>
            <w:r>
              <w:rPr>
                <w:rFonts w:ascii="Times New Roman" w:hAnsi="Times New Roman"/>
                <w:szCs w:val="20"/>
              </w:rPr>
              <w:t>t/a</w:t>
            </w:r>
          </w:p>
        </w:tc>
        <w:tc>
          <w:tcPr>
            <w:tcW w:w="881" w:type="pct"/>
            <w:vAlign w:val="center"/>
          </w:tcPr>
          <w:p>
            <w:pPr>
              <w:jc w:val="center"/>
              <w:rPr>
                <w:rFonts w:ascii="Times New Roman" w:hAnsi="Times New Roman"/>
                <w:szCs w:val="20"/>
              </w:rPr>
            </w:pPr>
            <w:r>
              <w:rPr>
                <w:rFonts w:ascii="Times New Roman" w:hAnsi="Times New Roman"/>
                <w:szCs w:val="20"/>
              </w:rPr>
              <w:t>0.009</w:t>
            </w:r>
          </w:p>
        </w:tc>
        <w:tc>
          <w:tcPr>
            <w:tcW w:w="881" w:type="pct"/>
          </w:tcPr>
          <w:p>
            <w:pPr>
              <w:jc w:val="center"/>
              <w:rPr>
                <w:rFonts w:ascii="Times New Roman" w:hAnsi="Times New Roman"/>
                <w:szCs w:val="20"/>
              </w:rPr>
            </w:pPr>
            <w:r>
              <w:rPr>
                <w:rFonts w:ascii="Times New Roman" w:hAnsi="Times New Roman"/>
                <w:szCs w:val="20"/>
              </w:rPr>
              <w:t>附近市场购买</w:t>
            </w:r>
          </w:p>
        </w:tc>
        <w:tc>
          <w:tcPr>
            <w:tcW w:w="881" w:type="pct"/>
          </w:tcPr>
          <w:p>
            <w:pPr>
              <w:jc w:val="center"/>
              <w:rPr>
                <w:rFonts w:ascii="Times New Roman" w:hAnsi="Times New Roman"/>
                <w:szCs w:val="20"/>
              </w:rPr>
            </w:pPr>
            <w:r>
              <w:rPr>
                <w:rFonts w:ascii="Times New Roman" w:hAnsi="Times New Roman"/>
                <w:szCs w:val="20"/>
              </w:rPr>
              <w:t>工业级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0" w:type="pct"/>
            <w:vMerge w:val="continue"/>
            <w:vAlign w:val="center"/>
          </w:tcPr>
          <w:p>
            <w:pPr>
              <w:jc w:val="center"/>
              <w:rPr>
                <w:rFonts w:ascii="Times New Roman" w:hAnsi="Times New Roman"/>
                <w:szCs w:val="20"/>
              </w:rPr>
            </w:pPr>
          </w:p>
        </w:tc>
        <w:tc>
          <w:tcPr>
            <w:tcW w:w="1297" w:type="pct"/>
            <w:vAlign w:val="center"/>
          </w:tcPr>
          <w:p>
            <w:pPr>
              <w:jc w:val="center"/>
              <w:rPr>
                <w:rFonts w:ascii="Times New Roman" w:hAnsi="Times New Roman"/>
                <w:szCs w:val="20"/>
              </w:rPr>
            </w:pPr>
            <w:r>
              <w:rPr>
                <w:rFonts w:ascii="Times New Roman" w:hAnsi="Times New Roman"/>
                <w:szCs w:val="20"/>
              </w:rPr>
              <w:t>生物指示剂</w:t>
            </w:r>
          </w:p>
        </w:tc>
        <w:tc>
          <w:tcPr>
            <w:tcW w:w="880" w:type="pct"/>
            <w:vAlign w:val="center"/>
          </w:tcPr>
          <w:p>
            <w:pPr>
              <w:jc w:val="center"/>
              <w:rPr>
                <w:rFonts w:ascii="Times New Roman" w:hAnsi="Times New Roman"/>
                <w:szCs w:val="20"/>
              </w:rPr>
            </w:pPr>
            <w:r>
              <w:rPr>
                <w:rFonts w:ascii="Times New Roman" w:hAnsi="Times New Roman"/>
                <w:szCs w:val="20"/>
              </w:rPr>
              <w:t>个</w:t>
            </w:r>
          </w:p>
        </w:tc>
        <w:tc>
          <w:tcPr>
            <w:tcW w:w="881" w:type="pct"/>
            <w:vAlign w:val="center"/>
          </w:tcPr>
          <w:p>
            <w:pPr>
              <w:jc w:val="center"/>
              <w:rPr>
                <w:rFonts w:ascii="Times New Roman" w:hAnsi="Times New Roman"/>
                <w:szCs w:val="20"/>
              </w:rPr>
            </w:pPr>
            <w:r>
              <w:rPr>
                <w:rFonts w:ascii="Times New Roman" w:hAnsi="Times New Roman"/>
                <w:szCs w:val="20"/>
              </w:rPr>
              <w:t>400</w:t>
            </w:r>
          </w:p>
        </w:tc>
        <w:tc>
          <w:tcPr>
            <w:tcW w:w="881" w:type="pct"/>
          </w:tcPr>
          <w:p>
            <w:pPr>
              <w:jc w:val="center"/>
              <w:rPr>
                <w:rFonts w:ascii="Times New Roman" w:hAnsi="Times New Roman"/>
                <w:szCs w:val="20"/>
              </w:rPr>
            </w:pPr>
            <w:r>
              <w:rPr>
                <w:rFonts w:ascii="Times New Roman" w:hAnsi="Times New Roman"/>
                <w:szCs w:val="20"/>
              </w:rPr>
              <w:t>美国3M公司</w:t>
            </w:r>
          </w:p>
        </w:tc>
        <w:tc>
          <w:tcPr>
            <w:tcW w:w="881" w:type="pct"/>
          </w:tcPr>
          <w:p>
            <w:pPr>
              <w:jc w:val="center"/>
              <w:rPr>
                <w:rFonts w:ascii="Times New Roman" w:hAnsi="Times New Roman"/>
                <w:szCs w:val="20"/>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0" w:type="pct"/>
            <w:vMerge w:val="restart"/>
            <w:vAlign w:val="center"/>
          </w:tcPr>
          <w:p>
            <w:pPr>
              <w:jc w:val="center"/>
              <w:rPr>
                <w:rFonts w:ascii="Times New Roman" w:hAnsi="Times New Roman"/>
                <w:szCs w:val="20"/>
              </w:rPr>
            </w:pPr>
            <w:r>
              <w:rPr>
                <w:rFonts w:ascii="Times New Roman" w:hAnsi="Times New Roman"/>
                <w:szCs w:val="20"/>
              </w:rPr>
              <w:t>能耗</w:t>
            </w:r>
          </w:p>
        </w:tc>
        <w:tc>
          <w:tcPr>
            <w:tcW w:w="1297" w:type="pct"/>
            <w:vAlign w:val="center"/>
          </w:tcPr>
          <w:p>
            <w:pPr>
              <w:jc w:val="center"/>
              <w:rPr>
                <w:rFonts w:ascii="Times New Roman" w:hAnsi="Times New Roman"/>
                <w:szCs w:val="20"/>
              </w:rPr>
            </w:pPr>
            <w:r>
              <w:rPr>
                <w:rFonts w:ascii="Times New Roman" w:hAnsi="Times New Roman"/>
                <w:szCs w:val="20"/>
              </w:rPr>
              <w:t>电力</w:t>
            </w:r>
          </w:p>
        </w:tc>
        <w:tc>
          <w:tcPr>
            <w:tcW w:w="880" w:type="pct"/>
            <w:vAlign w:val="center"/>
          </w:tcPr>
          <w:p>
            <w:pPr>
              <w:jc w:val="center"/>
              <w:rPr>
                <w:rFonts w:ascii="Times New Roman" w:hAnsi="Times New Roman"/>
                <w:szCs w:val="20"/>
              </w:rPr>
            </w:pPr>
            <w:r>
              <w:rPr>
                <w:rFonts w:ascii="Times New Roman" w:hAnsi="Times New Roman"/>
                <w:szCs w:val="20"/>
              </w:rPr>
              <w:t>KW/h</w:t>
            </w:r>
          </w:p>
        </w:tc>
        <w:tc>
          <w:tcPr>
            <w:tcW w:w="881" w:type="pct"/>
            <w:vAlign w:val="center"/>
          </w:tcPr>
          <w:p>
            <w:pPr>
              <w:jc w:val="center"/>
              <w:rPr>
                <w:rFonts w:ascii="Times New Roman" w:hAnsi="Times New Roman"/>
                <w:szCs w:val="20"/>
              </w:rPr>
            </w:pPr>
            <w:r>
              <w:rPr>
                <w:rFonts w:ascii="Times New Roman" w:hAnsi="Times New Roman"/>
                <w:szCs w:val="20"/>
              </w:rPr>
              <w:t>884800</w:t>
            </w:r>
          </w:p>
        </w:tc>
        <w:tc>
          <w:tcPr>
            <w:tcW w:w="881" w:type="pct"/>
          </w:tcPr>
          <w:p>
            <w:pPr>
              <w:jc w:val="center"/>
              <w:rPr>
                <w:rFonts w:ascii="Times New Roman" w:hAnsi="Times New Roman"/>
                <w:szCs w:val="20"/>
              </w:rPr>
            </w:pPr>
            <w:r>
              <w:rPr>
                <w:rFonts w:ascii="Times New Roman" w:hAnsi="Times New Roman"/>
                <w:szCs w:val="20"/>
              </w:rPr>
              <w:t>电力公司</w:t>
            </w:r>
          </w:p>
        </w:tc>
        <w:tc>
          <w:tcPr>
            <w:tcW w:w="881" w:type="pct"/>
          </w:tcPr>
          <w:p>
            <w:pPr>
              <w:jc w:val="center"/>
              <w:rPr>
                <w:rFonts w:ascii="Times New Roman" w:hAnsi="Times New Roman"/>
                <w:szCs w:val="20"/>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0" w:type="pct"/>
            <w:vMerge w:val="continue"/>
            <w:tcBorders>
              <w:bottom w:val="single" w:color="auto" w:sz="12" w:space="0"/>
            </w:tcBorders>
            <w:vAlign w:val="center"/>
          </w:tcPr>
          <w:p>
            <w:pPr>
              <w:jc w:val="center"/>
              <w:rPr>
                <w:rFonts w:ascii="Times New Roman" w:hAnsi="Times New Roman"/>
                <w:szCs w:val="20"/>
              </w:rPr>
            </w:pPr>
          </w:p>
        </w:tc>
        <w:tc>
          <w:tcPr>
            <w:tcW w:w="1297" w:type="pct"/>
            <w:tcBorders>
              <w:bottom w:val="single" w:color="auto" w:sz="12" w:space="0"/>
            </w:tcBorders>
            <w:vAlign w:val="center"/>
          </w:tcPr>
          <w:p>
            <w:pPr>
              <w:jc w:val="center"/>
              <w:rPr>
                <w:rFonts w:ascii="Times New Roman" w:hAnsi="Times New Roman"/>
                <w:szCs w:val="20"/>
              </w:rPr>
            </w:pPr>
            <w:r>
              <w:rPr>
                <w:rFonts w:ascii="Times New Roman" w:hAnsi="Times New Roman"/>
                <w:szCs w:val="20"/>
              </w:rPr>
              <w:t>水</w:t>
            </w:r>
          </w:p>
        </w:tc>
        <w:tc>
          <w:tcPr>
            <w:tcW w:w="880" w:type="pct"/>
            <w:tcBorders>
              <w:bottom w:val="single" w:color="auto" w:sz="12" w:space="0"/>
            </w:tcBorders>
            <w:vAlign w:val="center"/>
          </w:tcPr>
          <w:p>
            <w:pPr>
              <w:jc w:val="center"/>
              <w:rPr>
                <w:rFonts w:ascii="Times New Roman" w:hAnsi="Times New Roman"/>
                <w:szCs w:val="20"/>
              </w:rPr>
            </w:pPr>
            <w:r>
              <w:rPr>
                <w:rFonts w:ascii="Times New Roman" w:hAnsi="Times New Roman"/>
                <w:szCs w:val="20"/>
              </w:rPr>
              <w:t>t/a</w:t>
            </w:r>
          </w:p>
        </w:tc>
        <w:tc>
          <w:tcPr>
            <w:tcW w:w="881" w:type="pct"/>
            <w:tcBorders>
              <w:bottom w:val="single" w:color="auto" w:sz="12" w:space="0"/>
            </w:tcBorders>
            <w:vAlign w:val="center"/>
          </w:tcPr>
          <w:p>
            <w:pPr>
              <w:jc w:val="center"/>
              <w:rPr>
                <w:rFonts w:ascii="Times New Roman" w:hAnsi="Times New Roman"/>
                <w:szCs w:val="20"/>
              </w:rPr>
            </w:pPr>
            <w:r>
              <w:rPr>
                <w:rFonts w:ascii="Times New Roman" w:hAnsi="Times New Roman"/>
                <w:szCs w:val="20"/>
              </w:rPr>
              <w:t>11147</w:t>
            </w:r>
          </w:p>
        </w:tc>
        <w:tc>
          <w:tcPr>
            <w:tcW w:w="881" w:type="pct"/>
            <w:tcBorders>
              <w:bottom w:val="single" w:color="auto" w:sz="12" w:space="0"/>
            </w:tcBorders>
          </w:tcPr>
          <w:p>
            <w:pPr>
              <w:jc w:val="center"/>
              <w:rPr>
                <w:rFonts w:ascii="Times New Roman" w:hAnsi="Times New Roman"/>
                <w:szCs w:val="20"/>
              </w:rPr>
            </w:pPr>
            <w:r>
              <w:rPr>
                <w:rFonts w:ascii="Times New Roman" w:hAnsi="Times New Roman"/>
                <w:szCs w:val="20"/>
              </w:rPr>
              <w:t>厂区地下水水井</w:t>
            </w:r>
          </w:p>
        </w:tc>
        <w:tc>
          <w:tcPr>
            <w:tcW w:w="881" w:type="pct"/>
            <w:tcBorders>
              <w:bottom w:val="single" w:color="auto" w:sz="12" w:space="0"/>
            </w:tcBorders>
          </w:tcPr>
          <w:p>
            <w:pPr>
              <w:jc w:val="center"/>
              <w:rPr>
                <w:rFonts w:ascii="Times New Roman" w:hAnsi="Times New Roman"/>
                <w:szCs w:val="20"/>
              </w:rPr>
            </w:pPr>
          </w:p>
        </w:tc>
      </w:tr>
    </w:tbl>
    <w:p>
      <w:pPr>
        <w:pStyle w:val="4"/>
        <w:spacing w:before="120" w:beforeLines="50" w:after="120" w:afterLines="50" w:line="480" w:lineRule="exact"/>
        <w:rPr>
          <w:rFonts w:ascii="Times New Roman" w:hAnsi="Times New Roman" w:eastAsia="黑体"/>
          <w:bCs/>
          <w:sz w:val="28"/>
          <w:szCs w:val="28"/>
        </w:rPr>
      </w:pPr>
      <w:bookmarkStart w:id="451" w:name="_Toc20869"/>
      <w:r>
        <w:rPr>
          <w:rFonts w:ascii="Times New Roman" w:hAnsi="Times New Roman" w:eastAsia="黑体"/>
          <w:bCs/>
          <w:sz w:val="28"/>
          <w:szCs w:val="28"/>
        </w:rPr>
        <w:t>现有工程收运过程</w:t>
      </w:r>
      <w:bookmarkEnd w:id="451"/>
    </w:p>
    <w:p>
      <w:pPr>
        <w:pStyle w:val="420"/>
        <w:spacing w:line="480" w:lineRule="exact"/>
        <w:ind w:firstLine="480"/>
        <w:rPr>
          <w:rFonts w:cs="Times New Roman"/>
          <w:szCs w:val="24"/>
        </w:rPr>
      </w:pPr>
      <w:r>
        <w:rPr>
          <w:rFonts w:cs="Times New Roman"/>
          <w:szCs w:val="24"/>
        </w:rPr>
        <w:t>医疗废物收运过程是指医疗废物收集、运输、贮存过程。本项目采用专门定做的专用容器进行医疗废物收集，包括包装袋、利器盒，全部为黄色，并标有醒目的“医疗废物”标志，对盛装感染性废物的包装袋，加注“感染性废物”字样。定期派专业人员将各收集点暂存室中的医疗废物周转箱（120升的600个）密封装车并办理交接手续后，运往处置厂进行处置。</w:t>
      </w:r>
    </w:p>
    <w:p>
      <w:pPr>
        <w:pStyle w:val="420"/>
        <w:spacing w:line="480" w:lineRule="exact"/>
        <w:ind w:firstLine="480"/>
        <w:rPr>
          <w:rFonts w:cs="Times New Roman"/>
          <w:szCs w:val="24"/>
        </w:rPr>
      </w:pPr>
      <w:r>
        <w:rPr>
          <w:rFonts w:cs="Times New Roman"/>
          <w:szCs w:val="24"/>
        </w:rPr>
        <w:t>现有工程设置6台1.0吨的冷藏密医疗废物运输车，严格按照《医疗废物转运车技术要求（试行）》（GB19217-2003），并按照《保温车、冷藏车技术条件及试验方法》（QC/T449-2000）进行出厂检验。车厢经过了防渗处理，车厢底部设置具有良好气密性的排水孔，车厢具有良好的气密性能。</w:t>
      </w:r>
    </w:p>
    <w:p>
      <w:pPr>
        <w:pStyle w:val="4"/>
        <w:spacing w:before="120" w:beforeLines="50" w:after="120" w:afterLines="50" w:line="480" w:lineRule="exact"/>
        <w:rPr>
          <w:rFonts w:ascii="Times New Roman" w:hAnsi="Times New Roman" w:eastAsia="黑体"/>
          <w:bCs/>
          <w:sz w:val="28"/>
          <w:szCs w:val="28"/>
        </w:rPr>
      </w:pPr>
      <w:bookmarkStart w:id="452" w:name="_Toc25724"/>
      <w:r>
        <w:rPr>
          <w:rFonts w:ascii="Times New Roman" w:hAnsi="Times New Roman" w:eastAsia="黑体"/>
          <w:bCs/>
          <w:sz w:val="28"/>
          <w:szCs w:val="28"/>
        </w:rPr>
        <w:t>平面布置</w:t>
      </w:r>
      <w:bookmarkEnd w:id="446"/>
      <w:bookmarkEnd w:id="447"/>
      <w:bookmarkEnd w:id="448"/>
      <w:bookmarkEnd w:id="449"/>
      <w:bookmarkEnd w:id="452"/>
    </w:p>
    <w:p>
      <w:pPr>
        <w:pStyle w:val="65"/>
        <w:spacing w:line="480" w:lineRule="exact"/>
        <w:ind w:left="0" w:firstLine="480" w:firstLineChars="200"/>
        <w:jc w:val="both"/>
        <w:rPr>
          <w:smallCaps w:val="0"/>
          <w:sz w:val="24"/>
          <w:szCs w:val="24"/>
        </w:rPr>
      </w:pPr>
      <w:r>
        <w:rPr>
          <w:smallCaps w:val="0"/>
          <w:sz w:val="24"/>
          <w:szCs w:val="24"/>
        </w:rPr>
        <w:t>现有工程平面布置见图3.1-2。</w:t>
      </w:r>
    </w:p>
    <w:p>
      <w:pPr>
        <w:rPr>
          <w:rFonts w:ascii="Times New Roman" w:hAnsi="Times New Roman"/>
        </w:rPr>
      </w:pPr>
      <w:r>
        <w:drawing>
          <wp:inline distT="0" distB="0" distL="0" distR="0">
            <wp:extent cx="4979035" cy="2244725"/>
            <wp:effectExtent l="0" t="0" r="0" b="317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25"/>
                    <a:stretch>
                      <a:fillRect/>
                    </a:stretch>
                  </pic:blipFill>
                  <pic:spPr>
                    <a:xfrm>
                      <a:off x="0" y="0"/>
                      <a:ext cx="4988844" cy="2249271"/>
                    </a:xfrm>
                    <a:prstGeom prst="rect">
                      <a:avLst/>
                    </a:prstGeom>
                  </pic:spPr>
                </pic:pic>
              </a:graphicData>
            </a:graphic>
          </wp:inline>
        </w:drawing>
      </w:r>
    </w:p>
    <w:p>
      <w:pPr>
        <w:pStyle w:val="65"/>
        <w:ind w:left="0"/>
        <w:jc w:val="center"/>
      </w:pPr>
      <w:r>
        <w:rPr>
          <w:b/>
          <w:sz w:val="21"/>
          <w:szCs w:val="21"/>
        </w:rPr>
        <w:t>图3.1-2 现有工程平面布置图</w:t>
      </w:r>
    </w:p>
    <w:p>
      <w:pPr>
        <w:rPr>
          <w:rFonts w:ascii="Times New Roman" w:hAnsi="Times New Roman"/>
        </w:rPr>
        <w:sectPr>
          <w:pgSz w:w="11907" w:h="16839"/>
          <w:pgMar w:top="1440" w:right="1797" w:bottom="1440" w:left="1797" w:header="851" w:footer="850" w:gutter="0"/>
          <w:cols w:space="720" w:num="1"/>
          <w:docGrid w:linePitch="312" w:charSpace="0"/>
        </w:sectPr>
      </w:pPr>
    </w:p>
    <w:p>
      <w:pPr>
        <w:pStyle w:val="4"/>
        <w:spacing w:before="120" w:beforeLines="50" w:after="120" w:afterLines="50" w:line="480" w:lineRule="exact"/>
        <w:rPr>
          <w:rFonts w:ascii="Times New Roman" w:hAnsi="Times New Roman" w:eastAsia="黑体"/>
          <w:bCs/>
          <w:sz w:val="28"/>
          <w:szCs w:val="28"/>
        </w:rPr>
      </w:pPr>
      <w:bookmarkStart w:id="453" w:name="_Toc28050"/>
      <w:bookmarkStart w:id="454" w:name="_Toc1819"/>
      <w:bookmarkStart w:id="455" w:name="_Toc26756"/>
      <w:bookmarkStart w:id="456" w:name="_Toc22513"/>
      <w:bookmarkStart w:id="457" w:name="_Toc150"/>
      <w:r>
        <w:rPr>
          <w:rFonts w:ascii="Times New Roman" w:hAnsi="Times New Roman" w:eastAsia="黑体"/>
          <w:bCs/>
          <w:sz w:val="28"/>
          <w:szCs w:val="28"/>
        </w:rPr>
        <w:t>污染物排放及达标情况</w:t>
      </w:r>
      <w:bookmarkEnd w:id="453"/>
      <w:bookmarkEnd w:id="454"/>
      <w:bookmarkEnd w:id="455"/>
      <w:bookmarkEnd w:id="456"/>
      <w:bookmarkEnd w:id="457"/>
    </w:p>
    <w:p>
      <w:pPr>
        <w:widowControl/>
        <w:spacing w:line="480" w:lineRule="exact"/>
        <w:outlineLvl w:val="3"/>
        <w:rPr>
          <w:rFonts w:ascii="Times New Roman" w:hAnsi="Times New Roman" w:eastAsia="黑体"/>
          <w:sz w:val="24"/>
        </w:rPr>
      </w:pPr>
      <w:r>
        <w:rPr>
          <w:rFonts w:ascii="Times New Roman" w:hAnsi="Times New Roman" w:eastAsia="黑体"/>
          <w:sz w:val="24"/>
        </w:rPr>
        <w:t>3.1.8.1.废水</w:t>
      </w:r>
    </w:p>
    <w:p>
      <w:pPr>
        <w:tabs>
          <w:tab w:val="left" w:pos="6480"/>
        </w:tabs>
        <w:spacing w:line="480" w:lineRule="exact"/>
        <w:ind w:firstLine="480" w:firstLineChars="200"/>
        <w:rPr>
          <w:rFonts w:ascii="Times New Roman" w:hAnsi="Times New Roman"/>
          <w:sz w:val="24"/>
          <w:szCs w:val="24"/>
        </w:rPr>
      </w:pPr>
      <w:r>
        <w:rPr>
          <w:rFonts w:ascii="Times New Roman" w:hAnsi="Times New Roman"/>
          <w:sz w:val="24"/>
          <w:szCs w:val="24"/>
        </w:rPr>
        <w:t xml:space="preserve">现有工程用水主要由厂区内水井提供，主要用途为生产用水，员工生活用水来自灌装水。现有工程生产废水经厂区污水处理站处理后排入厂区防渗沉淀池回用，不外排； </w:t>
      </w:r>
    </w:p>
    <w:p>
      <w:pPr>
        <w:pStyle w:val="155"/>
        <w:ind w:firstLine="480"/>
      </w:pPr>
      <w:r>
        <w:t>现有工程水平衡情况见表3.1-4、图3.1-3所示。</w:t>
      </w:r>
    </w:p>
    <w:p>
      <w:pPr>
        <w:spacing w:line="480" w:lineRule="exact"/>
        <w:jc w:val="center"/>
        <w:rPr>
          <w:rFonts w:ascii="Times New Roman" w:hAnsi="Times New Roman"/>
          <w:b/>
        </w:rPr>
      </w:pPr>
      <w:r>
        <w:rPr>
          <w:rFonts w:ascii="Times New Roman" w:hAnsi="Times New Roman"/>
          <w:b/>
        </w:rPr>
        <w:t>表3.1-4 现有工程水平衡情况一览表（t/d）</w:t>
      </w:r>
    </w:p>
    <w:tbl>
      <w:tblPr>
        <w:tblStyle w:val="7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522"/>
        <w:gridCol w:w="1664"/>
        <w:gridCol w:w="2698"/>
        <w:gridCol w:w="164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080" w:type="dxa"/>
            <w:gridSpan w:val="2"/>
            <w:vAlign w:val="center"/>
          </w:tcPr>
          <w:p>
            <w:pPr>
              <w:jc w:val="center"/>
              <w:rPr>
                <w:rFonts w:ascii="Times New Roman" w:hAnsi="Times New Roman"/>
                <w:b/>
                <w:szCs w:val="20"/>
              </w:rPr>
            </w:pPr>
            <w:r>
              <w:rPr>
                <w:rFonts w:ascii="Times New Roman" w:hAnsi="Times New Roman"/>
                <w:b/>
                <w:szCs w:val="20"/>
              </w:rPr>
              <w:t>投入（t/d）</w:t>
            </w:r>
          </w:p>
        </w:tc>
        <w:tc>
          <w:tcPr>
            <w:tcW w:w="4233" w:type="dxa"/>
            <w:gridSpan w:val="2"/>
            <w:vAlign w:val="center"/>
          </w:tcPr>
          <w:p>
            <w:pPr>
              <w:jc w:val="center"/>
              <w:rPr>
                <w:rFonts w:ascii="Times New Roman" w:hAnsi="Times New Roman"/>
                <w:b/>
                <w:szCs w:val="20"/>
              </w:rPr>
            </w:pPr>
            <w:r>
              <w:rPr>
                <w:rFonts w:ascii="Times New Roman" w:hAnsi="Times New Roman"/>
                <w:b/>
                <w:szCs w:val="20"/>
              </w:rPr>
              <w:t>产出（t/d）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458" w:type="dxa"/>
            <w:vAlign w:val="center"/>
          </w:tcPr>
          <w:p>
            <w:pPr>
              <w:jc w:val="center"/>
              <w:rPr>
                <w:rFonts w:ascii="Times New Roman" w:hAnsi="Times New Roman"/>
                <w:b/>
                <w:szCs w:val="20"/>
              </w:rPr>
            </w:pPr>
            <w:r>
              <w:rPr>
                <w:rFonts w:ascii="Times New Roman" w:hAnsi="Times New Roman"/>
                <w:b/>
                <w:szCs w:val="20"/>
              </w:rPr>
              <w:t>名称</w:t>
            </w:r>
          </w:p>
        </w:tc>
        <w:tc>
          <w:tcPr>
            <w:tcW w:w="1622" w:type="dxa"/>
            <w:vAlign w:val="center"/>
          </w:tcPr>
          <w:p>
            <w:pPr>
              <w:jc w:val="center"/>
              <w:rPr>
                <w:rFonts w:ascii="Times New Roman" w:hAnsi="Times New Roman"/>
                <w:b/>
                <w:szCs w:val="20"/>
              </w:rPr>
            </w:pPr>
            <w:r>
              <w:rPr>
                <w:rFonts w:ascii="Times New Roman" w:hAnsi="Times New Roman"/>
                <w:b/>
                <w:szCs w:val="20"/>
              </w:rPr>
              <w:t>现有工程</w:t>
            </w:r>
          </w:p>
        </w:tc>
        <w:tc>
          <w:tcPr>
            <w:tcW w:w="2630" w:type="dxa"/>
            <w:vAlign w:val="center"/>
          </w:tcPr>
          <w:p>
            <w:pPr>
              <w:jc w:val="center"/>
              <w:rPr>
                <w:rFonts w:ascii="Times New Roman" w:hAnsi="Times New Roman"/>
                <w:b/>
                <w:szCs w:val="20"/>
              </w:rPr>
            </w:pPr>
            <w:r>
              <w:rPr>
                <w:rFonts w:ascii="Times New Roman" w:hAnsi="Times New Roman"/>
                <w:b/>
                <w:szCs w:val="20"/>
              </w:rPr>
              <w:t>名称</w:t>
            </w:r>
          </w:p>
        </w:tc>
        <w:tc>
          <w:tcPr>
            <w:tcW w:w="1603" w:type="dxa"/>
            <w:vAlign w:val="center"/>
          </w:tcPr>
          <w:p>
            <w:pPr>
              <w:jc w:val="center"/>
              <w:rPr>
                <w:rFonts w:ascii="Times New Roman" w:hAnsi="Times New Roman"/>
                <w:b/>
                <w:szCs w:val="20"/>
              </w:rPr>
            </w:pPr>
            <w:r>
              <w:rPr>
                <w:rFonts w:ascii="Times New Roman" w:hAnsi="Times New Roman"/>
                <w:b/>
                <w:szCs w:val="20"/>
              </w:rPr>
              <w:t>现有工程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458" w:type="dxa"/>
            <w:vAlign w:val="center"/>
          </w:tcPr>
          <w:p>
            <w:pPr>
              <w:jc w:val="center"/>
              <w:rPr>
                <w:rFonts w:ascii="Times New Roman" w:hAnsi="Times New Roman"/>
                <w:bCs/>
                <w:szCs w:val="20"/>
              </w:rPr>
            </w:pPr>
            <w:r>
              <w:rPr>
                <w:rFonts w:ascii="Times New Roman" w:hAnsi="Times New Roman"/>
                <w:bCs/>
                <w:szCs w:val="20"/>
              </w:rPr>
              <w:t>生活用水</w:t>
            </w:r>
          </w:p>
        </w:tc>
        <w:tc>
          <w:tcPr>
            <w:tcW w:w="1622" w:type="dxa"/>
            <w:vAlign w:val="center"/>
          </w:tcPr>
          <w:p>
            <w:pPr>
              <w:jc w:val="center"/>
              <w:rPr>
                <w:rFonts w:ascii="Times New Roman" w:hAnsi="Times New Roman"/>
                <w:bCs/>
                <w:szCs w:val="20"/>
              </w:rPr>
            </w:pPr>
            <w:r>
              <w:rPr>
                <w:rFonts w:ascii="Times New Roman" w:hAnsi="Times New Roman"/>
                <w:bCs/>
                <w:szCs w:val="20"/>
              </w:rPr>
              <w:t>2.4</w:t>
            </w:r>
          </w:p>
        </w:tc>
        <w:tc>
          <w:tcPr>
            <w:tcW w:w="2630" w:type="dxa"/>
            <w:vAlign w:val="center"/>
          </w:tcPr>
          <w:p>
            <w:pPr>
              <w:jc w:val="center"/>
              <w:rPr>
                <w:rFonts w:ascii="Times New Roman" w:hAnsi="Times New Roman"/>
                <w:bCs/>
                <w:szCs w:val="20"/>
              </w:rPr>
            </w:pPr>
            <w:r>
              <w:rPr>
                <w:rFonts w:ascii="Times New Roman" w:hAnsi="Times New Roman"/>
                <w:bCs/>
                <w:szCs w:val="20"/>
              </w:rPr>
              <w:t>生活用水</w:t>
            </w:r>
          </w:p>
        </w:tc>
        <w:tc>
          <w:tcPr>
            <w:tcW w:w="1603" w:type="dxa"/>
            <w:vAlign w:val="center"/>
          </w:tcPr>
          <w:p>
            <w:pPr>
              <w:jc w:val="center"/>
              <w:rPr>
                <w:rFonts w:ascii="Times New Roman" w:hAnsi="Times New Roman"/>
                <w:bCs/>
                <w:szCs w:val="20"/>
              </w:rPr>
            </w:pPr>
            <w:r>
              <w:rPr>
                <w:rFonts w:ascii="Times New Roman" w:hAnsi="Times New Roman"/>
                <w:bCs/>
                <w:szCs w:val="20"/>
              </w:rPr>
              <w:t>1.92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458" w:type="dxa"/>
            <w:vAlign w:val="center"/>
          </w:tcPr>
          <w:p>
            <w:pPr>
              <w:jc w:val="center"/>
              <w:rPr>
                <w:rFonts w:ascii="Times New Roman" w:hAnsi="Times New Roman"/>
                <w:bCs/>
                <w:szCs w:val="20"/>
              </w:rPr>
            </w:pPr>
            <w:r>
              <w:rPr>
                <w:rFonts w:ascii="Times New Roman" w:hAnsi="Times New Roman"/>
                <w:bCs/>
                <w:szCs w:val="20"/>
              </w:rPr>
              <w:t>车辆消毒、清洗</w:t>
            </w:r>
          </w:p>
        </w:tc>
        <w:tc>
          <w:tcPr>
            <w:tcW w:w="1622" w:type="dxa"/>
            <w:vAlign w:val="center"/>
          </w:tcPr>
          <w:p>
            <w:pPr>
              <w:jc w:val="center"/>
              <w:rPr>
                <w:rFonts w:ascii="Times New Roman" w:hAnsi="Times New Roman"/>
                <w:bCs/>
                <w:szCs w:val="20"/>
              </w:rPr>
            </w:pPr>
            <w:r>
              <w:rPr>
                <w:rFonts w:ascii="Times New Roman" w:hAnsi="Times New Roman"/>
                <w:bCs/>
                <w:szCs w:val="20"/>
              </w:rPr>
              <w:t>2</w:t>
            </w:r>
          </w:p>
        </w:tc>
        <w:tc>
          <w:tcPr>
            <w:tcW w:w="2630" w:type="dxa"/>
            <w:vAlign w:val="center"/>
          </w:tcPr>
          <w:p>
            <w:pPr>
              <w:jc w:val="center"/>
              <w:rPr>
                <w:rFonts w:ascii="Times New Roman" w:hAnsi="Times New Roman"/>
                <w:bCs/>
                <w:szCs w:val="20"/>
              </w:rPr>
            </w:pPr>
            <w:r>
              <w:rPr>
                <w:rFonts w:ascii="Times New Roman" w:hAnsi="Times New Roman"/>
                <w:bCs/>
                <w:szCs w:val="20"/>
              </w:rPr>
              <w:t>车辆消毒、清洗</w:t>
            </w:r>
          </w:p>
        </w:tc>
        <w:tc>
          <w:tcPr>
            <w:tcW w:w="1603" w:type="dxa"/>
            <w:vAlign w:val="center"/>
          </w:tcPr>
          <w:p>
            <w:pPr>
              <w:jc w:val="center"/>
              <w:rPr>
                <w:rFonts w:ascii="Times New Roman" w:hAnsi="Times New Roman"/>
                <w:bCs/>
                <w:szCs w:val="20"/>
              </w:rPr>
            </w:pPr>
            <w:r>
              <w:rPr>
                <w:rFonts w:ascii="Times New Roman" w:hAnsi="Times New Roman"/>
                <w:bCs/>
                <w:szCs w:val="20"/>
              </w:rPr>
              <w:t>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458" w:type="dxa"/>
            <w:vAlign w:val="center"/>
          </w:tcPr>
          <w:p>
            <w:pPr>
              <w:jc w:val="center"/>
              <w:rPr>
                <w:rFonts w:ascii="Times New Roman" w:hAnsi="Times New Roman"/>
                <w:bCs/>
                <w:szCs w:val="20"/>
              </w:rPr>
            </w:pPr>
            <w:r>
              <w:rPr>
                <w:rFonts w:ascii="Times New Roman" w:hAnsi="Times New Roman"/>
                <w:bCs/>
                <w:szCs w:val="20"/>
              </w:rPr>
              <w:t>盛装容器、车间地面冲洗</w:t>
            </w:r>
          </w:p>
        </w:tc>
        <w:tc>
          <w:tcPr>
            <w:tcW w:w="1622" w:type="dxa"/>
            <w:vAlign w:val="center"/>
          </w:tcPr>
          <w:p>
            <w:pPr>
              <w:jc w:val="center"/>
              <w:rPr>
                <w:rFonts w:ascii="Times New Roman" w:hAnsi="Times New Roman"/>
                <w:bCs/>
                <w:szCs w:val="20"/>
              </w:rPr>
            </w:pPr>
            <w:r>
              <w:rPr>
                <w:rFonts w:ascii="Times New Roman" w:hAnsi="Times New Roman"/>
                <w:bCs/>
                <w:szCs w:val="20"/>
              </w:rPr>
              <w:t>1</w:t>
            </w:r>
          </w:p>
        </w:tc>
        <w:tc>
          <w:tcPr>
            <w:tcW w:w="2630" w:type="dxa"/>
            <w:vAlign w:val="center"/>
          </w:tcPr>
          <w:p>
            <w:pPr>
              <w:jc w:val="center"/>
              <w:rPr>
                <w:rFonts w:ascii="Times New Roman" w:hAnsi="Times New Roman"/>
                <w:bCs/>
                <w:szCs w:val="20"/>
              </w:rPr>
            </w:pPr>
            <w:r>
              <w:rPr>
                <w:rFonts w:ascii="Times New Roman" w:hAnsi="Times New Roman"/>
                <w:bCs/>
                <w:szCs w:val="20"/>
              </w:rPr>
              <w:t>盛装容器、车间地面冲洗</w:t>
            </w:r>
          </w:p>
        </w:tc>
        <w:tc>
          <w:tcPr>
            <w:tcW w:w="1603" w:type="dxa"/>
            <w:vAlign w:val="center"/>
          </w:tcPr>
          <w:p>
            <w:pPr>
              <w:jc w:val="center"/>
              <w:rPr>
                <w:rFonts w:ascii="Times New Roman" w:hAnsi="Times New Roman"/>
                <w:bCs/>
                <w:szCs w:val="20"/>
              </w:rPr>
            </w:pPr>
            <w:r>
              <w:rPr>
                <w:rFonts w:ascii="Times New Roman" w:hAnsi="Times New Roman"/>
                <w:bCs/>
                <w:szCs w:val="20"/>
              </w:rPr>
              <w:t>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2458" w:type="dxa"/>
            <w:vAlign w:val="center"/>
          </w:tcPr>
          <w:p>
            <w:pPr>
              <w:jc w:val="center"/>
              <w:rPr>
                <w:rFonts w:ascii="Times New Roman" w:hAnsi="Times New Roman"/>
                <w:bCs/>
                <w:szCs w:val="20"/>
              </w:rPr>
            </w:pPr>
            <w:r>
              <w:rPr>
                <w:rFonts w:ascii="Times New Roman" w:hAnsi="Times New Roman"/>
                <w:bCs/>
                <w:szCs w:val="20"/>
              </w:rPr>
              <w:t>蒸汽发生器用水</w:t>
            </w:r>
          </w:p>
        </w:tc>
        <w:tc>
          <w:tcPr>
            <w:tcW w:w="1622" w:type="dxa"/>
            <w:vAlign w:val="center"/>
          </w:tcPr>
          <w:p>
            <w:pPr>
              <w:jc w:val="center"/>
              <w:rPr>
                <w:rFonts w:ascii="Times New Roman" w:hAnsi="Times New Roman"/>
                <w:bCs/>
                <w:szCs w:val="20"/>
              </w:rPr>
            </w:pPr>
            <w:r>
              <w:rPr>
                <w:rFonts w:ascii="Times New Roman" w:hAnsi="Times New Roman"/>
                <w:bCs/>
                <w:szCs w:val="20"/>
              </w:rPr>
              <w:t>0.5</w:t>
            </w:r>
          </w:p>
        </w:tc>
        <w:tc>
          <w:tcPr>
            <w:tcW w:w="2630" w:type="dxa"/>
            <w:vAlign w:val="center"/>
          </w:tcPr>
          <w:p>
            <w:pPr>
              <w:jc w:val="center"/>
              <w:rPr>
                <w:rFonts w:ascii="Times New Roman" w:hAnsi="Times New Roman"/>
                <w:bCs/>
                <w:szCs w:val="20"/>
              </w:rPr>
            </w:pPr>
            <w:r>
              <w:rPr>
                <w:rFonts w:ascii="Times New Roman" w:hAnsi="Times New Roman"/>
                <w:bCs/>
                <w:szCs w:val="20"/>
              </w:rPr>
              <w:t>蒸汽发生器用水</w:t>
            </w:r>
          </w:p>
        </w:tc>
        <w:tc>
          <w:tcPr>
            <w:tcW w:w="1603" w:type="dxa"/>
            <w:vAlign w:val="center"/>
          </w:tcPr>
          <w:p>
            <w:pPr>
              <w:jc w:val="center"/>
              <w:rPr>
                <w:rFonts w:ascii="Times New Roman" w:hAnsi="Times New Roman"/>
                <w:bCs/>
                <w:szCs w:val="20"/>
              </w:rPr>
            </w:pPr>
            <w:r>
              <w:rPr>
                <w:rFonts w:ascii="Times New Roman" w:hAnsi="Times New Roman"/>
                <w:bCs/>
                <w:szCs w:val="20"/>
              </w:rPr>
              <w:t>0.28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2458" w:type="dxa"/>
            <w:vAlign w:val="center"/>
          </w:tcPr>
          <w:p>
            <w:pPr>
              <w:jc w:val="center"/>
              <w:rPr>
                <w:rFonts w:ascii="Times New Roman" w:hAnsi="Times New Roman"/>
                <w:bCs/>
                <w:szCs w:val="20"/>
              </w:rPr>
            </w:pPr>
            <w:r>
              <w:rPr>
                <w:rFonts w:ascii="Times New Roman" w:hAnsi="Times New Roman"/>
                <w:bCs/>
                <w:szCs w:val="20"/>
              </w:rPr>
              <w:t>处理器降温用水</w:t>
            </w:r>
          </w:p>
        </w:tc>
        <w:tc>
          <w:tcPr>
            <w:tcW w:w="1622" w:type="dxa"/>
            <w:vAlign w:val="center"/>
          </w:tcPr>
          <w:p>
            <w:pPr>
              <w:jc w:val="center"/>
              <w:rPr>
                <w:rFonts w:ascii="Times New Roman" w:hAnsi="Times New Roman"/>
                <w:bCs/>
                <w:szCs w:val="20"/>
              </w:rPr>
            </w:pPr>
            <w:r>
              <w:rPr>
                <w:rFonts w:ascii="Times New Roman" w:hAnsi="Times New Roman"/>
                <w:bCs/>
                <w:szCs w:val="20"/>
              </w:rPr>
              <w:t>0.3</w:t>
            </w:r>
          </w:p>
        </w:tc>
        <w:tc>
          <w:tcPr>
            <w:tcW w:w="2630" w:type="dxa"/>
            <w:vAlign w:val="center"/>
          </w:tcPr>
          <w:p>
            <w:pPr>
              <w:jc w:val="center"/>
              <w:rPr>
                <w:rFonts w:ascii="Times New Roman" w:hAnsi="Times New Roman"/>
                <w:bCs/>
                <w:szCs w:val="20"/>
              </w:rPr>
            </w:pPr>
            <w:r>
              <w:rPr>
                <w:rFonts w:ascii="Times New Roman" w:hAnsi="Times New Roman"/>
                <w:bCs/>
                <w:szCs w:val="20"/>
              </w:rPr>
              <w:t>处理器降温用水</w:t>
            </w:r>
          </w:p>
        </w:tc>
        <w:tc>
          <w:tcPr>
            <w:tcW w:w="1603" w:type="dxa"/>
            <w:vAlign w:val="center"/>
          </w:tcPr>
          <w:p>
            <w:pPr>
              <w:jc w:val="center"/>
              <w:rPr>
                <w:rFonts w:ascii="Times New Roman" w:hAnsi="Times New Roman"/>
                <w:bCs/>
                <w:szCs w:val="20"/>
              </w:rPr>
            </w:pPr>
            <w:r>
              <w:rPr>
                <w:rFonts w:ascii="Times New Roman" w:hAnsi="Times New Roman"/>
                <w:bCs/>
                <w:szCs w:val="20"/>
              </w:rPr>
              <w:t>0.12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2458" w:type="dxa"/>
            <w:vAlign w:val="center"/>
          </w:tcPr>
          <w:p>
            <w:pPr>
              <w:jc w:val="center"/>
              <w:rPr>
                <w:rFonts w:ascii="Times New Roman" w:hAnsi="Times New Roman"/>
                <w:bCs/>
                <w:szCs w:val="20"/>
              </w:rPr>
            </w:pPr>
            <w:r>
              <w:rPr>
                <w:rFonts w:ascii="Times New Roman" w:hAnsi="Times New Roman"/>
                <w:bCs/>
                <w:szCs w:val="20"/>
              </w:rPr>
              <w:t>绿化用水</w:t>
            </w:r>
          </w:p>
        </w:tc>
        <w:tc>
          <w:tcPr>
            <w:tcW w:w="1622" w:type="dxa"/>
            <w:vAlign w:val="center"/>
          </w:tcPr>
          <w:p>
            <w:pPr>
              <w:jc w:val="center"/>
              <w:rPr>
                <w:rFonts w:ascii="Times New Roman" w:hAnsi="Times New Roman"/>
                <w:bCs/>
                <w:szCs w:val="20"/>
              </w:rPr>
            </w:pPr>
            <w:r>
              <w:rPr>
                <w:rFonts w:ascii="Times New Roman" w:hAnsi="Times New Roman"/>
                <w:bCs/>
                <w:szCs w:val="20"/>
              </w:rPr>
              <w:t>0.2</w:t>
            </w:r>
          </w:p>
        </w:tc>
        <w:tc>
          <w:tcPr>
            <w:tcW w:w="2630" w:type="dxa"/>
            <w:vAlign w:val="center"/>
          </w:tcPr>
          <w:p>
            <w:pPr>
              <w:jc w:val="center"/>
              <w:rPr>
                <w:rFonts w:ascii="Times New Roman" w:hAnsi="Times New Roman"/>
                <w:bCs/>
                <w:szCs w:val="20"/>
              </w:rPr>
            </w:pPr>
            <w:r>
              <w:rPr>
                <w:rFonts w:ascii="Times New Roman" w:hAnsi="Times New Roman"/>
                <w:bCs/>
                <w:szCs w:val="20"/>
              </w:rPr>
              <w:t>绿化用水</w:t>
            </w:r>
          </w:p>
        </w:tc>
        <w:tc>
          <w:tcPr>
            <w:tcW w:w="1603" w:type="dxa"/>
            <w:vAlign w:val="center"/>
          </w:tcPr>
          <w:p>
            <w:pPr>
              <w:jc w:val="center"/>
              <w:rPr>
                <w:rFonts w:ascii="Times New Roman" w:hAnsi="Times New Roman"/>
                <w:bCs/>
                <w:szCs w:val="20"/>
              </w:rPr>
            </w:pPr>
            <w:r>
              <w:rPr>
                <w:rFonts w:ascii="Times New Roman" w:hAnsi="Times New Roman"/>
                <w:bCs/>
                <w:szCs w:val="20"/>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2458" w:type="dxa"/>
            <w:vAlign w:val="center"/>
          </w:tcPr>
          <w:p>
            <w:pPr>
              <w:jc w:val="center"/>
              <w:rPr>
                <w:rFonts w:ascii="Times New Roman" w:hAnsi="Times New Roman"/>
                <w:bCs/>
                <w:szCs w:val="20"/>
              </w:rPr>
            </w:pPr>
            <w:r>
              <w:rPr>
                <w:rFonts w:ascii="Times New Roman" w:hAnsi="Times New Roman"/>
                <w:bCs/>
                <w:szCs w:val="20"/>
              </w:rPr>
              <w:t>不可预见水量</w:t>
            </w:r>
          </w:p>
        </w:tc>
        <w:tc>
          <w:tcPr>
            <w:tcW w:w="1622" w:type="dxa"/>
            <w:vAlign w:val="center"/>
          </w:tcPr>
          <w:p>
            <w:pPr>
              <w:jc w:val="center"/>
              <w:rPr>
                <w:rFonts w:ascii="Times New Roman" w:hAnsi="Times New Roman"/>
                <w:bCs/>
                <w:szCs w:val="20"/>
              </w:rPr>
            </w:pPr>
            <w:r>
              <w:rPr>
                <w:rFonts w:ascii="Times New Roman" w:hAnsi="Times New Roman"/>
                <w:bCs/>
                <w:szCs w:val="20"/>
              </w:rPr>
              <w:t>1</w:t>
            </w:r>
          </w:p>
        </w:tc>
        <w:tc>
          <w:tcPr>
            <w:tcW w:w="2630" w:type="dxa"/>
            <w:vAlign w:val="center"/>
          </w:tcPr>
          <w:p>
            <w:pPr>
              <w:jc w:val="center"/>
              <w:rPr>
                <w:rFonts w:ascii="Times New Roman" w:hAnsi="Times New Roman"/>
                <w:bCs/>
                <w:szCs w:val="20"/>
              </w:rPr>
            </w:pPr>
            <w:r>
              <w:rPr>
                <w:rFonts w:ascii="Times New Roman" w:hAnsi="Times New Roman"/>
                <w:bCs/>
                <w:szCs w:val="20"/>
              </w:rPr>
              <w:t>不可预见水量</w:t>
            </w:r>
          </w:p>
        </w:tc>
        <w:tc>
          <w:tcPr>
            <w:tcW w:w="1603" w:type="dxa"/>
            <w:vAlign w:val="center"/>
          </w:tcPr>
          <w:p>
            <w:pPr>
              <w:jc w:val="center"/>
              <w:rPr>
                <w:rFonts w:ascii="Times New Roman" w:hAnsi="Times New Roman"/>
                <w:bCs/>
                <w:szCs w:val="20"/>
              </w:rPr>
            </w:pPr>
            <w:r>
              <w:rPr>
                <w:rFonts w:ascii="Times New Roman" w:hAnsi="Times New Roman"/>
                <w:bCs/>
                <w:szCs w:val="20"/>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458" w:type="dxa"/>
            <w:vAlign w:val="center"/>
          </w:tcPr>
          <w:p>
            <w:pPr>
              <w:jc w:val="center"/>
              <w:rPr>
                <w:rFonts w:ascii="Times New Roman" w:hAnsi="Times New Roman"/>
                <w:bCs/>
                <w:szCs w:val="20"/>
              </w:rPr>
            </w:pPr>
            <w:r>
              <w:rPr>
                <w:rFonts w:ascii="Times New Roman" w:hAnsi="Times New Roman"/>
                <w:bCs/>
                <w:szCs w:val="20"/>
              </w:rPr>
              <w:t>合计</w:t>
            </w:r>
          </w:p>
        </w:tc>
        <w:tc>
          <w:tcPr>
            <w:tcW w:w="1622" w:type="dxa"/>
            <w:vAlign w:val="center"/>
          </w:tcPr>
          <w:p>
            <w:pPr>
              <w:jc w:val="center"/>
              <w:rPr>
                <w:rFonts w:ascii="Times New Roman" w:hAnsi="Times New Roman"/>
                <w:bCs/>
                <w:szCs w:val="20"/>
              </w:rPr>
            </w:pPr>
            <w:r>
              <w:rPr>
                <w:rFonts w:ascii="Times New Roman" w:hAnsi="Times New Roman"/>
                <w:bCs/>
                <w:szCs w:val="20"/>
              </w:rPr>
              <w:t>5.8</w:t>
            </w:r>
          </w:p>
        </w:tc>
        <w:tc>
          <w:tcPr>
            <w:tcW w:w="2630" w:type="dxa"/>
            <w:vAlign w:val="center"/>
          </w:tcPr>
          <w:p>
            <w:pPr>
              <w:jc w:val="center"/>
              <w:rPr>
                <w:rFonts w:ascii="Times New Roman" w:hAnsi="Times New Roman"/>
                <w:bCs/>
                <w:szCs w:val="20"/>
              </w:rPr>
            </w:pPr>
            <w:r>
              <w:rPr>
                <w:rFonts w:ascii="Times New Roman" w:hAnsi="Times New Roman"/>
                <w:bCs/>
                <w:szCs w:val="20"/>
              </w:rPr>
              <w:t>合计</w:t>
            </w:r>
          </w:p>
        </w:tc>
        <w:tc>
          <w:tcPr>
            <w:tcW w:w="1603" w:type="dxa"/>
            <w:vAlign w:val="center"/>
          </w:tcPr>
          <w:p>
            <w:pPr>
              <w:jc w:val="center"/>
              <w:rPr>
                <w:rFonts w:ascii="Times New Roman" w:hAnsi="Times New Roman"/>
                <w:bCs/>
                <w:szCs w:val="20"/>
              </w:rPr>
            </w:pPr>
            <w:r>
              <w:rPr>
                <w:rFonts w:ascii="Times New Roman" w:hAnsi="Times New Roman"/>
                <w:bCs/>
                <w:szCs w:val="20"/>
              </w:rPr>
              <w:t>4.73</w:t>
            </w:r>
          </w:p>
        </w:tc>
      </w:tr>
    </w:tbl>
    <w:p>
      <w:pPr>
        <w:widowControl/>
        <w:jc w:val="center"/>
        <w:rPr>
          <w:rFonts w:cs="宋体"/>
          <w:sz w:val="24"/>
          <w:szCs w:val="24"/>
        </w:rPr>
      </w:pPr>
      <w:r>
        <w:rPr>
          <w:rFonts w:cs="宋体"/>
          <w:sz w:val="24"/>
          <w:szCs w:val="24"/>
        </w:rPr>
        <w:drawing>
          <wp:inline distT="0" distB="0" distL="0" distR="0">
            <wp:extent cx="5005705" cy="4025900"/>
            <wp:effectExtent l="0" t="0" r="4445"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5023296" cy="4040150"/>
                    </a:xfrm>
                    <a:prstGeom prst="rect">
                      <a:avLst/>
                    </a:prstGeom>
                    <a:noFill/>
                    <a:ln>
                      <a:noFill/>
                    </a:ln>
                  </pic:spPr>
                </pic:pic>
              </a:graphicData>
            </a:graphic>
          </wp:inline>
        </w:drawing>
      </w:r>
    </w:p>
    <w:p>
      <w:pPr>
        <w:pStyle w:val="65"/>
        <w:ind w:left="0"/>
      </w:pPr>
    </w:p>
    <w:p>
      <w:pPr>
        <w:spacing w:line="480" w:lineRule="exact"/>
        <w:jc w:val="center"/>
        <w:rPr>
          <w:rFonts w:ascii="Times New Roman" w:hAnsi="Times New Roman"/>
          <w:b/>
        </w:rPr>
      </w:pPr>
      <w:r>
        <w:rPr>
          <w:rFonts w:ascii="Times New Roman" w:hAnsi="Times New Roman"/>
          <w:b/>
        </w:rPr>
        <w:t>图3.1-3 现有工程水平衡图（单位：</w:t>
      </w:r>
      <w:r>
        <w:rPr>
          <w:rFonts w:ascii="Times New Roman" w:hAnsi="Times New Roman"/>
          <w:b/>
          <w:szCs w:val="20"/>
        </w:rPr>
        <w:t>t/d</w:t>
      </w:r>
      <w:r>
        <w:rPr>
          <w:rFonts w:ascii="Times New Roman" w:hAnsi="Times New Roman"/>
          <w:b/>
        </w:rPr>
        <w:t>）</w:t>
      </w:r>
    </w:p>
    <w:p>
      <w:pPr>
        <w:spacing w:line="480" w:lineRule="exact"/>
        <w:ind w:firstLine="480" w:firstLineChars="200"/>
        <w:rPr>
          <w:rFonts w:ascii="Times New Roman" w:hAnsi="Times New Roman"/>
          <w:sz w:val="24"/>
          <w:szCs w:val="24"/>
        </w:rPr>
      </w:pPr>
      <w:r>
        <w:rPr>
          <w:rFonts w:ascii="Times New Roman" w:hAnsi="Times New Roman"/>
          <w:sz w:val="24"/>
          <w:szCs w:val="24"/>
        </w:rPr>
        <w:t>根据《双鸭山市医疗废物集中处置中心项目检测报告 废水》（2022年4月28日，佳木斯世纪阳光环境检测有限公司），现有工程</w:t>
      </w:r>
      <w:r>
        <w:rPr>
          <w:rFonts w:hint="eastAsia" w:ascii="Times New Roman" w:hAnsi="Times New Roman"/>
          <w:sz w:val="24"/>
          <w:szCs w:val="24"/>
        </w:rPr>
        <w:t>生活污水</w:t>
      </w:r>
      <w:r>
        <w:rPr>
          <w:rFonts w:ascii="Times New Roman" w:hAnsi="Times New Roman"/>
          <w:sz w:val="24"/>
          <w:szCs w:val="24"/>
        </w:rPr>
        <w:t>排放口检测情况见表3.1-5。</w:t>
      </w:r>
    </w:p>
    <w:p>
      <w:pPr>
        <w:spacing w:line="480" w:lineRule="exact"/>
        <w:jc w:val="center"/>
        <w:rPr>
          <w:rFonts w:ascii="Times New Roman" w:hAnsi="Times New Roman"/>
          <w:b/>
        </w:rPr>
      </w:pPr>
      <w:r>
        <w:rPr>
          <w:rFonts w:ascii="Times New Roman" w:hAnsi="Times New Roman"/>
          <w:b/>
        </w:rPr>
        <w:t>表3.1-5 现有工程含油污水检测情况一览表</w:t>
      </w:r>
    </w:p>
    <w:tbl>
      <w:tblPr>
        <w:tblStyle w:val="7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14"/>
        <w:gridCol w:w="1620"/>
        <w:gridCol w:w="2520"/>
        <w:gridCol w:w="277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614" w:type="dxa"/>
            <w:vAlign w:val="center"/>
          </w:tcPr>
          <w:p>
            <w:pPr>
              <w:jc w:val="center"/>
              <w:rPr>
                <w:rFonts w:ascii="Times New Roman" w:hAnsi="Times New Roman"/>
                <w:b/>
                <w:bCs/>
                <w:szCs w:val="20"/>
              </w:rPr>
            </w:pPr>
            <w:r>
              <w:rPr>
                <w:rFonts w:ascii="Times New Roman" w:hAnsi="Times New Roman"/>
                <w:b/>
                <w:bCs/>
                <w:szCs w:val="20"/>
              </w:rPr>
              <w:t>检测点位</w:t>
            </w:r>
          </w:p>
        </w:tc>
        <w:tc>
          <w:tcPr>
            <w:tcW w:w="1620" w:type="dxa"/>
            <w:vAlign w:val="center"/>
          </w:tcPr>
          <w:p>
            <w:pPr>
              <w:jc w:val="center"/>
              <w:rPr>
                <w:rFonts w:ascii="Times New Roman" w:hAnsi="Times New Roman"/>
                <w:b/>
                <w:bCs/>
                <w:szCs w:val="20"/>
              </w:rPr>
            </w:pPr>
            <w:r>
              <w:rPr>
                <w:rFonts w:ascii="Times New Roman" w:hAnsi="Times New Roman"/>
                <w:b/>
                <w:bCs/>
                <w:szCs w:val="20"/>
              </w:rPr>
              <w:t>检测时间</w:t>
            </w:r>
          </w:p>
        </w:tc>
        <w:tc>
          <w:tcPr>
            <w:tcW w:w="2520" w:type="dxa"/>
            <w:vAlign w:val="center"/>
          </w:tcPr>
          <w:p>
            <w:pPr>
              <w:jc w:val="center"/>
              <w:rPr>
                <w:rFonts w:ascii="Times New Roman" w:hAnsi="Times New Roman"/>
                <w:b/>
                <w:bCs/>
                <w:szCs w:val="20"/>
              </w:rPr>
            </w:pPr>
            <w:r>
              <w:rPr>
                <w:rFonts w:ascii="Times New Roman" w:hAnsi="Times New Roman"/>
                <w:b/>
                <w:bCs/>
                <w:szCs w:val="20"/>
              </w:rPr>
              <w:t>检测项目</w:t>
            </w:r>
          </w:p>
        </w:tc>
        <w:tc>
          <w:tcPr>
            <w:tcW w:w="2775" w:type="dxa"/>
            <w:vAlign w:val="center"/>
          </w:tcPr>
          <w:p>
            <w:pPr>
              <w:jc w:val="center"/>
              <w:rPr>
                <w:rFonts w:ascii="Times New Roman" w:hAnsi="Times New Roman"/>
                <w:b/>
                <w:bCs/>
                <w:szCs w:val="20"/>
              </w:rPr>
            </w:pPr>
            <w:r>
              <w:rPr>
                <w:rFonts w:ascii="Times New Roman" w:hAnsi="Times New Roman"/>
                <w:b/>
                <w:bCs/>
                <w:szCs w:val="20"/>
              </w:rPr>
              <w:t>检测结果</w:t>
            </w:r>
            <w:r>
              <w:rPr>
                <w:rFonts w:ascii="Times New Roman" w:hAnsi="Times New Roman"/>
                <w:b/>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614" w:type="dxa"/>
            <w:vMerge w:val="restart"/>
            <w:vAlign w:val="center"/>
          </w:tcPr>
          <w:p>
            <w:pPr>
              <w:jc w:val="center"/>
              <w:rPr>
                <w:rFonts w:ascii="Times New Roman" w:hAnsi="Times New Roman"/>
                <w:szCs w:val="20"/>
              </w:rPr>
            </w:pPr>
            <w:r>
              <w:rPr>
                <w:rFonts w:hint="eastAsia" w:ascii="Times New Roman" w:hAnsi="Times New Roman"/>
                <w:szCs w:val="20"/>
              </w:rPr>
              <w:t>生活污水</w:t>
            </w:r>
            <w:r>
              <w:rPr>
                <w:rFonts w:ascii="Times New Roman" w:hAnsi="Times New Roman"/>
                <w:szCs w:val="20"/>
              </w:rPr>
              <w:t>排放口</w:t>
            </w:r>
          </w:p>
        </w:tc>
        <w:tc>
          <w:tcPr>
            <w:tcW w:w="1620" w:type="dxa"/>
            <w:vMerge w:val="restart"/>
            <w:vAlign w:val="center"/>
          </w:tcPr>
          <w:p>
            <w:pPr>
              <w:jc w:val="center"/>
              <w:rPr>
                <w:rFonts w:ascii="Times New Roman" w:hAnsi="Times New Roman"/>
                <w:szCs w:val="20"/>
              </w:rPr>
            </w:pPr>
            <w:r>
              <w:rPr>
                <w:rFonts w:ascii="Times New Roman" w:hAnsi="Times New Roman"/>
                <w:szCs w:val="20"/>
              </w:rPr>
              <w:t>2022.04.19</w:t>
            </w:r>
          </w:p>
        </w:tc>
        <w:tc>
          <w:tcPr>
            <w:tcW w:w="2520" w:type="dxa"/>
            <w:vAlign w:val="center"/>
          </w:tcPr>
          <w:p>
            <w:pPr>
              <w:jc w:val="center"/>
              <w:rPr>
                <w:rFonts w:ascii="Times New Roman" w:hAnsi="Times New Roman"/>
                <w:szCs w:val="20"/>
              </w:rPr>
            </w:pPr>
            <w:r>
              <w:rPr>
                <w:rFonts w:ascii="Times New Roman" w:hAnsi="Times New Roman"/>
                <w:szCs w:val="20"/>
              </w:rPr>
              <w:t>COD</w:t>
            </w:r>
          </w:p>
        </w:tc>
        <w:tc>
          <w:tcPr>
            <w:tcW w:w="2775" w:type="dxa"/>
            <w:vAlign w:val="center"/>
          </w:tcPr>
          <w:p>
            <w:pPr>
              <w:jc w:val="center"/>
              <w:rPr>
                <w:rFonts w:ascii="Times New Roman" w:hAnsi="Times New Roman"/>
                <w:szCs w:val="20"/>
              </w:rPr>
            </w:pPr>
            <w:r>
              <w:rPr>
                <w:rFonts w:ascii="Times New Roman" w:hAnsi="Times New Roman"/>
                <w:szCs w:val="20"/>
              </w:rPr>
              <w:t>492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614" w:type="dxa"/>
            <w:vMerge w:val="continue"/>
            <w:vAlign w:val="center"/>
          </w:tcPr>
          <w:p>
            <w:pPr>
              <w:jc w:val="center"/>
              <w:rPr>
                <w:rFonts w:ascii="Times New Roman" w:hAnsi="Times New Roman"/>
                <w:szCs w:val="20"/>
              </w:rPr>
            </w:pPr>
          </w:p>
        </w:tc>
        <w:tc>
          <w:tcPr>
            <w:tcW w:w="1620" w:type="dxa"/>
            <w:vMerge w:val="continue"/>
            <w:vAlign w:val="center"/>
          </w:tcPr>
          <w:p>
            <w:pPr>
              <w:jc w:val="center"/>
              <w:rPr>
                <w:rFonts w:ascii="Times New Roman" w:hAnsi="Times New Roman"/>
                <w:szCs w:val="20"/>
              </w:rPr>
            </w:pPr>
          </w:p>
        </w:tc>
        <w:tc>
          <w:tcPr>
            <w:tcW w:w="2520" w:type="dxa"/>
            <w:vAlign w:val="center"/>
          </w:tcPr>
          <w:p>
            <w:pPr>
              <w:jc w:val="center"/>
              <w:rPr>
                <w:rFonts w:ascii="Times New Roman" w:hAnsi="Times New Roman"/>
                <w:szCs w:val="20"/>
              </w:rPr>
            </w:pPr>
            <w:r>
              <w:rPr>
                <w:rFonts w:ascii="Times New Roman" w:hAnsi="Times New Roman"/>
                <w:szCs w:val="20"/>
              </w:rPr>
              <w:t>BOD</w:t>
            </w:r>
            <w:r>
              <w:rPr>
                <w:rFonts w:ascii="Times New Roman" w:hAnsi="Times New Roman"/>
                <w:szCs w:val="20"/>
                <w:vertAlign w:val="subscript"/>
              </w:rPr>
              <w:t>5</w:t>
            </w:r>
          </w:p>
        </w:tc>
        <w:tc>
          <w:tcPr>
            <w:tcW w:w="2775" w:type="dxa"/>
            <w:vAlign w:val="center"/>
          </w:tcPr>
          <w:p>
            <w:pPr>
              <w:jc w:val="center"/>
              <w:rPr>
                <w:rFonts w:ascii="Times New Roman" w:hAnsi="Times New Roman"/>
                <w:szCs w:val="20"/>
              </w:rPr>
            </w:pPr>
            <w:r>
              <w:rPr>
                <w:rFonts w:ascii="Times New Roman" w:hAnsi="Times New Roman"/>
                <w:szCs w:val="20"/>
              </w:rPr>
              <w:t>170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614" w:type="dxa"/>
            <w:vMerge w:val="continue"/>
            <w:vAlign w:val="center"/>
          </w:tcPr>
          <w:p>
            <w:pPr>
              <w:jc w:val="center"/>
              <w:rPr>
                <w:rFonts w:ascii="Times New Roman" w:hAnsi="Times New Roman"/>
                <w:szCs w:val="20"/>
              </w:rPr>
            </w:pPr>
          </w:p>
        </w:tc>
        <w:tc>
          <w:tcPr>
            <w:tcW w:w="1620" w:type="dxa"/>
            <w:vMerge w:val="continue"/>
            <w:vAlign w:val="center"/>
          </w:tcPr>
          <w:p>
            <w:pPr>
              <w:jc w:val="center"/>
              <w:rPr>
                <w:rFonts w:ascii="Times New Roman" w:hAnsi="Times New Roman"/>
                <w:szCs w:val="20"/>
              </w:rPr>
            </w:pPr>
          </w:p>
        </w:tc>
        <w:tc>
          <w:tcPr>
            <w:tcW w:w="2520" w:type="dxa"/>
            <w:vAlign w:val="center"/>
          </w:tcPr>
          <w:p>
            <w:pPr>
              <w:jc w:val="center"/>
              <w:rPr>
                <w:rFonts w:ascii="Times New Roman" w:hAnsi="Times New Roman"/>
                <w:szCs w:val="20"/>
              </w:rPr>
            </w:pPr>
            <w:r>
              <w:rPr>
                <w:rFonts w:ascii="Times New Roman" w:hAnsi="Times New Roman"/>
                <w:szCs w:val="20"/>
              </w:rPr>
              <w:t>SS</w:t>
            </w:r>
          </w:p>
        </w:tc>
        <w:tc>
          <w:tcPr>
            <w:tcW w:w="2775" w:type="dxa"/>
            <w:vAlign w:val="center"/>
          </w:tcPr>
          <w:p>
            <w:pPr>
              <w:jc w:val="center"/>
              <w:rPr>
                <w:rFonts w:ascii="Times New Roman" w:hAnsi="Times New Roman"/>
                <w:szCs w:val="20"/>
              </w:rPr>
            </w:pPr>
            <w:r>
              <w:rPr>
                <w:rFonts w:ascii="Times New Roman" w:hAnsi="Times New Roman"/>
                <w:szCs w:val="20"/>
              </w:rPr>
              <w:t>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614" w:type="dxa"/>
            <w:vMerge w:val="continue"/>
            <w:vAlign w:val="center"/>
          </w:tcPr>
          <w:p>
            <w:pPr>
              <w:jc w:val="center"/>
              <w:rPr>
                <w:rFonts w:ascii="Times New Roman" w:hAnsi="Times New Roman"/>
                <w:szCs w:val="20"/>
              </w:rPr>
            </w:pPr>
          </w:p>
        </w:tc>
        <w:tc>
          <w:tcPr>
            <w:tcW w:w="1620" w:type="dxa"/>
            <w:vMerge w:val="continue"/>
            <w:vAlign w:val="center"/>
          </w:tcPr>
          <w:p>
            <w:pPr>
              <w:jc w:val="center"/>
              <w:rPr>
                <w:rFonts w:ascii="Times New Roman" w:hAnsi="Times New Roman"/>
                <w:szCs w:val="20"/>
              </w:rPr>
            </w:pPr>
          </w:p>
        </w:tc>
        <w:tc>
          <w:tcPr>
            <w:tcW w:w="2520" w:type="dxa"/>
            <w:vAlign w:val="center"/>
          </w:tcPr>
          <w:p>
            <w:pPr>
              <w:jc w:val="center"/>
              <w:rPr>
                <w:rFonts w:ascii="Times New Roman" w:hAnsi="Times New Roman"/>
                <w:szCs w:val="20"/>
              </w:rPr>
            </w:pPr>
            <w:r>
              <w:rPr>
                <w:rFonts w:ascii="Times New Roman" w:hAnsi="Times New Roman"/>
                <w:szCs w:val="20"/>
              </w:rPr>
              <w:t>总磷</w:t>
            </w:r>
          </w:p>
        </w:tc>
        <w:tc>
          <w:tcPr>
            <w:tcW w:w="2775" w:type="dxa"/>
            <w:vAlign w:val="center"/>
          </w:tcPr>
          <w:p>
            <w:pPr>
              <w:jc w:val="center"/>
              <w:rPr>
                <w:rFonts w:ascii="Times New Roman" w:hAnsi="Times New Roman"/>
                <w:szCs w:val="20"/>
              </w:rPr>
            </w:pPr>
            <w:r>
              <w:rPr>
                <w:rFonts w:ascii="Times New Roman" w:hAnsi="Times New Roman"/>
                <w:szCs w:val="20"/>
              </w:rPr>
              <w:t>9.77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614" w:type="dxa"/>
            <w:vMerge w:val="continue"/>
            <w:vAlign w:val="center"/>
          </w:tcPr>
          <w:p>
            <w:pPr>
              <w:jc w:val="center"/>
              <w:rPr>
                <w:rFonts w:ascii="Times New Roman" w:hAnsi="Times New Roman"/>
                <w:szCs w:val="20"/>
              </w:rPr>
            </w:pPr>
          </w:p>
        </w:tc>
        <w:tc>
          <w:tcPr>
            <w:tcW w:w="1620" w:type="dxa"/>
            <w:vMerge w:val="continue"/>
            <w:vAlign w:val="center"/>
          </w:tcPr>
          <w:p>
            <w:pPr>
              <w:jc w:val="center"/>
              <w:rPr>
                <w:rFonts w:ascii="Times New Roman" w:hAnsi="Times New Roman"/>
                <w:szCs w:val="20"/>
              </w:rPr>
            </w:pPr>
          </w:p>
        </w:tc>
        <w:tc>
          <w:tcPr>
            <w:tcW w:w="2520" w:type="dxa"/>
            <w:vAlign w:val="center"/>
          </w:tcPr>
          <w:p>
            <w:pPr>
              <w:jc w:val="center"/>
              <w:rPr>
                <w:rFonts w:ascii="Times New Roman" w:hAnsi="Times New Roman"/>
                <w:szCs w:val="20"/>
              </w:rPr>
            </w:pPr>
            <w:r>
              <w:rPr>
                <w:rFonts w:ascii="Times New Roman" w:hAnsi="Times New Roman"/>
                <w:szCs w:val="20"/>
              </w:rPr>
              <w:t>PH值</w:t>
            </w:r>
          </w:p>
        </w:tc>
        <w:tc>
          <w:tcPr>
            <w:tcW w:w="2775" w:type="dxa"/>
            <w:vAlign w:val="center"/>
          </w:tcPr>
          <w:p>
            <w:pPr>
              <w:jc w:val="center"/>
              <w:rPr>
                <w:rFonts w:ascii="Times New Roman" w:hAnsi="Times New Roman"/>
                <w:szCs w:val="20"/>
              </w:rPr>
            </w:pPr>
            <w:r>
              <w:rPr>
                <w:rFonts w:ascii="Times New Roman" w:hAnsi="Times New Roman"/>
                <w:szCs w:val="20"/>
              </w:rPr>
              <w:t>7.1</w:t>
            </w:r>
          </w:p>
        </w:tc>
      </w:tr>
    </w:tbl>
    <w:p>
      <w:pPr>
        <w:spacing w:line="480" w:lineRule="exact"/>
        <w:ind w:firstLine="480" w:firstLineChars="200"/>
        <w:rPr>
          <w:rFonts w:ascii="Times New Roman" w:hAnsi="Times New Roman"/>
          <w:smallCaps/>
          <w:sz w:val="24"/>
          <w:szCs w:val="24"/>
        </w:rPr>
      </w:pPr>
      <w:r>
        <w:rPr>
          <w:rFonts w:ascii="Times New Roman" w:hAnsi="Times New Roman"/>
          <w:smallCaps/>
          <w:sz w:val="24"/>
          <w:szCs w:val="24"/>
        </w:rPr>
        <w:t>由表3.1-5可知，现有工程废水排放口各监测因子</w:t>
      </w:r>
      <w:r>
        <w:rPr>
          <w:rFonts w:ascii="Times New Roman" w:hAnsi="Times New Roman"/>
          <w:sz w:val="24"/>
          <w:szCs w:val="24"/>
        </w:rPr>
        <w:t>满足</w:t>
      </w:r>
      <w:r>
        <w:rPr>
          <w:rFonts w:ascii="Times New Roman" w:hAnsi="Times New Roman"/>
          <w:smallCaps/>
          <w:sz w:val="24"/>
          <w:szCs w:val="24"/>
        </w:rPr>
        <w:t>《污水综合排放标准》（GB8978-1996）</w:t>
      </w:r>
      <w:r>
        <w:rPr>
          <w:rFonts w:hint="eastAsia" w:ascii="Times New Roman" w:hAnsi="Times New Roman"/>
          <w:smallCaps/>
          <w:sz w:val="24"/>
          <w:szCs w:val="24"/>
        </w:rPr>
        <w:t>三级</w:t>
      </w:r>
      <w:r>
        <w:rPr>
          <w:rFonts w:ascii="Times New Roman" w:hAnsi="Times New Roman"/>
          <w:smallCaps/>
          <w:sz w:val="24"/>
          <w:szCs w:val="24"/>
        </w:rPr>
        <w:t>排放标准。</w:t>
      </w:r>
    </w:p>
    <w:p>
      <w:pPr>
        <w:widowControl/>
        <w:spacing w:line="480" w:lineRule="exact"/>
        <w:outlineLvl w:val="3"/>
        <w:rPr>
          <w:rFonts w:ascii="Times New Roman" w:hAnsi="Times New Roman" w:eastAsia="黑体"/>
          <w:sz w:val="24"/>
        </w:rPr>
      </w:pPr>
      <w:r>
        <w:rPr>
          <w:rFonts w:ascii="Times New Roman" w:hAnsi="Times New Roman" w:eastAsia="黑体"/>
          <w:sz w:val="24"/>
        </w:rPr>
        <w:t>3.1.8.2.废气</w:t>
      </w:r>
    </w:p>
    <w:p>
      <w:pPr>
        <w:pStyle w:val="65"/>
        <w:spacing w:line="480" w:lineRule="exact"/>
        <w:ind w:left="0" w:firstLine="480" w:firstLineChars="200"/>
        <w:jc w:val="both"/>
        <w:rPr>
          <w:sz w:val="24"/>
          <w:szCs w:val="24"/>
        </w:rPr>
      </w:pPr>
      <w:r>
        <w:rPr>
          <w:sz w:val="24"/>
          <w:szCs w:val="24"/>
        </w:rPr>
        <w:t>（1）有组织废气</w:t>
      </w:r>
    </w:p>
    <w:p>
      <w:pPr>
        <w:pStyle w:val="65"/>
        <w:spacing w:line="480" w:lineRule="exact"/>
        <w:ind w:left="0" w:firstLine="480" w:firstLineChars="200"/>
        <w:jc w:val="both"/>
        <w:rPr>
          <w:sz w:val="24"/>
          <w:szCs w:val="24"/>
        </w:rPr>
      </w:pPr>
      <w:r>
        <w:rPr>
          <w:sz w:val="24"/>
          <w:szCs w:val="24"/>
        </w:rPr>
        <w:t>现有工程员工取暖及工艺热源来自120kw的电锅炉，不产生废气。</w:t>
      </w:r>
      <w:r>
        <w:rPr>
          <w:rFonts w:hint="eastAsia"/>
          <w:sz w:val="24"/>
          <w:szCs w:val="24"/>
        </w:rPr>
        <w:t>灭菌工艺</w:t>
      </w:r>
      <w:r>
        <w:rPr>
          <w:sz w:val="24"/>
          <w:szCs w:val="24"/>
        </w:rPr>
        <w:t>除臭塔</w:t>
      </w:r>
      <w:r>
        <w:rPr>
          <w:rFonts w:hint="eastAsia"/>
          <w:sz w:val="24"/>
          <w:szCs w:val="24"/>
        </w:rPr>
        <w:t>和1</w:t>
      </w:r>
      <w:r>
        <w:rPr>
          <w:sz w:val="24"/>
          <w:szCs w:val="24"/>
        </w:rPr>
        <w:t>5</w:t>
      </w:r>
      <w:r>
        <w:rPr>
          <w:rFonts w:hint="eastAsia"/>
          <w:sz w:val="24"/>
          <w:szCs w:val="24"/>
        </w:rPr>
        <w:t>米高排气筒</w:t>
      </w:r>
      <w:r>
        <w:rPr>
          <w:sz w:val="24"/>
          <w:szCs w:val="24"/>
        </w:rPr>
        <w:t>排放的有组织废气包括氨、硫化氢、非甲烷总烃</w:t>
      </w:r>
      <w:r>
        <w:rPr>
          <w:rFonts w:hint="eastAsia"/>
          <w:sz w:val="24"/>
          <w:szCs w:val="24"/>
        </w:rPr>
        <w:t>、臭气浓度</w:t>
      </w:r>
      <w:r>
        <w:rPr>
          <w:sz w:val="24"/>
          <w:szCs w:val="24"/>
        </w:rPr>
        <w:t>，根据《双鸭山市医疗废物集中处置中心项目检测报告 有组织废气》（2022年3月13日，佳木斯世纪阳光环境检测有限公司），现有工程有组织除臭塔废气检测情况见表3.1-6。</w:t>
      </w:r>
    </w:p>
    <w:p>
      <w:pPr>
        <w:spacing w:line="360" w:lineRule="auto"/>
        <w:jc w:val="center"/>
        <w:rPr>
          <w:rFonts w:ascii="Times New Roman" w:hAnsi="Times New Roman"/>
          <w:b/>
        </w:rPr>
      </w:pPr>
      <w:r>
        <w:rPr>
          <w:rFonts w:ascii="Times New Roman" w:hAnsi="Times New Roman"/>
          <w:b/>
        </w:rPr>
        <w:t>表3.1-6 现有工程有组织废气检测情况一览表</w:t>
      </w:r>
    </w:p>
    <w:tbl>
      <w:tblPr>
        <w:tblStyle w:val="7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94"/>
        <w:gridCol w:w="1311"/>
        <w:gridCol w:w="1518"/>
        <w:gridCol w:w="2153"/>
        <w:gridCol w:w="215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59" w:type="dxa"/>
            <w:vAlign w:val="center"/>
          </w:tcPr>
          <w:p>
            <w:pPr>
              <w:pStyle w:val="574"/>
              <w:ind w:firstLine="0" w:firstLineChars="0"/>
              <w:jc w:val="center"/>
              <w:rPr>
                <w:rFonts w:ascii="Times New Roman" w:hAnsi="Times New Roman"/>
                <w:b/>
              </w:rPr>
            </w:pPr>
            <w:r>
              <w:rPr>
                <w:rFonts w:ascii="Times New Roman" w:hAnsi="Times New Roman"/>
                <w:b/>
              </w:rPr>
              <w:t>检测点位</w:t>
            </w:r>
          </w:p>
        </w:tc>
        <w:tc>
          <w:tcPr>
            <w:tcW w:w="1278" w:type="dxa"/>
            <w:vAlign w:val="center"/>
          </w:tcPr>
          <w:p>
            <w:pPr>
              <w:pStyle w:val="574"/>
              <w:ind w:firstLine="0" w:firstLineChars="0"/>
              <w:jc w:val="center"/>
              <w:rPr>
                <w:rFonts w:ascii="Times New Roman" w:hAnsi="Times New Roman"/>
                <w:b/>
              </w:rPr>
            </w:pPr>
            <w:r>
              <w:rPr>
                <w:rFonts w:ascii="Times New Roman" w:hAnsi="Times New Roman"/>
                <w:b/>
              </w:rPr>
              <w:t>检测时间</w:t>
            </w:r>
          </w:p>
        </w:tc>
        <w:tc>
          <w:tcPr>
            <w:tcW w:w="1480" w:type="dxa"/>
            <w:vAlign w:val="center"/>
          </w:tcPr>
          <w:p>
            <w:pPr>
              <w:pStyle w:val="574"/>
              <w:ind w:firstLine="0" w:firstLineChars="0"/>
              <w:jc w:val="center"/>
              <w:rPr>
                <w:rFonts w:ascii="Times New Roman" w:hAnsi="Times New Roman"/>
                <w:b/>
              </w:rPr>
            </w:pPr>
            <w:r>
              <w:rPr>
                <w:rFonts w:ascii="Times New Roman" w:hAnsi="Times New Roman"/>
                <w:b/>
              </w:rPr>
              <w:t>项目</w:t>
            </w:r>
          </w:p>
        </w:tc>
        <w:tc>
          <w:tcPr>
            <w:tcW w:w="2098" w:type="dxa"/>
            <w:vAlign w:val="center"/>
          </w:tcPr>
          <w:p>
            <w:pPr>
              <w:pStyle w:val="574"/>
              <w:ind w:firstLine="0" w:firstLineChars="0"/>
              <w:jc w:val="center"/>
              <w:rPr>
                <w:rFonts w:ascii="Times New Roman" w:hAnsi="Times New Roman"/>
                <w:b/>
              </w:rPr>
            </w:pPr>
            <w:r>
              <w:rPr>
                <w:rFonts w:ascii="Times New Roman" w:hAnsi="Times New Roman"/>
                <w:b/>
              </w:rPr>
              <w:t>排放浓度（mg/m</w:t>
            </w:r>
            <w:r>
              <w:rPr>
                <w:rFonts w:ascii="Times New Roman" w:hAnsi="Times New Roman"/>
                <w:b/>
                <w:vertAlign w:val="superscript"/>
              </w:rPr>
              <w:t>3</w:t>
            </w:r>
            <w:r>
              <w:rPr>
                <w:rFonts w:ascii="Times New Roman" w:hAnsi="Times New Roman"/>
                <w:b/>
              </w:rPr>
              <w:t>）</w:t>
            </w:r>
          </w:p>
        </w:tc>
        <w:tc>
          <w:tcPr>
            <w:tcW w:w="2098" w:type="dxa"/>
            <w:vAlign w:val="center"/>
          </w:tcPr>
          <w:p>
            <w:pPr>
              <w:pStyle w:val="574"/>
              <w:ind w:firstLine="0" w:firstLineChars="0"/>
              <w:jc w:val="center"/>
              <w:rPr>
                <w:rFonts w:ascii="Times New Roman" w:hAnsi="Times New Roman"/>
                <w:b/>
              </w:rPr>
            </w:pPr>
            <w:r>
              <w:rPr>
                <w:rFonts w:ascii="Times New Roman" w:hAnsi="Times New Roman"/>
                <w:b/>
              </w:rPr>
              <w:t>排放速率（kg/h）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6" w:hRule="atLeast"/>
          <w:jc w:val="center"/>
        </w:trPr>
        <w:tc>
          <w:tcPr>
            <w:tcW w:w="1359" w:type="dxa"/>
            <w:vMerge w:val="restart"/>
            <w:vAlign w:val="center"/>
          </w:tcPr>
          <w:p>
            <w:pPr>
              <w:jc w:val="center"/>
              <w:rPr>
                <w:rFonts w:ascii="Times New Roman" w:hAnsi="Times New Roman"/>
                <w:szCs w:val="20"/>
              </w:rPr>
            </w:pPr>
            <w:r>
              <w:rPr>
                <w:rFonts w:ascii="Times New Roman" w:hAnsi="Times New Roman"/>
                <w:szCs w:val="20"/>
              </w:rPr>
              <w:t>除臭塔后</w:t>
            </w:r>
          </w:p>
        </w:tc>
        <w:tc>
          <w:tcPr>
            <w:tcW w:w="1278" w:type="dxa"/>
            <w:vMerge w:val="restart"/>
            <w:vAlign w:val="center"/>
          </w:tcPr>
          <w:p>
            <w:pPr>
              <w:jc w:val="center"/>
              <w:rPr>
                <w:rFonts w:ascii="Times New Roman" w:hAnsi="Times New Roman"/>
                <w:szCs w:val="20"/>
              </w:rPr>
            </w:pPr>
            <w:r>
              <w:rPr>
                <w:rFonts w:ascii="Times New Roman" w:hAnsi="Times New Roman"/>
                <w:szCs w:val="20"/>
              </w:rPr>
              <w:t>2022.3.13</w:t>
            </w:r>
          </w:p>
        </w:tc>
        <w:tc>
          <w:tcPr>
            <w:tcW w:w="1480" w:type="dxa"/>
            <w:vAlign w:val="center"/>
          </w:tcPr>
          <w:p>
            <w:pPr>
              <w:jc w:val="center"/>
              <w:rPr>
                <w:rFonts w:ascii="Times New Roman" w:hAnsi="Times New Roman"/>
                <w:szCs w:val="20"/>
              </w:rPr>
            </w:pPr>
            <w:r>
              <w:rPr>
                <w:rFonts w:ascii="Times New Roman" w:hAnsi="Times New Roman"/>
                <w:szCs w:val="20"/>
              </w:rPr>
              <w:t>氨</w:t>
            </w:r>
          </w:p>
        </w:tc>
        <w:tc>
          <w:tcPr>
            <w:tcW w:w="2098" w:type="dxa"/>
            <w:vAlign w:val="center"/>
          </w:tcPr>
          <w:p>
            <w:pPr>
              <w:jc w:val="center"/>
              <w:rPr>
                <w:rFonts w:ascii="Times New Roman" w:hAnsi="Times New Roman"/>
                <w:szCs w:val="20"/>
              </w:rPr>
            </w:pPr>
            <w:r>
              <w:rPr>
                <w:rFonts w:ascii="Times New Roman" w:hAnsi="Times New Roman"/>
                <w:szCs w:val="20"/>
              </w:rPr>
              <w:t>0.30</w:t>
            </w:r>
          </w:p>
        </w:tc>
        <w:tc>
          <w:tcPr>
            <w:tcW w:w="2098" w:type="dxa"/>
            <w:vAlign w:val="center"/>
          </w:tcPr>
          <w:p>
            <w:pPr>
              <w:jc w:val="center"/>
              <w:rPr>
                <w:rFonts w:ascii="Times New Roman" w:hAnsi="Times New Roman"/>
                <w:szCs w:val="20"/>
              </w:rPr>
            </w:pPr>
            <w:r>
              <w:rPr>
                <w:rFonts w:ascii="Times New Roman" w:hAnsi="Times New Roman"/>
                <w:szCs w:val="20"/>
              </w:rPr>
              <w:t>0.0003762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2" w:hRule="atLeast"/>
          <w:jc w:val="center"/>
        </w:trPr>
        <w:tc>
          <w:tcPr>
            <w:tcW w:w="1359" w:type="dxa"/>
            <w:vMerge w:val="continue"/>
            <w:vAlign w:val="center"/>
          </w:tcPr>
          <w:p>
            <w:pPr>
              <w:jc w:val="center"/>
              <w:rPr>
                <w:rFonts w:ascii="Times New Roman" w:hAnsi="Times New Roman"/>
                <w:szCs w:val="20"/>
              </w:rPr>
            </w:pPr>
          </w:p>
        </w:tc>
        <w:tc>
          <w:tcPr>
            <w:tcW w:w="1278" w:type="dxa"/>
            <w:vMerge w:val="continue"/>
            <w:vAlign w:val="center"/>
          </w:tcPr>
          <w:p>
            <w:pPr>
              <w:jc w:val="center"/>
              <w:rPr>
                <w:rFonts w:ascii="Times New Roman" w:hAnsi="Times New Roman"/>
                <w:szCs w:val="20"/>
              </w:rPr>
            </w:pPr>
          </w:p>
        </w:tc>
        <w:tc>
          <w:tcPr>
            <w:tcW w:w="1480" w:type="dxa"/>
            <w:vAlign w:val="center"/>
          </w:tcPr>
          <w:p>
            <w:pPr>
              <w:jc w:val="center"/>
              <w:rPr>
                <w:rFonts w:ascii="Times New Roman" w:hAnsi="Times New Roman"/>
                <w:szCs w:val="20"/>
              </w:rPr>
            </w:pPr>
            <w:r>
              <w:rPr>
                <w:rFonts w:ascii="Times New Roman" w:hAnsi="Times New Roman"/>
                <w:szCs w:val="20"/>
              </w:rPr>
              <w:t>硫化氢</w:t>
            </w:r>
          </w:p>
        </w:tc>
        <w:tc>
          <w:tcPr>
            <w:tcW w:w="2098" w:type="dxa"/>
            <w:vAlign w:val="center"/>
          </w:tcPr>
          <w:p>
            <w:pPr>
              <w:jc w:val="center"/>
              <w:rPr>
                <w:rFonts w:ascii="Times New Roman" w:hAnsi="Times New Roman"/>
                <w:szCs w:val="20"/>
              </w:rPr>
            </w:pPr>
            <w:r>
              <w:rPr>
                <w:rFonts w:ascii="Times New Roman" w:hAnsi="Times New Roman"/>
                <w:szCs w:val="20"/>
              </w:rPr>
              <w:t>0.021</w:t>
            </w:r>
          </w:p>
        </w:tc>
        <w:tc>
          <w:tcPr>
            <w:tcW w:w="2098" w:type="dxa"/>
            <w:vAlign w:val="center"/>
          </w:tcPr>
          <w:p>
            <w:pPr>
              <w:jc w:val="center"/>
              <w:rPr>
                <w:rFonts w:ascii="Times New Roman" w:hAnsi="Times New Roman"/>
                <w:szCs w:val="20"/>
              </w:rPr>
            </w:pPr>
            <w:r>
              <w:rPr>
                <w:rFonts w:ascii="Times New Roman" w:hAnsi="Times New Roman"/>
                <w:szCs w:val="20"/>
              </w:rPr>
              <w:t>0.000028035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1359" w:type="dxa"/>
            <w:vMerge w:val="continue"/>
            <w:vAlign w:val="center"/>
          </w:tcPr>
          <w:p>
            <w:pPr>
              <w:jc w:val="center"/>
              <w:rPr>
                <w:rFonts w:ascii="Times New Roman" w:hAnsi="Times New Roman"/>
                <w:szCs w:val="20"/>
              </w:rPr>
            </w:pPr>
          </w:p>
        </w:tc>
        <w:tc>
          <w:tcPr>
            <w:tcW w:w="1278" w:type="dxa"/>
            <w:vMerge w:val="continue"/>
            <w:vAlign w:val="center"/>
          </w:tcPr>
          <w:p>
            <w:pPr>
              <w:jc w:val="center"/>
              <w:rPr>
                <w:rFonts w:ascii="Times New Roman" w:hAnsi="Times New Roman"/>
                <w:szCs w:val="20"/>
              </w:rPr>
            </w:pPr>
          </w:p>
        </w:tc>
        <w:tc>
          <w:tcPr>
            <w:tcW w:w="1480" w:type="dxa"/>
            <w:vAlign w:val="center"/>
          </w:tcPr>
          <w:p>
            <w:pPr>
              <w:jc w:val="center"/>
              <w:rPr>
                <w:rFonts w:ascii="Times New Roman" w:hAnsi="Times New Roman"/>
                <w:szCs w:val="20"/>
              </w:rPr>
            </w:pPr>
            <w:r>
              <w:rPr>
                <w:rFonts w:ascii="Times New Roman" w:hAnsi="Times New Roman"/>
                <w:szCs w:val="20"/>
              </w:rPr>
              <w:t>非甲烷总烃</w:t>
            </w:r>
          </w:p>
        </w:tc>
        <w:tc>
          <w:tcPr>
            <w:tcW w:w="2098" w:type="dxa"/>
            <w:vAlign w:val="center"/>
          </w:tcPr>
          <w:p>
            <w:pPr>
              <w:jc w:val="center"/>
              <w:rPr>
                <w:rFonts w:ascii="Times New Roman" w:hAnsi="Times New Roman"/>
                <w:szCs w:val="20"/>
              </w:rPr>
            </w:pPr>
            <w:r>
              <w:rPr>
                <w:rFonts w:ascii="Times New Roman" w:hAnsi="Times New Roman"/>
                <w:szCs w:val="20"/>
              </w:rPr>
              <w:t>0.07</w:t>
            </w:r>
          </w:p>
        </w:tc>
        <w:tc>
          <w:tcPr>
            <w:tcW w:w="2098" w:type="dxa"/>
            <w:vAlign w:val="center"/>
          </w:tcPr>
          <w:p>
            <w:pPr>
              <w:jc w:val="center"/>
              <w:rPr>
                <w:rFonts w:ascii="Times New Roman" w:hAnsi="Times New Roman"/>
                <w:szCs w:val="20"/>
              </w:rPr>
            </w:pPr>
            <w:r>
              <w:rPr>
                <w:rFonts w:ascii="Times New Roman" w:hAnsi="Times New Roman"/>
                <w:szCs w:val="20"/>
              </w:rPr>
              <w:t>0.00009072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1359" w:type="dxa"/>
            <w:vMerge w:val="continue"/>
            <w:vAlign w:val="center"/>
          </w:tcPr>
          <w:p>
            <w:pPr>
              <w:jc w:val="center"/>
              <w:rPr>
                <w:rFonts w:ascii="Times New Roman" w:hAnsi="Times New Roman"/>
                <w:szCs w:val="20"/>
              </w:rPr>
            </w:pPr>
          </w:p>
        </w:tc>
        <w:tc>
          <w:tcPr>
            <w:tcW w:w="1278" w:type="dxa"/>
            <w:vMerge w:val="continue"/>
            <w:vAlign w:val="center"/>
          </w:tcPr>
          <w:p>
            <w:pPr>
              <w:jc w:val="center"/>
              <w:rPr>
                <w:rFonts w:ascii="Times New Roman" w:hAnsi="Times New Roman"/>
                <w:szCs w:val="20"/>
              </w:rPr>
            </w:pPr>
          </w:p>
        </w:tc>
        <w:tc>
          <w:tcPr>
            <w:tcW w:w="1480" w:type="dxa"/>
            <w:vAlign w:val="center"/>
          </w:tcPr>
          <w:p>
            <w:pPr>
              <w:jc w:val="center"/>
              <w:rPr>
                <w:rFonts w:ascii="Times New Roman" w:hAnsi="Times New Roman"/>
                <w:szCs w:val="20"/>
              </w:rPr>
            </w:pPr>
            <w:r>
              <w:rPr>
                <w:rFonts w:hint="eastAsia" w:ascii="Times New Roman" w:hAnsi="Times New Roman"/>
                <w:szCs w:val="20"/>
              </w:rPr>
              <w:t>臭气浓度</w:t>
            </w:r>
          </w:p>
        </w:tc>
        <w:tc>
          <w:tcPr>
            <w:tcW w:w="4196" w:type="dxa"/>
            <w:gridSpan w:val="2"/>
            <w:vAlign w:val="center"/>
          </w:tcPr>
          <w:p>
            <w:pPr>
              <w:jc w:val="center"/>
              <w:rPr>
                <w:rFonts w:ascii="Times New Roman" w:hAnsi="Times New Roman"/>
                <w:szCs w:val="20"/>
              </w:rPr>
            </w:pPr>
            <w:r>
              <w:rPr>
                <w:rFonts w:hint="eastAsia" w:ascii="Times New Roman" w:hAnsi="Times New Roman"/>
                <w:szCs w:val="20"/>
              </w:rPr>
              <w:t>3</w:t>
            </w:r>
            <w:r>
              <w:rPr>
                <w:rFonts w:ascii="Times New Roman" w:hAnsi="Times New Roman"/>
                <w:szCs w:val="20"/>
              </w:rPr>
              <w:t>09</w:t>
            </w:r>
            <w:r>
              <w:rPr>
                <w:rFonts w:hint="eastAsia" w:ascii="Times New Roman" w:hAnsi="Times New Roman"/>
                <w:szCs w:val="20"/>
              </w:rPr>
              <w:t>（无量纲）</w:t>
            </w:r>
          </w:p>
        </w:tc>
      </w:tr>
    </w:tbl>
    <w:p>
      <w:pPr>
        <w:pStyle w:val="65"/>
        <w:spacing w:line="480" w:lineRule="exact"/>
        <w:ind w:left="0" w:firstLine="480" w:firstLineChars="200"/>
        <w:jc w:val="both"/>
        <w:rPr>
          <w:sz w:val="24"/>
          <w:szCs w:val="24"/>
        </w:rPr>
      </w:pPr>
      <w:r>
        <w:rPr>
          <w:sz w:val="24"/>
          <w:szCs w:val="24"/>
        </w:rPr>
        <w:t>由表3.1-6可知，现有工程有组织废气中氨、硫化氢</w:t>
      </w:r>
      <w:r>
        <w:rPr>
          <w:rFonts w:hint="eastAsia"/>
          <w:sz w:val="24"/>
          <w:szCs w:val="24"/>
        </w:rPr>
        <w:t>、臭气浓度</w:t>
      </w:r>
      <w:r>
        <w:rPr>
          <w:sz w:val="24"/>
          <w:szCs w:val="24"/>
        </w:rPr>
        <w:t>满足</w:t>
      </w:r>
      <w:r>
        <w:rPr>
          <w:sz w:val="24"/>
        </w:rPr>
        <w:t>《恶臭污染物排放标准》（GB14554-93）中15</w:t>
      </w:r>
      <w:r>
        <w:rPr>
          <w:b/>
        </w:rPr>
        <w:t xml:space="preserve"> </w:t>
      </w:r>
      <w:r>
        <w:rPr>
          <w:rFonts w:hint="eastAsia"/>
          <w:sz w:val="24"/>
        </w:rPr>
        <w:t>米</w:t>
      </w:r>
      <w:r>
        <w:rPr>
          <w:sz w:val="24"/>
        </w:rPr>
        <w:t>高排气筒</w:t>
      </w:r>
      <w:r>
        <w:rPr>
          <w:sz w:val="24"/>
          <w:szCs w:val="24"/>
        </w:rPr>
        <w:t>限值要求。非甲烷总烃满足《医疗废物处理处置污染控制标准》（GB39707</w:t>
      </w:r>
      <w:r>
        <w:rPr>
          <w:rFonts w:hint="eastAsia"/>
          <w:sz w:val="24"/>
          <w:szCs w:val="24"/>
        </w:rPr>
        <w:t>-</w:t>
      </w:r>
      <w:r>
        <w:rPr>
          <w:sz w:val="24"/>
          <w:szCs w:val="24"/>
        </w:rPr>
        <w:t>2020）中消毒处理设施处浓度标准。</w:t>
      </w:r>
    </w:p>
    <w:p>
      <w:pPr>
        <w:pStyle w:val="65"/>
        <w:spacing w:line="480" w:lineRule="exact"/>
        <w:ind w:left="0" w:firstLine="480" w:firstLineChars="200"/>
        <w:jc w:val="both"/>
        <w:rPr>
          <w:sz w:val="24"/>
          <w:szCs w:val="24"/>
        </w:rPr>
      </w:pPr>
      <w:r>
        <w:rPr>
          <w:sz w:val="24"/>
          <w:szCs w:val="24"/>
        </w:rPr>
        <w:t>（2）</w:t>
      </w:r>
      <w:r>
        <w:rPr>
          <w:sz w:val="24"/>
        </w:rPr>
        <w:t>无组织排放废气</w:t>
      </w:r>
    </w:p>
    <w:p>
      <w:pPr>
        <w:pStyle w:val="65"/>
        <w:spacing w:line="480" w:lineRule="exact"/>
        <w:ind w:left="0" w:firstLine="480" w:firstLineChars="200"/>
        <w:jc w:val="both"/>
        <w:rPr>
          <w:smallCaps w:val="0"/>
          <w:sz w:val="24"/>
          <w:szCs w:val="24"/>
        </w:rPr>
      </w:pPr>
      <w:r>
        <w:rPr>
          <w:rFonts w:hint="eastAsia"/>
          <w:sz w:val="24"/>
          <w:szCs w:val="24"/>
        </w:rPr>
        <w:t>现有工程灭菌车间、危险废物暂存间、医疗废物暂存间、消毒间废气经负压收集后由D</w:t>
      </w:r>
      <w:r>
        <w:rPr>
          <w:sz w:val="24"/>
          <w:szCs w:val="24"/>
        </w:rPr>
        <w:t>A001</w:t>
      </w:r>
      <w:r>
        <w:rPr>
          <w:rFonts w:hint="eastAsia"/>
          <w:sz w:val="24"/>
          <w:szCs w:val="24"/>
        </w:rPr>
        <w:t>排气筒有组织排放</w:t>
      </w:r>
      <w:r>
        <w:rPr>
          <w:sz w:val="24"/>
          <w:szCs w:val="24"/>
        </w:rPr>
        <w:t>。</w:t>
      </w:r>
      <w:r>
        <w:rPr>
          <w:rFonts w:hint="eastAsia"/>
          <w:sz w:val="24"/>
          <w:szCs w:val="24"/>
        </w:rPr>
        <w:t>未收集的部分无组织逸散。</w:t>
      </w:r>
      <w:r>
        <w:rPr>
          <w:smallCaps w:val="0"/>
          <w:sz w:val="24"/>
          <w:szCs w:val="24"/>
        </w:rPr>
        <w:t>根据</w:t>
      </w:r>
      <w:r>
        <w:rPr>
          <w:sz w:val="24"/>
          <w:szCs w:val="24"/>
        </w:rPr>
        <w:t>《双鸭山市医疗废物集中处置中心项目检测报告 有组织废气》（2022年3月13日，佳木斯世纪阳光环境检测有限公司）</w:t>
      </w:r>
      <w:r>
        <w:rPr>
          <w:smallCaps w:val="0"/>
          <w:sz w:val="24"/>
          <w:szCs w:val="24"/>
        </w:rPr>
        <w:t>，</w:t>
      </w:r>
      <w:r>
        <w:rPr>
          <w:sz w:val="24"/>
          <w:szCs w:val="24"/>
        </w:rPr>
        <w:t>现有工程无组织废气检测</w:t>
      </w:r>
      <w:r>
        <w:rPr>
          <w:smallCaps w:val="0"/>
          <w:sz w:val="24"/>
          <w:szCs w:val="24"/>
        </w:rPr>
        <w:t>情况见表3.1-7。</w:t>
      </w:r>
    </w:p>
    <w:p>
      <w:pPr>
        <w:spacing w:line="480" w:lineRule="exact"/>
        <w:jc w:val="center"/>
        <w:rPr>
          <w:rFonts w:ascii="Times New Roman" w:hAnsi="Times New Roman"/>
          <w:b/>
        </w:rPr>
      </w:pPr>
      <w:r>
        <w:rPr>
          <w:rFonts w:ascii="Times New Roman" w:hAnsi="Times New Roman"/>
          <w:b/>
        </w:rPr>
        <w:t>表3.1-7 现有工程无组织废气检测情况一览表（单位：mg/m</w:t>
      </w:r>
      <w:r>
        <w:rPr>
          <w:rFonts w:ascii="Times New Roman" w:hAnsi="Times New Roman"/>
          <w:b/>
          <w:vertAlign w:val="superscript"/>
        </w:rPr>
        <w:t>3</w:t>
      </w:r>
      <w:r>
        <w:rPr>
          <w:rFonts w:ascii="Times New Roman" w:hAnsi="Times New Roman"/>
          <w:b/>
        </w:rPr>
        <w:t>）</w:t>
      </w:r>
    </w:p>
    <w:tbl>
      <w:tblPr>
        <w:tblStyle w:val="7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44"/>
        <w:gridCol w:w="1234"/>
        <w:gridCol w:w="1218"/>
        <w:gridCol w:w="1129"/>
        <w:gridCol w:w="1244"/>
        <w:gridCol w:w="1211"/>
        <w:gridCol w:w="124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244" w:type="dxa"/>
            <w:vAlign w:val="center"/>
          </w:tcPr>
          <w:p>
            <w:pPr>
              <w:jc w:val="center"/>
              <w:rPr>
                <w:rFonts w:ascii="Times New Roman" w:hAnsi="Times New Roman"/>
                <w:b/>
                <w:bCs/>
                <w:szCs w:val="20"/>
              </w:rPr>
            </w:pPr>
            <w:r>
              <w:rPr>
                <w:rFonts w:ascii="Times New Roman" w:hAnsi="Times New Roman"/>
                <w:b/>
                <w:bCs/>
                <w:szCs w:val="20"/>
              </w:rPr>
              <w:t>检测点位</w:t>
            </w:r>
          </w:p>
        </w:tc>
        <w:tc>
          <w:tcPr>
            <w:tcW w:w="1234" w:type="dxa"/>
            <w:vAlign w:val="center"/>
          </w:tcPr>
          <w:p>
            <w:pPr>
              <w:jc w:val="center"/>
              <w:rPr>
                <w:rFonts w:ascii="Times New Roman" w:hAnsi="Times New Roman"/>
                <w:b/>
                <w:bCs/>
                <w:szCs w:val="20"/>
              </w:rPr>
            </w:pPr>
            <w:r>
              <w:rPr>
                <w:rFonts w:ascii="Times New Roman" w:hAnsi="Times New Roman"/>
                <w:b/>
                <w:bCs/>
                <w:szCs w:val="20"/>
              </w:rPr>
              <w:t>检测时间</w:t>
            </w:r>
          </w:p>
        </w:tc>
        <w:tc>
          <w:tcPr>
            <w:tcW w:w="1218" w:type="dxa"/>
            <w:vAlign w:val="center"/>
          </w:tcPr>
          <w:p>
            <w:pPr>
              <w:jc w:val="center"/>
              <w:rPr>
                <w:rFonts w:ascii="Times New Roman" w:hAnsi="Times New Roman"/>
                <w:b/>
                <w:bCs/>
                <w:szCs w:val="20"/>
              </w:rPr>
            </w:pPr>
            <w:r>
              <w:rPr>
                <w:rFonts w:ascii="Times New Roman" w:hAnsi="Times New Roman"/>
                <w:b/>
                <w:bCs/>
                <w:szCs w:val="20"/>
              </w:rPr>
              <w:t>氨</w:t>
            </w:r>
          </w:p>
        </w:tc>
        <w:tc>
          <w:tcPr>
            <w:tcW w:w="1129" w:type="dxa"/>
            <w:vAlign w:val="center"/>
          </w:tcPr>
          <w:p>
            <w:pPr>
              <w:jc w:val="center"/>
              <w:rPr>
                <w:rFonts w:ascii="Times New Roman" w:hAnsi="Times New Roman"/>
                <w:b/>
                <w:bCs/>
                <w:szCs w:val="20"/>
              </w:rPr>
            </w:pPr>
            <w:r>
              <w:rPr>
                <w:rFonts w:ascii="Times New Roman" w:hAnsi="Times New Roman"/>
                <w:b/>
                <w:bCs/>
                <w:szCs w:val="20"/>
              </w:rPr>
              <w:t>氯</w:t>
            </w:r>
          </w:p>
        </w:tc>
        <w:tc>
          <w:tcPr>
            <w:tcW w:w="1244" w:type="dxa"/>
            <w:vAlign w:val="center"/>
          </w:tcPr>
          <w:p>
            <w:pPr>
              <w:jc w:val="center"/>
              <w:rPr>
                <w:rFonts w:ascii="Times New Roman" w:hAnsi="Times New Roman"/>
                <w:b/>
                <w:bCs/>
                <w:szCs w:val="20"/>
              </w:rPr>
            </w:pPr>
            <w:r>
              <w:rPr>
                <w:rFonts w:ascii="Times New Roman" w:hAnsi="Times New Roman"/>
                <w:b/>
                <w:bCs/>
                <w:szCs w:val="20"/>
              </w:rPr>
              <w:t>硫化氢</w:t>
            </w:r>
          </w:p>
        </w:tc>
        <w:tc>
          <w:tcPr>
            <w:tcW w:w="1211" w:type="dxa"/>
            <w:vAlign w:val="center"/>
          </w:tcPr>
          <w:p>
            <w:pPr>
              <w:jc w:val="center"/>
              <w:rPr>
                <w:rFonts w:ascii="Times New Roman" w:hAnsi="Times New Roman"/>
                <w:b/>
                <w:bCs/>
                <w:szCs w:val="20"/>
              </w:rPr>
            </w:pPr>
            <w:r>
              <w:rPr>
                <w:rFonts w:ascii="Times New Roman" w:hAnsi="Times New Roman"/>
                <w:b/>
                <w:bCs/>
                <w:szCs w:val="20"/>
              </w:rPr>
              <w:t>臭气浓度</w:t>
            </w:r>
          </w:p>
        </w:tc>
        <w:tc>
          <w:tcPr>
            <w:tcW w:w="1249" w:type="dxa"/>
            <w:vAlign w:val="center"/>
          </w:tcPr>
          <w:p>
            <w:pPr>
              <w:jc w:val="center"/>
              <w:rPr>
                <w:rFonts w:ascii="Times New Roman" w:hAnsi="Times New Roman"/>
                <w:b/>
                <w:bCs/>
                <w:szCs w:val="20"/>
              </w:rPr>
            </w:pPr>
            <w:r>
              <w:rPr>
                <w:rFonts w:ascii="Times New Roman" w:hAnsi="Times New Roman"/>
                <w:b/>
                <w:bCs/>
                <w:szCs w:val="20"/>
              </w:rPr>
              <w:t>非甲烷总烃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244" w:type="dxa"/>
            <w:vAlign w:val="center"/>
          </w:tcPr>
          <w:p>
            <w:pPr>
              <w:jc w:val="center"/>
              <w:rPr>
                <w:rFonts w:ascii="Times New Roman" w:hAnsi="Times New Roman"/>
                <w:szCs w:val="20"/>
              </w:rPr>
            </w:pPr>
            <w:r>
              <w:rPr>
                <w:rFonts w:ascii="Times New Roman" w:hAnsi="Times New Roman"/>
                <w:szCs w:val="20"/>
              </w:rPr>
              <w:t>厂界上风向</w:t>
            </w:r>
          </w:p>
        </w:tc>
        <w:tc>
          <w:tcPr>
            <w:tcW w:w="1234" w:type="dxa"/>
            <w:vMerge w:val="restart"/>
            <w:vAlign w:val="center"/>
          </w:tcPr>
          <w:p>
            <w:pPr>
              <w:jc w:val="center"/>
              <w:rPr>
                <w:rFonts w:ascii="Times New Roman" w:hAnsi="Times New Roman"/>
                <w:szCs w:val="20"/>
              </w:rPr>
            </w:pPr>
            <w:r>
              <w:rPr>
                <w:rFonts w:ascii="Times New Roman" w:hAnsi="Times New Roman"/>
                <w:szCs w:val="20"/>
              </w:rPr>
              <w:t>2022.3.7</w:t>
            </w:r>
          </w:p>
        </w:tc>
        <w:tc>
          <w:tcPr>
            <w:tcW w:w="1218" w:type="dxa"/>
            <w:vAlign w:val="center"/>
          </w:tcPr>
          <w:p>
            <w:pPr>
              <w:jc w:val="center"/>
              <w:rPr>
                <w:rFonts w:ascii="Times New Roman" w:hAnsi="Times New Roman"/>
                <w:szCs w:val="20"/>
              </w:rPr>
            </w:pPr>
            <w:r>
              <w:rPr>
                <w:rFonts w:ascii="Times New Roman" w:hAnsi="Times New Roman"/>
                <w:szCs w:val="20"/>
              </w:rPr>
              <w:t>0.03</w:t>
            </w:r>
          </w:p>
        </w:tc>
        <w:tc>
          <w:tcPr>
            <w:tcW w:w="1129" w:type="dxa"/>
            <w:vAlign w:val="center"/>
          </w:tcPr>
          <w:p>
            <w:pPr>
              <w:jc w:val="center"/>
              <w:rPr>
                <w:rFonts w:ascii="Times New Roman" w:hAnsi="Times New Roman"/>
                <w:szCs w:val="20"/>
              </w:rPr>
            </w:pPr>
            <w:r>
              <w:rPr>
                <w:rFonts w:ascii="Times New Roman" w:hAnsi="Times New Roman"/>
                <w:szCs w:val="20"/>
              </w:rPr>
              <w:t>0.02L</w:t>
            </w:r>
          </w:p>
        </w:tc>
        <w:tc>
          <w:tcPr>
            <w:tcW w:w="1244" w:type="dxa"/>
            <w:vAlign w:val="center"/>
          </w:tcPr>
          <w:p>
            <w:pPr>
              <w:jc w:val="center"/>
              <w:rPr>
                <w:rFonts w:ascii="Times New Roman" w:hAnsi="Times New Roman"/>
                <w:szCs w:val="20"/>
              </w:rPr>
            </w:pPr>
            <w:r>
              <w:rPr>
                <w:rFonts w:ascii="Times New Roman" w:hAnsi="Times New Roman"/>
                <w:szCs w:val="20"/>
              </w:rPr>
              <w:t>0.002</w:t>
            </w:r>
          </w:p>
        </w:tc>
        <w:tc>
          <w:tcPr>
            <w:tcW w:w="1211" w:type="dxa"/>
            <w:vAlign w:val="center"/>
          </w:tcPr>
          <w:p>
            <w:pPr>
              <w:jc w:val="center"/>
              <w:rPr>
                <w:rFonts w:ascii="Times New Roman" w:hAnsi="Times New Roman"/>
                <w:szCs w:val="20"/>
              </w:rPr>
            </w:pPr>
            <w:r>
              <w:rPr>
                <w:rFonts w:ascii="Times New Roman" w:hAnsi="Times New Roman"/>
                <w:szCs w:val="20"/>
              </w:rPr>
              <w:t>10L</w:t>
            </w:r>
          </w:p>
        </w:tc>
        <w:tc>
          <w:tcPr>
            <w:tcW w:w="1249" w:type="dxa"/>
            <w:vAlign w:val="center"/>
          </w:tcPr>
          <w:p>
            <w:pPr>
              <w:jc w:val="center"/>
              <w:rPr>
                <w:rFonts w:ascii="Times New Roman" w:hAnsi="Times New Roman"/>
                <w:szCs w:val="20"/>
              </w:rPr>
            </w:pPr>
            <w:r>
              <w:rPr>
                <w:rFonts w:ascii="Times New Roman" w:hAnsi="Times New Roman"/>
                <w:szCs w:val="20"/>
              </w:rPr>
              <w:t>0.07L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244" w:type="dxa"/>
            <w:vAlign w:val="center"/>
          </w:tcPr>
          <w:p>
            <w:pPr>
              <w:jc w:val="center"/>
              <w:rPr>
                <w:rFonts w:ascii="Times New Roman" w:hAnsi="Times New Roman"/>
                <w:szCs w:val="20"/>
              </w:rPr>
            </w:pPr>
            <w:r>
              <w:rPr>
                <w:rFonts w:ascii="Times New Roman" w:hAnsi="Times New Roman"/>
                <w:szCs w:val="20"/>
              </w:rPr>
              <w:t>厂界下方向1</w:t>
            </w:r>
          </w:p>
        </w:tc>
        <w:tc>
          <w:tcPr>
            <w:tcW w:w="1234" w:type="dxa"/>
            <w:vMerge w:val="continue"/>
            <w:vAlign w:val="center"/>
          </w:tcPr>
          <w:p>
            <w:pPr>
              <w:jc w:val="center"/>
              <w:rPr>
                <w:rFonts w:ascii="Times New Roman" w:hAnsi="Times New Roman"/>
                <w:szCs w:val="20"/>
              </w:rPr>
            </w:pPr>
          </w:p>
        </w:tc>
        <w:tc>
          <w:tcPr>
            <w:tcW w:w="1218" w:type="dxa"/>
            <w:vAlign w:val="center"/>
          </w:tcPr>
          <w:p>
            <w:pPr>
              <w:jc w:val="center"/>
              <w:rPr>
                <w:rFonts w:ascii="Times New Roman" w:hAnsi="Times New Roman"/>
                <w:szCs w:val="20"/>
              </w:rPr>
            </w:pPr>
            <w:r>
              <w:rPr>
                <w:rFonts w:ascii="Times New Roman" w:hAnsi="Times New Roman"/>
                <w:szCs w:val="20"/>
              </w:rPr>
              <w:t>0.04</w:t>
            </w:r>
          </w:p>
        </w:tc>
        <w:tc>
          <w:tcPr>
            <w:tcW w:w="1129" w:type="dxa"/>
            <w:vAlign w:val="center"/>
          </w:tcPr>
          <w:p>
            <w:pPr>
              <w:jc w:val="center"/>
              <w:rPr>
                <w:rFonts w:ascii="Times New Roman" w:hAnsi="Times New Roman"/>
                <w:szCs w:val="20"/>
              </w:rPr>
            </w:pPr>
            <w:r>
              <w:rPr>
                <w:rFonts w:ascii="Times New Roman" w:hAnsi="Times New Roman"/>
                <w:szCs w:val="20"/>
              </w:rPr>
              <w:t>0.02L</w:t>
            </w:r>
          </w:p>
        </w:tc>
        <w:tc>
          <w:tcPr>
            <w:tcW w:w="1244" w:type="dxa"/>
            <w:vAlign w:val="center"/>
          </w:tcPr>
          <w:p>
            <w:pPr>
              <w:jc w:val="center"/>
              <w:rPr>
                <w:rFonts w:ascii="Times New Roman" w:hAnsi="Times New Roman"/>
                <w:szCs w:val="20"/>
              </w:rPr>
            </w:pPr>
            <w:r>
              <w:rPr>
                <w:rFonts w:ascii="Times New Roman" w:hAnsi="Times New Roman"/>
                <w:szCs w:val="20"/>
              </w:rPr>
              <w:t>0.004</w:t>
            </w:r>
          </w:p>
        </w:tc>
        <w:tc>
          <w:tcPr>
            <w:tcW w:w="1211" w:type="dxa"/>
            <w:vAlign w:val="center"/>
          </w:tcPr>
          <w:p>
            <w:pPr>
              <w:jc w:val="center"/>
              <w:rPr>
                <w:rFonts w:ascii="Times New Roman" w:hAnsi="Times New Roman"/>
                <w:szCs w:val="20"/>
              </w:rPr>
            </w:pPr>
            <w:r>
              <w:rPr>
                <w:rFonts w:ascii="Times New Roman" w:hAnsi="Times New Roman"/>
                <w:szCs w:val="20"/>
              </w:rPr>
              <w:t>10L</w:t>
            </w:r>
          </w:p>
        </w:tc>
        <w:tc>
          <w:tcPr>
            <w:tcW w:w="1249" w:type="dxa"/>
            <w:vAlign w:val="center"/>
          </w:tcPr>
          <w:p>
            <w:pPr>
              <w:jc w:val="center"/>
              <w:rPr>
                <w:rFonts w:ascii="Times New Roman" w:hAnsi="Times New Roman"/>
                <w:szCs w:val="20"/>
              </w:rPr>
            </w:pPr>
            <w:r>
              <w:rPr>
                <w:rFonts w:ascii="Times New Roman" w:hAnsi="Times New Roman"/>
                <w:szCs w:val="20"/>
              </w:rPr>
              <w:t>0.07L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244" w:type="dxa"/>
            <w:vAlign w:val="center"/>
          </w:tcPr>
          <w:p>
            <w:pPr>
              <w:jc w:val="center"/>
              <w:rPr>
                <w:rFonts w:ascii="Times New Roman" w:hAnsi="Times New Roman"/>
                <w:szCs w:val="20"/>
              </w:rPr>
            </w:pPr>
            <w:r>
              <w:rPr>
                <w:rFonts w:ascii="Times New Roman" w:hAnsi="Times New Roman"/>
                <w:szCs w:val="20"/>
              </w:rPr>
              <w:t>厂界下风向2</w:t>
            </w:r>
          </w:p>
        </w:tc>
        <w:tc>
          <w:tcPr>
            <w:tcW w:w="1234" w:type="dxa"/>
            <w:vMerge w:val="continue"/>
            <w:vAlign w:val="center"/>
          </w:tcPr>
          <w:p>
            <w:pPr>
              <w:jc w:val="center"/>
              <w:rPr>
                <w:rFonts w:ascii="Times New Roman" w:hAnsi="Times New Roman"/>
                <w:szCs w:val="20"/>
              </w:rPr>
            </w:pPr>
          </w:p>
        </w:tc>
        <w:tc>
          <w:tcPr>
            <w:tcW w:w="1218" w:type="dxa"/>
            <w:vAlign w:val="center"/>
          </w:tcPr>
          <w:p>
            <w:pPr>
              <w:jc w:val="center"/>
              <w:rPr>
                <w:rFonts w:ascii="Times New Roman" w:hAnsi="Times New Roman"/>
                <w:szCs w:val="20"/>
              </w:rPr>
            </w:pPr>
            <w:r>
              <w:rPr>
                <w:rFonts w:ascii="Times New Roman" w:hAnsi="Times New Roman"/>
                <w:szCs w:val="20"/>
              </w:rPr>
              <w:t>0.06</w:t>
            </w:r>
          </w:p>
        </w:tc>
        <w:tc>
          <w:tcPr>
            <w:tcW w:w="1129" w:type="dxa"/>
            <w:vAlign w:val="center"/>
          </w:tcPr>
          <w:p>
            <w:pPr>
              <w:jc w:val="center"/>
              <w:rPr>
                <w:rFonts w:ascii="Times New Roman" w:hAnsi="Times New Roman"/>
                <w:szCs w:val="20"/>
              </w:rPr>
            </w:pPr>
            <w:r>
              <w:rPr>
                <w:rFonts w:ascii="Times New Roman" w:hAnsi="Times New Roman"/>
                <w:szCs w:val="20"/>
              </w:rPr>
              <w:t>0.02L</w:t>
            </w:r>
          </w:p>
        </w:tc>
        <w:tc>
          <w:tcPr>
            <w:tcW w:w="1244" w:type="dxa"/>
            <w:vAlign w:val="center"/>
          </w:tcPr>
          <w:p>
            <w:pPr>
              <w:jc w:val="center"/>
              <w:rPr>
                <w:rFonts w:ascii="Times New Roman" w:hAnsi="Times New Roman"/>
                <w:szCs w:val="20"/>
              </w:rPr>
            </w:pPr>
            <w:r>
              <w:rPr>
                <w:rFonts w:ascii="Times New Roman" w:hAnsi="Times New Roman"/>
                <w:szCs w:val="20"/>
              </w:rPr>
              <w:t>0.005</w:t>
            </w:r>
          </w:p>
        </w:tc>
        <w:tc>
          <w:tcPr>
            <w:tcW w:w="1211" w:type="dxa"/>
            <w:vAlign w:val="center"/>
          </w:tcPr>
          <w:p>
            <w:pPr>
              <w:jc w:val="center"/>
              <w:rPr>
                <w:rFonts w:ascii="Times New Roman" w:hAnsi="Times New Roman"/>
                <w:szCs w:val="20"/>
              </w:rPr>
            </w:pPr>
            <w:r>
              <w:rPr>
                <w:rFonts w:ascii="Times New Roman" w:hAnsi="Times New Roman"/>
                <w:szCs w:val="20"/>
              </w:rPr>
              <w:t>10L</w:t>
            </w:r>
          </w:p>
        </w:tc>
        <w:tc>
          <w:tcPr>
            <w:tcW w:w="1249" w:type="dxa"/>
            <w:vAlign w:val="center"/>
          </w:tcPr>
          <w:p>
            <w:pPr>
              <w:jc w:val="center"/>
              <w:rPr>
                <w:rFonts w:ascii="Times New Roman" w:hAnsi="Times New Roman"/>
                <w:szCs w:val="20"/>
              </w:rPr>
            </w:pPr>
            <w:r>
              <w:rPr>
                <w:rFonts w:ascii="Times New Roman" w:hAnsi="Times New Roman"/>
                <w:szCs w:val="20"/>
              </w:rPr>
              <w:t>0.07L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244" w:type="dxa"/>
            <w:vAlign w:val="center"/>
          </w:tcPr>
          <w:p>
            <w:pPr>
              <w:jc w:val="center"/>
              <w:rPr>
                <w:rFonts w:ascii="Times New Roman" w:hAnsi="Times New Roman"/>
                <w:szCs w:val="20"/>
              </w:rPr>
            </w:pPr>
            <w:r>
              <w:rPr>
                <w:rFonts w:ascii="Times New Roman" w:hAnsi="Times New Roman"/>
                <w:szCs w:val="20"/>
              </w:rPr>
              <w:t>厂界下风向3</w:t>
            </w:r>
          </w:p>
        </w:tc>
        <w:tc>
          <w:tcPr>
            <w:tcW w:w="1234" w:type="dxa"/>
            <w:vMerge w:val="continue"/>
            <w:vAlign w:val="center"/>
          </w:tcPr>
          <w:p>
            <w:pPr>
              <w:jc w:val="center"/>
              <w:rPr>
                <w:rFonts w:ascii="Times New Roman" w:hAnsi="Times New Roman"/>
                <w:szCs w:val="20"/>
              </w:rPr>
            </w:pPr>
          </w:p>
        </w:tc>
        <w:tc>
          <w:tcPr>
            <w:tcW w:w="1218" w:type="dxa"/>
            <w:vAlign w:val="center"/>
          </w:tcPr>
          <w:p>
            <w:pPr>
              <w:jc w:val="center"/>
              <w:rPr>
                <w:rFonts w:ascii="Times New Roman" w:hAnsi="Times New Roman"/>
                <w:szCs w:val="20"/>
              </w:rPr>
            </w:pPr>
            <w:r>
              <w:rPr>
                <w:rFonts w:ascii="Times New Roman" w:hAnsi="Times New Roman"/>
                <w:szCs w:val="20"/>
              </w:rPr>
              <w:t>0.06</w:t>
            </w:r>
          </w:p>
        </w:tc>
        <w:tc>
          <w:tcPr>
            <w:tcW w:w="1129" w:type="dxa"/>
            <w:vAlign w:val="center"/>
          </w:tcPr>
          <w:p>
            <w:pPr>
              <w:jc w:val="center"/>
              <w:rPr>
                <w:rFonts w:ascii="Times New Roman" w:hAnsi="Times New Roman"/>
                <w:szCs w:val="20"/>
              </w:rPr>
            </w:pPr>
            <w:r>
              <w:rPr>
                <w:rFonts w:ascii="Times New Roman" w:hAnsi="Times New Roman"/>
                <w:szCs w:val="20"/>
              </w:rPr>
              <w:t>0.02L</w:t>
            </w:r>
          </w:p>
        </w:tc>
        <w:tc>
          <w:tcPr>
            <w:tcW w:w="1244" w:type="dxa"/>
            <w:vAlign w:val="center"/>
          </w:tcPr>
          <w:p>
            <w:pPr>
              <w:jc w:val="center"/>
              <w:rPr>
                <w:rFonts w:ascii="Times New Roman" w:hAnsi="Times New Roman"/>
                <w:szCs w:val="20"/>
              </w:rPr>
            </w:pPr>
            <w:r>
              <w:rPr>
                <w:rFonts w:ascii="Times New Roman" w:hAnsi="Times New Roman"/>
                <w:szCs w:val="20"/>
              </w:rPr>
              <w:t>0.004</w:t>
            </w:r>
          </w:p>
        </w:tc>
        <w:tc>
          <w:tcPr>
            <w:tcW w:w="1211" w:type="dxa"/>
            <w:vAlign w:val="center"/>
          </w:tcPr>
          <w:p>
            <w:pPr>
              <w:jc w:val="center"/>
              <w:rPr>
                <w:rFonts w:ascii="Times New Roman" w:hAnsi="Times New Roman"/>
                <w:szCs w:val="20"/>
              </w:rPr>
            </w:pPr>
            <w:r>
              <w:rPr>
                <w:rFonts w:ascii="Times New Roman" w:hAnsi="Times New Roman"/>
                <w:szCs w:val="20"/>
              </w:rPr>
              <w:t>10L</w:t>
            </w:r>
          </w:p>
        </w:tc>
        <w:tc>
          <w:tcPr>
            <w:tcW w:w="1249" w:type="dxa"/>
            <w:vAlign w:val="center"/>
          </w:tcPr>
          <w:p>
            <w:pPr>
              <w:jc w:val="center"/>
              <w:rPr>
                <w:rFonts w:ascii="Times New Roman" w:hAnsi="Times New Roman"/>
                <w:szCs w:val="20"/>
              </w:rPr>
            </w:pPr>
            <w:r>
              <w:rPr>
                <w:rFonts w:ascii="Times New Roman" w:hAnsi="Times New Roman"/>
                <w:szCs w:val="20"/>
              </w:rPr>
              <w:t>0.07L</w:t>
            </w:r>
          </w:p>
        </w:tc>
      </w:tr>
    </w:tbl>
    <w:p>
      <w:pPr>
        <w:pStyle w:val="65"/>
        <w:spacing w:line="480" w:lineRule="exact"/>
        <w:ind w:left="0" w:firstLine="480" w:firstLineChars="200"/>
        <w:jc w:val="both"/>
        <w:rPr>
          <w:sz w:val="24"/>
          <w:szCs w:val="24"/>
        </w:rPr>
      </w:pPr>
      <w:r>
        <w:rPr>
          <w:sz w:val="24"/>
          <w:szCs w:val="24"/>
        </w:rPr>
        <w:t>由表3.1-7可知，现有工程厂界非甲烷总烃、氯气满足《大气污染物综合排放标准》（GB16297-1996）表2无组织限值要求；硫化氢、氨气、臭气浓度执行《恶臭污染物排放标准》（GB14554-93）中恶臭污染物厂界标准值二级标准要求。</w:t>
      </w:r>
    </w:p>
    <w:p>
      <w:pPr>
        <w:widowControl/>
        <w:spacing w:line="480" w:lineRule="exact"/>
        <w:outlineLvl w:val="3"/>
        <w:rPr>
          <w:rFonts w:ascii="Times New Roman" w:hAnsi="Times New Roman" w:eastAsia="黑体"/>
          <w:sz w:val="24"/>
        </w:rPr>
      </w:pPr>
      <w:r>
        <w:rPr>
          <w:rFonts w:ascii="Times New Roman" w:hAnsi="Times New Roman" w:eastAsia="黑体"/>
          <w:sz w:val="24"/>
        </w:rPr>
        <w:t>3.1.8.3.噪声</w:t>
      </w:r>
    </w:p>
    <w:p>
      <w:pPr>
        <w:pStyle w:val="65"/>
        <w:spacing w:line="480" w:lineRule="exact"/>
        <w:ind w:left="0" w:firstLine="480" w:firstLineChars="200"/>
        <w:jc w:val="both"/>
        <w:rPr>
          <w:smallCaps w:val="0"/>
          <w:sz w:val="24"/>
          <w:szCs w:val="24"/>
        </w:rPr>
      </w:pPr>
      <w:r>
        <w:rPr>
          <w:sz w:val="24"/>
          <w:szCs w:val="24"/>
        </w:rPr>
        <w:t>现有工程采用低噪声设备，设备基础采用减震措施。</w:t>
      </w:r>
      <w:r>
        <w:rPr>
          <w:smallCaps w:val="0"/>
          <w:sz w:val="24"/>
          <w:szCs w:val="24"/>
        </w:rPr>
        <w:t>根据</w:t>
      </w:r>
      <w:r>
        <w:rPr>
          <w:sz w:val="24"/>
          <w:szCs w:val="24"/>
        </w:rPr>
        <w:t xml:space="preserve">《双鸭山市医疗废物集中处置中心项目检测报告 </w:t>
      </w:r>
      <w:r>
        <w:rPr>
          <w:rFonts w:hint="eastAsia"/>
          <w:sz w:val="24"/>
          <w:szCs w:val="24"/>
        </w:rPr>
        <w:t>噪声</w:t>
      </w:r>
      <w:r>
        <w:rPr>
          <w:sz w:val="24"/>
          <w:szCs w:val="24"/>
        </w:rPr>
        <w:t>》（2022年4月22日，佳木斯世纪阳光环境检测有限公司）</w:t>
      </w:r>
      <w:r>
        <w:rPr>
          <w:smallCaps w:val="0"/>
          <w:sz w:val="24"/>
          <w:szCs w:val="24"/>
        </w:rPr>
        <w:t>，</w:t>
      </w:r>
      <w:r>
        <w:rPr>
          <w:sz w:val="24"/>
          <w:szCs w:val="24"/>
        </w:rPr>
        <w:t>现有工程厂界噪声检测</w:t>
      </w:r>
      <w:r>
        <w:rPr>
          <w:smallCaps w:val="0"/>
          <w:sz w:val="24"/>
          <w:szCs w:val="24"/>
        </w:rPr>
        <w:t>情况见表3.1-8。</w:t>
      </w:r>
    </w:p>
    <w:p>
      <w:pPr>
        <w:spacing w:line="480" w:lineRule="exact"/>
        <w:jc w:val="center"/>
        <w:rPr>
          <w:rFonts w:ascii="Times New Roman" w:hAnsi="Times New Roman"/>
          <w:b/>
        </w:rPr>
      </w:pPr>
      <w:r>
        <w:rPr>
          <w:rFonts w:ascii="Times New Roman" w:hAnsi="Times New Roman"/>
          <w:b/>
        </w:rPr>
        <w:t>表3.1-8 现有工程厂界噪声检测情况一览表</w:t>
      </w:r>
    </w:p>
    <w:tbl>
      <w:tblPr>
        <w:tblStyle w:val="7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27"/>
        <w:gridCol w:w="2133"/>
        <w:gridCol w:w="2133"/>
        <w:gridCol w:w="213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2127" w:type="dxa"/>
            <w:vAlign w:val="center"/>
          </w:tcPr>
          <w:p>
            <w:pPr>
              <w:jc w:val="center"/>
              <w:rPr>
                <w:rFonts w:ascii="Times New Roman" w:hAnsi="Times New Roman"/>
                <w:b/>
                <w:bCs/>
                <w:szCs w:val="20"/>
              </w:rPr>
            </w:pPr>
            <w:r>
              <w:rPr>
                <w:rFonts w:ascii="Times New Roman" w:hAnsi="Times New Roman"/>
                <w:b/>
                <w:bCs/>
                <w:szCs w:val="20"/>
              </w:rPr>
              <w:t>检测点位</w:t>
            </w:r>
          </w:p>
        </w:tc>
        <w:tc>
          <w:tcPr>
            <w:tcW w:w="2133" w:type="dxa"/>
            <w:vAlign w:val="center"/>
          </w:tcPr>
          <w:p>
            <w:pPr>
              <w:jc w:val="center"/>
              <w:rPr>
                <w:rFonts w:ascii="Times New Roman" w:hAnsi="Times New Roman"/>
                <w:b/>
                <w:bCs/>
                <w:szCs w:val="20"/>
              </w:rPr>
            </w:pPr>
            <w:r>
              <w:rPr>
                <w:rFonts w:ascii="Times New Roman" w:hAnsi="Times New Roman"/>
                <w:b/>
                <w:bCs/>
                <w:szCs w:val="20"/>
              </w:rPr>
              <w:t>检测时间</w:t>
            </w:r>
          </w:p>
        </w:tc>
        <w:tc>
          <w:tcPr>
            <w:tcW w:w="2133" w:type="dxa"/>
            <w:vAlign w:val="center"/>
          </w:tcPr>
          <w:p>
            <w:pPr>
              <w:jc w:val="center"/>
              <w:rPr>
                <w:rFonts w:ascii="Times New Roman" w:hAnsi="Times New Roman"/>
                <w:b/>
                <w:bCs/>
                <w:szCs w:val="20"/>
              </w:rPr>
            </w:pPr>
            <w:r>
              <w:rPr>
                <w:rFonts w:ascii="Times New Roman" w:hAnsi="Times New Roman"/>
                <w:b/>
                <w:bCs/>
                <w:szCs w:val="20"/>
              </w:rPr>
              <w:t>昼间</w:t>
            </w:r>
            <w:r>
              <w:rPr>
                <w:rFonts w:ascii="Times New Roman" w:hAnsi="Times New Roman"/>
                <w:b/>
              </w:rPr>
              <w:t>dB（A）</w:t>
            </w:r>
          </w:p>
        </w:tc>
        <w:tc>
          <w:tcPr>
            <w:tcW w:w="2136" w:type="dxa"/>
            <w:vAlign w:val="center"/>
          </w:tcPr>
          <w:p>
            <w:pPr>
              <w:jc w:val="center"/>
              <w:rPr>
                <w:rFonts w:ascii="Times New Roman" w:hAnsi="Times New Roman"/>
                <w:b/>
                <w:bCs/>
                <w:szCs w:val="20"/>
              </w:rPr>
            </w:pPr>
            <w:r>
              <w:rPr>
                <w:rFonts w:ascii="Times New Roman" w:hAnsi="Times New Roman"/>
                <w:b/>
                <w:bCs/>
                <w:szCs w:val="20"/>
              </w:rPr>
              <w:t>夜间</w:t>
            </w:r>
            <w:r>
              <w:rPr>
                <w:rFonts w:ascii="Times New Roman" w:hAnsi="Times New Roman"/>
                <w:b/>
              </w:rPr>
              <w:t>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2127" w:type="dxa"/>
            <w:vAlign w:val="center"/>
          </w:tcPr>
          <w:p>
            <w:pPr>
              <w:jc w:val="center"/>
              <w:rPr>
                <w:rFonts w:ascii="Times New Roman" w:hAnsi="Times New Roman"/>
                <w:szCs w:val="20"/>
              </w:rPr>
            </w:pPr>
            <w:r>
              <w:rPr>
                <w:rFonts w:ascii="Times New Roman" w:hAnsi="Times New Roman"/>
                <w:szCs w:val="20"/>
              </w:rPr>
              <w:t>厂界东侧1#</w:t>
            </w:r>
          </w:p>
        </w:tc>
        <w:tc>
          <w:tcPr>
            <w:tcW w:w="2133" w:type="dxa"/>
            <w:vMerge w:val="restart"/>
            <w:vAlign w:val="center"/>
          </w:tcPr>
          <w:p>
            <w:pPr>
              <w:jc w:val="center"/>
              <w:rPr>
                <w:rFonts w:ascii="Times New Roman" w:hAnsi="Times New Roman"/>
                <w:szCs w:val="20"/>
              </w:rPr>
            </w:pPr>
            <w:r>
              <w:rPr>
                <w:rFonts w:ascii="Times New Roman" w:hAnsi="Times New Roman"/>
                <w:szCs w:val="20"/>
              </w:rPr>
              <w:t>2022.4.22</w:t>
            </w:r>
          </w:p>
        </w:tc>
        <w:tc>
          <w:tcPr>
            <w:tcW w:w="2133" w:type="dxa"/>
            <w:vAlign w:val="center"/>
          </w:tcPr>
          <w:p>
            <w:pPr>
              <w:jc w:val="center"/>
              <w:rPr>
                <w:rFonts w:ascii="Times New Roman" w:hAnsi="Times New Roman"/>
                <w:szCs w:val="20"/>
              </w:rPr>
            </w:pPr>
            <w:r>
              <w:rPr>
                <w:rFonts w:ascii="Times New Roman" w:hAnsi="Times New Roman"/>
                <w:szCs w:val="20"/>
              </w:rPr>
              <w:t>53.4</w:t>
            </w:r>
          </w:p>
        </w:tc>
        <w:tc>
          <w:tcPr>
            <w:tcW w:w="2136" w:type="dxa"/>
            <w:vAlign w:val="center"/>
          </w:tcPr>
          <w:p>
            <w:pPr>
              <w:jc w:val="center"/>
              <w:rPr>
                <w:rFonts w:ascii="Times New Roman" w:hAnsi="Times New Roman"/>
                <w:szCs w:val="20"/>
              </w:rPr>
            </w:pPr>
            <w:r>
              <w:rPr>
                <w:rFonts w:ascii="Times New Roman" w:hAnsi="Times New Roman"/>
                <w:szCs w:val="20"/>
              </w:rPr>
              <w:t>43.2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2127" w:type="dxa"/>
            <w:vAlign w:val="center"/>
          </w:tcPr>
          <w:p>
            <w:pPr>
              <w:jc w:val="center"/>
              <w:rPr>
                <w:rFonts w:ascii="Times New Roman" w:hAnsi="Times New Roman"/>
                <w:szCs w:val="20"/>
              </w:rPr>
            </w:pPr>
            <w:r>
              <w:rPr>
                <w:rFonts w:ascii="Times New Roman" w:hAnsi="Times New Roman"/>
                <w:szCs w:val="20"/>
              </w:rPr>
              <w:t>厂界南侧2#</w:t>
            </w:r>
          </w:p>
        </w:tc>
        <w:tc>
          <w:tcPr>
            <w:tcW w:w="2133" w:type="dxa"/>
            <w:vMerge w:val="continue"/>
            <w:vAlign w:val="center"/>
          </w:tcPr>
          <w:p>
            <w:pPr>
              <w:jc w:val="center"/>
              <w:rPr>
                <w:rFonts w:ascii="Times New Roman" w:hAnsi="Times New Roman"/>
                <w:szCs w:val="20"/>
              </w:rPr>
            </w:pPr>
          </w:p>
        </w:tc>
        <w:tc>
          <w:tcPr>
            <w:tcW w:w="2133" w:type="dxa"/>
            <w:vAlign w:val="center"/>
          </w:tcPr>
          <w:p>
            <w:pPr>
              <w:jc w:val="center"/>
              <w:rPr>
                <w:rFonts w:ascii="Times New Roman" w:hAnsi="Times New Roman"/>
                <w:szCs w:val="20"/>
              </w:rPr>
            </w:pPr>
            <w:r>
              <w:rPr>
                <w:rFonts w:ascii="Times New Roman" w:hAnsi="Times New Roman"/>
                <w:szCs w:val="20"/>
              </w:rPr>
              <w:t>53.6</w:t>
            </w:r>
          </w:p>
        </w:tc>
        <w:tc>
          <w:tcPr>
            <w:tcW w:w="2136" w:type="dxa"/>
            <w:vAlign w:val="center"/>
          </w:tcPr>
          <w:p>
            <w:pPr>
              <w:jc w:val="center"/>
              <w:rPr>
                <w:rFonts w:ascii="Times New Roman" w:hAnsi="Times New Roman"/>
                <w:szCs w:val="20"/>
              </w:rPr>
            </w:pPr>
            <w:r>
              <w:rPr>
                <w:rFonts w:ascii="Times New Roman" w:hAnsi="Times New Roman"/>
                <w:szCs w:val="20"/>
              </w:rPr>
              <w:t>43.8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2127" w:type="dxa"/>
            <w:vAlign w:val="center"/>
          </w:tcPr>
          <w:p>
            <w:pPr>
              <w:jc w:val="center"/>
              <w:rPr>
                <w:rFonts w:ascii="Times New Roman" w:hAnsi="Times New Roman"/>
                <w:szCs w:val="20"/>
              </w:rPr>
            </w:pPr>
            <w:r>
              <w:rPr>
                <w:rFonts w:ascii="Times New Roman" w:hAnsi="Times New Roman"/>
                <w:szCs w:val="20"/>
              </w:rPr>
              <w:t>厂界西侧3#</w:t>
            </w:r>
          </w:p>
        </w:tc>
        <w:tc>
          <w:tcPr>
            <w:tcW w:w="2133" w:type="dxa"/>
            <w:vMerge w:val="continue"/>
            <w:vAlign w:val="center"/>
          </w:tcPr>
          <w:p>
            <w:pPr>
              <w:jc w:val="center"/>
              <w:rPr>
                <w:rFonts w:ascii="Times New Roman" w:hAnsi="Times New Roman"/>
                <w:szCs w:val="20"/>
              </w:rPr>
            </w:pPr>
          </w:p>
        </w:tc>
        <w:tc>
          <w:tcPr>
            <w:tcW w:w="2133" w:type="dxa"/>
            <w:vAlign w:val="center"/>
          </w:tcPr>
          <w:p>
            <w:pPr>
              <w:jc w:val="center"/>
              <w:rPr>
                <w:rFonts w:ascii="Times New Roman" w:hAnsi="Times New Roman"/>
                <w:szCs w:val="20"/>
              </w:rPr>
            </w:pPr>
            <w:r>
              <w:rPr>
                <w:rFonts w:ascii="Times New Roman" w:hAnsi="Times New Roman"/>
                <w:szCs w:val="20"/>
              </w:rPr>
              <w:t>54.3</w:t>
            </w:r>
          </w:p>
        </w:tc>
        <w:tc>
          <w:tcPr>
            <w:tcW w:w="2136" w:type="dxa"/>
            <w:vAlign w:val="center"/>
          </w:tcPr>
          <w:p>
            <w:pPr>
              <w:jc w:val="center"/>
              <w:rPr>
                <w:rFonts w:ascii="Times New Roman" w:hAnsi="Times New Roman"/>
                <w:szCs w:val="20"/>
              </w:rPr>
            </w:pPr>
            <w:r>
              <w:rPr>
                <w:rFonts w:ascii="Times New Roman" w:hAnsi="Times New Roman"/>
                <w:szCs w:val="20"/>
              </w:rPr>
              <w:t>44.1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2127" w:type="dxa"/>
            <w:vAlign w:val="center"/>
          </w:tcPr>
          <w:p>
            <w:pPr>
              <w:jc w:val="center"/>
              <w:rPr>
                <w:rFonts w:ascii="Times New Roman" w:hAnsi="Times New Roman"/>
                <w:szCs w:val="20"/>
              </w:rPr>
            </w:pPr>
            <w:r>
              <w:rPr>
                <w:rFonts w:ascii="Times New Roman" w:hAnsi="Times New Roman"/>
                <w:szCs w:val="20"/>
              </w:rPr>
              <w:t>厂界北侧4#</w:t>
            </w:r>
          </w:p>
        </w:tc>
        <w:tc>
          <w:tcPr>
            <w:tcW w:w="2133" w:type="dxa"/>
            <w:vMerge w:val="continue"/>
            <w:vAlign w:val="center"/>
          </w:tcPr>
          <w:p>
            <w:pPr>
              <w:jc w:val="center"/>
              <w:rPr>
                <w:rFonts w:ascii="Times New Roman" w:hAnsi="Times New Roman"/>
                <w:szCs w:val="20"/>
              </w:rPr>
            </w:pPr>
          </w:p>
        </w:tc>
        <w:tc>
          <w:tcPr>
            <w:tcW w:w="2133" w:type="dxa"/>
            <w:vAlign w:val="center"/>
          </w:tcPr>
          <w:p>
            <w:pPr>
              <w:jc w:val="center"/>
              <w:rPr>
                <w:rFonts w:ascii="Times New Roman" w:hAnsi="Times New Roman"/>
                <w:szCs w:val="20"/>
              </w:rPr>
            </w:pPr>
            <w:r>
              <w:rPr>
                <w:rFonts w:ascii="Times New Roman" w:hAnsi="Times New Roman"/>
                <w:szCs w:val="20"/>
              </w:rPr>
              <w:t>53.2</w:t>
            </w:r>
          </w:p>
        </w:tc>
        <w:tc>
          <w:tcPr>
            <w:tcW w:w="2136" w:type="dxa"/>
            <w:vAlign w:val="center"/>
          </w:tcPr>
          <w:p>
            <w:pPr>
              <w:jc w:val="center"/>
              <w:rPr>
                <w:rFonts w:ascii="Times New Roman" w:hAnsi="Times New Roman"/>
                <w:szCs w:val="20"/>
              </w:rPr>
            </w:pPr>
            <w:r>
              <w:rPr>
                <w:rFonts w:ascii="Times New Roman" w:hAnsi="Times New Roman"/>
                <w:szCs w:val="20"/>
              </w:rPr>
              <w:t>43.2</w:t>
            </w:r>
          </w:p>
        </w:tc>
      </w:tr>
    </w:tbl>
    <w:p>
      <w:pPr>
        <w:pStyle w:val="65"/>
        <w:spacing w:line="480" w:lineRule="exact"/>
        <w:ind w:left="0" w:firstLine="480" w:firstLineChars="200"/>
        <w:jc w:val="both"/>
        <w:rPr>
          <w:smallCaps w:val="0"/>
          <w:sz w:val="24"/>
          <w:szCs w:val="24"/>
        </w:rPr>
      </w:pPr>
      <w:r>
        <w:rPr>
          <w:smallCaps w:val="0"/>
          <w:sz w:val="24"/>
          <w:szCs w:val="24"/>
        </w:rPr>
        <w:t>由表3.1-8可知，现有工程厂界噪声满足《工业企业厂界环境噪声排放标准》（GB12348-2008）2类区标准昼间60dB（A）、夜间50dB（A）限值要求。</w:t>
      </w:r>
    </w:p>
    <w:p>
      <w:pPr>
        <w:widowControl/>
        <w:spacing w:line="480" w:lineRule="exact"/>
        <w:outlineLvl w:val="3"/>
        <w:rPr>
          <w:rFonts w:ascii="Times New Roman" w:hAnsi="Times New Roman" w:eastAsia="黑体"/>
          <w:sz w:val="24"/>
        </w:rPr>
      </w:pPr>
      <w:r>
        <w:rPr>
          <w:rFonts w:ascii="Times New Roman" w:hAnsi="Times New Roman" w:eastAsia="黑体"/>
          <w:sz w:val="24"/>
        </w:rPr>
        <w:t>3.1.8.4.固体废物</w:t>
      </w:r>
    </w:p>
    <w:p>
      <w:pPr>
        <w:pStyle w:val="65"/>
        <w:spacing w:line="480" w:lineRule="exact"/>
        <w:ind w:left="0" w:firstLine="480" w:firstLineChars="200"/>
        <w:jc w:val="both"/>
        <w:rPr>
          <w:sz w:val="24"/>
          <w:szCs w:val="24"/>
        </w:rPr>
      </w:pPr>
      <w:r>
        <w:rPr>
          <w:sz w:val="24"/>
          <w:szCs w:val="24"/>
        </w:rPr>
        <w:t>（1）现有工程职工生活垃圾集中收集，交由环卫部门处置。</w:t>
      </w:r>
    </w:p>
    <w:p>
      <w:pPr>
        <w:pStyle w:val="65"/>
        <w:spacing w:line="480" w:lineRule="exact"/>
        <w:ind w:left="0" w:firstLine="480" w:firstLineChars="200"/>
        <w:jc w:val="both"/>
        <w:rPr>
          <w:sz w:val="24"/>
          <w:szCs w:val="24"/>
        </w:rPr>
      </w:pPr>
      <w:r>
        <w:rPr>
          <w:sz w:val="24"/>
          <w:szCs w:val="24"/>
        </w:rPr>
        <w:t>（2）现有工程处理后的医疗废物处理后的医疗废物经分袋包装后运送至厂址东侧双鸭山市生活垃圾填埋场。</w:t>
      </w:r>
    </w:p>
    <w:p>
      <w:pPr>
        <w:pStyle w:val="65"/>
        <w:spacing w:line="480" w:lineRule="exact"/>
        <w:ind w:left="0" w:firstLine="480" w:firstLineChars="200"/>
        <w:jc w:val="both"/>
        <w:rPr>
          <w:sz w:val="24"/>
          <w:szCs w:val="24"/>
        </w:rPr>
      </w:pPr>
      <w:r>
        <w:rPr>
          <w:sz w:val="24"/>
          <w:szCs w:val="24"/>
        </w:rPr>
        <w:t>（3）现有工程废活性炭和污水处理间污泥</w:t>
      </w:r>
      <w:r>
        <w:rPr>
          <w:rFonts w:hint="eastAsia"/>
          <w:sz w:val="24"/>
          <w:szCs w:val="24"/>
        </w:rPr>
        <w:t>、栅渣</w:t>
      </w:r>
      <w:r>
        <w:rPr>
          <w:sz w:val="24"/>
          <w:szCs w:val="24"/>
        </w:rPr>
        <w:t>交由黑龙江京盛华环保科技有限公司处置。</w:t>
      </w:r>
    </w:p>
    <w:p>
      <w:pPr>
        <w:widowControl/>
        <w:spacing w:line="480" w:lineRule="exact"/>
        <w:outlineLvl w:val="3"/>
        <w:rPr>
          <w:rFonts w:ascii="Times New Roman" w:hAnsi="Times New Roman" w:eastAsia="黑体"/>
          <w:sz w:val="24"/>
        </w:rPr>
      </w:pPr>
      <w:r>
        <w:rPr>
          <w:rFonts w:ascii="Times New Roman" w:hAnsi="Times New Roman" w:eastAsia="黑体"/>
          <w:sz w:val="24"/>
        </w:rPr>
        <w:t>3.1.8.5.地下水</w:t>
      </w:r>
    </w:p>
    <w:p>
      <w:pPr>
        <w:pStyle w:val="65"/>
        <w:spacing w:line="480" w:lineRule="exact"/>
        <w:ind w:left="0" w:firstLine="480" w:firstLineChars="200"/>
        <w:jc w:val="both"/>
        <w:rPr>
          <w:smallCaps w:val="0"/>
          <w:sz w:val="24"/>
          <w:szCs w:val="24"/>
        </w:rPr>
      </w:pPr>
      <w:r>
        <w:rPr>
          <w:smallCaps w:val="0"/>
          <w:sz w:val="24"/>
          <w:szCs w:val="24"/>
        </w:rPr>
        <w:t>现有工程</w:t>
      </w:r>
      <w:r>
        <w:rPr>
          <w:rFonts w:hint="eastAsia"/>
          <w:smallCaps w:val="0"/>
          <w:sz w:val="24"/>
          <w:szCs w:val="24"/>
        </w:rPr>
        <w:t>医疗废物</w:t>
      </w:r>
      <w:r>
        <w:rPr>
          <w:smallCaps w:val="0"/>
          <w:sz w:val="24"/>
          <w:szCs w:val="24"/>
        </w:rPr>
        <w:t>暂存间已按照《危险废物储存污染控制标准》</w:t>
      </w:r>
    </w:p>
    <w:p>
      <w:pPr>
        <w:pStyle w:val="65"/>
        <w:spacing w:line="480" w:lineRule="exact"/>
        <w:ind w:left="0"/>
        <w:jc w:val="both"/>
        <w:rPr>
          <w:smallCaps w:val="0"/>
          <w:sz w:val="24"/>
          <w:szCs w:val="24"/>
        </w:rPr>
      </w:pPr>
      <w:r>
        <w:rPr>
          <w:smallCaps w:val="0"/>
          <w:sz w:val="24"/>
          <w:szCs w:val="24"/>
        </w:rPr>
        <w:t>（GB18597-2001）的相关要求，基础做防渗，采用2mm厚的高密度聚乙烯，渗透系数≤10</w:t>
      </w:r>
      <w:r>
        <w:rPr>
          <w:smallCaps w:val="0"/>
          <w:sz w:val="24"/>
          <w:szCs w:val="24"/>
          <w:vertAlign w:val="superscript"/>
        </w:rPr>
        <w:t>-10</w:t>
      </w:r>
      <w:r>
        <w:rPr>
          <w:smallCaps w:val="0"/>
          <w:sz w:val="24"/>
          <w:szCs w:val="24"/>
        </w:rPr>
        <w:t>cm/s。</w:t>
      </w:r>
      <w:r>
        <w:rPr>
          <w:rFonts w:hint="eastAsia"/>
          <w:smallCaps w:val="0"/>
          <w:sz w:val="24"/>
          <w:szCs w:val="24"/>
        </w:rPr>
        <w:t xml:space="preserve"> </w:t>
      </w:r>
    </w:p>
    <w:p>
      <w:pPr>
        <w:widowControl/>
        <w:spacing w:line="480" w:lineRule="exact"/>
        <w:outlineLvl w:val="3"/>
        <w:rPr>
          <w:rFonts w:ascii="Times New Roman" w:hAnsi="Times New Roman" w:eastAsia="黑体"/>
          <w:sz w:val="24"/>
        </w:rPr>
      </w:pPr>
      <w:r>
        <w:rPr>
          <w:rFonts w:ascii="Times New Roman" w:hAnsi="Times New Roman" w:eastAsia="黑体"/>
          <w:sz w:val="24"/>
        </w:rPr>
        <w:t>3.1.8.6.环境风险</w:t>
      </w:r>
    </w:p>
    <w:p>
      <w:pPr>
        <w:spacing w:line="480" w:lineRule="exact"/>
        <w:ind w:firstLine="480" w:firstLineChars="200"/>
        <w:rPr>
          <w:rFonts w:ascii="Times New Roman" w:hAnsi="Times New Roman"/>
          <w:sz w:val="24"/>
          <w:szCs w:val="24"/>
        </w:rPr>
      </w:pPr>
      <w:r>
        <w:rPr>
          <w:rFonts w:ascii="Times New Roman" w:hAnsi="Times New Roman"/>
          <w:sz w:val="24"/>
          <w:szCs w:val="24"/>
        </w:rPr>
        <w:t>企业已制定环境风险应急预案，并于2021年在双鸭山市四方台生态环境局进行了备案。备案号为230505-2021-008-L。</w:t>
      </w:r>
    </w:p>
    <w:p>
      <w:pPr>
        <w:pStyle w:val="4"/>
        <w:spacing w:before="120" w:beforeLines="50" w:after="120" w:afterLines="50" w:line="480" w:lineRule="exact"/>
        <w:rPr>
          <w:rFonts w:ascii="Times New Roman" w:hAnsi="Times New Roman" w:eastAsia="黑体"/>
          <w:bCs/>
          <w:sz w:val="28"/>
          <w:szCs w:val="28"/>
        </w:rPr>
      </w:pPr>
      <w:bookmarkStart w:id="458" w:name="_Toc12565"/>
      <w:bookmarkStart w:id="459" w:name="_Toc13954"/>
      <w:bookmarkStart w:id="460" w:name="_Toc32541"/>
      <w:bookmarkStart w:id="461" w:name="_Toc15746"/>
      <w:bookmarkStart w:id="462" w:name="_Toc17914"/>
      <w:r>
        <w:rPr>
          <w:rFonts w:ascii="Times New Roman" w:hAnsi="Times New Roman" w:eastAsia="黑体"/>
          <w:bCs/>
          <w:sz w:val="28"/>
          <w:szCs w:val="28"/>
        </w:rPr>
        <w:t>产排污情况汇总</w:t>
      </w:r>
      <w:bookmarkEnd w:id="458"/>
      <w:bookmarkEnd w:id="459"/>
      <w:bookmarkEnd w:id="460"/>
      <w:bookmarkEnd w:id="461"/>
      <w:bookmarkEnd w:id="462"/>
    </w:p>
    <w:p>
      <w:pPr>
        <w:spacing w:line="480" w:lineRule="exact"/>
        <w:ind w:firstLine="480" w:firstLineChars="200"/>
        <w:rPr>
          <w:rFonts w:ascii="Times New Roman" w:hAnsi="Times New Roman"/>
          <w:sz w:val="24"/>
          <w:szCs w:val="24"/>
        </w:rPr>
      </w:pPr>
      <w:r>
        <w:rPr>
          <w:rFonts w:ascii="Times New Roman" w:hAnsi="Times New Roman"/>
          <w:sz w:val="24"/>
          <w:szCs w:val="24"/>
        </w:rPr>
        <w:t>现有工程产排污情况见表3.1-9。</w:t>
      </w:r>
      <w:r>
        <w:rPr>
          <w:rFonts w:hint="eastAsia" w:ascii="Times New Roman" w:hAnsi="Times New Roman"/>
          <w:sz w:val="24"/>
          <w:szCs w:val="24"/>
        </w:rPr>
        <w:t>现有工程排放浓度类比《黑龙江省医疗废物应急处置中心暨尚志市医疗废物集中处置中心项目（二期）竣工环境保护验收监测报告》中的监测数据。灭菌车间排气筒数据来自《双鸭山市医疗废物集中处置中心项目检测报告</w:t>
      </w:r>
      <w:r>
        <w:rPr>
          <w:rFonts w:ascii="Times New Roman" w:hAnsi="Times New Roman"/>
          <w:sz w:val="24"/>
          <w:szCs w:val="24"/>
        </w:rPr>
        <w:t xml:space="preserve"> 有组织废气》（2022年3月13日，佳木斯世纪阳光环境检测有限公司）</w:t>
      </w:r>
      <w:r>
        <w:rPr>
          <w:rFonts w:hint="eastAsia" w:ascii="Times New Roman" w:hAnsi="Times New Roman"/>
          <w:sz w:val="24"/>
          <w:szCs w:val="24"/>
        </w:rPr>
        <w:t>的监测数据。</w:t>
      </w:r>
    </w:p>
    <w:p>
      <w:pPr>
        <w:spacing w:line="480" w:lineRule="exact"/>
        <w:jc w:val="center"/>
        <w:rPr>
          <w:rFonts w:ascii="Times New Roman" w:hAnsi="Times New Roman"/>
          <w:b/>
        </w:rPr>
      </w:pPr>
      <w:r>
        <w:rPr>
          <w:rFonts w:ascii="Times New Roman" w:hAnsi="Times New Roman"/>
          <w:b/>
        </w:rPr>
        <w:t>表3.1-9 现有工程产排污情况一览表</w:t>
      </w:r>
    </w:p>
    <w:tbl>
      <w:tblPr>
        <w:tblStyle w:val="7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7"/>
        <w:gridCol w:w="1282"/>
        <w:gridCol w:w="1282"/>
        <w:gridCol w:w="1538"/>
        <w:gridCol w:w="932"/>
        <w:gridCol w:w="280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670" w:type="dxa"/>
            <w:tcBorders>
              <w:top w:val="single" w:color="auto" w:sz="12" w:space="0"/>
            </w:tcBorders>
            <w:vAlign w:val="center"/>
          </w:tcPr>
          <w:p>
            <w:pPr>
              <w:jc w:val="center"/>
              <w:rPr>
                <w:rFonts w:ascii="Times New Roman" w:hAnsi="Times New Roman"/>
                <w:b/>
                <w:bCs/>
                <w:szCs w:val="20"/>
              </w:rPr>
            </w:pPr>
            <w:r>
              <w:rPr>
                <w:rFonts w:ascii="Times New Roman" w:hAnsi="Times New Roman"/>
                <w:b/>
                <w:bCs/>
                <w:szCs w:val="20"/>
              </w:rPr>
              <w:t>环境要素</w:t>
            </w:r>
          </w:p>
        </w:tc>
        <w:tc>
          <w:tcPr>
            <w:tcW w:w="1250" w:type="dxa"/>
            <w:tcBorders>
              <w:top w:val="single" w:color="auto" w:sz="12" w:space="0"/>
            </w:tcBorders>
            <w:vAlign w:val="center"/>
          </w:tcPr>
          <w:p>
            <w:pPr>
              <w:jc w:val="center"/>
              <w:rPr>
                <w:rFonts w:ascii="Times New Roman" w:hAnsi="Times New Roman"/>
                <w:b/>
                <w:bCs/>
                <w:szCs w:val="20"/>
              </w:rPr>
            </w:pPr>
            <w:r>
              <w:rPr>
                <w:rFonts w:ascii="Times New Roman" w:hAnsi="Times New Roman"/>
                <w:b/>
                <w:bCs/>
                <w:szCs w:val="20"/>
              </w:rPr>
              <w:t>污染源</w:t>
            </w:r>
          </w:p>
        </w:tc>
        <w:tc>
          <w:tcPr>
            <w:tcW w:w="1250" w:type="dxa"/>
            <w:tcBorders>
              <w:top w:val="single" w:color="auto" w:sz="12" w:space="0"/>
            </w:tcBorders>
            <w:vAlign w:val="center"/>
          </w:tcPr>
          <w:p>
            <w:pPr>
              <w:jc w:val="center"/>
              <w:rPr>
                <w:rFonts w:ascii="Times New Roman" w:hAnsi="Times New Roman"/>
                <w:b/>
                <w:bCs/>
                <w:szCs w:val="20"/>
              </w:rPr>
            </w:pPr>
            <w:r>
              <w:rPr>
                <w:rFonts w:ascii="Times New Roman" w:hAnsi="Times New Roman"/>
                <w:b/>
                <w:bCs/>
                <w:szCs w:val="20"/>
              </w:rPr>
              <w:t>污染物</w:t>
            </w:r>
          </w:p>
        </w:tc>
        <w:tc>
          <w:tcPr>
            <w:tcW w:w="1499" w:type="dxa"/>
            <w:tcBorders>
              <w:top w:val="single" w:color="auto" w:sz="12" w:space="0"/>
            </w:tcBorders>
            <w:vAlign w:val="center"/>
          </w:tcPr>
          <w:p>
            <w:pPr>
              <w:jc w:val="center"/>
              <w:rPr>
                <w:rFonts w:ascii="Times New Roman" w:hAnsi="Times New Roman"/>
                <w:b/>
                <w:bCs/>
                <w:szCs w:val="20"/>
              </w:rPr>
            </w:pPr>
            <w:r>
              <w:rPr>
                <w:rFonts w:ascii="Times New Roman" w:hAnsi="Times New Roman"/>
                <w:b/>
                <w:bCs/>
                <w:szCs w:val="20"/>
              </w:rPr>
              <w:t>排放浓度</w:t>
            </w:r>
          </w:p>
        </w:tc>
        <w:tc>
          <w:tcPr>
            <w:tcW w:w="908" w:type="dxa"/>
            <w:tcBorders>
              <w:top w:val="single" w:color="auto" w:sz="12" w:space="0"/>
            </w:tcBorders>
            <w:vAlign w:val="center"/>
          </w:tcPr>
          <w:p>
            <w:pPr>
              <w:jc w:val="center"/>
              <w:rPr>
                <w:rFonts w:ascii="Times New Roman" w:hAnsi="Times New Roman"/>
                <w:b/>
                <w:bCs/>
                <w:szCs w:val="20"/>
              </w:rPr>
            </w:pPr>
            <w:r>
              <w:rPr>
                <w:rFonts w:ascii="Times New Roman" w:hAnsi="Times New Roman"/>
                <w:b/>
                <w:bCs/>
                <w:szCs w:val="20"/>
              </w:rPr>
              <w:t>排放量</w:t>
            </w:r>
          </w:p>
        </w:tc>
        <w:tc>
          <w:tcPr>
            <w:tcW w:w="2736" w:type="dxa"/>
            <w:tcBorders>
              <w:top w:val="single" w:color="auto" w:sz="12" w:space="0"/>
            </w:tcBorders>
            <w:vAlign w:val="center"/>
          </w:tcPr>
          <w:p>
            <w:pPr>
              <w:jc w:val="center"/>
              <w:rPr>
                <w:rFonts w:ascii="Times New Roman" w:hAnsi="Times New Roman"/>
                <w:b/>
                <w:bCs/>
                <w:szCs w:val="20"/>
              </w:rPr>
            </w:pPr>
            <w:r>
              <w:rPr>
                <w:rFonts w:ascii="Times New Roman" w:hAnsi="Times New Roman"/>
                <w:b/>
                <w:bCs/>
                <w:szCs w:val="20"/>
              </w:rPr>
              <w:t>去向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670" w:type="dxa"/>
            <w:vMerge w:val="restart"/>
            <w:vAlign w:val="center"/>
          </w:tcPr>
          <w:p>
            <w:pPr>
              <w:jc w:val="center"/>
              <w:rPr>
                <w:rFonts w:ascii="Times New Roman" w:hAnsi="Times New Roman"/>
                <w:szCs w:val="20"/>
              </w:rPr>
            </w:pPr>
            <w:r>
              <w:rPr>
                <w:rFonts w:ascii="Times New Roman" w:hAnsi="Times New Roman"/>
                <w:szCs w:val="20"/>
              </w:rPr>
              <w:t>废水</w:t>
            </w:r>
          </w:p>
        </w:tc>
        <w:tc>
          <w:tcPr>
            <w:tcW w:w="1250" w:type="dxa"/>
            <w:vMerge w:val="restart"/>
            <w:vAlign w:val="center"/>
          </w:tcPr>
          <w:p>
            <w:pPr>
              <w:jc w:val="center"/>
              <w:rPr>
                <w:rFonts w:ascii="Times New Roman" w:hAnsi="Times New Roman"/>
                <w:szCs w:val="20"/>
              </w:rPr>
            </w:pPr>
            <w:r>
              <w:rPr>
                <w:rFonts w:ascii="Times New Roman" w:hAnsi="Times New Roman"/>
                <w:szCs w:val="20"/>
              </w:rPr>
              <w:t>污水</w:t>
            </w:r>
          </w:p>
          <w:p>
            <w:pPr>
              <w:jc w:val="center"/>
              <w:rPr>
                <w:rFonts w:ascii="Times New Roman" w:hAnsi="Times New Roman"/>
                <w:szCs w:val="20"/>
              </w:rPr>
            </w:pPr>
            <w:r>
              <w:rPr>
                <w:rFonts w:ascii="Times New Roman" w:hAnsi="Times New Roman"/>
                <w:szCs w:val="20"/>
              </w:rPr>
              <w:t>1667.83t/a</w:t>
            </w:r>
          </w:p>
        </w:tc>
        <w:tc>
          <w:tcPr>
            <w:tcW w:w="1250" w:type="dxa"/>
            <w:vAlign w:val="center"/>
          </w:tcPr>
          <w:p>
            <w:pPr>
              <w:jc w:val="center"/>
              <w:rPr>
                <w:rFonts w:ascii="Times New Roman" w:hAnsi="Times New Roman"/>
                <w:szCs w:val="20"/>
              </w:rPr>
            </w:pPr>
            <w:r>
              <w:rPr>
                <w:rFonts w:ascii="Times New Roman" w:hAnsi="Times New Roman"/>
                <w:szCs w:val="20"/>
              </w:rPr>
              <w:t>COD</w:t>
            </w:r>
          </w:p>
        </w:tc>
        <w:tc>
          <w:tcPr>
            <w:tcW w:w="1499" w:type="dxa"/>
            <w:vAlign w:val="center"/>
          </w:tcPr>
          <w:p>
            <w:pPr>
              <w:jc w:val="center"/>
              <w:rPr>
                <w:rFonts w:ascii="Times New Roman" w:hAnsi="Times New Roman"/>
                <w:szCs w:val="20"/>
              </w:rPr>
            </w:pPr>
            <w:r>
              <w:rPr>
                <w:rFonts w:ascii="Times New Roman" w:hAnsi="Times New Roman"/>
                <w:szCs w:val="20"/>
              </w:rPr>
              <w:t>6mg/L</w:t>
            </w:r>
          </w:p>
        </w:tc>
        <w:tc>
          <w:tcPr>
            <w:tcW w:w="908" w:type="dxa"/>
            <w:vAlign w:val="center"/>
          </w:tcPr>
          <w:p>
            <w:pPr>
              <w:jc w:val="center"/>
              <w:rPr>
                <w:rFonts w:ascii="Times New Roman" w:hAnsi="Times New Roman"/>
                <w:szCs w:val="20"/>
              </w:rPr>
            </w:pPr>
            <w:r>
              <w:rPr>
                <w:rFonts w:ascii="Times New Roman" w:hAnsi="Times New Roman"/>
                <w:szCs w:val="20"/>
              </w:rPr>
              <w:t>0.010t/a</w:t>
            </w:r>
          </w:p>
        </w:tc>
        <w:tc>
          <w:tcPr>
            <w:tcW w:w="2736" w:type="dxa"/>
            <w:vMerge w:val="restart"/>
            <w:vAlign w:val="center"/>
          </w:tcPr>
          <w:p>
            <w:pPr>
              <w:adjustRightInd w:val="0"/>
              <w:snapToGrid w:val="0"/>
              <w:rPr>
                <w:rFonts w:ascii="Times New Roman" w:hAnsi="Times New Roman"/>
                <w:kern w:val="2"/>
              </w:rPr>
            </w:pPr>
            <w:r>
              <w:rPr>
                <w:rFonts w:ascii="Times New Roman" w:hAnsi="Times New Roman"/>
                <w:kern w:val="2"/>
              </w:rPr>
              <w:t>生产废水经企业原有污水处理站(工艺流程：格栅→调节池→一体化污水处理设备(水解酸化池→接触氧化池 →二沉池 →MBR池) →二氧化氯发生器→回用水池) 处理后满足《城市污水再生利用城市杂用水水质》( GB/T18920-2002 ) 中“车辆冲洗标准”，厂内全部回用 (回用于车间地面消毒清洗用水、转运车消毒清洗用水和周转箱消毒清洗用水) ，不外排。</w:t>
            </w:r>
            <w:r>
              <w:rPr>
                <w:rFonts w:hint="eastAsia" w:ascii="Times New Roman" w:hAnsi="Times New Roman"/>
                <w:kern w:val="2"/>
              </w:rPr>
              <w:t>生活污水通过罐车运送至双鸭山市城市污水处理厂处理后达到《城镇污水处理厂污染物排放标准》（GB18918-2002）一级A标准后排放。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670" w:type="dxa"/>
            <w:vMerge w:val="continue"/>
            <w:vAlign w:val="center"/>
          </w:tcPr>
          <w:p>
            <w:pPr>
              <w:jc w:val="center"/>
              <w:rPr>
                <w:rFonts w:ascii="Times New Roman" w:hAnsi="Times New Roman"/>
                <w:szCs w:val="20"/>
              </w:rPr>
            </w:pPr>
          </w:p>
        </w:tc>
        <w:tc>
          <w:tcPr>
            <w:tcW w:w="1250" w:type="dxa"/>
            <w:vMerge w:val="continue"/>
            <w:vAlign w:val="center"/>
          </w:tcPr>
          <w:p>
            <w:pPr>
              <w:jc w:val="center"/>
              <w:rPr>
                <w:rFonts w:ascii="Times New Roman" w:hAnsi="Times New Roman"/>
                <w:szCs w:val="20"/>
              </w:rPr>
            </w:pPr>
          </w:p>
        </w:tc>
        <w:tc>
          <w:tcPr>
            <w:tcW w:w="1250" w:type="dxa"/>
            <w:vAlign w:val="center"/>
          </w:tcPr>
          <w:p>
            <w:pPr>
              <w:jc w:val="center"/>
              <w:rPr>
                <w:rFonts w:ascii="Times New Roman" w:hAnsi="Times New Roman"/>
                <w:szCs w:val="20"/>
              </w:rPr>
            </w:pPr>
            <w:r>
              <w:rPr>
                <w:rFonts w:ascii="Times New Roman" w:hAnsi="Times New Roman"/>
                <w:szCs w:val="20"/>
              </w:rPr>
              <w:t>BOD</w:t>
            </w:r>
            <w:r>
              <w:rPr>
                <w:rFonts w:ascii="Times New Roman" w:hAnsi="Times New Roman"/>
                <w:szCs w:val="20"/>
                <w:vertAlign w:val="subscript"/>
              </w:rPr>
              <w:t>5</w:t>
            </w:r>
          </w:p>
        </w:tc>
        <w:tc>
          <w:tcPr>
            <w:tcW w:w="1499" w:type="dxa"/>
            <w:vAlign w:val="center"/>
          </w:tcPr>
          <w:p>
            <w:pPr>
              <w:jc w:val="center"/>
              <w:rPr>
                <w:rFonts w:ascii="Times New Roman" w:hAnsi="Times New Roman"/>
                <w:szCs w:val="20"/>
              </w:rPr>
            </w:pPr>
            <w:r>
              <w:rPr>
                <w:rFonts w:ascii="Times New Roman" w:hAnsi="Times New Roman"/>
                <w:szCs w:val="20"/>
              </w:rPr>
              <w:t>2.94mg/L</w:t>
            </w:r>
          </w:p>
        </w:tc>
        <w:tc>
          <w:tcPr>
            <w:tcW w:w="908" w:type="dxa"/>
            <w:vAlign w:val="center"/>
          </w:tcPr>
          <w:p>
            <w:pPr>
              <w:jc w:val="center"/>
              <w:rPr>
                <w:rFonts w:ascii="Times New Roman" w:hAnsi="Times New Roman"/>
                <w:szCs w:val="20"/>
              </w:rPr>
            </w:pPr>
            <w:r>
              <w:rPr>
                <w:rFonts w:ascii="Times New Roman" w:hAnsi="Times New Roman"/>
                <w:szCs w:val="20"/>
              </w:rPr>
              <w:t>0.0049t/a</w:t>
            </w:r>
          </w:p>
        </w:tc>
        <w:tc>
          <w:tcPr>
            <w:tcW w:w="2736" w:type="dxa"/>
            <w:vMerge w:val="continue"/>
            <w:vAlign w:val="center"/>
          </w:tcPr>
          <w:p>
            <w:pPr>
              <w:jc w:val="center"/>
              <w:rPr>
                <w:rFonts w:ascii="Times New Roman" w:hAnsi="Times New Roman"/>
                <w:szCs w:val="2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670" w:type="dxa"/>
            <w:vMerge w:val="continue"/>
            <w:vAlign w:val="center"/>
          </w:tcPr>
          <w:p>
            <w:pPr>
              <w:jc w:val="center"/>
              <w:rPr>
                <w:rFonts w:ascii="Times New Roman" w:hAnsi="Times New Roman"/>
                <w:szCs w:val="20"/>
              </w:rPr>
            </w:pPr>
          </w:p>
        </w:tc>
        <w:tc>
          <w:tcPr>
            <w:tcW w:w="1250" w:type="dxa"/>
            <w:vMerge w:val="continue"/>
            <w:vAlign w:val="center"/>
          </w:tcPr>
          <w:p>
            <w:pPr>
              <w:jc w:val="center"/>
              <w:rPr>
                <w:rFonts w:ascii="Times New Roman" w:hAnsi="Times New Roman"/>
                <w:szCs w:val="20"/>
              </w:rPr>
            </w:pPr>
          </w:p>
        </w:tc>
        <w:tc>
          <w:tcPr>
            <w:tcW w:w="1250" w:type="dxa"/>
            <w:vAlign w:val="center"/>
          </w:tcPr>
          <w:p>
            <w:pPr>
              <w:jc w:val="center"/>
              <w:rPr>
                <w:rFonts w:ascii="Times New Roman" w:hAnsi="Times New Roman"/>
                <w:szCs w:val="20"/>
              </w:rPr>
            </w:pPr>
            <w:r>
              <w:rPr>
                <w:rFonts w:ascii="Times New Roman" w:hAnsi="Times New Roman"/>
                <w:szCs w:val="20"/>
              </w:rPr>
              <w:t>SS</w:t>
            </w:r>
          </w:p>
        </w:tc>
        <w:tc>
          <w:tcPr>
            <w:tcW w:w="1499" w:type="dxa"/>
            <w:vAlign w:val="center"/>
          </w:tcPr>
          <w:p>
            <w:pPr>
              <w:jc w:val="center"/>
              <w:rPr>
                <w:rFonts w:ascii="Times New Roman" w:hAnsi="Times New Roman"/>
                <w:szCs w:val="20"/>
              </w:rPr>
            </w:pPr>
            <w:r>
              <w:rPr>
                <w:rFonts w:ascii="Times New Roman" w:hAnsi="Times New Roman"/>
                <w:szCs w:val="20"/>
              </w:rPr>
              <w:t>3mg/L</w:t>
            </w:r>
          </w:p>
        </w:tc>
        <w:tc>
          <w:tcPr>
            <w:tcW w:w="908" w:type="dxa"/>
            <w:vAlign w:val="center"/>
          </w:tcPr>
          <w:p>
            <w:pPr>
              <w:jc w:val="center"/>
              <w:rPr>
                <w:rFonts w:ascii="Times New Roman" w:hAnsi="Times New Roman"/>
                <w:szCs w:val="20"/>
              </w:rPr>
            </w:pPr>
            <w:r>
              <w:rPr>
                <w:rFonts w:ascii="Times New Roman" w:hAnsi="Times New Roman"/>
                <w:szCs w:val="20"/>
              </w:rPr>
              <w:t>0.005t/a</w:t>
            </w:r>
          </w:p>
        </w:tc>
        <w:tc>
          <w:tcPr>
            <w:tcW w:w="2736" w:type="dxa"/>
            <w:vMerge w:val="continue"/>
            <w:vAlign w:val="center"/>
          </w:tcPr>
          <w:p>
            <w:pPr>
              <w:jc w:val="center"/>
              <w:rPr>
                <w:rFonts w:ascii="Times New Roman" w:hAnsi="Times New Roman"/>
                <w:szCs w:val="2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670" w:type="dxa"/>
            <w:vMerge w:val="continue"/>
            <w:vAlign w:val="center"/>
          </w:tcPr>
          <w:p>
            <w:pPr>
              <w:jc w:val="center"/>
              <w:rPr>
                <w:rFonts w:ascii="Times New Roman" w:hAnsi="Times New Roman"/>
                <w:szCs w:val="20"/>
              </w:rPr>
            </w:pPr>
          </w:p>
        </w:tc>
        <w:tc>
          <w:tcPr>
            <w:tcW w:w="1250" w:type="dxa"/>
            <w:vMerge w:val="continue"/>
            <w:vAlign w:val="center"/>
          </w:tcPr>
          <w:p>
            <w:pPr>
              <w:jc w:val="center"/>
              <w:rPr>
                <w:rFonts w:ascii="Times New Roman" w:hAnsi="Times New Roman"/>
                <w:szCs w:val="20"/>
              </w:rPr>
            </w:pPr>
          </w:p>
        </w:tc>
        <w:tc>
          <w:tcPr>
            <w:tcW w:w="1250" w:type="dxa"/>
            <w:vAlign w:val="center"/>
          </w:tcPr>
          <w:p>
            <w:pPr>
              <w:jc w:val="center"/>
              <w:rPr>
                <w:rFonts w:ascii="Times New Roman" w:hAnsi="Times New Roman"/>
                <w:szCs w:val="20"/>
              </w:rPr>
            </w:pPr>
            <w:r>
              <w:rPr>
                <w:rFonts w:ascii="Times New Roman" w:hAnsi="Times New Roman"/>
              </w:rPr>
              <w:t>NH</w:t>
            </w:r>
            <w:r>
              <w:rPr>
                <w:rFonts w:ascii="Times New Roman" w:hAnsi="Times New Roman"/>
                <w:vertAlign w:val="subscript"/>
              </w:rPr>
              <w:t>3</w:t>
            </w:r>
            <w:r>
              <w:rPr>
                <w:rFonts w:ascii="Times New Roman" w:hAnsi="Times New Roman"/>
              </w:rPr>
              <w:t>-N</w:t>
            </w:r>
          </w:p>
        </w:tc>
        <w:tc>
          <w:tcPr>
            <w:tcW w:w="1499" w:type="dxa"/>
            <w:vAlign w:val="center"/>
          </w:tcPr>
          <w:p>
            <w:pPr>
              <w:jc w:val="center"/>
              <w:rPr>
                <w:rFonts w:ascii="Times New Roman" w:hAnsi="Times New Roman"/>
                <w:szCs w:val="20"/>
              </w:rPr>
            </w:pPr>
            <w:r>
              <w:rPr>
                <w:rFonts w:ascii="Times New Roman" w:hAnsi="Times New Roman"/>
              </w:rPr>
              <w:t>7.1</w:t>
            </w:r>
            <w:r>
              <w:rPr>
                <w:rFonts w:ascii="Times New Roman" w:hAnsi="Times New Roman"/>
                <w:szCs w:val="20"/>
              </w:rPr>
              <w:t>mg/L</w:t>
            </w:r>
          </w:p>
        </w:tc>
        <w:tc>
          <w:tcPr>
            <w:tcW w:w="908" w:type="dxa"/>
            <w:vAlign w:val="center"/>
          </w:tcPr>
          <w:p>
            <w:pPr>
              <w:jc w:val="center"/>
              <w:rPr>
                <w:rFonts w:ascii="Times New Roman" w:hAnsi="Times New Roman"/>
                <w:szCs w:val="20"/>
              </w:rPr>
            </w:pPr>
            <w:r>
              <w:rPr>
                <w:rFonts w:ascii="Times New Roman" w:hAnsi="Times New Roman"/>
                <w:szCs w:val="20"/>
              </w:rPr>
              <w:t>0.011t/a</w:t>
            </w:r>
          </w:p>
        </w:tc>
        <w:tc>
          <w:tcPr>
            <w:tcW w:w="2736" w:type="dxa"/>
            <w:vMerge w:val="continue"/>
            <w:vAlign w:val="center"/>
          </w:tcPr>
          <w:p>
            <w:pPr>
              <w:jc w:val="center"/>
              <w:rPr>
                <w:rFonts w:ascii="Times New Roman" w:hAnsi="Times New Roman"/>
                <w:szCs w:val="2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92" w:hRule="atLeast"/>
          <w:jc w:val="center"/>
        </w:trPr>
        <w:tc>
          <w:tcPr>
            <w:tcW w:w="670" w:type="dxa"/>
            <w:vMerge w:val="restart"/>
            <w:tcBorders>
              <w:bottom w:val="single" w:color="auto" w:sz="4" w:space="0"/>
            </w:tcBorders>
            <w:vAlign w:val="center"/>
          </w:tcPr>
          <w:p>
            <w:pPr>
              <w:jc w:val="center"/>
              <w:rPr>
                <w:rFonts w:ascii="Times New Roman" w:hAnsi="Times New Roman"/>
                <w:szCs w:val="20"/>
              </w:rPr>
            </w:pPr>
            <w:r>
              <w:rPr>
                <w:rFonts w:ascii="Times New Roman" w:hAnsi="Times New Roman"/>
                <w:szCs w:val="20"/>
              </w:rPr>
              <w:t>废气</w:t>
            </w:r>
          </w:p>
        </w:tc>
        <w:tc>
          <w:tcPr>
            <w:tcW w:w="1250" w:type="dxa"/>
            <w:vMerge w:val="restart"/>
            <w:tcBorders>
              <w:bottom w:val="single" w:color="auto" w:sz="4" w:space="0"/>
            </w:tcBorders>
            <w:vAlign w:val="center"/>
          </w:tcPr>
          <w:p>
            <w:pPr>
              <w:rPr>
                <w:rFonts w:ascii="Times New Roman" w:hAnsi="Times New Roman"/>
                <w:szCs w:val="20"/>
              </w:rPr>
            </w:pPr>
            <w:r>
              <w:rPr>
                <w:rFonts w:ascii="Times New Roman" w:hAnsi="Times New Roman"/>
                <w:szCs w:val="20"/>
              </w:rPr>
              <w:t>灭菌车间排气筒</w:t>
            </w:r>
          </w:p>
        </w:tc>
        <w:tc>
          <w:tcPr>
            <w:tcW w:w="1250" w:type="dxa"/>
            <w:tcBorders>
              <w:bottom w:val="single" w:color="auto" w:sz="4" w:space="0"/>
            </w:tcBorders>
            <w:vAlign w:val="center"/>
          </w:tcPr>
          <w:p>
            <w:pPr>
              <w:jc w:val="center"/>
              <w:rPr>
                <w:rFonts w:ascii="Times New Roman" w:hAnsi="Times New Roman"/>
                <w:szCs w:val="20"/>
              </w:rPr>
            </w:pPr>
            <w:r>
              <w:rPr>
                <w:rFonts w:ascii="Times New Roman" w:hAnsi="Times New Roman"/>
                <w:szCs w:val="20"/>
              </w:rPr>
              <w:t>氨</w:t>
            </w:r>
          </w:p>
        </w:tc>
        <w:tc>
          <w:tcPr>
            <w:tcW w:w="1499" w:type="dxa"/>
            <w:tcBorders>
              <w:bottom w:val="single" w:color="auto" w:sz="4" w:space="0"/>
            </w:tcBorders>
            <w:vAlign w:val="center"/>
          </w:tcPr>
          <w:p>
            <w:pPr>
              <w:jc w:val="center"/>
              <w:rPr>
                <w:rFonts w:ascii="Times New Roman" w:hAnsi="Times New Roman"/>
                <w:szCs w:val="20"/>
              </w:rPr>
            </w:pPr>
            <w:r>
              <w:rPr>
                <w:rFonts w:ascii="Times New Roman" w:hAnsi="Times New Roman"/>
                <w:szCs w:val="20"/>
              </w:rPr>
              <w:t>0.3</w:t>
            </w:r>
          </w:p>
        </w:tc>
        <w:tc>
          <w:tcPr>
            <w:tcW w:w="908" w:type="dxa"/>
            <w:tcBorders>
              <w:bottom w:val="single" w:color="auto" w:sz="4" w:space="0"/>
            </w:tcBorders>
            <w:vAlign w:val="center"/>
          </w:tcPr>
          <w:p>
            <w:pPr>
              <w:jc w:val="center"/>
              <w:rPr>
                <w:rFonts w:ascii="Times New Roman" w:hAnsi="Times New Roman"/>
                <w:szCs w:val="20"/>
              </w:rPr>
            </w:pPr>
            <w:r>
              <w:rPr>
                <w:rFonts w:ascii="Times New Roman" w:hAnsi="Times New Roman"/>
                <w:szCs w:val="20"/>
              </w:rPr>
              <w:t>0.00325</w:t>
            </w:r>
          </w:p>
        </w:tc>
        <w:tc>
          <w:tcPr>
            <w:tcW w:w="2736" w:type="dxa"/>
            <w:vMerge w:val="restart"/>
            <w:tcBorders>
              <w:bottom w:val="single" w:color="auto" w:sz="4" w:space="0"/>
            </w:tcBorders>
            <w:vAlign w:val="center"/>
          </w:tcPr>
          <w:p>
            <w:pPr>
              <w:jc w:val="center"/>
              <w:rPr>
                <w:rFonts w:ascii="Times New Roman" w:hAnsi="Times New Roman"/>
                <w:szCs w:val="20"/>
              </w:rPr>
            </w:pPr>
            <w:r>
              <w:rPr>
                <w:rFonts w:ascii="Times New Roman" w:hAnsi="Times New Roman"/>
                <w:szCs w:val="20"/>
              </w:rPr>
              <w:t>除臭塔后15m高排气筒排放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670" w:type="dxa"/>
            <w:vMerge w:val="continue"/>
            <w:vAlign w:val="center"/>
          </w:tcPr>
          <w:p>
            <w:pPr>
              <w:jc w:val="center"/>
              <w:rPr>
                <w:rFonts w:ascii="Times New Roman" w:hAnsi="Times New Roman"/>
                <w:szCs w:val="20"/>
              </w:rPr>
            </w:pPr>
          </w:p>
        </w:tc>
        <w:tc>
          <w:tcPr>
            <w:tcW w:w="1250" w:type="dxa"/>
            <w:vMerge w:val="continue"/>
            <w:vAlign w:val="center"/>
          </w:tcPr>
          <w:p>
            <w:pPr>
              <w:jc w:val="center"/>
              <w:rPr>
                <w:rFonts w:ascii="Times New Roman" w:hAnsi="Times New Roman"/>
                <w:szCs w:val="20"/>
              </w:rPr>
            </w:pPr>
          </w:p>
        </w:tc>
        <w:tc>
          <w:tcPr>
            <w:tcW w:w="1250" w:type="dxa"/>
            <w:vAlign w:val="center"/>
          </w:tcPr>
          <w:p>
            <w:pPr>
              <w:jc w:val="center"/>
              <w:rPr>
                <w:rFonts w:ascii="Times New Roman" w:hAnsi="Times New Roman"/>
                <w:szCs w:val="20"/>
              </w:rPr>
            </w:pPr>
            <w:r>
              <w:rPr>
                <w:rFonts w:ascii="Times New Roman" w:hAnsi="Times New Roman"/>
                <w:szCs w:val="20"/>
              </w:rPr>
              <w:t>硫化氢</w:t>
            </w:r>
          </w:p>
        </w:tc>
        <w:tc>
          <w:tcPr>
            <w:tcW w:w="1499" w:type="dxa"/>
            <w:vAlign w:val="center"/>
          </w:tcPr>
          <w:p>
            <w:pPr>
              <w:jc w:val="center"/>
              <w:rPr>
                <w:rFonts w:ascii="Times New Roman" w:hAnsi="Times New Roman"/>
                <w:szCs w:val="20"/>
              </w:rPr>
            </w:pPr>
            <w:r>
              <w:rPr>
                <w:rFonts w:ascii="Times New Roman" w:hAnsi="Times New Roman"/>
                <w:szCs w:val="20"/>
              </w:rPr>
              <w:t>0.021</w:t>
            </w:r>
          </w:p>
        </w:tc>
        <w:tc>
          <w:tcPr>
            <w:tcW w:w="908" w:type="dxa"/>
            <w:vAlign w:val="center"/>
          </w:tcPr>
          <w:p>
            <w:pPr>
              <w:jc w:val="center"/>
              <w:rPr>
                <w:rFonts w:ascii="Times New Roman" w:hAnsi="Times New Roman"/>
                <w:szCs w:val="20"/>
              </w:rPr>
            </w:pPr>
            <w:r>
              <w:rPr>
                <w:rFonts w:ascii="Times New Roman" w:hAnsi="Times New Roman"/>
                <w:szCs w:val="20"/>
              </w:rPr>
              <w:t>0.000245</w:t>
            </w:r>
          </w:p>
        </w:tc>
        <w:tc>
          <w:tcPr>
            <w:tcW w:w="2736" w:type="dxa"/>
            <w:vMerge w:val="continue"/>
            <w:vAlign w:val="center"/>
          </w:tcPr>
          <w:p>
            <w:pPr>
              <w:jc w:val="center"/>
              <w:rPr>
                <w:rFonts w:ascii="Times New Roman" w:hAnsi="Times New Roman"/>
                <w:szCs w:val="2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670" w:type="dxa"/>
            <w:vMerge w:val="continue"/>
            <w:vAlign w:val="center"/>
          </w:tcPr>
          <w:p>
            <w:pPr>
              <w:jc w:val="center"/>
              <w:rPr>
                <w:rFonts w:ascii="Times New Roman" w:hAnsi="Times New Roman"/>
                <w:szCs w:val="20"/>
              </w:rPr>
            </w:pPr>
          </w:p>
        </w:tc>
        <w:tc>
          <w:tcPr>
            <w:tcW w:w="1250" w:type="dxa"/>
            <w:vMerge w:val="continue"/>
            <w:vAlign w:val="center"/>
          </w:tcPr>
          <w:p>
            <w:pPr>
              <w:jc w:val="center"/>
              <w:rPr>
                <w:rFonts w:ascii="Times New Roman" w:hAnsi="Times New Roman"/>
                <w:szCs w:val="20"/>
              </w:rPr>
            </w:pPr>
          </w:p>
        </w:tc>
        <w:tc>
          <w:tcPr>
            <w:tcW w:w="1250" w:type="dxa"/>
            <w:vAlign w:val="center"/>
          </w:tcPr>
          <w:p>
            <w:pPr>
              <w:jc w:val="center"/>
              <w:rPr>
                <w:rFonts w:ascii="Times New Roman" w:hAnsi="Times New Roman"/>
                <w:szCs w:val="20"/>
              </w:rPr>
            </w:pPr>
            <w:r>
              <w:rPr>
                <w:rFonts w:ascii="Times New Roman" w:hAnsi="Times New Roman"/>
                <w:szCs w:val="20"/>
              </w:rPr>
              <w:t>非甲烷总烃</w:t>
            </w:r>
          </w:p>
        </w:tc>
        <w:tc>
          <w:tcPr>
            <w:tcW w:w="1499" w:type="dxa"/>
            <w:vAlign w:val="center"/>
          </w:tcPr>
          <w:p>
            <w:pPr>
              <w:jc w:val="center"/>
              <w:rPr>
                <w:rFonts w:ascii="Times New Roman" w:hAnsi="Times New Roman"/>
                <w:szCs w:val="20"/>
              </w:rPr>
            </w:pPr>
            <w:r>
              <w:rPr>
                <w:rFonts w:ascii="Times New Roman" w:hAnsi="Times New Roman"/>
                <w:szCs w:val="20"/>
              </w:rPr>
              <w:t>0.07</w:t>
            </w:r>
          </w:p>
        </w:tc>
        <w:tc>
          <w:tcPr>
            <w:tcW w:w="908" w:type="dxa"/>
            <w:vAlign w:val="center"/>
          </w:tcPr>
          <w:p>
            <w:pPr>
              <w:jc w:val="center"/>
              <w:rPr>
                <w:rFonts w:ascii="Times New Roman" w:hAnsi="Times New Roman"/>
                <w:szCs w:val="20"/>
              </w:rPr>
            </w:pPr>
            <w:r>
              <w:rPr>
                <w:rFonts w:ascii="Times New Roman" w:hAnsi="Times New Roman"/>
                <w:szCs w:val="20"/>
              </w:rPr>
              <w:t>0.00079</w:t>
            </w:r>
          </w:p>
        </w:tc>
        <w:tc>
          <w:tcPr>
            <w:tcW w:w="2736" w:type="dxa"/>
            <w:vMerge w:val="continue"/>
            <w:vAlign w:val="center"/>
          </w:tcPr>
          <w:p>
            <w:pPr>
              <w:jc w:val="center"/>
              <w:rPr>
                <w:rFonts w:ascii="Times New Roman" w:hAnsi="Times New Roman"/>
                <w:szCs w:val="2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670" w:type="dxa"/>
            <w:vAlign w:val="center"/>
          </w:tcPr>
          <w:p>
            <w:pPr>
              <w:jc w:val="center"/>
              <w:rPr>
                <w:rFonts w:ascii="Times New Roman" w:hAnsi="Times New Roman"/>
                <w:szCs w:val="20"/>
              </w:rPr>
            </w:pPr>
            <w:r>
              <w:rPr>
                <w:rFonts w:ascii="Times New Roman" w:hAnsi="Times New Roman"/>
                <w:szCs w:val="20"/>
              </w:rPr>
              <w:t>噪声</w:t>
            </w:r>
          </w:p>
        </w:tc>
        <w:tc>
          <w:tcPr>
            <w:tcW w:w="1250" w:type="dxa"/>
            <w:vAlign w:val="center"/>
          </w:tcPr>
          <w:p>
            <w:pPr>
              <w:jc w:val="center"/>
              <w:rPr>
                <w:rFonts w:ascii="Times New Roman" w:hAnsi="Times New Roman"/>
                <w:szCs w:val="20"/>
              </w:rPr>
            </w:pPr>
            <w:r>
              <w:rPr>
                <w:rFonts w:ascii="Times New Roman" w:hAnsi="Times New Roman"/>
                <w:szCs w:val="20"/>
              </w:rPr>
              <w:t>设备噪声</w:t>
            </w:r>
          </w:p>
        </w:tc>
        <w:tc>
          <w:tcPr>
            <w:tcW w:w="1250" w:type="dxa"/>
            <w:vAlign w:val="center"/>
          </w:tcPr>
          <w:p>
            <w:pPr>
              <w:jc w:val="center"/>
              <w:rPr>
                <w:rFonts w:ascii="Times New Roman" w:hAnsi="Times New Roman"/>
                <w:szCs w:val="20"/>
              </w:rPr>
            </w:pPr>
            <w:r>
              <w:rPr>
                <w:rFonts w:ascii="Times New Roman" w:hAnsi="Times New Roman"/>
                <w:szCs w:val="20"/>
              </w:rPr>
              <w:t>各类泵</w:t>
            </w:r>
          </w:p>
        </w:tc>
        <w:tc>
          <w:tcPr>
            <w:tcW w:w="2407" w:type="dxa"/>
            <w:gridSpan w:val="2"/>
            <w:vAlign w:val="center"/>
          </w:tcPr>
          <w:p>
            <w:pPr>
              <w:jc w:val="center"/>
              <w:rPr>
                <w:rFonts w:ascii="Times New Roman" w:hAnsi="Times New Roman"/>
                <w:szCs w:val="20"/>
              </w:rPr>
            </w:pPr>
            <w:r>
              <w:rPr>
                <w:rFonts w:ascii="Times New Roman" w:hAnsi="Times New Roman"/>
                <w:szCs w:val="20"/>
              </w:rPr>
              <w:t>昼间≤65dB(A)</w:t>
            </w:r>
          </w:p>
          <w:p>
            <w:pPr>
              <w:jc w:val="center"/>
              <w:rPr>
                <w:rFonts w:ascii="Times New Roman" w:hAnsi="Times New Roman"/>
                <w:szCs w:val="20"/>
              </w:rPr>
            </w:pPr>
            <w:r>
              <w:rPr>
                <w:rFonts w:ascii="Times New Roman" w:hAnsi="Times New Roman"/>
                <w:szCs w:val="20"/>
              </w:rPr>
              <w:t>夜间≤55dB(A)</w:t>
            </w:r>
          </w:p>
        </w:tc>
        <w:tc>
          <w:tcPr>
            <w:tcW w:w="2736" w:type="dxa"/>
            <w:vAlign w:val="center"/>
          </w:tcPr>
          <w:p>
            <w:pPr>
              <w:jc w:val="center"/>
              <w:rPr>
                <w:rFonts w:ascii="Times New Roman" w:hAnsi="Times New Roman"/>
                <w:szCs w:val="20"/>
              </w:rPr>
            </w:pPr>
            <w:r>
              <w:rPr>
                <w:rFonts w:ascii="Times New Roman" w:hAnsi="Times New Roman"/>
                <w:szCs w:val="20"/>
              </w:rPr>
              <w:t>减振、隔声等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670" w:type="dxa"/>
            <w:vMerge w:val="restart"/>
            <w:vAlign w:val="center"/>
          </w:tcPr>
          <w:p>
            <w:pPr>
              <w:jc w:val="center"/>
              <w:rPr>
                <w:rFonts w:ascii="Times New Roman" w:hAnsi="Times New Roman"/>
                <w:szCs w:val="20"/>
              </w:rPr>
            </w:pPr>
            <w:r>
              <w:rPr>
                <w:rFonts w:ascii="Times New Roman" w:hAnsi="Times New Roman"/>
                <w:szCs w:val="20"/>
              </w:rPr>
              <w:t>固体</w:t>
            </w:r>
          </w:p>
          <w:p>
            <w:pPr>
              <w:jc w:val="center"/>
              <w:rPr>
                <w:rFonts w:ascii="Times New Roman" w:hAnsi="Times New Roman"/>
                <w:szCs w:val="20"/>
              </w:rPr>
            </w:pPr>
            <w:r>
              <w:rPr>
                <w:rFonts w:ascii="Times New Roman" w:hAnsi="Times New Roman"/>
                <w:szCs w:val="20"/>
              </w:rPr>
              <w:t>废物</w:t>
            </w:r>
          </w:p>
        </w:tc>
        <w:tc>
          <w:tcPr>
            <w:tcW w:w="1250" w:type="dxa"/>
            <w:vAlign w:val="center"/>
          </w:tcPr>
          <w:p>
            <w:pPr>
              <w:jc w:val="center"/>
              <w:rPr>
                <w:rFonts w:ascii="Times New Roman" w:hAnsi="Times New Roman"/>
                <w:szCs w:val="20"/>
              </w:rPr>
            </w:pPr>
            <w:r>
              <w:rPr>
                <w:rFonts w:ascii="Times New Roman" w:hAnsi="Times New Roman"/>
                <w:szCs w:val="20"/>
              </w:rPr>
              <w:t>生活垃圾</w:t>
            </w:r>
          </w:p>
        </w:tc>
        <w:tc>
          <w:tcPr>
            <w:tcW w:w="1250" w:type="dxa"/>
            <w:vAlign w:val="center"/>
          </w:tcPr>
          <w:p>
            <w:pPr>
              <w:jc w:val="center"/>
              <w:rPr>
                <w:rFonts w:ascii="Times New Roman" w:hAnsi="Times New Roman"/>
                <w:szCs w:val="20"/>
              </w:rPr>
            </w:pPr>
            <w:r>
              <w:rPr>
                <w:rFonts w:ascii="Times New Roman" w:hAnsi="Times New Roman"/>
                <w:szCs w:val="20"/>
              </w:rPr>
              <w:t>生活垃圾</w:t>
            </w:r>
          </w:p>
        </w:tc>
        <w:tc>
          <w:tcPr>
            <w:tcW w:w="1499" w:type="dxa"/>
            <w:vAlign w:val="center"/>
          </w:tcPr>
          <w:p>
            <w:pPr>
              <w:jc w:val="center"/>
              <w:rPr>
                <w:rFonts w:ascii="Times New Roman" w:hAnsi="Times New Roman"/>
                <w:kern w:val="2"/>
              </w:rPr>
            </w:pPr>
            <w:r>
              <w:rPr>
                <w:rFonts w:ascii="Times New Roman" w:hAnsi="Times New Roman"/>
                <w:kern w:val="2"/>
              </w:rPr>
              <w:t>/</w:t>
            </w:r>
          </w:p>
        </w:tc>
        <w:tc>
          <w:tcPr>
            <w:tcW w:w="908" w:type="dxa"/>
            <w:vAlign w:val="center"/>
          </w:tcPr>
          <w:p>
            <w:pPr>
              <w:jc w:val="center"/>
              <w:rPr>
                <w:rFonts w:ascii="Times New Roman" w:hAnsi="Times New Roman"/>
                <w:szCs w:val="20"/>
              </w:rPr>
            </w:pPr>
            <w:r>
              <w:rPr>
                <w:rFonts w:ascii="Times New Roman" w:hAnsi="Times New Roman"/>
                <w:szCs w:val="20"/>
              </w:rPr>
              <w:t>4.6t/a</w:t>
            </w:r>
          </w:p>
        </w:tc>
        <w:tc>
          <w:tcPr>
            <w:tcW w:w="2736" w:type="dxa"/>
            <w:vAlign w:val="center"/>
          </w:tcPr>
          <w:p>
            <w:pPr>
              <w:jc w:val="center"/>
              <w:rPr>
                <w:rFonts w:ascii="Times New Roman" w:hAnsi="Times New Roman"/>
                <w:szCs w:val="20"/>
              </w:rPr>
            </w:pPr>
            <w:r>
              <w:rPr>
                <w:rFonts w:ascii="Times New Roman" w:hAnsi="Times New Roman"/>
                <w:kern w:val="2"/>
              </w:rPr>
              <w:t>交由环卫部门处置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670" w:type="dxa"/>
            <w:vMerge w:val="continue"/>
            <w:vAlign w:val="center"/>
          </w:tcPr>
          <w:p>
            <w:pPr>
              <w:jc w:val="center"/>
              <w:rPr>
                <w:rFonts w:ascii="Times New Roman" w:hAnsi="Times New Roman"/>
                <w:szCs w:val="20"/>
              </w:rPr>
            </w:pPr>
          </w:p>
        </w:tc>
        <w:tc>
          <w:tcPr>
            <w:tcW w:w="1250" w:type="dxa"/>
            <w:vAlign w:val="center"/>
          </w:tcPr>
          <w:p>
            <w:pPr>
              <w:pStyle w:val="160"/>
              <w:contextualSpacing/>
              <w:rPr>
                <w:rFonts w:cs="Times New Roman"/>
              </w:rPr>
            </w:pPr>
            <w:r>
              <w:rPr>
                <w:rFonts w:cs="Times New Roman"/>
                <w:bCs/>
                <w:kern w:val="0"/>
                <w:szCs w:val="21"/>
              </w:rPr>
              <w:t>高温蒸煮线</w:t>
            </w:r>
          </w:p>
        </w:tc>
        <w:tc>
          <w:tcPr>
            <w:tcW w:w="1250" w:type="dxa"/>
            <w:vAlign w:val="center"/>
          </w:tcPr>
          <w:p>
            <w:pPr>
              <w:jc w:val="center"/>
              <w:rPr>
                <w:rFonts w:ascii="Times New Roman" w:hAnsi="Times New Roman"/>
                <w:szCs w:val="20"/>
              </w:rPr>
            </w:pPr>
            <w:r>
              <w:rPr>
                <w:rFonts w:ascii="Times New Roman" w:hAnsi="Times New Roman"/>
                <w:szCs w:val="20"/>
              </w:rPr>
              <w:t>医疗废物</w:t>
            </w:r>
          </w:p>
        </w:tc>
        <w:tc>
          <w:tcPr>
            <w:tcW w:w="1499" w:type="dxa"/>
            <w:vAlign w:val="center"/>
          </w:tcPr>
          <w:p>
            <w:pPr>
              <w:jc w:val="center"/>
              <w:rPr>
                <w:rFonts w:ascii="Times New Roman" w:hAnsi="Times New Roman"/>
                <w:szCs w:val="20"/>
              </w:rPr>
            </w:pPr>
            <w:r>
              <w:rPr>
                <w:rFonts w:ascii="Times New Roman" w:hAnsi="Times New Roman"/>
                <w:szCs w:val="20"/>
              </w:rPr>
              <w:t>/</w:t>
            </w:r>
          </w:p>
        </w:tc>
        <w:tc>
          <w:tcPr>
            <w:tcW w:w="908" w:type="dxa"/>
            <w:vAlign w:val="center"/>
          </w:tcPr>
          <w:p>
            <w:pPr>
              <w:jc w:val="center"/>
              <w:rPr>
                <w:rFonts w:ascii="Times New Roman" w:hAnsi="Times New Roman"/>
                <w:szCs w:val="20"/>
              </w:rPr>
            </w:pPr>
            <w:r>
              <w:rPr>
                <w:rFonts w:ascii="Times New Roman" w:hAnsi="Times New Roman"/>
                <w:szCs w:val="20"/>
              </w:rPr>
              <w:t>315t/a</w:t>
            </w:r>
          </w:p>
        </w:tc>
        <w:tc>
          <w:tcPr>
            <w:tcW w:w="2736" w:type="dxa"/>
            <w:vAlign w:val="center"/>
          </w:tcPr>
          <w:p>
            <w:pPr>
              <w:rPr>
                <w:rFonts w:ascii="Times New Roman" w:hAnsi="Times New Roman"/>
                <w:szCs w:val="20"/>
              </w:rPr>
            </w:pPr>
            <w:r>
              <w:rPr>
                <w:rFonts w:ascii="Times New Roman" w:hAnsi="Times New Roman"/>
                <w:szCs w:val="20"/>
              </w:rPr>
              <w:t>运送至双鸭山市生活垃圾填埋场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670" w:type="dxa"/>
            <w:vMerge w:val="continue"/>
            <w:vAlign w:val="center"/>
          </w:tcPr>
          <w:p>
            <w:pPr>
              <w:jc w:val="center"/>
              <w:rPr>
                <w:rFonts w:ascii="Times New Roman" w:hAnsi="Times New Roman"/>
                <w:szCs w:val="20"/>
              </w:rPr>
            </w:pPr>
          </w:p>
        </w:tc>
        <w:tc>
          <w:tcPr>
            <w:tcW w:w="1250" w:type="dxa"/>
            <w:vAlign w:val="center"/>
          </w:tcPr>
          <w:p>
            <w:pPr>
              <w:pStyle w:val="160"/>
              <w:contextualSpacing/>
              <w:rPr>
                <w:rFonts w:cs="Times New Roman"/>
              </w:rPr>
            </w:pPr>
            <w:r>
              <w:rPr>
                <w:rFonts w:cs="Times New Roman"/>
                <w:bCs/>
                <w:kern w:val="0"/>
                <w:szCs w:val="21"/>
              </w:rPr>
              <w:t>废气处理</w:t>
            </w:r>
          </w:p>
        </w:tc>
        <w:tc>
          <w:tcPr>
            <w:tcW w:w="1250" w:type="dxa"/>
            <w:vAlign w:val="center"/>
          </w:tcPr>
          <w:p>
            <w:pPr>
              <w:jc w:val="center"/>
              <w:rPr>
                <w:rFonts w:ascii="Times New Roman" w:hAnsi="Times New Roman"/>
                <w:szCs w:val="20"/>
              </w:rPr>
            </w:pPr>
            <w:r>
              <w:rPr>
                <w:rFonts w:ascii="Times New Roman" w:hAnsi="Times New Roman"/>
                <w:szCs w:val="20"/>
              </w:rPr>
              <w:t>废活性炭</w:t>
            </w:r>
          </w:p>
        </w:tc>
        <w:tc>
          <w:tcPr>
            <w:tcW w:w="1499" w:type="dxa"/>
            <w:vAlign w:val="center"/>
          </w:tcPr>
          <w:p>
            <w:pPr>
              <w:jc w:val="center"/>
              <w:rPr>
                <w:rFonts w:ascii="Times New Roman" w:hAnsi="Times New Roman"/>
                <w:kern w:val="2"/>
              </w:rPr>
            </w:pPr>
            <w:r>
              <w:rPr>
                <w:rFonts w:ascii="Times New Roman" w:hAnsi="Times New Roman"/>
                <w:kern w:val="2"/>
              </w:rPr>
              <w:t>/</w:t>
            </w:r>
          </w:p>
        </w:tc>
        <w:tc>
          <w:tcPr>
            <w:tcW w:w="908" w:type="dxa"/>
            <w:vAlign w:val="center"/>
          </w:tcPr>
          <w:p>
            <w:pPr>
              <w:jc w:val="center"/>
              <w:rPr>
                <w:rFonts w:ascii="Times New Roman" w:hAnsi="Times New Roman"/>
                <w:szCs w:val="20"/>
              </w:rPr>
            </w:pPr>
            <w:r>
              <w:rPr>
                <w:rFonts w:ascii="Times New Roman" w:hAnsi="Times New Roman"/>
                <w:szCs w:val="20"/>
              </w:rPr>
              <w:t>9kg/a</w:t>
            </w:r>
          </w:p>
        </w:tc>
        <w:tc>
          <w:tcPr>
            <w:tcW w:w="2736" w:type="dxa"/>
            <w:vAlign w:val="center"/>
          </w:tcPr>
          <w:p>
            <w:pPr>
              <w:rPr>
                <w:rFonts w:ascii="Times New Roman" w:hAnsi="Times New Roman"/>
                <w:szCs w:val="20"/>
              </w:rPr>
            </w:pPr>
            <w:r>
              <w:rPr>
                <w:rFonts w:ascii="Times New Roman" w:hAnsi="Times New Roman"/>
                <w:kern w:val="2"/>
              </w:rPr>
              <w:t>更换后直接交由黑龙江京盛华环保科技有限公司处置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670" w:type="dxa"/>
            <w:vMerge w:val="continue"/>
            <w:vAlign w:val="center"/>
          </w:tcPr>
          <w:p>
            <w:pPr>
              <w:jc w:val="center"/>
              <w:rPr>
                <w:rFonts w:ascii="Times New Roman" w:hAnsi="Times New Roman"/>
                <w:szCs w:val="20"/>
              </w:rPr>
            </w:pPr>
          </w:p>
        </w:tc>
        <w:tc>
          <w:tcPr>
            <w:tcW w:w="1250" w:type="dxa"/>
            <w:vMerge w:val="restart"/>
            <w:vAlign w:val="center"/>
          </w:tcPr>
          <w:p>
            <w:pPr>
              <w:pStyle w:val="160"/>
              <w:contextualSpacing/>
              <w:rPr>
                <w:rFonts w:cs="Times New Roman"/>
                <w:bCs/>
                <w:kern w:val="0"/>
                <w:szCs w:val="21"/>
              </w:rPr>
            </w:pPr>
            <w:r>
              <w:rPr>
                <w:rFonts w:cs="Times New Roman"/>
                <w:bCs/>
                <w:kern w:val="0"/>
                <w:szCs w:val="21"/>
              </w:rPr>
              <w:t>废水处理</w:t>
            </w:r>
          </w:p>
        </w:tc>
        <w:tc>
          <w:tcPr>
            <w:tcW w:w="1250" w:type="dxa"/>
            <w:vAlign w:val="center"/>
          </w:tcPr>
          <w:p>
            <w:pPr>
              <w:jc w:val="center"/>
              <w:rPr>
                <w:rFonts w:ascii="Times New Roman" w:hAnsi="Times New Roman"/>
                <w:szCs w:val="20"/>
              </w:rPr>
            </w:pPr>
            <w:r>
              <w:rPr>
                <w:rFonts w:ascii="Times New Roman" w:hAnsi="Times New Roman"/>
                <w:szCs w:val="20"/>
              </w:rPr>
              <w:t>污泥</w:t>
            </w:r>
          </w:p>
        </w:tc>
        <w:tc>
          <w:tcPr>
            <w:tcW w:w="1499" w:type="dxa"/>
            <w:vAlign w:val="center"/>
          </w:tcPr>
          <w:p>
            <w:pPr>
              <w:jc w:val="center"/>
              <w:rPr>
                <w:rFonts w:ascii="Times New Roman" w:hAnsi="Times New Roman"/>
                <w:kern w:val="2"/>
              </w:rPr>
            </w:pPr>
            <w:r>
              <w:rPr>
                <w:rFonts w:ascii="Times New Roman" w:hAnsi="Times New Roman"/>
                <w:kern w:val="2"/>
              </w:rPr>
              <w:t>/</w:t>
            </w:r>
          </w:p>
        </w:tc>
        <w:tc>
          <w:tcPr>
            <w:tcW w:w="908" w:type="dxa"/>
            <w:vAlign w:val="center"/>
          </w:tcPr>
          <w:p>
            <w:pPr>
              <w:jc w:val="center"/>
              <w:rPr>
                <w:rFonts w:ascii="Times New Roman" w:hAnsi="Times New Roman"/>
                <w:szCs w:val="20"/>
              </w:rPr>
            </w:pPr>
            <w:r>
              <w:rPr>
                <w:rFonts w:ascii="Times New Roman" w:hAnsi="Times New Roman"/>
                <w:szCs w:val="20"/>
              </w:rPr>
              <w:t>0.1t/a</w:t>
            </w:r>
          </w:p>
        </w:tc>
        <w:tc>
          <w:tcPr>
            <w:tcW w:w="2736" w:type="dxa"/>
            <w:vMerge w:val="restart"/>
            <w:vAlign w:val="center"/>
          </w:tcPr>
          <w:p>
            <w:pPr>
              <w:rPr>
                <w:rFonts w:ascii="Times New Roman" w:hAnsi="Times New Roman"/>
                <w:kern w:val="2"/>
              </w:rPr>
            </w:pPr>
            <w:r>
              <w:rPr>
                <w:rFonts w:ascii="Times New Roman" w:hAnsi="Times New Roman"/>
                <w:szCs w:val="20"/>
              </w:rPr>
              <w:t>运</w:t>
            </w:r>
            <w:r>
              <w:rPr>
                <w:rFonts w:hint="eastAsia" w:ascii="Times New Roman" w:hAnsi="Times New Roman"/>
                <w:szCs w:val="20"/>
              </w:rPr>
              <w:t>送至黑龙江京盛华环保科技有限公司处置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670" w:type="dxa"/>
            <w:vMerge w:val="continue"/>
            <w:vAlign w:val="center"/>
          </w:tcPr>
          <w:p>
            <w:pPr>
              <w:jc w:val="center"/>
              <w:rPr>
                <w:rFonts w:ascii="Times New Roman" w:hAnsi="Times New Roman"/>
                <w:szCs w:val="20"/>
              </w:rPr>
            </w:pPr>
          </w:p>
        </w:tc>
        <w:tc>
          <w:tcPr>
            <w:tcW w:w="1250" w:type="dxa"/>
            <w:vMerge w:val="continue"/>
            <w:vAlign w:val="center"/>
          </w:tcPr>
          <w:p>
            <w:pPr>
              <w:pStyle w:val="160"/>
              <w:contextualSpacing/>
              <w:rPr>
                <w:rFonts w:cs="Times New Roman"/>
                <w:bCs/>
                <w:kern w:val="0"/>
                <w:szCs w:val="21"/>
              </w:rPr>
            </w:pPr>
          </w:p>
        </w:tc>
        <w:tc>
          <w:tcPr>
            <w:tcW w:w="1250" w:type="dxa"/>
            <w:vAlign w:val="center"/>
          </w:tcPr>
          <w:p>
            <w:pPr>
              <w:jc w:val="center"/>
              <w:rPr>
                <w:rFonts w:ascii="Times New Roman" w:hAnsi="Times New Roman"/>
                <w:szCs w:val="20"/>
              </w:rPr>
            </w:pPr>
            <w:r>
              <w:rPr>
                <w:rFonts w:hint="eastAsia" w:ascii="Times New Roman" w:hAnsi="Times New Roman"/>
                <w:szCs w:val="20"/>
              </w:rPr>
              <w:t>栅渣</w:t>
            </w:r>
          </w:p>
        </w:tc>
        <w:tc>
          <w:tcPr>
            <w:tcW w:w="1499" w:type="dxa"/>
            <w:vAlign w:val="center"/>
          </w:tcPr>
          <w:p>
            <w:pPr>
              <w:jc w:val="center"/>
              <w:rPr>
                <w:rFonts w:ascii="Times New Roman" w:hAnsi="Times New Roman"/>
                <w:kern w:val="2"/>
              </w:rPr>
            </w:pPr>
            <w:r>
              <w:rPr>
                <w:rFonts w:ascii="Times New Roman" w:hAnsi="Times New Roman"/>
                <w:kern w:val="2"/>
              </w:rPr>
              <w:t>/</w:t>
            </w:r>
          </w:p>
        </w:tc>
        <w:tc>
          <w:tcPr>
            <w:tcW w:w="908" w:type="dxa"/>
            <w:vAlign w:val="center"/>
          </w:tcPr>
          <w:p>
            <w:pPr>
              <w:jc w:val="center"/>
              <w:rPr>
                <w:rFonts w:ascii="Times New Roman" w:hAnsi="Times New Roman"/>
                <w:szCs w:val="20"/>
              </w:rPr>
            </w:pPr>
            <w:r>
              <w:rPr>
                <w:rFonts w:ascii="Times New Roman" w:hAnsi="Times New Roman"/>
                <w:szCs w:val="20"/>
              </w:rPr>
              <w:t>0.1t/a</w:t>
            </w:r>
          </w:p>
        </w:tc>
        <w:tc>
          <w:tcPr>
            <w:tcW w:w="2736" w:type="dxa"/>
            <w:vMerge w:val="continue"/>
            <w:vAlign w:val="center"/>
          </w:tcPr>
          <w:p>
            <w:pPr>
              <w:rPr>
                <w:rFonts w:ascii="Times New Roman" w:hAnsi="Times New Roman"/>
                <w:szCs w:val="20"/>
              </w:rPr>
            </w:pPr>
          </w:p>
        </w:tc>
      </w:tr>
    </w:tbl>
    <w:p>
      <w:pPr>
        <w:pStyle w:val="4"/>
        <w:spacing w:before="120" w:beforeLines="50" w:after="120" w:afterLines="50" w:line="480" w:lineRule="exact"/>
        <w:rPr>
          <w:rFonts w:ascii="Times New Roman" w:hAnsi="Times New Roman" w:eastAsia="黑体"/>
          <w:bCs/>
          <w:sz w:val="28"/>
          <w:szCs w:val="28"/>
        </w:rPr>
      </w:pPr>
      <w:bookmarkStart w:id="463" w:name="_Toc12421"/>
      <w:bookmarkStart w:id="464" w:name="_Toc14612"/>
      <w:bookmarkStart w:id="465" w:name="_Toc10590"/>
      <w:bookmarkStart w:id="466" w:name="_Toc16207"/>
      <w:bookmarkStart w:id="467" w:name="_Toc28067"/>
      <w:r>
        <w:rPr>
          <w:rFonts w:ascii="Times New Roman" w:hAnsi="Times New Roman" w:eastAsia="黑体"/>
          <w:bCs/>
          <w:sz w:val="28"/>
          <w:szCs w:val="28"/>
        </w:rPr>
        <w:t>污染物总量排放情况</w:t>
      </w:r>
      <w:bookmarkEnd w:id="463"/>
      <w:bookmarkEnd w:id="464"/>
      <w:bookmarkEnd w:id="465"/>
      <w:bookmarkEnd w:id="466"/>
      <w:bookmarkEnd w:id="467"/>
    </w:p>
    <w:p>
      <w:pPr>
        <w:pStyle w:val="65"/>
        <w:spacing w:line="480" w:lineRule="exact"/>
        <w:ind w:left="0" w:firstLine="480" w:firstLineChars="200"/>
        <w:jc w:val="both"/>
        <w:rPr>
          <w:smallCaps w:val="0"/>
          <w:sz w:val="24"/>
          <w:szCs w:val="24"/>
        </w:rPr>
      </w:pPr>
      <w:r>
        <w:rPr>
          <w:rFonts w:hint="eastAsia"/>
          <w:smallCaps w:val="0"/>
          <w:sz w:val="24"/>
          <w:szCs w:val="24"/>
        </w:rPr>
        <w:t xml:space="preserve">根据《双鸭山市医疗废物集中处置工程环境影响报告书》（黑龙江省环境保护科学研究院 </w:t>
      </w:r>
      <w:r>
        <w:rPr>
          <w:smallCaps w:val="0"/>
          <w:sz w:val="24"/>
          <w:szCs w:val="24"/>
        </w:rPr>
        <w:t>2007</w:t>
      </w:r>
      <w:r>
        <w:rPr>
          <w:rFonts w:hint="eastAsia"/>
          <w:smallCaps w:val="0"/>
          <w:sz w:val="24"/>
          <w:szCs w:val="24"/>
        </w:rPr>
        <w:t>年6月）总量计算结果，</w:t>
      </w:r>
      <w:r>
        <w:rPr>
          <w:smallCaps w:val="0"/>
          <w:sz w:val="24"/>
          <w:szCs w:val="24"/>
        </w:rPr>
        <w:t>现有工程</w:t>
      </w:r>
      <w:r>
        <w:rPr>
          <w:rFonts w:hint="eastAsia"/>
          <w:smallCaps w:val="0"/>
          <w:sz w:val="24"/>
          <w:szCs w:val="24"/>
        </w:rPr>
        <w:t>污染物实际排放总量：C</w:t>
      </w:r>
      <w:r>
        <w:rPr>
          <w:smallCaps w:val="0"/>
          <w:sz w:val="24"/>
          <w:szCs w:val="24"/>
        </w:rPr>
        <w:t>OD</w:t>
      </w:r>
      <w:r>
        <w:rPr>
          <w:rFonts w:hint="eastAsia"/>
          <w:smallCaps w:val="0"/>
          <w:sz w:val="24"/>
          <w:szCs w:val="24"/>
        </w:rPr>
        <w:t>：</w:t>
      </w:r>
      <w:r>
        <w:rPr>
          <w:smallCaps w:val="0"/>
          <w:sz w:val="24"/>
          <w:szCs w:val="24"/>
        </w:rPr>
        <w:t xml:space="preserve">0.090 </w:t>
      </w:r>
      <w:r>
        <w:rPr>
          <w:rFonts w:hint="eastAsia"/>
          <w:smallCaps w:val="0"/>
          <w:sz w:val="24"/>
          <w:szCs w:val="24"/>
        </w:rPr>
        <w:t>吨/年；</w:t>
      </w:r>
      <w:r>
        <w:rPr>
          <w:smallCaps w:val="0"/>
          <w:sz w:val="24"/>
          <w:szCs w:val="24"/>
        </w:rPr>
        <w:t>NH</w:t>
      </w:r>
      <w:r>
        <w:rPr>
          <w:smallCaps w:val="0"/>
          <w:sz w:val="24"/>
          <w:szCs w:val="24"/>
          <w:vertAlign w:val="subscript"/>
        </w:rPr>
        <w:t>3</w:t>
      </w:r>
      <w:r>
        <w:rPr>
          <w:smallCaps w:val="0"/>
          <w:sz w:val="24"/>
          <w:szCs w:val="24"/>
        </w:rPr>
        <w:t>-N</w:t>
      </w:r>
      <w:r>
        <w:rPr>
          <w:rFonts w:hint="eastAsia"/>
          <w:smallCaps w:val="0"/>
          <w:sz w:val="24"/>
          <w:szCs w:val="24"/>
        </w:rPr>
        <w:t>：0</w:t>
      </w:r>
      <w:r>
        <w:rPr>
          <w:smallCaps w:val="0"/>
          <w:sz w:val="24"/>
          <w:szCs w:val="24"/>
        </w:rPr>
        <w:t>.001</w:t>
      </w:r>
      <w:r>
        <w:rPr>
          <w:rFonts w:hint="eastAsia"/>
          <w:smallCaps w:val="0"/>
          <w:sz w:val="24"/>
          <w:szCs w:val="24"/>
        </w:rPr>
        <w:t>吨/年；V</w:t>
      </w:r>
      <w:r>
        <w:rPr>
          <w:smallCaps w:val="0"/>
          <w:sz w:val="24"/>
          <w:szCs w:val="24"/>
        </w:rPr>
        <w:t>OCS</w:t>
      </w:r>
      <w:r>
        <w:rPr>
          <w:rFonts w:hint="eastAsia"/>
          <w:smallCaps w:val="0"/>
          <w:sz w:val="24"/>
          <w:szCs w:val="24"/>
        </w:rPr>
        <w:t>：0</w:t>
      </w:r>
      <w:r>
        <w:rPr>
          <w:smallCaps w:val="0"/>
          <w:sz w:val="24"/>
          <w:szCs w:val="24"/>
        </w:rPr>
        <w:t>.00079</w:t>
      </w:r>
      <w:r>
        <w:rPr>
          <w:rFonts w:hint="eastAsia"/>
          <w:smallCaps w:val="0"/>
          <w:sz w:val="24"/>
          <w:szCs w:val="24"/>
        </w:rPr>
        <w:t>吨/年。</w:t>
      </w:r>
    </w:p>
    <w:p>
      <w:pPr>
        <w:pStyle w:val="4"/>
        <w:spacing w:before="120" w:beforeLines="50" w:after="120" w:afterLines="50" w:line="480" w:lineRule="exact"/>
        <w:rPr>
          <w:rFonts w:ascii="Times New Roman" w:hAnsi="Times New Roman" w:eastAsia="黑体"/>
          <w:bCs/>
          <w:sz w:val="28"/>
          <w:szCs w:val="28"/>
        </w:rPr>
      </w:pPr>
      <w:bookmarkStart w:id="468" w:name="_Toc4161"/>
      <w:bookmarkStart w:id="469" w:name="_Toc24588"/>
      <w:bookmarkStart w:id="470" w:name="_Toc917"/>
      <w:bookmarkStart w:id="471" w:name="_Toc9234"/>
      <w:bookmarkStart w:id="472" w:name="_Toc15798"/>
      <w:r>
        <w:rPr>
          <w:rFonts w:ascii="Times New Roman" w:hAnsi="Times New Roman" w:eastAsia="黑体"/>
          <w:bCs/>
          <w:sz w:val="28"/>
          <w:szCs w:val="28"/>
        </w:rPr>
        <w:t>现有工程防护距离</w:t>
      </w:r>
      <w:bookmarkEnd w:id="468"/>
      <w:bookmarkEnd w:id="469"/>
      <w:bookmarkEnd w:id="470"/>
    </w:p>
    <w:p>
      <w:pPr>
        <w:spacing w:line="480" w:lineRule="exact"/>
        <w:ind w:firstLine="480" w:firstLineChars="200"/>
        <w:rPr>
          <w:rFonts w:ascii="Times New Roman" w:hAnsi="Times New Roman"/>
          <w:sz w:val="24"/>
          <w:szCs w:val="24"/>
        </w:rPr>
      </w:pPr>
      <w:r>
        <w:rPr>
          <w:rFonts w:ascii="Times New Roman" w:hAnsi="Times New Roman"/>
          <w:sz w:val="24"/>
          <w:szCs w:val="24"/>
        </w:rPr>
        <w:t>根据《双鸭山市医疗废物处置工程环境影响报告书》的内容，现有工程未设置</w:t>
      </w:r>
      <w:r>
        <w:rPr>
          <w:rFonts w:ascii="Times New Roman" w:hAnsi="Times New Roman"/>
          <w:kern w:val="2"/>
          <w:sz w:val="24"/>
          <w:szCs w:val="20"/>
        </w:rPr>
        <w:t>卫生防护距离</w:t>
      </w:r>
      <w:r>
        <w:rPr>
          <w:rFonts w:ascii="Times New Roman" w:hAnsi="Times New Roman"/>
          <w:sz w:val="24"/>
          <w:szCs w:val="24"/>
        </w:rPr>
        <w:t>。经现场调查，现有工程周围没有环境敏感目标。</w:t>
      </w:r>
    </w:p>
    <w:p>
      <w:pPr>
        <w:pStyle w:val="4"/>
        <w:spacing w:before="120" w:beforeLines="50" w:after="120" w:afterLines="50" w:line="480" w:lineRule="exact"/>
        <w:rPr>
          <w:rFonts w:ascii="Times New Roman" w:hAnsi="Times New Roman" w:eastAsia="黑体"/>
          <w:bCs/>
          <w:sz w:val="28"/>
          <w:szCs w:val="28"/>
        </w:rPr>
      </w:pPr>
      <w:bookmarkStart w:id="473" w:name="_Toc31625"/>
      <w:bookmarkStart w:id="474" w:name="_Toc19685"/>
      <w:bookmarkStart w:id="475" w:name="_Toc28662"/>
      <w:r>
        <w:rPr>
          <w:rFonts w:ascii="Times New Roman" w:hAnsi="Times New Roman" w:eastAsia="黑体"/>
          <w:bCs/>
          <w:sz w:val="28"/>
          <w:szCs w:val="28"/>
        </w:rPr>
        <w:t>主要环境问题及整改措施</w:t>
      </w:r>
      <w:bookmarkEnd w:id="471"/>
      <w:bookmarkEnd w:id="472"/>
      <w:bookmarkEnd w:id="473"/>
      <w:bookmarkEnd w:id="474"/>
      <w:bookmarkEnd w:id="475"/>
    </w:p>
    <w:p>
      <w:pPr>
        <w:pStyle w:val="65"/>
        <w:spacing w:line="480" w:lineRule="exact"/>
        <w:ind w:left="0" w:firstLine="480" w:firstLineChars="200"/>
        <w:jc w:val="both"/>
        <w:rPr>
          <w:smallCaps w:val="0"/>
          <w:sz w:val="24"/>
          <w:szCs w:val="24"/>
        </w:rPr>
      </w:pPr>
      <w:r>
        <w:rPr>
          <w:rFonts w:hint="eastAsia"/>
          <w:smallCaps w:val="0"/>
          <w:sz w:val="24"/>
          <w:szCs w:val="24"/>
        </w:rPr>
        <w:t>（1）</w:t>
      </w:r>
      <w:bookmarkStart w:id="476" w:name="_Hlk116393859"/>
      <w:r>
        <w:rPr>
          <w:rFonts w:hint="eastAsia"/>
          <w:smallCaps w:val="0"/>
          <w:sz w:val="24"/>
          <w:szCs w:val="24"/>
        </w:rPr>
        <w:t>根据《医疗废物高温蒸汽消毒集中处理工程技术规范》（</w:t>
      </w:r>
      <w:r>
        <w:rPr>
          <w:smallCaps w:val="0"/>
          <w:sz w:val="24"/>
          <w:szCs w:val="24"/>
        </w:rPr>
        <w:t>HJ276-2021）</w:t>
      </w:r>
      <w:r>
        <w:rPr>
          <w:rFonts w:hint="eastAsia"/>
          <w:smallCaps w:val="0"/>
          <w:sz w:val="24"/>
          <w:szCs w:val="24"/>
        </w:rPr>
        <w:t>：经消毒处理的医疗废物如需厂内贮存，应单独存放于具备防雨、防风、防渗功能的库房。不得将经消毒处理的医疗废物与未处理的医疗废物一起存放。不得使用医疗废物周转箱</w:t>
      </w:r>
      <w:r>
        <w:rPr>
          <w:smallCaps w:val="0"/>
          <w:sz w:val="24"/>
          <w:szCs w:val="24"/>
        </w:rPr>
        <w:t>/桶盛装经消毒处</w:t>
      </w:r>
      <w:r>
        <w:rPr>
          <w:rFonts w:hint="eastAsia"/>
          <w:smallCaps w:val="0"/>
          <w:sz w:val="24"/>
          <w:szCs w:val="24"/>
        </w:rPr>
        <w:t>理的医疗废物。本项目应加强处理后医疗废物的管理，避免以上情况发生。</w:t>
      </w:r>
      <w:bookmarkEnd w:id="476"/>
    </w:p>
    <w:p>
      <w:pPr>
        <w:pStyle w:val="65"/>
        <w:spacing w:line="480" w:lineRule="exact"/>
        <w:ind w:left="0" w:firstLine="480" w:firstLineChars="200"/>
        <w:jc w:val="both"/>
        <w:rPr>
          <w:smallCaps w:val="0"/>
          <w:sz w:val="24"/>
          <w:szCs w:val="24"/>
        </w:rPr>
      </w:pPr>
      <w:r>
        <w:rPr>
          <w:rFonts w:hint="eastAsia"/>
          <w:smallCaps w:val="0"/>
          <w:sz w:val="24"/>
          <w:szCs w:val="24"/>
        </w:rPr>
        <w:t>（2）根据《医疗废物高温蒸汽消毒集中处理工程技术规范》（</w:t>
      </w:r>
      <w:r>
        <w:rPr>
          <w:smallCaps w:val="0"/>
          <w:sz w:val="24"/>
          <w:szCs w:val="24"/>
        </w:rPr>
        <w:t>HJ276-2021）：</w:t>
      </w:r>
      <w:r>
        <w:rPr>
          <w:rFonts w:hint="eastAsia"/>
          <w:smallCaps w:val="0"/>
          <w:sz w:val="24"/>
          <w:szCs w:val="24"/>
        </w:rPr>
        <w:t>蒸汽消毒处理单元抽真空排气口、贮存设施排气口应设置废气净化装置，废气净化装置应具备除菌、除臭、去除颗粒物和</w:t>
      </w:r>
      <w:r>
        <w:rPr>
          <w:smallCaps w:val="0"/>
          <w:sz w:val="24"/>
          <w:szCs w:val="24"/>
        </w:rPr>
        <w:t xml:space="preserve"> VOCs 的功能。</w:t>
      </w:r>
      <w:r>
        <w:rPr>
          <w:rFonts w:hint="eastAsia"/>
          <w:smallCaps w:val="0"/>
          <w:sz w:val="24"/>
          <w:szCs w:val="24"/>
        </w:rPr>
        <w:t>本项目只有除臭塔+</w:t>
      </w:r>
      <w:r>
        <w:rPr>
          <w:smallCaps w:val="0"/>
          <w:sz w:val="24"/>
          <w:szCs w:val="24"/>
        </w:rPr>
        <w:t>15</w:t>
      </w:r>
      <w:r>
        <w:rPr>
          <w:rFonts w:hint="eastAsia"/>
          <w:smallCaps w:val="0"/>
          <w:sz w:val="24"/>
          <w:szCs w:val="24"/>
        </w:rPr>
        <w:t>米排气筒的措施，建议整改增加除颗粒物和V</w:t>
      </w:r>
      <w:r>
        <w:rPr>
          <w:smallCaps w:val="0"/>
          <w:sz w:val="24"/>
          <w:szCs w:val="24"/>
        </w:rPr>
        <w:t>OCS</w:t>
      </w:r>
      <w:r>
        <w:rPr>
          <w:rFonts w:hint="eastAsia"/>
          <w:smallCaps w:val="0"/>
          <w:sz w:val="24"/>
          <w:szCs w:val="24"/>
        </w:rPr>
        <w:t>的措施。</w:t>
      </w:r>
    </w:p>
    <w:p>
      <w:pPr>
        <w:pStyle w:val="65"/>
        <w:spacing w:line="480" w:lineRule="exact"/>
        <w:ind w:left="0" w:firstLine="480" w:firstLineChars="200"/>
        <w:jc w:val="both"/>
        <w:rPr>
          <w:smallCaps w:val="0"/>
          <w:sz w:val="24"/>
          <w:szCs w:val="24"/>
        </w:rPr>
      </w:pPr>
      <w:r>
        <w:rPr>
          <w:rFonts w:hint="eastAsia"/>
          <w:smallCaps w:val="0"/>
          <w:sz w:val="24"/>
          <w:szCs w:val="24"/>
        </w:rPr>
        <w:t>（3）根据《医疗废物处理处置污染控制标准》（GB39707-2020）医疗废物处理处置单位应设置医疗废物运输车辆、转运工具、周转箱</w:t>
      </w:r>
      <w:r>
        <w:rPr>
          <w:smallCaps w:val="0"/>
          <w:sz w:val="24"/>
          <w:szCs w:val="24"/>
        </w:rPr>
        <w:t>/桶的清洗消毒场所，并</w:t>
      </w:r>
      <w:r>
        <w:rPr>
          <w:rFonts w:hint="eastAsia"/>
          <w:smallCaps w:val="0"/>
          <w:sz w:val="24"/>
          <w:szCs w:val="24"/>
        </w:rPr>
        <w:t>应配置废水收集设施。本项目应加强清洗消毒场所的管理，严格设置废水收集池。</w:t>
      </w:r>
    </w:p>
    <w:p>
      <w:pPr>
        <w:pStyle w:val="65"/>
        <w:spacing w:line="480" w:lineRule="exact"/>
        <w:ind w:left="0" w:firstLine="480" w:firstLineChars="200"/>
        <w:jc w:val="both"/>
        <w:rPr>
          <w:smallCaps w:val="0"/>
          <w:sz w:val="24"/>
          <w:szCs w:val="24"/>
        </w:rPr>
      </w:pPr>
      <w:r>
        <w:rPr>
          <w:rFonts w:hint="eastAsia"/>
          <w:smallCaps w:val="0"/>
          <w:sz w:val="24"/>
          <w:szCs w:val="24"/>
        </w:rPr>
        <w:t>（4）根据《医疗废物微波消毒集中处理工程技术规范》（HJ229-2021）集中处理工程周转箱的清洗场所应尽量靠近生产区，并应分别设置清洗前和清洗后周转箱的存放区。本项目应加强清洗前后周转箱存放区的管理。</w:t>
      </w:r>
    </w:p>
    <w:p>
      <w:pPr>
        <w:spacing w:line="480" w:lineRule="exact"/>
        <w:ind w:firstLine="480" w:firstLineChars="200"/>
        <w:rPr>
          <w:rFonts w:ascii="Times New Roman" w:hAnsi="Times New Roman"/>
          <w:sz w:val="24"/>
          <w:szCs w:val="24"/>
        </w:rPr>
      </w:pPr>
      <w:r>
        <w:rPr>
          <w:rFonts w:ascii="Times New Roman" w:hAnsi="Times New Roman"/>
          <w:sz w:val="24"/>
          <w:szCs w:val="24"/>
        </w:rPr>
        <w:t>（5）现有工程灭菌车间</w:t>
      </w:r>
      <w:r>
        <w:rPr>
          <w:rFonts w:hint="eastAsia" w:ascii="Times New Roman" w:hAnsi="Times New Roman"/>
          <w:sz w:val="24"/>
          <w:szCs w:val="24"/>
        </w:rPr>
        <w:t>、危险废物暂存间、医疗废物储存间</w:t>
      </w:r>
      <w:r>
        <w:rPr>
          <w:rFonts w:ascii="Times New Roman" w:hAnsi="Times New Roman"/>
          <w:sz w:val="24"/>
          <w:szCs w:val="24"/>
        </w:rPr>
        <w:t>废气经</w:t>
      </w:r>
      <w:r>
        <w:rPr>
          <w:rFonts w:hint="eastAsia" w:ascii="Times New Roman" w:hAnsi="Times New Roman"/>
          <w:sz w:val="24"/>
          <w:szCs w:val="24"/>
        </w:rPr>
        <w:t>除臭塔处理</w:t>
      </w:r>
      <w:r>
        <w:rPr>
          <w:rFonts w:ascii="Times New Roman" w:hAnsi="Times New Roman"/>
          <w:sz w:val="24"/>
          <w:szCs w:val="24"/>
        </w:rPr>
        <w:t>后</w:t>
      </w:r>
      <w:r>
        <w:rPr>
          <w:rFonts w:hint="eastAsia" w:ascii="Times New Roman" w:hAnsi="Times New Roman"/>
          <w:sz w:val="24"/>
          <w:szCs w:val="24"/>
        </w:rPr>
        <w:t>有组织</w:t>
      </w:r>
      <w:r>
        <w:rPr>
          <w:rFonts w:ascii="Times New Roman" w:hAnsi="Times New Roman"/>
          <w:sz w:val="24"/>
          <w:szCs w:val="24"/>
        </w:rPr>
        <w:t>排放。</w:t>
      </w:r>
      <w:r>
        <w:rPr>
          <w:rFonts w:hint="eastAsia" w:ascii="Times New Roman" w:hAnsi="Times New Roman"/>
          <w:sz w:val="24"/>
          <w:szCs w:val="24"/>
        </w:rPr>
        <w:t>未收集的部分无组织逸散。</w:t>
      </w:r>
    </w:p>
    <w:p>
      <w:pPr>
        <w:pStyle w:val="65"/>
        <w:spacing w:line="480" w:lineRule="exact"/>
        <w:ind w:left="0" w:firstLine="480" w:firstLineChars="200"/>
        <w:jc w:val="both"/>
        <w:rPr>
          <w:smallCaps w:val="0"/>
          <w:sz w:val="24"/>
          <w:szCs w:val="24"/>
        </w:rPr>
      </w:pPr>
      <w:r>
        <w:rPr>
          <w:smallCaps w:val="0"/>
          <w:sz w:val="24"/>
          <w:szCs w:val="24"/>
        </w:rPr>
        <w:t>（6）现有工程医疗废物暂存间已按照《危险废物储存污染控制标准》</w:t>
      </w:r>
    </w:p>
    <w:p>
      <w:pPr>
        <w:pStyle w:val="65"/>
        <w:spacing w:line="480" w:lineRule="exact"/>
        <w:ind w:left="0"/>
        <w:jc w:val="both"/>
        <w:rPr>
          <w:smallCaps w:val="0"/>
          <w:sz w:val="24"/>
          <w:szCs w:val="24"/>
        </w:rPr>
      </w:pPr>
      <w:r>
        <w:rPr>
          <w:smallCaps w:val="0"/>
          <w:sz w:val="24"/>
          <w:szCs w:val="24"/>
        </w:rPr>
        <w:t>（GB18597-2001）的相关要求，基础做防渗，采用2mm厚的高密度聚乙烯，渗透系数≤10</w:t>
      </w:r>
      <w:r>
        <w:rPr>
          <w:smallCaps w:val="0"/>
          <w:sz w:val="24"/>
          <w:szCs w:val="24"/>
          <w:vertAlign w:val="superscript"/>
        </w:rPr>
        <w:t>-10</w:t>
      </w:r>
      <w:r>
        <w:rPr>
          <w:smallCaps w:val="0"/>
          <w:sz w:val="24"/>
          <w:szCs w:val="24"/>
        </w:rPr>
        <w:t>cm/s。厂区内其他建筑物未按照要求进行地下水防渗措施，未设置地下水跟踪监测井。</w:t>
      </w:r>
    </w:p>
    <w:p>
      <w:pPr>
        <w:pStyle w:val="65"/>
        <w:spacing w:line="480" w:lineRule="exact"/>
        <w:ind w:left="0" w:firstLine="482" w:firstLineChars="200"/>
        <w:jc w:val="both"/>
        <w:rPr>
          <w:smallCaps w:val="0"/>
          <w:sz w:val="24"/>
          <w:szCs w:val="24"/>
        </w:rPr>
      </w:pPr>
      <w:r>
        <w:rPr>
          <w:b/>
          <w:bCs/>
          <w:smallCaps w:val="0"/>
          <w:sz w:val="24"/>
          <w:szCs w:val="24"/>
        </w:rPr>
        <w:t>“以新带老”整改措施</w:t>
      </w:r>
      <w:r>
        <w:rPr>
          <w:smallCaps w:val="0"/>
          <w:sz w:val="24"/>
          <w:szCs w:val="24"/>
        </w:rPr>
        <w:t>：</w:t>
      </w:r>
      <w:r>
        <w:rPr>
          <w:rFonts w:hint="eastAsia"/>
          <w:smallCaps w:val="0"/>
          <w:sz w:val="24"/>
          <w:szCs w:val="24"/>
        </w:rPr>
        <w:t>（1）现有工程灭菌车间与本项目灭菌车间的装卸废气负压收集，经活性炭吸附装置后有组织排放。</w:t>
      </w:r>
    </w:p>
    <w:p>
      <w:pPr>
        <w:pStyle w:val="65"/>
        <w:spacing w:line="480" w:lineRule="exact"/>
        <w:ind w:left="0" w:firstLine="480" w:firstLineChars="200"/>
        <w:jc w:val="both"/>
        <w:rPr>
          <w:smallCaps w:val="0"/>
          <w:sz w:val="24"/>
          <w:szCs w:val="24"/>
        </w:rPr>
      </w:pPr>
      <w:r>
        <w:rPr>
          <w:rFonts w:hint="eastAsia"/>
          <w:smallCaps w:val="0"/>
          <w:sz w:val="24"/>
          <w:szCs w:val="24"/>
        </w:rPr>
        <w:t>（2）</w:t>
      </w:r>
      <w:r>
        <w:rPr>
          <w:smallCaps w:val="0"/>
          <w:sz w:val="24"/>
          <w:szCs w:val="24"/>
        </w:rPr>
        <w:t>本项目改扩建后将灭菌车间、污水处理间、危险废物暂存间、事故应急池和初期雨水池</w:t>
      </w:r>
      <w:r>
        <w:rPr>
          <w:smallCaps w:val="0"/>
          <w:kern w:val="2"/>
          <w:sz w:val="24"/>
          <w:szCs w:val="24"/>
        </w:rPr>
        <w:t>作为重点防渗区；</w:t>
      </w:r>
      <w:r>
        <w:rPr>
          <w:smallCaps w:val="0"/>
          <w:sz w:val="24"/>
          <w:szCs w:val="24"/>
        </w:rPr>
        <w:t>厂区其余建筑物为一般污染防渗区；厂区地面进行硬化。</w:t>
      </w:r>
      <w:r>
        <w:rPr>
          <w:rFonts w:hint="eastAsia"/>
          <w:smallCaps w:val="0"/>
          <w:sz w:val="24"/>
          <w:szCs w:val="24"/>
        </w:rPr>
        <w:t>厂区内建筑物都进行了地面硬化，重点防渗区没有做重点防渗，应该</w:t>
      </w:r>
      <w:r>
        <w:rPr>
          <w:smallCaps w:val="0"/>
          <w:sz w:val="24"/>
          <w:szCs w:val="24"/>
        </w:rPr>
        <w:t>参照《危险废物贮存污染控制标准》（GB18597-2001）及其修改单的相关要求，基础做防渗，采用2mm厚的高密度聚乙烯或其它人工材料，防渗系数≤10</w:t>
      </w:r>
      <w:r>
        <w:rPr>
          <w:smallCaps w:val="0"/>
          <w:sz w:val="24"/>
          <w:szCs w:val="24"/>
          <w:vertAlign w:val="superscript"/>
        </w:rPr>
        <w:t>-10</w:t>
      </w:r>
      <w:r>
        <w:rPr>
          <w:smallCaps w:val="0"/>
          <w:sz w:val="24"/>
          <w:szCs w:val="24"/>
        </w:rPr>
        <w:t>cm/s</w:t>
      </w:r>
      <w:r>
        <w:rPr>
          <w:rFonts w:hint="eastAsia"/>
          <w:smallCaps w:val="0"/>
          <w:sz w:val="24"/>
          <w:szCs w:val="24"/>
        </w:rPr>
        <w:t>。</w:t>
      </w:r>
      <w:r>
        <w:rPr>
          <w:smallCaps w:val="0"/>
          <w:sz w:val="24"/>
          <w:szCs w:val="24"/>
        </w:rPr>
        <w:t>建立地下水监测系统，布设3口跟踪监测井，定期进行地下水跟踪监测。</w:t>
      </w:r>
    </w:p>
    <w:p>
      <w:pPr>
        <w:pStyle w:val="3"/>
        <w:spacing w:before="120" w:beforeLines="50" w:after="120" w:afterLines="50" w:line="480" w:lineRule="exact"/>
        <w:rPr>
          <w:rFonts w:ascii="Times New Roman" w:hAnsi="Times New Roman" w:eastAsia="黑体"/>
          <w:sz w:val="30"/>
          <w:szCs w:val="30"/>
        </w:rPr>
      </w:pPr>
      <w:bookmarkStart w:id="477" w:name="_Toc116379704"/>
      <w:r>
        <w:rPr>
          <w:rFonts w:ascii="Times New Roman" w:hAnsi="Times New Roman" w:eastAsia="黑体"/>
          <w:sz w:val="30"/>
          <w:szCs w:val="30"/>
        </w:rPr>
        <w:t>改扩建工程</w:t>
      </w:r>
      <w:bookmarkEnd w:id="477"/>
    </w:p>
    <w:p>
      <w:pPr>
        <w:pStyle w:val="4"/>
        <w:spacing w:before="120" w:beforeLines="50" w:after="120" w:afterLines="50" w:line="480" w:lineRule="exact"/>
        <w:rPr>
          <w:rFonts w:ascii="Times New Roman" w:hAnsi="Times New Roman" w:eastAsia="黑体"/>
          <w:bCs/>
          <w:sz w:val="28"/>
          <w:szCs w:val="28"/>
        </w:rPr>
      </w:pPr>
      <w:bookmarkStart w:id="478" w:name="_Toc27134281"/>
      <w:bookmarkStart w:id="479" w:name="_Toc487111482"/>
      <w:bookmarkStart w:id="480" w:name="_Toc26295"/>
      <w:bookmarkStart w:id="481" w:name="_Toc13084"/>
      <w:bookmarkStart w:id="482" w:name="_Toc527205715"/>
      <w:bookmarkStart w:id="483" w:name="_Toc530655948"/>
      <w:bookmarkStart w:id="484" w:name="_Toc3796"/>
      <w:bookmarkStart w:id="485" w:name="_Toc9843792"/>
      <w:bookmarkStart w:id="486" w:name="_Toc29644"/>
      <w:bookmarkStart w:id="487" w:name="_Toc534537603"/>
      <w:bookmarkStart w:id="488" w:name="_Toc497228810"/>
      <w:bookmarkStart w:id="489" w:name="_Toc12154"/>
      <w:bookmarkStart w:id="490" w:name="_Toc535348442"/>
      <w:bookmarkStart w:id="491" w:name="_Toc26188005"/>
      <w:bookmarkStart w:id="492" w:name="_Toc535168888"/>
      <w:bookmarkStart w:id="493" w:name="_Toc532556588"/>
      <w:r>
        <w:rPr>
          <w:rFonts w:ascii="Times New Roman" w:hAnsi="Times New Roman" w:eastAsia="黑体"/>
          <w:bCs/>
          <w:sz w:val="28"/>
          <w:szCs w:val="28"/>
        </w:rPr>
        <w:t>项目概况</w:t>
      </w:r>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p>
    <w:p>
      <w:pPr>
        <w:spacing w:line="480" w:lineRule="exact"/>
        <w:ind w:firstLine="480" w:firstLineChars="200"/>
        <w:rPr>
          <w:rFonts w:ascii="Times New Roman" w:hAnsi="Times New Roman"/>
          <w:b/>
          <w:sz w:val="24"/>
          <w:szCs w:val="24"/>
        </w:rPr>
      </w:pPr>
      <w:r>
        <w:rPr>
          <w:rFonts w:ascii="Times New Roman" w:hAnsi="Times New Roman"/>
          <w:sz w:val="24"/>
          <w:szCs w:val="24"/>
        </w:rPr>
        <w:t>（1）项目名称：黑龙江省双鸭山市医疗废物集中处置中心设备扩建项目。</w:t>
      </w:r>
    </w:p>
    <w:p>
      <w:pPr>
        <w:spacing w:line="480" w:lineRule="exact"/>
        <w:ind w:firstLine="480" w:firstLineChars="200"/>
        <w:rPr>
          <w:rFonts w:ascii="Times New Roman" w:hAnsi="Times New Roman"/>
          <w:sz w:val="24"/>
          <w:szCs w:val="24"/>
        </w:rPr>
      </w:pPr>
      <w:r>
        <w:rPr>
          <w:rFonts w:ascii="Times New Roman" w:hAnsi="Times New Roman"/>
          <w:sz w:val="24"/>
          <w:szCs w:val="24"/>
        </w:rPr>
        <w:t>（2）建设单位：双鸭山翁氏环保有限公司。</w:t>
      </w:r>
    </w:p>
    <w:p>
      <w:pPr>
        <w:spacing w:line="480" w:lineRule="exact"/>
        <w:ind w:firstLine="480" w:firstLineChars="200"/>
        <w:rPr>
          <w:rFonts w:ascii="Times New Roman" w:hAnsi="Times New Roman"/>
          <w:sz w:val="24"/>
          <w:szCs w:val="24"/>
        </w:rPr>
      </w:pPr>
      <w:r>
        <w:rPr>
          <w:rFonts w:ascii="Times New Roman" w:hAnsi="Times New Roman"/>
          <w:sz w:val="24"/>
          <w:szCs w:val="24"/>
        </w:rPr>
        <w:t>（3）建设性质：改扩建。</w:t>
      </w:r>
    </w:p>
    <w:p>
      <w:pPr>
        <w:pStyle w:val="528"/>
        <w:spacing w:before="0" w:after="0" w:line="480" w:lineRule="exact"/>
        <w:ind w:firstLine="480" w:firstLineChars="200"/>
        <w:rPr>
          <w:rFonts w:cs="Times New Roman"/>
          <w:szCs w:val="24"/>
        </w:rPr>
      </w:pPr>
      <w:r>
        <w:rPr>
          <w:rFonts w:cs="Times New Roman"/>
          <w:szCs w:val="24"/>
        </w:rPr>
        <w:t>（4）建设地点：</w:t>
      </w:r>
      <w:r>
        <w:rPr>
          <w:rFonts w:cs="Times New Roman"/>
        </w:rPr>
        <w:t>双鸭山市四方台梨花盖子沟垃圾处理场院内</w:t>
      </w:r>
      <w:r>
        <w:rPr>
          <w:rFonts w:cs="Times New Roman"/>
          <w:szCs w:val="24"/>
        </w:rPr>
        <w:t>，中心经纬度为E131°18'4.24"、N46°37'59</w:t>
      </w:r>
      <w:r>
        <w:rPr>
          <w:rFonts w:hint="eastAsia" w:cs="Times New Roman"/>
          <w:szCs w:val="24"/>
        </w:rPr>
        <w:t>.</w:t>
      </w:r>
      <w:r>
        <w:rPr>
          <w:rFonts w:cs="Times New Roman"/>
          <w:szCs w:val="24"/>
        </w:rPr>
        <w:t>98"。</w:t>
      </w:r>
    </w:p>
    <w:p>
      <w:pPr>
        <w:pStyle w:val="528"/>
        <w:spacing w:before="0" w:after="0" w:line="480" w:lineRule="exact"/>
        <w:ind w:firstLine="480" w:firstLineChars="200"/>
        <w:rPr>
          <w:rFonts w:cs="Times New Roman"/>
          <w:szCs w:val="24"/>
        </w:rPr>
      </w:pPr>
      <w:r>
        <w:rPr>
          <w:rFonts w:cs="Times New Roman"/>
          <w:szCs w:val="24"/>
        </w:rPr>
        <w:t>（5）占地面积：项目</w:t>
      </w:r>
      <w:r>
        <w:rPr>
          <w:rFonts w:cs="Times New Roman"/>
        </w:rPr>
        <w:t>现有工程占地面积3039m</w:t>
      </w:r>
      <w:r>
        <w:rPr>
          <w:rFonts w:cs="Times New Roman"/>
          <w:vertAlign w:val="superscript"/>
        </w:rPr>
        <w:t>2</w:t>
      </w:r>
      <w:r>
        <w:rPr>
          <w:rFonts w:cs="Times New Roman"/>
        </w:rPr>
        <w:t>，</w:t>
      </w:r>
      <w:r>
        <w:rPr>
          <w:rFonts w:hint="eastAsia" w:cs="Times New Roman"/>
        </w:rPr>
        <w:t>利用现有车间1</w:t>
      </w:r>
      <w:r>
        <w:rPr>
          <w:rFonts w:cs="Times New Roman"/>
        </w:rPr>
        <w:t>50</w:t>
      </w:r>
      <w:r>
        <w:rPr>
          <w:rFonts w:hint="eastAsia" w:cs="Times New Roman"/>
        </w:rPr>
        <w:t>m</w:t>
      </w:r>
      <w:r>
        <w:rPr>
          <w:rFonts w:cs="Times New Roman"/>
          <w:vertAlign w:val="superscript"/>
        </w:rPr>
        <w:t>2</w:t>
      </w:r>
      <w:r>
        <w:rPr>
          <w:rFonts w:hint="eastAsia" w:cs="Times New Roman"/>
        </w:rPr>
        <w:t>。</w:t>
      </w:r>
    </w:p>
    <w:p>
      <w:pPr>
        <w:pStyle w:val="528"/>
        <w:spacing w:before="0" w:after="0" w:line="480" w:lineRule="exact"/>
        <w:ind w:firstLine="480" w:firstLineChars="200"/>
        <w:rPr>
          <w:rFonts w:cs="Times New Roman"/>
          <w:szCs w:val="24"/>
        </w:rPr>
      </w:pPr>
      <w:r>
        <w:rPr>
          <w:rFonts w:cs="Times New Roman"/>
          <w:szCs w:val="24"/>
        </w:rPr>
        <w:t>（6）投资规模：项目总投资450万元。</w:t>
      </w:r>
    </w:p>
    <w:p>
      <w:pPr>
        <w:pStyle w:val="155"/>
        <w:spacing w:line="480" w:lineRule="exact"/>
        <w:ind w:firstLine="480"/>
        <w:rPr>
          <w:szCs w:val="24"/>
        </w:rPr>
      </w:pPr>
      <w:r>
        <w:rPr>
          <w:szCs w:val="24"/>
        </w:rPr>
        <w:t>（7）建设内容：黑龙江省双鸭山市医疗废物集中处置中心的3t/d处理设备不变，新增1条5t/d处理设备，扩能提质到日处理8t/d规模。医疗废物转运系统不变。</w:t>
      </w:r>
      <w:r>
        <w:rPr>
          <w:rFonts w:hint="eastAsia"/>
          <w:szCs w:val="24"/>
        </w:rPr>
        <w:t>本项目日常运行工况为：新增的</w:t>
      </w:r>
      <w:r>
        <w:rPr>
          <w:szCs w:val="24"/>
        </w:rPr>
        <w:t>5t/d处理设备</w:t>
      </w:r>
      <w:r>
        <w:rPr>
          <w:rFonts w:hint="eastAsia"/>
          <w:szCs w:val="24"/>
        </w:rPr>
        <w:t>与原有</w:t>
      </w:r>
      <w:r>
        <w:rPr>
          <w:szCs w:val="24"/>
        </w:rPr>
        <w:t>3t/d处理设备</w:t>
      </w:r>
      <w:r>
        <w:rPr>
          <w:rFonts w:hint="eastAsia"/>
          <w:szCs w:val="24"/>
        </w:rPr>
        <w:t>根据医疗废物量轮换处理，一般情况下不一同运行。</w:t>
      </w:r>
    </w:p>
    <w:p>
      <w:pPr>
        <w:pStyle w:val="155"/>
        <w:spacing w:line="480" w:lineRule="exact"/>
        <w:ind w:firstLine="480"/>
        <w:rPr>
          <w:snapToGrid w:val="0"/>
          <w:spacing w:val="-9"/>
          <w:szCs w:val="24"/>
        </w:rPr>
      </w:pPr>
      <w:r>
        <w:rPr>
          <w:szCs w:val="24"/>
        </w:rPr>
        <w:t>（8）</w:t>
      </w:r>
      <w:r>
        <w:rPr>
          <w:rFonts w:hint="eastAsia"/>
          <w:szCs w:val="24"/>
        </w:rPr>
        <w:t>建设</w:t>
      </w:r>
      <w:r>
        <w:rPr>
          <w:szCs w:val="24"/>
        </w:rPr>
        <w:t>处置方案：项目采用高温干热灭菌处理医疗废物（感染性废物和</w:t>
      </w:r>
      <w:r>
        <w:rPr>
          <w:rFonts w:hint="eastAsia"/>
          <w:szCs w:val="24"/>
        </w:rPr>
        <w:t>损伤</w:t>
      </w:r>
      <w:r>
        <w:rPr>
          <w:szCs w:val="24"/>
        </w:rPr>
        <w:t>性废物），</w:t>
      </w:r>
      <w:r>
        <w:rPr>
          <w:snapToGrid w:val="0"/>
          <w:spacing w:val="-9"/>
          <w:szCs w:val="24"/>
        </w:rPr>
        <w:t>该医疗废物处理系统具有高效、环保、低成本的特点，符合世界卫生组织生物医学废物处理技术标准。</w:t>
      </w:r>
    </w:p>
    <w:p>
      <w:pPr>
        <w:pStyle w:val="528"/>
        <w:spacing w:before="0" w:after="0" w:line="480" w:lineRule="exact"/>
        <w:ind w:firstLine="480" w:firstLineChars="200"/>
        <w:rPr>
          <w:rFonts w:cs="Times New Roman"/>
          <w:szCs w:val="24"/>
        </w:rPr>
      </w:pPr>
      <w:r>
        <w:rPr>
          <w:rFonts w:cs="Times New Roman"/>
          <w:szCs w:val="24"/>
        </w:rPr>
        <w:t>（9）服务范围：项目服务范围为整个双鸭山市，包括8个区县，服务区域人口为153.5万人。</w:t>
      </w:r>
    </w:p>
    <w:p>
      <w:pPr>
        <w:pStyle w:val="528"/>
        <w:spacing w:before="0" w:after="0" w:line="480" w:lineRule="exact"/>
        <w:ind w:firstLine="480" w:firstLineChars="200"/>
        <w:rPr>
          <w:rFonts w:cs="Times New Roman"/>
          <w:szCs w:val="24"/>
        </w:rPr>
      </w:pPr>
      <w:bookmarkStart w:id="494" w:name="_Toc482020602"/>
      <w:bookmarkStart w:id="495" w:name="_Toc464036672"/>
      <w:bookmarkStart w:id="496" w:name="_Toc480190439"/>
      <w:bookmarkStart w:id="497" w:name="_Toc480983820"/>
      <w:bookmarkStart w:id="498" w:name="_Toc453708946"/>
      <w:bookmarkStart w:id="499" w:name="_Toc486970363"/>
      <w:bookmarkStart w:id="500" w:name="_Toc466271370"/>
      <w:bookmarkStart w:id="501" w:name="_Toc458063846"/>
      <w:bookmarkStart w:id="502" w:name="_Toc25433"/>
      <w:bookmarkStart w:id="503" w:name="_Toc26188006"/>
      <w:bookmarkStart w:id="504" w:name="_Toc12054"/>
      <w:bookmarkStart w:id="505" w:name="_Toc497228811"/>
      <w:bookmarkStart w:id="506" w:name="_Toc17968"/>
      <w:bookmarkStart w:id="507" w:name="_Toc9843793"/>
      <w:bookmarkStart w:id="508" w:name="_Toc527205716"/>
      <w:bookmarkStart w:id="509" w:name="_Toc487111483"/>
      <w:bookmarkStart w:id="510" w:name="_Toc7912"/>
      <w:bookmarkStart w:id="511" w:name="_Toc532556589"/>
      <w:bookmarkStart w:id="512" w:name="_Toc9940"/>
      <w:bookmarkStart w:id="513" w:name="_Toc530655949"/>
      <w:bookmarkStart w:id="514" w:name="_Toc535168889"/>
      <w:bookmarkStart w:id="515" w:name="_Toc27134282"/>
      <w:bookmarkStart w:id="516" w:name="_Toc535348443"/>
      <w:bookmarkStart w:id="517" w:name="_Toc534537604"/>
      <w:r>
        <w:rPr>
          <w:rFonts w:cs="Times New Roman"/>
          <w:szCs w:val="24"/>
        </w:rPr>
        <w:t>（10）劳动定员及生产制度：</w:t>
      </w:r>
      <w:r>
        <w:rPr>
          <w:rFonts w:cs="Times New Roman"/>
        </w:rPr>
        <w:t>现有工程</w:t>
      </w:r>
      <w:r>
        <w:rPr>
          <w:rFonts w:cs="Times New Roman"/>
          <w:szCs w:val="24"/>
        </w:rPr>
        <w:t>工作人员30人，实行2班制，每班工作8h，年工作日为365天。本次改扩建不增加员工人数，不改变工作制度。</w:t>
      </w:r>
    </w:p>
    <w:p>
      <w:pPr>
        <w:pStyle w:val="528"/>
        <w:spacing w:before="0" w:after="0" w:line="480" w:lineRule="exact"/>
        <w:ind w:firstLine="480" w:firstLineChars="200"/>
        <w:rPr>
          <w:rFonts w:cs="Times New Roman"/>
          <w:szCs w:val="24"/>
        </w:rPr>
      </w:pPr>
      <w:r>
        <w:rPr>
          <w:rFonts w:cs="Times New Roman"/>
          <w:szCs w:val="24"/>
        </w:rPr>
        <w:t>（11）周围环境：项目厂区北侧、南侧和西侧为树林，东侧为填埋场飞灰固化区。</w:t>
      </w:r>
    </w:p>
    <w:p>
      <w:pPr>
        <w:pStyle w:val="4"/>
        <w:spacing w:before="120" w:beforeLines="50" w:after="120" w:afterLines="50" w:line="480" w:lineRule="exact"/>
        <w:rPr>
          <w:rFonts w:ascii="Times New Roman" w:hAnsi="Times New Roman" w:eastAsia="黑体"/>
          <w:bCs/>
          <w:sz w:val="28"/>
          <w:szCs w:val="28"/>
        </w:rPr>
      </w:pPr>
      <w:r>
        <w:rPr>
          <w:rFonts w:ascii="Times New Roman" w:hAnsi="Times New Roman" w:eastAsia="黑体"/>
          <w:bCs/>
          <w:sz w:val="28"/>
          <w:szCs w:val="28"/>
        </w:rPr>
        <w:t>项目</w:t>
      </w:r>
      <w:bookmarkEnd w:id="494"/>
      <w:bookmarkEnd w:id="495"/>
      <w:bookmarkEnd w:id="496"/>
      <w:bookmarkEnd w:id="497"/>
      <w:bookmarkEnd w:id="498"/>
      <w:bookmarkEnd w:id="499"/>
      <w:bookmarkEnd w:id="500"/>
      <w:bookmarkEnd w:id="501"/>
      <w:r>
        <w:rPr>
          <w:rFonts w:ascii="Times New Roman" w:hAnsi="Times New Roman" w:eastAsia="黑体"/>
          <w:bCs/>
          <w:sz w:val="28"/>
          <w:szCs w:val="28"/>
        </w:rPr>
        <w:t>组成</w:t>
      </w:r>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p>
    <w:p>
      <w:pPr>
        <w:spacing w:line="480" w:lineRule="exact"/>
        <w:ind w:firstLine="480" w:firstLineChars="200"/>
        <w:rPr>
          <w:rFonts w:ascii="Times New Roman" w:hAnsi="Times New Roman"/>
          <w:sz w:val="24"/>
          <w:szCs w:val="24"/>
        </w:rPr>
      </w:pPr>
      <w:r>
        <w:rPr>
          <w:rFonts w:ascii="Times New Roman" w:hAnsi="Times New Roman"/>
          <w:sz w:val="24"/>
          <w:szCs w:val="24"/>
        </w:rPr>
        <w:t>本项目在现有灭菌车间进行设备安装，无土建内容。主要建筑物见表3.2-1，建设内容组成一览表见表3.2-2。</w:t>
      </w:r>
    </w:p>
    <w:p>
      <w:pPr>
        <w:spacing w:line="480" w:lineRule="exact"/>
        <w:jc w:val="center"/>
        <w:rPr>
          <w:rFonts w:ascii="Times New Roman" w:hAnsi="Times New Roman"/>
          <w:b/>
        </w:rPr>
      </w:pPr>
      <w:r>
        <w:rPr>
          <w:rFonts w:ascii="Times New Roman" w:hAnsi="Times New Roman"/>
          <w:b/>
        </w:rPr>
        <w:t>表3.2-1 项目建（构）筑物建设一览表</w:t>
      </w:r>
    </w:p>
    <w:tbl>
      <w:tblPr>
        <w:tblStyle w:val="7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61"/>
        <w:gridCol w:w="1880"/>
        <w:gridCol w:w="1815"/>
        <w:gridCol w:w="1754"/>
        <w:gridCol w:w="221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858" w:type="dxa"/>
            <w:tcBorders>
              <w:top w:val="single" w:color="auto" w:sz="12" w:space="0"/>
              <w:left w:val="nil"/>
              <w:bottom w:val="single" w:color="auto" w:sz="4" w:space="0"/>
              <w:right w:val="single" w:color="auto" w:sz="4" w:space="0"/>
            </w:tcBorders>
            <w:vAlign w:val="center"/>
          </w:tcPr>
          <w:p>
            <w:pPr>
              <w:spacing w:line="280" w:lineRule="exact"/>
              <w:jc w:val="center"/>
              <w:rPr>
                <w:rFonts w:ascii="Times New Roman" w:hAnsi="Times New Roman"/>
                <w:b/>
              </w:rPr>
            </w:pPr>
            <w:r>
              <w:rPr>
                <w:rFonts w:ascii="Times New Roman" w:hAnsi="Times New Roman"/>
                <w:b/>
              </w:rPr>
              <w:t>序号</w:t>
            </w:r>
          </w:p>
        </w:tc>
        <w:tc>
          <w:tcPr>
            <w:tcW w:w="1880" w:type="dxa"/>
            <w:tcBorders>
              <w:top w:val="single" w:color="auto" w:sz="12"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rPr>
            </w:pPr>
            <w:r>
              <w:rPr>
                <w:rFonts w:ascii="Times New Roman" w:hAnsi="Times New Roman"/>
                <w:b/>
              </w:rPr>
              <w:t>名称</w:t>
            </w:r>
          </w:p>
        </w:tc>
        <w:tc>
          <w:tcPr>
            <w:tcW w:w="1815" w:type="dxa"/>
            <w:tcBorders>
              <w:top w:val="single" w:color="auto" w:sz="12"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rPr>
            </w:pPr>
            <w:r>
              <w:rPr>
                <w:rFonts w:ascii="Times New Roman" w:hAnsi="Times New Roman"/>
                <w:b/>
              </w:rPr>
              <w:t>现有工程</w:t>
            </w:r>
          </w:p>
          <w:p>
            <w:pPr>
              <w:spacing w:line="280" w:lineRule="exact"/>
              <w:jc w:val="center"/>
              <w:rPr>
                <w:rFonts w:ascii="Times New Roman" w:hAnsi="Times New Roman"/>
                <w:b/>
                <w:spacing w:val="3"/>
              </w:rPr>
            </w:pPr>
            <w:r>
              <w:rPr>
                <w:rFonts w:ascii="Times New Roman" w:hAnsi="Times New Roman"/>
                <w:b/>
                <w:spacing w:val="3"/>
              </w:rPr>
              <w:t>占地面积（m</w:t>
            </w:r>
            <w:r>
              <w:rPr>
                <w:rFonts w:ascii="Times New Roman" w:hAnsi="Times New Roman"/>
                <w:b/>
                <w:spacing w:val="3"/>
                <w:vertAlign w:val="superscript"/>
              </w:rPr>
              <w:t>2</w:t>
            </w:r>
            <w:r>
              <w:rPr>
                <w:rFonts w:ascii="Times New Roman" w:hAnsi="Times New Roman"/>
                <w:b/>
                <w:spacing w:val="3"/>
              </w:rPr>
              <w:t>）</w:t>
            </w:r>
          </w:p>
        </w:tc>
        <w:tc>
          <w:tcPr>
            <w:tcW w:w="1755" w:type="dxa"/>
            <w:tcBorders>
              <w:top w:val="single" w:color="auto" w:sz="12"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pacing w:val="3"/>
              </w:rPr>
            </w:pPr>
            <w:r>
              <w:rPr>
                <w:rFonts w:ascii="Times New Roman" w:hAnsi="Times New Roman"/>
                <w:b/>
                <w:spacing w:val="3"/>
              </w:rPr>
              <w:t>改扩建工程</w:t>
            </w:r>
          </w:p>
          <w:p>
            <w:pPr>
              <w:spacing w:line="280" w:lineRule="exact"/>
              <w:jc w:val="center"/>
              <w:rPr>
                <w:rFonts w:ascii="Times New Roman" w:hAnsi="Times New Roman"/>
                <w:b/>
                <w:spacing w:val="3"/>
              </w:rPr>
            </w:pPr>
            <w:r>
              <w:rPr>
                <w:rFonts w:ascii="Times New Roman" w:hAnsi="Times New Roman"/>
                <w:b/>
                <w:spacing w:val="3"/>
              </w:rPr>
              <w:t>占地面积（m</w:t>
            </w:r>
            <w:r>
              <w:rPr>
                <w:rFonts w:ascii="Times New Roman" w:hAnsi="Times New Roman"/>
                <w:b/>
                <w:spacing w:val="3"/>
                <w:vertAlign w:val="superscript"/>
              </w:rPr>
              <w:t>2</w:t>
            </w:r>
            <w:r>
              <w:rPr>
                <w:rFonts w:ascii="Times New Roman" w:hAnsi="Times New Roman"/>
                <w:b/>
                <w:spacing w:val="3"/>
              </w:rPr>
              <w:t>）</w:t>
            </w:r>
          </w:p>
        </w:tc>
        <w:tc>
          <w:tcPr>
            <w:tcW w:w="2221" w:type="dxa"/>
            <w:tcBorders>
              <w:top w:val="single" w:color="auto" w:sz="12" w:space="0"/>
              <w:left w:val="single" w:color="auto" w:sz="4" w:space="0"/>
              <w:bottom w:val="single" w:color="auto" w:sz="4" w:space="0"/>
              <w:right w:val="nil"/>
            </w:tcBorders>
            <w:vAlign w:val="center"/>
          </w:tcPr>
          <w:p>
            <w:pPr>
              <w:spacing w:line="280" w:lineRule="exact"/>
              <w:jc w:val="center"/>
              <w:rPr>
                <w:rFonts w:ascii="Times New Roman" w:hAnsi="Times New Roman"/>
                <w:b/>
                <w:spacing w:val="3"/>
              </w:rPr>
            </w:pPr>
            <w:r>
              <w:rPr>
                <w:rFonts w:ascii="Times New Roman" w:hAnsi="Times New Roman"/>
                <w:b/>
                <w:spacing w:val="3"/>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858" w:type="dxa"/>
            <w:tcBorders>
              <w:top w:val="single" w:color="auto" w:sz="4" w:space="0"/>
              <w:left w:val="nil"/>
              <w:bottom w:val="single" w:color="auto" w:sz="4" w:space="0"/>
              <w:right w:val="single" w:color="auto" w:sz="4" w:space="0"/>
            </w:tcBorders>
            <w:vAlign w:val="center"/>
          </w:tcPr>
          <w:p>
            <w:pPr>
              <w:widowControl/>
              <w:spacing w:line="280" w:lineRule="exact"/>
              <w:jc w:val="center"/>
              <w:rPr>
                <w:rFonts w:ascii="Times New Roman" w:hAnsi="Times New Roman"/>
                <w:bCs/>
              </w:rPr>
            </w:pPr>
            <w:r>
              <w:rPr>
                <w:rFonts w:ascii="Times New Roman" w:hAnsi="Times New Roman"/>
              </w:rPr>
              <w:t>1</w:t>
            </w:r>
          </w:p>
        </w:tc>
        <w:tc>
          <w:tcPr>
            <w:tcW w:w="188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bCs/>
              </w:rPr>
            </w:pPr>
            <w:r>
              <w:rPr>
                <w:rFonts w:ascii="Times New Roman" w:hAnsi="Times New Roman"/>
                <w:kern w:val="2"/>
              </w:rPr>
              <w:t>灭菌车间</w:t>
            </w:r>
          </w:p>
        </w:tc>
        <w:tc>
          <w:tcPr>
            <w:tcW w:w="1815"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80" w:lineRule="exact"/>
              <w:jc w:val="center"/>
              <w:rPr>
                <w:rFonts w:ascii="Times New Roman" w:hAnsi="Times New Roman"/>
                <w:bCs/>
                <w:spacing w:val="3"/>
              </w:rPr>
            </w:pPr>
            <w:r>
              <w:rPr>
                <w:rFonts w:ascii="Times New Roman" w:hAnsi="Times New Roman"/>
                <w:bCs/>
                <w:spacing w:val="3"/>
              </w:rPr>
              <w:t>432</w:t>
            </w:r>
          </w:p>
        </w:tc>
        <w:tc>
          <w:tcPr>
            <w:tcW w:w="1755"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80" w:lineRule="exact"/>
              <w:jc w:val="center"/>
              <w:rPr>
                <w:rFonts w:ascii="Times New Roman" w:hAnsi="Times New Roman"/>
                <w:bCs/>
                <w:spacing w:val="3"/>
              </w:rPr>
            </w:pPr>
            <w:r>
              <w:rPr>
                <w:rFonts w:ascii="Times New Roman" w:hAnsi="Times New Roman"/>
                <w:bCs/>
                <w:spacing w:val="3"/>
              </w:rPr>
              <w:t>利用灭菌车间空地</w:t>
            </w:r>
          </w:p>
        </w:tc>
        <w:tc>
          <w:tcPr>
            <w:tcW w:w="2221" w:type="dxa"/>
            <w:tcBorders>
              <w:top w:val="single" w:color="auto" w:sz="4" w:space="0"/>
              <w:left w:val="single" w:color="auto" w:sz="4" w:space="0"/>
              <w:bottom w:val="single" w:color="auto" w:sz="4" w:space="0"/>
              <w:right w:val="nil"/>
            </w:tcBorders>
            <w:vAlign w:val="center"/>
          </w:tcPr>
          <w:p>
            <w:pPr>
              <w:adjustRightInd w:val="0"/>
              <w:snapToGrid w:val="0"/>
              <w:spacing w:line="280" w:lineRule="exact"/>
              <w:jc w:val="center"/>
              <w:rPr>
                <w:rFonts w:ascii="Times New Roman" w:hAnsi="Times New Roman"/>
                <w:bCs/>
                <w:spacing w:val="3"/>
              </w:rPr>
            </w:pPr>
            <w:r>
              <w:rPr>
                <w:rFonts w:hint="eastAsia" w:ascii="Times New Roman" w:hAnsi="Times New Roman"/>
                <w:bCs/>
                <w:spacing w:val="3"/>
              </w:rPr>
              <w:t>依托现有车间空地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858" w:type="dxa"/>
            <w:tcBorders>
              <w:top w:val="single" w:color="auto" w:sz="4" w:space="0"/>
              <w:left w:val="nil"/>
              <w:bottom w:val="single" w:color="auto" w:sz="4" w:space="0"/>
              <w:right w:val="single" w:color="auto" w:sz="4" w:space="0"/>
            </w:tcBorders>
            <w:vAlign w:val="center"/>
          </w:tcPr>
          <w:p>
            <w:pPr>
              <w:widowControl/>
              <w:spacing w:line="280" w:lineRule="exact"/>
              <w:jc w:val="center"/>
              <w:rPr>
                <w:rFonts w:ascii="Times New Roman" w:hAnsi="Times New Roman"/>
              </w:rPr>
            </w:pPr>
            <w:r>
              <w:rPr>
                <w:rFonts w:ascii="Times New Roman" w:hAnsi="Times New Roman"/>
              </w:rPr>
              <w:t>2</w:t>
            </w:r>
          </w:p>
        </w:tc>
        <w:tc>
          <w:tcPr>
            <w:tcW w:w="188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bCs/>
              </w:rPr>
            </w:pPr>
            <w:r>
              <w:rPr>
                <w:rFonts w:ascii="Times New Roman" w:hAnsi="Times New Roman"/>
                <w:kern w:val="2"/>
              </w:rPr>
              <w:t>污水处理间</w:t>
            </w:r>
          </w:p>
        </w:tc>
        <w:tc>
          <w:tcPr>
            <w:tcW w:w="1815"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80" w:lineRule="exact"/>
              <w:jc w:val="center"/>
              <w:rPr>
                <w:rFonts w:ascii="Times New Roman" w:hAnsi="Times New Roman"/>
                <w:bCs/>
                <w:spacing w:val="3"/>
              </w:rPr>
            </w:pPr>
            <w:r>
              <w:rPr>
                <w:rFonts w:ascii="Times New Roman" w:hAnsi="Times New Roman"/>
                <w:bCs/>
                <w:spacing w:val="3"/>
              </w:rPr>
              <w:t>15</w:t>
            </w:r>
          </w:p>
        </w:tc>
        <w:tc>
          <w:tcPr>
            <w:tcW w:w="1755"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80" w:lineRule="exact"/>
              <w:jc w:val="center"/>
              <w:rPr>
                <w:rFonts w:ascii="Times New Roman" w:hAnsi="Times New Roman"/>
                <w:bCs/>
                <w:spacing w:val="3"/>
              </w:rPr>
            </w:pPr>
          </w:p>
        </w:tc>
        <w:tc>
          <w:tcPr>
            <w:tcW w:w="2221" w:type="dxa"/>
            <w:tcBorders>
              <w:top w:val="single" w:color="auto" w:sz="4" w:space="0"/>
              <w:left w:val="single" w:color="auto" w:sz="4" w:space="0"/>
              <w:bottom w:val="single" w:color="auto" w:sz="4" w:space="0"/>
              <w:right w:val="nil"/>
            </w:tcBorders>
            <w:vAlign w:val="center"/>
          </w:tcPr>
          <w:p>
            <w:pPr>
              <w:adjustRightInd w:val="0"/>
              <w:snapToGrid w:val="0"/>
              <w:spacing w:line="280" w:lineRule="exact"/>
              <w:jc w:val="center"/>
              <w:rPr>
                <w:rFonts w:ascii="Times New Roman" w:hAnsi="Times New Roman"/>
                <w:bCs/>
                <w:spacing w:val="3"/>
              </w:rPr>
            </w:pPr>
            <w:r>
              <w:rPr>
                <w:rFonts w:hint="eastAsia" w:ascii="Times New Roman" w:hAnsi="Times New Roman"/>
                <w:bCs/>
                <w:spacing w:val="3"/>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858" w:type="dxa"/>
            <w:tcBorders>
              <w:top w:val="single" w:color="auto" w:sz="4" w:space="0"/>
              <w:left w:val="nil"/>
              <w:bottom w:val="single" w:color="auto" w:sz="4" w:space="0"/>
              <w:right w:val="single" w:color="auto" w:sz="4" w:space="0"/>
            </w:tcBorders>
            <w:vAlign w:val="center"/>
          </w:tcPr>
          <w:p>
            <w:pPr>
              <w:widowControl/>
              <w:spacing w:line="280" w:lineRule="exact"/>
              <w:jc w:val="center"/>
              <w:rPr>
                <w:rFonts w:ascii="Times New Roman" w:hAnsi="Times New Roman"/>
              </w:rPr>
            </w:pPr>
            <w:r>
              <w:rPr>
                <w:rFonts w:ascii="Times New Roman" w:hAnsi="Times New Roman"/>
              </w:rPr>
              <w:t>3</w:t>
            </w:r>
          </w:p>
        </w:tc>
        <w:tc>
          <w:tcPr>
            <w:tcW w:w="1880" w:type="dxa"/>
            <w:tcBorders>
              <w:top w:val="single" w:color="auto" w:sz="4" w:space="0"/>
              <w:left w:val="single" w:color="auto" w:sz="4" w:space="0"/>
              <w:bottom w:val="single" w:color="auto" w:sz="4" w:space="0"/>
              <w:right w:val="single" w:color="auto" w:sz="4" w:space="0"/>
            </w:tcBorders>
            <w:vAlign w:val="center"/>
          </w:tcPr>
          <w:p>
            <w:pPr>
              <w:tabs>
                <w:tab w:val="left" w:pos="6480"/>
              </w:tabs>
              <w:jc w:val="center"/>
              <w:rPr>
                <w:rFonts w:ascii="Times New Roman" w:hAnsi="Times New Roman"/>
                <w:bCs/>
                <w:kern w:val="2"/>
                <w:sz w:val="24"/>
                <w:szCs w:val="24"/>
              </w:rPr>
            </w:pPr>
            <w:r>
              <w:rPr>
                <w:rFonts w:ascii="Times New Roman" w:hAnsi="Times New Roman"/>
                <w:kern w:val="2"/>
              </w:rPr>
              <w:t>锅炉房</w:t>
            </w:r>
          </w:p>
        </w:tc>
        <w:tc>
          <w:tcPr>
            <w:tcW w:w="1815"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80" w:lineRule="exact"/>
              <w:jc w:val="center"/>
              <w:rPr>
                <w:rFonts w:ascii="Times New Roman" w:hAnsi="Times New Roman"/>
                <w:bCs/>
                <w:spacing w:val="3"/>
              </w:rPr>
            </w:pPr>
            <w:r>
              <w:rPr>
                <w:rFonts w:ascii="Times New Roman" w:hAnsi="Times New Roman"/>
                <w:bCs/>
                <w:spacing w:val="3"/>
              </w:rPr>
              <w:t>20</w:t>
            </w:r>
          </w:p>
        </w:tc>
        <w:tc>
          <w:tcPr>
            <w:tcW w:w="1755"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80" w:lineRule="exact"/>
              <w:jc w:val="center"/>
              <w:rPr>
                <w:rFonts w:ascii="Times New Roman" w:hAnsi="Times New Roman"/>
                <w:bCs/>
                <w:spacing w:val="3"/>
              </w:rPr>
            </w:pPr>
          </w:p>
        </w:tc>
        <w:tc>
          <w:tcPr>
            <w:tcW w:w="2221" w:type="dxa"/>
            <w:tcBorders>
              <w:top w:val="single" w:color="auto" w:sz="4" w:space="0"/>
              <w:left w:val="single" w:color="auto" w:sz="4" w:space="0"/>
              <w:bottom w:val="single" w:color="auto" w:sz="4" w:space="0"/>
              <w:right w:val="nil"/>
            </w:tcBorders>
            <w:vAlign w:val="center"/>
          </w:tcPr>
          <w:p>
            <w:pPr>
              <w:adjustRightInd w:val="0"/>
              <w:snapToGrid w:val="0"/>
              <w:spacing w:line="280" w:lineRule="exact"/>
              <w:jc w:val="center"/>
              <w:rPr>
                <w:rFonts w:ascii="Times New Roman" w:hAnsi="Times New Roman"/>
                <w:bCs/>
                <w:spacing w:val="3"/>
              </w:rPr>
            </w:pPr>
            <w:r>
              <w:rPr>
                <w:rFonts w:hint="eastAsia" w:ascii="Times New Roman" w:hAnsi="Times New Roman"/>
                <w:bCs/>
                <w:spacing w:val="3"/>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858" w:type="dxa"/>
            <w:tcBorders>
              <w:top w:val="single" w:color="auto" w:sz="4" w:space="0"/>
              <w:left w:val="nil"/>
              <w:bottom w:val="single" w:color="auto" w:sz="4" w:space="0"/>
              <w:right w:val="single" w:color="auto" w:sz="4" w:space="0"/>
            </w:tcBorders>
            <w:vAlign w:val="center"/>
          </w:tcPr>
          <w:p>
            <w:pPr>
              <w:widowControl/>
              <w:spacing w:line="280" w:lineRule="exact"/>
              <w:jc w:val="center"/>
              <w:rPr>
                <w:rFonts w:ascii="Times New Roman" w:hAnsi="Times New Roman"/>
              </w:rPr>
            </w:pPr>
            <w:r>
              <w:rPr>
                <w:rFonts w:ascii="Times New Roman" w:hAnsi="Times New Roman"/>
              </w:rPr>
              <w:t>4</w:t>
            </w:r>
          </w:p>
        </w:tc>
        <w:tc>
          <w:tcPr>
            <w:tcW w:w="1880" w:type="dxa"/>
            <w:tcBorders>
              <w:top w:val="single" w:color="auto" w:sz="4" w:space="0"/>
              <w:left w:val="single" w:color="auto" w:sz="4" w:space="0"/>
              <w:bottom w:val="single" w:color="auto" w:sz="4" w:space="0"/>
              <w:right w:val="single" w:color="auto" w:sz="4" w:space="0"/>
            </w:tcBorders>
            <w:vAlign w:val="center"/>
          </w:tcPr>
          <w:p>
            <w:pPr>
              <w:tabs>
                <w:tab w:val="left" w:pos="6480"/>
              </w:tabs>
              <w:jc w:val="center"/>
              <w:rPr>
                <w:rFonts w:ascii="Times New Roman" w:hAnsi="Times New Roman"/>
                <w:bCs/>
                <w:kern w:val="2"/>
                <w:sz w:val="24"/>
                <w:szCs w:val="24"/>
              </w:rPr>
            </w:pPr>
            <w:r>
              <w:rPr>
                <w:rFonts w:ascii="Times New Roman" w:hAnsi="Times New Roman"/>
                <w:kern w:val="2"/>
              </w:rPr>
              <w:t>冷却水泵房</w:t>
            </w:r>
          </w:p>
        </w:tc>
        <w:tc>
          <w:tcPr>
            <w:tcW w:w="1815"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80" w:lineRule="exact"/>
              <w:jc w:val="center"/>
              <w:rPr>
                <w:rFonts w:ascii="Times New Roman" w:hAnsi="Times New Roman"/>
                <w:bCs/>
                <w:spacing w:val="3"/>
              </w:rPr>
            </w:pPr>
            <w:r>
              <w:rPr>
                <w:rFonts w:ascii="Times New Roman" w:hAnsi="Times New Roman"/>
                <w:bCs/>
                <w:spacing w:val="3"/>
              </w:rPr>
              <w:t>5</w:t>
            </w:r>
          </w:p>
        </w:tc>
        <w:tc>
          <w:tcPr>
            <w:tcW w:w="1755"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80" w:lineRule="exact"/>
              <w:jc w:val="center"/>
              <w:rPr>
                <w:rFonts w:ascii="Times New Roman" w:hAnsi="Times New Roman"/>
                <w:bCs/>
                <w:spacing w:val="3"/>
              </w:rPr>
            </w:pPr>
          </w:p>
        </w:tc>
        <w:tc>
          <w:tcPr>
            <w:tcW w:w="2221" w:type="dxa"/>
            <w:tcBorders>
              <w:top w:val="single" w:color="auto" w:sz="4" w:space="0"/>
              <w:left w:val="single" w:color="auto" w:sz="4" w:space="0"/>
              <w:bottom w:val="single" w:color="auto" w:sz="4" w:space="0"/>
              <w:right w:val="nil"/>
            </w:tcBorders>
            <w:vAlign w:val="center"/>
          </w:tcPr>
          <w:p>
            <w:pPr>
              <w:adjustRightInd w:val="0"/>
              <w:snapToGrid w:val="0"/>
              <w:spacing w:line="280" w:lineRule="exact"/>
              <w:jc w:val="center"/>
              <w:rPr>
                <w:rFonts w:ascii="Times New Roman" w:hAnsi="Times New Roman"/>
                <w:bCs/>
                <w:spacing w:val="3"/>
              </w:rPr>
            </w:pPr>
            <w:r>
              <w:rPr>
                <w:rFonts w:hint="eastAsia" w:ascii="Times New Roman" w:hAnsi="Times New Roman"/>
                <w:bCs/>
                <w:spacing w:val="3"/>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858" w:type="dxa"/>
            <w:tcBorders>
              <w:top w:val="single" w:color="auto" w:sz="4" w:space="0"/>
              <w:left w:val="nil"/>
              <w:bottom w:val="single" w:color="auto" w:sz="4" w:space="0"/>
              <w:right w:val="single" w:color="auto" w:sz="4" w:space="0"/>
            </w:tcBorders>
            <w:vAlign w:val="center"/>
          </w:tcPr>
          <w:p>
            <w:pPr>
              <w:widowControl/>
              <w:spacing w:line="280" w:lineRule="exact"/>
              <w:jc w:val="center"/>
              <w:rPr>
                <w:rFonts w:ascii="Times New Roman" w:hAnsi="Times New Roman"/>
              </w:rPr>
            </w:pPr>
            <w:r>
              <w:rPr>
                <w:rFonts w:ascii="Times New Roman" w:hAnsi="Times New Roman"/>
              </w:rPr>
              <w:t>5</w:t>
            </w:r>
          </w:p>
        </w:tc>
        <w:tc>
          <w:tcPr>
            <w:tcW w:w="1880" w:type="dxa"/>
            <w:tcBorders>
              <w:top w:val="single" w:color="auto" w:sz="4" w:space="0"/>
              <w:left w:val="single" w:color="auto" w:sz="4" w:space="0"/>
              <w:bottom w:val="single" w:color="auto" w:sz="4" w:space="0"/>
              <w:right w:val="single" w:color="auto" w:sz="4" w:space="0"/>
            </w:tcBorders>
            <w:vAlign w:val="center"/>
          </w:tcPr>
          <w:p>
            <w:pPr>
              <w:tabs>
                <w:tab w:val="left" w:pos="6480"/>
              </w:tabs>
              <w:jc w:val="center"/>
              <w:rPr>
                <w:rFonts w:ascii="Times New Roman" w:hAnsi="Times New Roman"/>
                <w:bCs/>
                <w:kern w:val="2"/>
                <w:sz w:val="24"/>
                <w:szCs w:val="24"/>
              </w:rPr>
            </w:pPr>
            <w:r>
              <w:rPr>
                <w:rFonts w:ascii="Times New Roman" w:hAnsi="Times New Roman"/>
                <w:kern w:val="2"/>
              </w:rPr>
              <w:t>泵房</w:t>
            </w:r>
          </w:p>
        </w:tc>
        <w:tc>
          <w:tcPr>
            <w:tcW w:w="1815"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80" w:lineRule="exact"/>
              <w:jc w:val="center"/>
              <w:rPr>
                <w:rFonts w:ascii="Times New Roman" w:hAnsi="Times New Roman"/>
                <w:bCs/>
                <w:spacing w:val="3"/>
              </w:rPr>
            </w:pPr>
            <w:r>
              <w:rPr>
                <w:rFonts w:ascii="Times New Roman" w:hAnsi="Times New Roman"/>
                <w:bCs/>
                <w:spacing w:val="3"/>
              </w:rPr>
              <w:t>14.1</w:t>
            </w:r>
          </w:p>
        </w:tc>
        <w:tc>
          <w:tcPr>
            <w:tcW w:w="1755"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80" w:lineRule="exact"/>
              <w:jc w:val="center"/>
              <w:rPr>
                <w:rFonts w:ascii="Times New Roman" w:hAnsi="Times New Roman"/>
                <w:bCs/>
                <w:spacing w:val="3"/>
              </w:rPr>
            </w:pPr>
          </w:p>
        </w:tc>
        <w:tc>
          <w:tcPr>
            <w:tcW w:w="2221" w:type="dxa"/>
            <w:tcBorders>
              <w:top w:val="single" w:color="auto" w:sz="4" w:space="0"/>
              <w:left w:val="single" w:color="auto" w:sz="4" w:space="0"/>
              <w:bottom w:val="single" w:color="auto" w:sz="4" w:space="0"/>
              <w:right w:val="nil"/>
            </w:tcBorders>
            <w:vAlign w:val="center"/>
          </w:tcPr>
          <w:p>
            <w:pPr>
              <w:adjustRightInd w:val="0"/>
              <w:snapToGrid w:val="0"/>
              <w:spacing w:line="280" w:lineRule="exact"/>
              <w:jc w:val="center"/>
              <w:rPr>
                <w:rFonts w:ascii="Times New Roman" w:hAnsi="Times New Roman"/>
                <w:bCs/>
                <w:spacing w:val="3"/>
              </w:rPr>
            </w:pPr>
            <w:r>
              <w:rPr>
                <w:rFonts w:hint="eastAsia" w:ascii="Times New Roman" w:hAnsi="Times New Roman"/>
                <w:bCs/>
                <w:spacing w:val="3"/>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858" w:type="dxa"/>
            <w:tcBorders>
              <w:top w:val="single" w:color="auto" w:sz="4" w:space="0"/>
              <w:left w:val="nil"/>
              <w:bottom w:val="single" w:color="auto" w:sz="4" w:space="0"/>
              <w:right w:val="single" w:color="auto" w:sz="4" w:space="0"/>
            </w:tcBorders>
            <w:vAlign w:val="center"/>
          </w:tcPr>
          <w:p>
            <w:pPr>
              <w:widowControl/>
              <w:spacing w:line="280" w:lineRule="exact"/>
              <w:jc w:val="center"/>
              <w:rPr>
                <w:rFonts w:ascii="Times New Roman" w:hAnsi="Times New Roman"/>
              </w:rPr>
            </w:pPr>
            <w:r>
              <w:rPr>
                <w:rFonts w:ascii="Times New Roman" w:hAnsi="Times New Roman"/>
              </w:rPr>
              <w:t>6</w:t>
            </w:r>
          </w:p>
        </w:tc>
        <w:tc>
          <w:tcPr>
            <w:tcW w:w="1880" w:type="dxa"/>
            <w:tcBorders>
              <w:top w:val="single" w:color="auto" w:sz="4" w:space="0"/>
              <w:left w:val="single" w:color="auto" w:sz="4" w:space="0"/>
              <w:bottom w:val="single" w:color="auto" w:sz="4" w:space="0"/>
              <w:right w:val="single" w:color="auto" w:sz="4" w:space="0"/>
            </w:tcBorders>
            <w:vAlign w:val="center"/>
          </w:tcPr>
          <w:p>
            <w:pPr>
              <w:tabs>
                <w:tab w:val="left" w:pos="6480"/>
              </w:tabs>
              <w:jc w:val="center"/>
              <w:rPr>
                <w:rFonts w:ascii="Times New Roman" w:hAnsi="Times New Roman"/>
                <w:kern w:val="2"/>
                <w:sz w:val="24"/>
                <w:szCs w:val="24"/>
              </w:rPr>
            </w:pPr>
            <w:r>
              <w:rPr>
                <w:rFonts w:ascii="Times New Roman" w:hAnsi="Times New Roman"/>
                <w:kern w:val="2"/>
              </w:rPr>
              <w:t>办公室</w:t>
            </w:r>
          </w:p>
        </w:tc>
        <w:tc>
          <w:tcPr>
            <w:tcW w:w="1815"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80" w:lineRule="exact"/>
              <w:jc w:val="center"/>
              <w:rPr>
                <w:rFonts w:ascii="Times New Roman" w:hAnsi="Times New Roman"/>
                <w:bCs/>
                <w:spacing w:val="3"/>
              </w:rPr>
            </w:pPr>
            <w:r>
              <w:rPr>
                <w:rFonts w:ascii="Times New Roman" w:hAnsi="Times New Roman"/>
                <w:bCs/>
                <w:spacing w:val="3"/>
              </w:rPr>
              <w:t>260</w:t>
            </w:r>
          </w:p>
        </w:tc>
        <w:tc>
          <w:tcPr>
            <w:tcW w:w="1755"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80" w:lineRule="exact"/>
              <w:jc w:val="center"/>
              <w:rPr>
                <w:rFonts w:ascii="Times New Roman" w:hAnsi="Times New Roman"/>
                <w:bCs/>
                <w:spacing w:val="3"/>
              </w:rPr>
            </w:pPr>
          </w:p>
        </w:tc>
        <w:tc>
          <w:tcPr>
            <w:tcW w:w="2221" w:type="dxa"/>
            <w:tcBorders>
              <w:top w:val="single" w:color="auto" w:sz="4" w:space="0"/>
              <w:left w:val="single" w:color="auto" w:sz="4" w:space="0"/>
              <w:bottom w:val="single" w:color="auto" w:sz="4" w:space="0"/>
              <w:right w:val="nil"/>
            </w:tcBorders>
            <w:vAlign w:val="center"/>
          </w:tcPr>
          <w:p>
            <w:pPr>
              <w:adjustRightInd w:val="0"/>
              <w:snapToGrid w:val="0"/>
              <w:spacing w:line="280" w:lineRule="exact"/>
              <w:jc w:val="center"/>
              <w:rPr>
                <w:rFonts w:ascii="Times New Roman" w:hAnsi="Times New Roman"/>
                <w:bCs/>
                <w:spacing w:val="3"/>
              </w:rPr>
            </w:pPr>
            <w:r>
              <w:rPr>
                <w:rFonts w:hint="eastAsia" w:ascii="Times New Roman" w:hAnsi="Times New Roman"/>
                <w:bCs/>
                <w:spacing w:val="3"/>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858" w:type="dxa"/>
            <w:tcBorders>
              <w:top w:val="single" w:color="auto" w:sz="4" w:space="0"/>
              <w:left w:val="nil"/>
              <w:bottom w:val="single" w:color="auto" w:sz="4" w:space="0"/>
              <w:right w:val="single" w:color="auto" w:sz="4" w:space="0"/>
            </w:tcBorders>
            <w:vAlign w:val="center"/>
          </w:tcPr>
          <w:p>
            <w:pPr>
              <w:widowControl/>
              <w:spacing w:line="280" w:lineRule="exact"/>
              <w:jc w:val="center"/>
              <w:rPr>
                <w:rFonts w:ascii="Times New Roman" w:hAnsi="Times New Roman"/>
              </w:rPr>
            </w:pPr>
            <w:r>
              <w:rPr>
                <w:rFonts w:ascii="Times New Roman" w:hAnsi="Times New Roman"/>
              </w:rPr>
              <w:t>7</w:t>
            </w:r>
          </w:p>
        </w:tc>
        <w:tc>
          <w:tcPr>
            <w:tcW w:w="1880" w:type="dxa"/>
            <w:tcBorders>
              <w:top w:val="single" w:color="auto" w:sz="4" w:space="0"/>
              <w:left w:val="single" w:color="auto" w:sz="4" w:space="0"/>
              <w:bottom w:val="single" w:color="auto" w:sz="4" w:space="0"/>
              <w:right w:val="single" w:color="auto" w:sz="4" w:space="0"/>
            </w:tcBorders>
            <w:vAlign w:val="center"/>
          </w:tcPr>
          <w:p>
            <w:pPr>
              <w:tabs>
                <w:tab w:val="left" w:pos="6480"/>
              </w:tabs>
              <w:jc w:val="center"/>
              <w:rPr>
                <w:rFonts w:ascii="Times New Roman" w:hAnsi="Times New Roman"/>
                <w:kern w:val="2"/>
                <w:sz w:val="24"/>
                <w:szCs w:val="24"/>
              </w:rPr>
            </w:pPr>
            <w:r>
              <w:rPr>
                <w:rFonts w:ascii="Times New Roman" w:hAnsi="Times New Roman"/>
                <w:kern w:val="2"/>
              </w:rPr>
              <w:t>门卫室</w:t>
            </w:r>
          </w:p>
        </w:tc>
        <w:tc>
          <w:tcPr>
            <w:tcW w:w="1815"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80" w:lineRule="exact"/>
              <w:jc w:val="center"/>
              <w:rPr>
                <w:rFonts w:ascii="Times New Roman" w:hAnsi="Times New Roman"/>
                <w:bCs/>
                <w:spacing w:val="3"/>
              </w:rPr>
            </w:pPr>
            <w:r>
              <w:rPr>
                <w:rFonts w:ascii="Times New Roman" w:hAnsi="Times New Roman"/>
                <w:bCs/>
                <w:spacing w:val="3"/>
              </w:rPr>
              <w:t>32</w:t>
            </w:r>
          </w:p>
        </w:tc>
        <w:tc>
          <w:tcPr>
            <w:tcW w:w="1755"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80" w:lineRule="exact"/>
              <w:jc w:val="center"/>
              <w:rPr>
                <w:rFonts w:ascii="Times New Roman" w:hAnsi="Times New Roman"/>
                <w:bCs/>
                <w:spacing w:val="3"/>
              </w:rPr>
            </w:pPr>
          </w:p>
        </w:tc>
        <w:tc>
          <w:tcPr>
            <w:tcW w:w="2221" w:type="dxa"/>
            <w:tcBorders>
              <w:top w:val="single" w:color="auto" w:sz="4" w:space="0"/>
              <w:left w:val="single" w:color="auto" w:sz="4" w:space="0"/>
              <w:bottom w:val="single" w:color="auto" w:sz="4" w:space="0"/>
              <w:right w:val="nil"/>
            </w:tcBorders>
            <w:vAlign w:val="center"/>
          </w:tcPr>
          <w:p>
            <w:pPr>
              <w:adjustRightInd w:val="0"/>
              <w:snapToGrid w:val="0"/>
              <w:spacing w:line="280" w:lineRule="exact"/>
              <w:jc w:val="center"/>
              <w:rPr>
                <w:rFonts w:ascii="Times New Roman" w:hAnsi="Times New Roman"/>
                <w:bCs/>
                <w:spacing w:val="3"/>
              </w:rPr>
            </w:pPr>
            <w:r>
              <w:rPr>
                <w:rFonts w:hint="eastAsia" w:ascii="Times New Roman" w:hAnsi="Times New Roman"/>
                <w:bCs/>
                <w:spacing w:val="3"/>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858" w:type="dxa"/>
            <w:tcBorders>
              <w:top w:val="single" w:color="auto" w:sz="4" w:space="0"/>
              <w:left w:val="nil"/>
              <w:bottom w:val="single" w:color="auto" w:sz="4" w:space="0"/>
              <w:right w:val="single" w:color="auto" w:sz="4" w:space="0"/>
            </w:tcBorders>
            <w:vAlign w:val="center"/>
          </w:tcPr>
          <w:p>
            <w:pPr>
              <w:widowControl/>
              <w:spacing w:line="280" w:lineRule="exact"/>
              <w:jc w:val="center"/>
              <w:rPr>
                <w:rFonts w:ascii="Times New Roman" w:hAnsi="Times New Roman"/>
              </w:rPr>
            </w:pPr>
            <w:r>
              <w:rPr>
                <w:rFonts w:ascii="Times New Roman" w:hAnsi="Times New Roman"/>
              </w:rPr>
              <w:t>8</w:t>
            </w:r>
          </w:p>
        </w:tc>
        <w:tc>
          <w:tcPr>
            <w:tcW w:w="1880" w:type="dxa"/>
            <w:tcBorders>
              <w:top w:val="single" w:color="auto" w:sz="4" w:space="0"/>
              <w:left w:val="single" w:color="auto" w:sz="4" w:space="0"/>
              <w:bottom w:val="single" w:color="auto" w:sz="4" w:space="0"/>
              <w:right w:val="single" w:color="auto" w:sz="4" w:space="0"/>
            </w:tcBorders>
            <w:vAlign w:val="center"/>
          </w:tcPr>
          <w:p>
            <w:pPr>
              <w:tabs>
                <w:tab w:val="left" w:pos="6480"/>
              </w:tabs>
              <w:jc w:val="center"/>
              <w:rPr>
                <w:rFonts w:ascii="Times New Roman" w:hAnsi="Times New Roman"/>
                <w:bCs/>
                <w:kern w:val="2"/>
                <w:sz w:val="24"/>
                <w:szCs w:val="24"/>
              </w:rPr>
            </w:pPr>
            <w:r>
              <w:rPr>
                <w:rFonts w:ascii="Times New Roman" w:hAnsi="Times New Roman"/>
                <w:kern w:val="2"/>
              </w:rPr>
              <w:t>休息室</w:t>
            </w:r>
          </w:p>
        </w:tc>
        <w:tc>
          <w:tcPr>
            <w:tcW w:w="1815"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80" w:lineRule="exact"/>
              <w:jc w:val="center"/>
              <w:rPr>
                <w:rFonts w:ascii="Times New Roman" w:hAnsi="Times New Roman"/>
                <w:bCs/>
                <w:spacing w:val="3"/>
              </w:rPr>
            </w:pPr>
            <w:r>
              <w:rPr>
                <w:rFonts w:ascii="Times New Roman" w:hAnsi="Times New Roman"/>
                <w:bCs/>
                <w:spacing w:val="3"/>
              </w:rPr>
              <w:t>10</w:t>
            </w:r>
          </w:p>
        </w:tc>
        <w:tc>
          <w:tcPr>
            <w:tcW w:w="1755"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80" w:lineRule="exact"/>
              <w:jc w:val="center"/>
              <w:rPr>
                <w:rFonts w:ascii="Times New Roman" w:hAnsi="Times New Roman"/>
                <w:bCs/>
                <w:spacing w:val="3"/>
              </w:rPr>
            </w:pPr>
          </w:p>
        </w:tc>
        <w:tc>
          <w:tcPr>
            <w:tcW w:w="2221" w:type="dxa"/>
            <w:tcBorders>
              <w:top w:val="single" w:color="auto" w:sz="4" w:space="0"/>
              <w:left w:val="single" w:color="auto" w:sz="4" w:space="0"/>
              <w:bottom w:val="single" w:color="auto" w:sz="4" w:space="0"/>
              <w:right w:val="nil"/>
            </w:tcBorders>
            <w:vAlign w:val="center"/>
          </w:tcPr>
          <w:p>
            <w:pPr>
              <w:adjustRightInd w:val="0"/>
              <w:snapToGrid w:val="0"/>
              <w:spacing w:line="280" w:lineRule="exact"/>
              <w:jc w:val="center"/>
              <w:rPr>
                <w:rFonts w:ascii="Times New Roman" w:hAnsi="Times New Roman"/>
                <w:bCs/>
                <w:spacing w:val="3"/>
              </w:rPr>
            </w:pPr>
            <w:r>
              <w:rPr>
                <w:rFonts w:hint="eastAsia" w:ascii="Times New Roman" w:hAnsi="Times New Roman"/>
                <w:bCs/>
                <w:spacing w:val="3"/>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858" w:type="dxa"/>
            <w:tcBorders>
              <w:top w:val="single" w:color="auto" w:sz="4" w:space="0"/>
              <w:left w:val="nil"/>
              <w:bottom w:val="single" w:color="auto" w:sz="4" w:space="0"/>
              <w:right w:val="single" w:color="auto" w:sz="4" w:space="0"/>
            </w:tcBorders>
            <w:vAlign w:val="center"/>
          </w:tcPr>
          <w:p>
            <w:pPr>
              <w:widowControl/>
              <w:spacing w:line="280" w:lineRule="exact"/>
              <w:jc w:val="center"/>
              <w:rPr>
                <w:rFonts w:ascii="Times New Roman" w:hAnsi="Times New Roman"/>
              </w:rPr>
            </w:pPr>
            <w:r>
              <w:rPr>
                <w:rFonts w:ascii="Times New Roman" w:hAnsi="Times New Roman"/>
              </w:rPr>
              <w:t>9</w:t>
            </w:r>
          </w:p>
        </w:tc>
        <w:tc>
          <w:tcPr>
            <w:tcW w:w="1880" w:type="dxa"/>
            <w:tcBorders>
              <w:top w:val="single" w:color="auto" w:sz="4" w:space="0"/>
              <w:left w:val="single" w:color="auto" w:sz="4" w:space="0"/>
              <w:bottom w:val="single" w:color="auto" w:sz="4" w:space="0"/>
              <w:right w:val="single" w:color="auto" w:sz="4" w:space="0"/>
            </w:tcBorders>
            <w:vAlign w:val="center"/>
          </w:tcPr>
          <w:p>
            <w:pPr>
              <w:tabs>
                <w:tab w:val="left" w:pos="6480"/>
              </w:tabs>
              <w:jc w:val="center"/>
              <w:rPr>
                <w:rFonts w:ascii="Times New Roman" w:hAnsi="Times New Roman"/>
                <w:kern w:val="2"/>
                <w:sz w:val="24"/>
                <w:szCs w:val="24"/>
              </w:rPr>
            </w:pPr>
            <w:r>
              <w:rPr>
                <w:rFonts w:ascii="Times New Roman" w:hAnsi="Times New Roman"/>
                <w:kern w:val="2"/>
              </w:rPr>
              <w:t>卫生间</w:t>
            </w:r>
          </w:p>
        </w:tc>
        <w:tc>
          <w:tcPr>
            <w:tcW w:w="1815"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80" w:lineRule="exact"/>
              <w:jc w:val="center"/>
              <w:rPr>
                <w:rFonts w:ascii="Times New Roman" w:hAnsi="Times New Roman"/>
              </w:rPr>
            </w:pPr>
            <w:r>
              <w:rPr>
                <w:rFonts w:ascii="Times New Roman" w:hAnsi="Times New Roman"/>
              </w:rPr>
              <w:t>5</w:t>
            </w:r>
          </w:p>
        </w:tc>
        <w:tc>
          <w:tcPr>
            <w:tcW w:w="1755"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80" w:lineRule="exact"/>
              <w:jc w:val="center"/>
              <w:rPr>
                <w:rFonts w:ascii="Times New Roman" w:hAnsi="Times New Roman"/>
              </w:rPr>
            </w:pPr>
          </w:p>
        </w:tc>
        <w:tc>
          <w:tcPr>
            <w:tcW w:w="2221" w:type="dxa"/>
            <w:tcBorders>
              <w:top w:val="single" w:color="auto" w:sz="4" w:space="0"/>
              <w:left w:val="single" w:color="auto" w:sz="4" w:space="0"/>
              <w:bottom w:val="single" w:color="auto" w:sz="4" w:space="0"/>
              <w:right w:val="nil"/>
            </w:tcBorders>
            <w:vAlign w:val="center"/>
          </w:tcPr>
          <w:p>
            <w:pPr>
              <w:adjustRightInd w:val="0"/>
              <w:snapToGrid w:val="0"/>
              <w:spacing w:line="280" w:lineRule="exact"/>
              <w:jc w:val="center"/>
              <w:rPr>
                <w:rFonts w:ascii="Times New Roman" w:hAnsi="Times New Roman"/>
                <w:bCs/>
                <w:spacing w:val="3"/>
              </w:rPr>
            </w:pPr>
            <w:r>
              <w:rPr>
                <w:rFonts w:hint="eastAsia" w:ascii="Times New Roman" w:hAnsi="Times New Roman"/>
                <w:bCs/>
                <w:spacing w:val="3"/>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858" w:type="dxa"/>
            <w:tcBorders>
              <w:top w:val="single" w:color="auto" w:sz="4" w:space="0"/>
              <w:left w:val="nil"/>
              <w:bottom w:val="single" w:color="auto" w:sz="4" w:space="0"/>
              <w:right w:val="single" w:color="auto" w:sz="4" w:space="0"/>
            </w:tcBorders>
            <w:vAlign w:val="center"/>
          </w:tcPr>
          <w:p>
            <w:pPr>
              <w:widowControl/>
              <w:spacing w:line="280" w:lineRule="exact"/>
              <w:jc w:val="center"/>
              <w:rPr>
                <w:rFonts w:ascii="Times New Roman" w:hAnsi="Times New Roman"/>
              </w:rPr>
            </w:pPr>
            <w:r>
              <w:rPr>
                <w:rFonts w:ascii="Times New Roman" w:hAnsi="Times New Roman"/>
              </w:rPr>
              <w:t>10</w:t>
            </w:r>
          </w:p>
        </w:tc>
        <w:tc>
          <w:tcPr>
            <w:tcW w:w="1880" w:type="dxa"/>
            <w:tcBorders>
              <w:top w:val="single" w:color="auto" w:sz="4" w:space="0"/>
              <w:left w:val="single" w:color="auto" w:sz="4" w:space="0"/>
              <w:bottom w:val="single" w:color="auto" w:sz="4" w:space="0"/>
              <w:right w:val="single" w:color="auto" w:sz="4" w:space="0"/>
            </w:tcBorders>
            <w:vAlign w:val="center"/>
          </w:tcPr>
          <w:p>
            <w:pPr>
              <w:tabs>
                <w:tab w:val="left" w:pos="6480"/>
              </w:tabs>
              <w:jc w:val="center"/>
              <w:rPr>
                <w:rFonts w:ascii="Times New Roman" w:hAnsi="Times New Roman"/>
                <w:kern w:val="2"/>
                <w:sz w:val="24"/>
                <w:szCs w:val="24"/>
              </w:rPr>
            </w:pPr>
            <w:r>
              <w:rPr>
                <w:rFonts w:ascii="Times New Roman" w:hAnsi="Times New Roman"/>
                <w:kern w:val="2"/>
              </w:rPr>
              <w:t>电控室</w:t>
            </w:r>
          </w:p>
        </w:tc>
        <w:tc>
          <w:tcPr>
            <w:tcW w:w="1815"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80" w:lineRule="exact"/>
              <w:jc w:val="center"/>
              <w:rPr>
                <w:rFonts w:ascii="Times New Roman" w:hAnsi="Times New Roman"/>
              </w:rPr>
            </w:pPr>
            <w:r>
              <w:rPr>
                <w:rFonts w:ascii="Times New Roman" w:hAnsi="Times New Roman"/>
              </w:rPr>
              <w:t>10</w:t>
            </w:r>
          </w:p>
        </w:tc>
        <w:tc>
          <w:tcPr>
            <w:tcW w:w="1755"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80" w:lineRule="exact"/>
              <w:jc w:val="center"/>
              <w:rPr>
                <w:rFonts w:ascii="Times New Roman" w:hAnsi="Times New Roman"/>
              </w:rPr>
            </w:pPr>
          </w:p>
        </w:tc>
        <w:tc>
          <w:tcPr>
            <w:tcW w:w="2221" w:type="dxa"/>
            <w:tcBorders>
              <w:top w:val="single" w:color="auto" w:sz="4" w:space="0"/>
              <w:left w:val="single" w:color="auto" w:sz="4" w:space="0"/>
              <w:bottom w:val="single" w:color="auto" w:sz="4" w:space="0"/>
              <w:right w:val="nil"/>
            </w:tcBorders>
            <w:vAlign w:val="center"/>
          </w:tcPr>
          <w:p>
            <w:pPr>
              <w:adjustRightInd w:val="0"/>
              <w:snapToGrid w:val="0"/>
              <w:spacing w:line="280" w:lineRule="exact"/>
              <w:jc w:val="center"/>
              <w:rPr>
                <w:rFonts w:ascii="Times New Roman" w:hAnsi="Times New Roman"/>
                <w:bCs/>
                <w:spacing w:val="3"/>
              </w:rPr>
            </w:pPr>
            <w:r>
              <w:rPr>
                <w:rFonts w:hint="eastAsia" w:ascii="Times New Roman" w:hAnsi="Times New Roman"/>
                <w:bCs/>
                <w:spacing w:val="3"/>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858" w:type="dxa"/>
            <w:tcBorders>
              <w:top w:val="single" w:color="auto" w:sz="4" w:space="0"/>
              <w:left w:val="nil"/>
              <w:bottom w:val="single" w:color="auto" w:sz="4" w:space="0"/>
              <w:right w:val="single" w:color="auto" w:sz="4" w:space="0"/>
            </w:tcBorders>
            <w:vAlign w:val="center"/>
          </w:tcPr>
          <w:p>
            <w:pPr>
              <w:widowControl/>
              <w:spacing w:line="280" w:lineRule="exact"/>
              <w:jc w:val="center"/>
              <w:rPr>
                <w:rFonts w:ascii="Times New Roman" w:hAnsi="Times New Roman"/>
              </w:rPr>
            </w:pPr>
            <w:r>
              <w:rPr>
                <w:rFonts w:ascii="Times New Roman" w:hAnsi="Times New Roman"/>
              </w:rPr>
              <w:t>11</w:t>
            </w:r>
          </w:p>
        </w:tc>
        <w:tc>
          <w:tcPr>
            <w:tcW w:w="1880" w:type="dxa"/>
            <w:tcBorders>
              <w:top w:val="single" w:color="auto" w:sz="4" w:space="0"/>
              <w:left w:val="single" w:color="auto" w:sz="4" w:space="0"/>
              <w:bottom w:val="single" w:color="auto" w:sz="4" w:space="0"/>
              <w:right w:val="single" w:color="auto" w:sz="4" w:space="0"/>
            </w:tcBorders>
            <w:vAlign w:val="center"/>
          </w:tcPr>
          <w:p>
            <w:pPr>
              <w:tabs>
                <w:tab w:val="left" w:pos="6480"/>
              </w:tabs>
              <w:jc w:val="center"/>
              <w:rPr>
                <w:rFonts w:ascii="Times New Roman" w:hAnsi="Times New Roman"/>
                <w:kern w:val="2"/>
                <w:sz w:val="24"/>
                <w:szCs w:val="24"/>
              </w:rPr>
            </w:pPr>
            <w:r>
              <w:rPr>
                <w:rFonts w:ascii="Times New Roman" w:hAnsi="Times New Roman"/>
                <w:kern w:val="2"/>
              </w:rPr>
              <w:t>医疗废物暂存间（冷库）</w:t>
            </w:r>
          </w:p>
        </w:tc>
        <w:tc>
          <w:tcPr>
            <w:tcW w:w="1815"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80" w:lineRule="exact"/>
              <w:jc w:val="center"/>
              <w:rPr>
                <w:rFonts w:ascii="Times New Roman" w:hAnsi="Times New Roman"/>
              </w:rPr>
            </w:pPr>
            <w:r>
              <w:rPr>
                <w:rFonts w:ascii="Times New Roman" w:hAnsi="Times New Roman"/>
              </w:rPr>
              <w:t>33</w:t>
            </w:r>
          </w:p>
        </w:tc>
        <w:tc>
          <w:tcPr>
            <w:tcW w:w="1755"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80" w:lineRule="exact"/>
              <w:jc w:val="center"/>
              <w:rPr>
                <w:rFonts w:ascii="Times New Roman" w:hAnsi="Times New Roman"/>
              </w:rPr>
            </w:pPr>
          </w:p>
        </w:tc>
        <w:tc>
          <w:tcPr>
            <w:tcW w:w="2221" w:type="dxa"/>
            <w:tcBorders>
              <w:top w:val="single" w:color="auto" w:sz="4" w:space="0"/>
              <w:left w:val="single" w:color="auto" w:sz="4" w:space="0"/>
              <w:bottom w:val="single" w:color="auto" w:sz="4" w:space="0"/>
              <w:right w:val="nil"/>
            </w:tcBorders>
            <w:vAlign w:val="center"/>
          </w:tcPr>
          <w:p>
            <w:pPr>
              <w:adjustRightInd w:val="0"/>
              <w:snapToGrid w:val="0"/>
              <w:spacing w:line="280" w:lineRule="exact"/>
              <w:jc w:val="center"/>
              <w:rPr>
                <w:rFonts w:ascii="Times New Roman" w:hAnsi="Times New Roman"/>
                <w:bCs/>
                <w:spacing w:val="3"/>
              </w:rPr>
            </w:pPr>
            <w:r>
              <w:rPr>
                <w:rFonts w:hint="eastAsia" w:ascii="Times New Roman" w:hAnsi="Times New Roman"/>
                <w:bCs/>
                <w:spacing w:val="3"/>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858" w:type="dxa"/>
            <w:tcBorders>
              <w:top w:val="single" w:color="auto" w:sz="4" w:space="0"/>
              <w:left w:val="nil"/>
              <w:bottom w:val="single" w:color="auto" w:sz="4" w:space="0"/>
              <w:right w:val="single" w:color="auto" w:sz="4" w:space="0"/>
            </w:tcBorders>
            <w:vAlign w:val="center"/>
          </w:tcPr>
          <w:p>
            <w:pPr>
              <w:widowControl/>
              <w:spacing w:line="280" w:lineRule="exact"/>
              <w:jc w:val="center"/>
              <w:rPr>
                <w:rFonts w:ascii="Times New Roman" w:hAnsi="Times New Roman"/>
              </w:rPr>
            </w:pPr>
            <w:r>
              <w:rPr>
                <w:rFonts w:ascii="Times New Roman" w:hAnsi="Times New Roman"/>
              </w:rPr>
              <w:t>12</w:t>
            </w:r>
          </w:p>
        </w:tc>
        <w:tc>
          <w:tcPr>
            <w:tcW w:w="188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kern w:val="2"/>
              </w:rPr>
            </w:pPr>
            <w:r>
              <w:rPr>
                <w:rFonts w:ascii="Times New Roman" w:hAnsi="Times New Roman"/>
                <w:kern w:val="2"/>
              </w:rPr>
              <w:t>燃料、灰渣间</w:t>
            </w:r>
          </w:p>
        </w:tc>
        <w:tc>
          <w:tcPr>
            <w:tcW w:w="1815"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80" w:lineRule="exact"/>
              <w:jc w:val="center"/>
              <w:rPr>
                <w:rFonts w:ascii="Times New Roman" w:hAnsi="Times New Roman"/>
              </w:rPr>
            </w:pPr>
            <w:r>
              <w:rPr>
                <w:rFonts w:ascii="Times New Roman" w:hAnsi="Times New Roman"/>
              </w:rPr>
              <w:t>0</w:t>
            </w:r>
          </w:p>
        </w:tc>
        <w:tc>
          <w:tcPr>
            <w:tcW w:w="1755"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80" w:lineRule="exact"/>
              <w:jc w:val="center"/>
              <w:rPr>
                <w:rFonts w:ascii="Times New Roman" w:hAnsi="Times New Roman"/>
              </w:rPr>
            </w:pPr>
          </w:p>
        </w:tc>
        <w:tc>
          <w:tcPr>
            <w:tcW w:w="2221" w:type="dxa"/>
            <w:tcBorders>
              <w:top w:val="single" w:color="auto" w:sz="4" w:space="0"/>
              <w:left w:val="single" w:color="auto" w:sz="4" w:space="0"/>
              <w:bottom w:val="single" w:color="auto" w:sz="4" w:space="0"/>
              <w:right w:val="nil"/>
            </w:tcBorders>
            <w:vAlign w:val="center"/>
          </w:tcPr>
          <w:p>
            <w:pPr>
              <w:adjustRightInd w:val="0"/>
              <w:snapToGrid w:val="0"/>
              <w:spacing w:line="280" w:lineRule="exact"/>
              <w:jc w:val="center"/>
              <w:rPr>
                <w:rFonts w:ascii="Times New Roman" w:hAnsi="Times New Roman"/>
                <w:bCs/>
                <w:spacing w:val="3"/>
              </w:rPr>
            </w:pPr>
            <w:r>
              <w:rPr>
                <w:rFonts w:hint="eastAsia" w:ascii="Times New Roman" w:hAnsi="Times New Roman"/>
                <w:bCs/>
                <w:spacing w:val="3"/>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858" w:type="dxa"/>
            <w:tcBorders>
              <w:top w:val="single" w:color="auto" w:sz="4" w:space="0"/>
              <w:left w:val="nil"/>
              <w:bottom w:val="single" w:color="auto" w:sz="4" w:space="0"/>
              <w:right w:val="single" w:color="auto" w:sz="4" w:space="0"/>
            </w:tcBorders>
            <w:vAlign w:val="center"/>
          </w:tcPr>
          <w:p>
            <w:pPr>
              <w:widowControl/>
              <w:spacing w:line="280" w:lineRule="exact"/>
              <w:jc w:val="center"/>
              <w:rPr>
                <w:rFonts w:ascii="Times New Roman" w:hAnsi="Times New Roman"/>
              </w:rPr>
            </w:pPr>
            <w:r>
              <w:rPr>
                <w:rFonts w:ascii="Times New Roman" w:hAnsi="Times New Roman"/>
              </w:rPr>
              <w:t>13</w:t>
            </w:r>
          </w:p>
        </w:tc>
        <w:tc>
          <w:tcPr>
            <w:tcW w:w="1880" w:type="dxa"/>
            <w:tcBorders>
              <w:top w:val="single" w:color="auto" w:sz="4" w:space="0"/>
              <w:left w:val="single" w:color="auto" w:sz="4" w:space="0"/>
              <w:bottom w:val="single" w:color="auto" w:sz="4" w:space="0"/>
              <w:right w:val="single" w:color="auto" w:sz="4" w:space="0"/>
            </w:tcBorders>
            <w:vAlign w:val="center"/>
          </w:tcPr>
          <w:p>
            <w:pPr>
              <w:tabs>
                <w:tab w:val="left" w:pos="6480"/>
              </w:tabs>
              <w:jc w:val="center"/>
              <w:rPr>
                <w:rFonts w:ascii="Times New Roman" w:hAnsi="Times New Roman"/>
                <w:kern w:val="2"/>
                <w:sz w:val="24"/>
                <w:szCs w:val="24"/>
              </w:rPr>
            </w:pPr>
            <w:r>
              <w:rPr>
                <w:rFonts w:ascii="Times New Roman" w:hAnsi="Times New Roman"/>
                <w:bCs/>
                <w:kern w:val="2"/>
              </w:rPr>
              <w:t>库房</w:t>
            </w:r>
          </w:p>
        </w:tc>
        <w:tc>
          <w:tcPr>
            <w:tcW w:w="1815"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80" w:lineRule="exact"/>
              <w:jc w:val="center"/>
              <w:rPr>
                <w:rFonts w:ascii="Times New Roman" w:hAnsi="Times New Roman"/>
              </w:rPr>
            </w:pPr>
            <w:r>
              <w:rPr>
                <w:rFonts w:ascii="Times New Roman" w:hAnsi="Times New Roman"/>
              </w:rPr>
              <w:t>10</w:t>
            </w:r>
          </w:p>
        </w:tc>
        <w:tc>
          <w:tcPr>
            <w:tcW w:w="1755"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80" w:lineRule="exact"/>
              <w:jc w:val="center"/>
              <w:rPr>
                <w:rFonts w:ascii="Times New Roman" w:hAnsi="Times New Roman"/>
              </w:rPr>
            </w:pPr>
          </w:p>
        </w:tc>
        <w:tc>
          <w:tcPr>
            <w:tcW w:w="2221" w:type="dxa"/>
            <w:tcBorders>
              <w:top w:val="single" w:color="auto" w:sz="4" w:space="0"/>
              <w:left w:val="single" w:color="auto" w:sz="4" w:space="0"/>
              <w:bottom w:val="single" w:color="auto" w:sz="4" w:space="0"/>
              <w:right w:val="nil"/>
            </w:tcBorders>
            <w:vAlign w:val="center"/>
          </w:tcPr>
          <w:p>
            <w:pPr>
              <w:adjustRightInd w:val="0"/>
              <w:snapToGrid w:val="0"/>
              <w:spacing w:line="280" w:lineRule="exact"/>
              <w:jc w:val="center"/>
              <w:rPr>
                <w:rFonts w:ascii="Times New Roman" w:hAnsi="Times New Roman"/>
                <w:bCs/>
                <w:spacing w:val="3"/>
              </w:rPr>
            </w:pPr>
            <w:r>
              <w:rPr>
                <w:rFonts w:hint="eastAsia" w:ascii="Times New Roman" w:hAnsi="Times New Roman"/>
                <w:bCs/>
                <w:spacing w:val="3"/>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858" w:type="dxa"/>
            <w:tcBorders>
              <w:top w:val="single" w:color="auto" w:sz="4" w:space="0"/>
              <w:left w:val="nil"/>
              <w:bottom w:val="single" w:color="auto" w:sz="4" w:space="0"/>
              <w:right w:val="single" w:color="auto" w:sz="4" w:space="0"/>
            </w:tcBorders>
            <w:vAlign w:val="center"/>
          </w:tcPr>
          <w:p>
            <w:pPr>
              <w:widowControl/>
              <w:spacing w:line="280" w:lineRule="exact"/>
              <w:jc w:val="center"/>
              <w:rPr>
                <w:rFonts w:ascii="Times New Roman" w:hAnsi="Times New Roman"/>
              </w:rPr>
            </w:pPr>
            <w:r>
              <w:rPr>
                <w:rFonts w:ascii="Times New Roman" w:hAnsi="Times New Roman"/>
              </w:rPr>
              <w:t>14</w:t>
            </w:r>
          </w:p>
        </w:tc>
        <w:tc>
          <w:tcPr>
            <w:tcW w:w="1880" w:type="dxa"/>
            <w:tcBorders>
              <w:top w:val="single" w:color="auto" w:sz="4" w:space="0"/>
              <w:left w:val="single" w:color="auto" w:sz="4" w:space="0"/>
              <w:bottom w:val="single" w:color="auto" w:sz="4" w:space="0"/>
              <w:right w:val="single" w:color="auto" w:sz="4" w:space="0"/>
            </w:tcBorders>
            <w:vAlign w:val="center"/>
          </w:tcPr>
          <w:p>
            <w:pPr>
              <w:tabs>
                <w:tab w:val="left" w:pos="6480"/>
              </w:tabs>
              <w:jc w:val="center"/>
              <w:rPr>
                <w:rFonts w:ascii="Times New Roman" w:hAnsi="Times New Roman"/>
                <w:kern w:val="2"/>
                <w:sz w:val="24"/>
                <w:szCs w:val="24"/>
              </w:rPr>
            </w:pPr>
            <w:r>
              <w:rPr>
                <w:rFonts w:ascii="Times New Roman" w:hAnsi="Times New Roman"/>
                <w:kern w:val="2"/>
              </w:rPr>
              <w:t>车库</w:t>
            </w:r>
          </w:p>
        </w:tc>
        <w:tc>
          <w:tcPr>
            <w:tcW w:w="1815"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80" w:lineRule="exact"/>
              <w:jc w:val="center"/>
              <w:rPr>
                <w:rFonts w:ascii="Times New Roman" w:hAnsi="Times New Roman"/>
              </w:rPr>
            </w:pPr>
            <w:r>
              <w:rPr>
                <w:rFonts w:ascii="Times New Roman" w:hAnsi="Times New Roman"/>
              </w:rPr>
              <w:t>78.75</w:t>
            </w:r>
          </w:p>
        </w:tc>
        <w:tc>
          <w:tcPr>
            <w:tcW w:w="1755"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80" w:lineRule="exact"/>
              <w:jc w:val="center"/>
              <w:rPr>
                <w:rFonts w:ascii="Times New Roman" w:hAnsi="Times New Roman"/>
              </w:rPr>
            </w:pPr>
          </w:p>
        </w:tc>
        <w:tc>
          <w:tcPr>
            <w:tcW w:w="2221" w:type="dxa"/>
            <w:tcBorders>
              <w:top w:val="single" w:color="auto" w:sz="4" w:space="0"/>
              <w:left w:val="single" w:color="auto" w:sz="4" w:space="0"/>
              <w:bottom w:val="single" w:color="auto" w:sz="4" w:space="0"/>
              <w:right w:val="nil"/>
            </w:tcBorders>
            <w:vAlign w:val="center"/>
          </w:tcPr>
          <w:p>
            <w:pPr>
              <w:adjustRightInd w:val="0"/>
              <w:snapToGrid w:val="0"/>
              <w:spacing w:line="280" w:lineRule="exact"/>
              <w:jc w:val="center"/>
              <w:rPr>
                <w:rFonts w:ascii="Times New Roman" w:hAnsi="Times New Roman"/>
                <w:bCs/>
                <w:spacing w:val="3"/>
              </w:rPr>
            </w:pPr>
            <w:r>
              <w:rPr>
                <w:rFonts w:hint="eastAsia" w:ascii="Times New Roman" w:hAnsi="Times New Roman"/>
                <w:bCs/>
                <w:spacing w:val="3"/>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858" w:type="dxa"/>
            <w:tcBorders>
              <w:top w:val="single" w:color="auto" w:sz="4" w:space="0"/>
              <w:left w:val="nil"/>
              <w:bottom w:val="single" w:color="auto" w:sz="4" w:space="0"/>
              <w:right w:val="single" w:color="auto" w:sz="4" w:space="0"/>
            </w:tcBorders>
            <w:vAlign w:val="center"/>
          </w:tcPr>
          <w:p>
            <w:pPr>
              <w:widowControl/>
              <w:spacing w:line="280" w:lineRule="exact"/>
              <w:jc w:val="center"/>
              <w:rPr>
                <w:rFonts w:ascii="Times New Roman" w:hAnsi="Times New Roman"/>
              </w:rPr>
            </w:pPr>
            <w:r>
              <w:rPr>
                <w:rFonts w:ascii="Times New Roman" w:hAnsi="Times New Roman"/>
              </w:rPr>
              <w:t>15</w:t>
            </w:r>
          </w:p>
        </w:tc>
        <w:tc>
          <w:tcPr>
            <w:tcW w:w="1880" w:type="dxa"/>
            <w:tcBorders>
              <w:top w:val="single" w:color="auto" w:sz="4" w:space="0"/>
              <w:left w:val="single" w:color="auto" w:sz="4" w:space="0"/>
              <w:bottom w:val="single" w:color="auto" w:sz="4" w:space="0"/>
              <w:right w:val="single" w:color="auto" w:sz="4" w:space="0"/>
            </w:tcBorders>
            <w:vAlign w:val="center"/>
          </w:tcPr>
          <w:p>
            <w:pPr>
              <w:tabs>
                <w:tab w:val="left" w:pos="6480"/>
              </w:tabs>
              <w:jc w:val="center"/>
              <w:rPr>
                <w:rFonts w:ascii="Times New Roman" w:hAnsi="Times New Roman"/>
                <w:kern w:val="2"/>
              </w:rPr>
            </w:pPr>
            <w:r>
              <w:rPr>
                <w:rFonts w:ascii="Times New Roman" w:hAnsi="Times New Roman"/>
                <w:kern w:val="2"/>
              </w:rPr>
              <w:t>危险废物暂存间</w:t>
            </w:r>
          </w:p>
        </w:tc>
        <w:tc>
          <w:tcPr>
            <w:tcW w:w="1815"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80" w:lineRule="exact"/>
              <w:jc w:val="center"/>
              <w:rPr>
                <w:rFonts w:ascii="Times New Roman" w:hAnsi="Times New Roman"/>
              </w:rPr>
            </w:pPr>
            <w:r>
              <w:rPr>
                <w:rFonts w:ascii="Times New Roman" w:hAnsi="Times New Roman"/>
              </w:rPr>
              <w:t>10</w:t>
            </w:r>
          </w:p>
        </w:tc>
        <w:tc>
          <w:tcPr>
            <w:tcW w:w="1755"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80" w:lineRule="exact"/>
              <w:jc w:val="center"/>
              <w:rPr>
                <w:rFonts w:ascii="Times New Roman" w:hAnsi="Times New Roman"/>
              </w:rPr>
            </w:pPr>
          </w:p>
        </w:tc>
        <w:tc>
          <w:tcPr>
            <w:tcW w:w="2221" w:type="dxa"/>
            <w:tcBorders>
              <w:top w:val="single" w:color="auto" w:sz="4" w:space="0"/>
              <w:left w:val="single" w:color="auto" w:sz="4" w:space="0"/>
              <w:bottom w:val="single" w:color="auto" w:sz="4" w:space="0"/>
              <w:right w:val="nil"/>
            </w:tcBorders>
            <w:vAlign w:val="center"/>
          </w:tcPr>
          <w:p>
            <w:pPr>
              <w:adjustRightInd w:val="0"/>
              <w:snapToGrid w:val="0"/>
              <w:spacing w:line="280" w:lineRule="exact"/>
              <w:jc w:val="center"/>
              <w:rPr>
                <w:rFonts w:ascii="Times New Roman" w:hAnsi="Times New Roman"/>
                <w:bCs/>
                <w:spacing w:val="3"/>
              </w:rPr>
            </w:pPr>
            <w:r>
              <w:rPr>
                <w:rFonts w:hint="eastAsia" w:ascii="Times New Roman" w:hAnsi="Times New Roman"/>
                <w:bCs/>
                <w:spacing w:val="3"/>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858" w:type="dxa"/>
            <w:tcBorders>
              <w:top w:val="single" w:color="auto" w:sz="4" w:space="0"/>
              <w:left w:val="nil"/>
              <w:bottom w:val="single" w:color="auto" w:sz="4" w:space="0"/>
              <w:right w:val="single" w:color="auto" w:sz="4" w:space="0"/>
            </w:tcBorders>
            <w:vAlign w:val="center"/>
          </w:tcPr>
          <w:p>
            <w:pPr>
              <w:widowControl/>
              <w:spacing w:line="280" w:lineRule="exact"/>
              <w:jc w:val="center"/>
              <w:rPr>
                <w:rFonts w:ascii="Times New Roman" w:hAnsi="Times New Roman"/>
              </w:rPr>
            </w:pPr>
            <w:r>
              <w:rPr>
                <w:rFonts w:ascii="Times New Roman" w:hAnsi="Times New Roman"/>
              </w:rPr>
              <w:t>16</w:t>
            </w:r>
          </w:p>
        </w:tc>
        <w:tc>
          <w:tcPr>
            <w:tcW w:w="1880" w:type="dxa"/>
            <w:tcBorders>
              <w:top w:val="single" w:color="auto" w:sz="4" w:space="0"/>
              <w:left w:val="single" w:color="auto" w:sz="4" w:space="0"/>
              <w:bottom w:val="single" w:color="auto" w:sz="4" w:space="0"/>
              <w:right w:val="single" w:color="auto" w:sz="4" w:space="0"/>
            </w:tcBorders>
            <w:vAlign w:val="center"/>
          </w:tcPr>
          <w:p>
            <w:pPr>
              <w:tabs>
                <w:tab w:val="left" w:pos="6480"/>
              </w:tabs>
              <w:jc w:val="center"/>
              <w:rPr>
                <w:rFonts w:ascii="Times New Roman" w:hAnsi="Times New Roman"/>
                <w:kern w:val="2"/>
                <w:sz w:val="24"/>
                <w:szCs w:val="24"/>
              </w:rPr>
            </w:pPr>
            <w:r>
              <w:rPr>
                <w:rFonts w:ascii="Times New Roman" w:hAnsi="Times New Roman"/>
                <w:kern w:val="2"/>
              </w:rPr>
              <w:t>事故应急池</w:t>
            </w:r>
          </w:p>
        </w:tc>
        <w:tc>
          <w:tcPr>
            <w:tcW w:w="1815"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80" w:lineRule="exact"/>
              <w:jc w:val="center"/>
              <w:rPr>
                <w:rFonts w:ascii="Times New Roman" w:hAnsi="Times New Roman"/>
              </w:rPr>
            </w:pPr>
            <w:r>
              <w:rPr>
                <w:rFonts w:ascii="Times New Roman" w:hAnsi="Times New Roman"/>
              </w:rPr>
              <w:t>115㎡</w:t>
            </w:r>
          </w:p>
        </w:tc>
        <w:tc>
          <w:tcPr>
            <w:tcW w:w="1755"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80" w:lineRule="exact"/>
              <w:jc w:val="center"/>
              <w:rPr>
                <w:rFonts w:ascii="Times New Roman" w:hAnsi="Times New Roman"/>
              </w:rPr>
            </w:pPr>
          </w:p>
        </w:tc>
        <w:tc>
          <w:tcPr>
            <w:tcW w:w="2221" w:type="dxa"/>
            <w:tcBorders>
              <w:top w:val="single" w:color="auto" w:sz="4" w:space="0"/>
              <w:left w:val="single" w:color="auto" w:sz="4" w:space="0"/>
              <w:bottom w:val="single" w:color="auto" w:sz="4" w:space="0"/>
              <w:right w:val="nil"/>
            </w:tcBorders>
            <w:vAlign w:val="center"/>
          </w:tcPr>
          <w:p>
            <w:pPr>
              <w:adjustRightInd w:val="0"/>
              <w:snapToGrid w:val="0"/>
              <w:spacing w:line="280" w:lineRule="exact"/>
              <w:jc w:val="center"/>
              <w:rPr>
                <w:rFonts w:ascii="Times New Roman" w:hAnsi="Times New Roman"/>
                <w:bCs/>
                <w:spacing w:val="3"/>
              </w:rPr>
            </w:pPr>
            <w:r>
              <w:rPr>
                <w:rFonts w:hint="eastAsia" w:ascii="Times New Roman" w:hAnsi="Times New Roman"/>
                <w:bCs/>
                <w:spacing w:val="3"/>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858" w:type="dxa"/>
            <w:tcBorders>
              <w:top w:val="single" w:color="auto" w:sz="4" w:space="0"/>
              <w:left w:val="nil"/>
              <w:bottom w:val="single" w:color="auto" w:sz="4" w:space="0"/>
              <w:right w:val="single" w:color="auto" w:sz="4" w:space="0"/>
            </w:tcBorders>
            <w:vAlign w:val="center"/>
          </w:tcPr>
          <w:p>
            <w:pPr>
              <w:adjustRightInd w:val="0"/>
              <w:snapToGrid w:val="0"/>
              <w:spacing w:line="280" w:lineRule="exact"/>
              <w:jc w:val="center"/>
              <w:rPr>
                <w:rFonts w:ascii="Times New Roman" w:hAnsi="Times New Roman"/>
              </w:rPr>
            </w:pPr>
            <w:r>
              <w:rPr>
                <w:rFonts w:ascii="Times New Roman" w:hAnsi="Times New Roman"/>
              </w:rPr>
              <w:t>17</w:t>
            </w:r>
          </w:p>
        </w:tc>
        <w:tc>
          <w:tcPr>
            <w:tcW w:w="1880" w:type="dxa"/>
            <w:tcBorders>
              <w:top w:val="single" w:color="auto" w:sz="4" w:space="0"/>
              <w:left w:val="single" w:color="auto" w:sz="4" w:space="0"/>
              <w:bottom w:val="single" w:color="auto" w:sz="4" w:space="0"/>
              <w:right w:val="single" w:color="auto" w:sz="4" w:space="0"/>
            </w:tcBorders>
            <w:vAlign w:val="center"/>
          </w:tcPr>
          <w:p>
            <w:pPr>
              <w:tabs>
                <w:tab w:val="left" w:pos="6480"/>
              </w:tabs>
              <w:jc w:val="center"/>
              <w:rPr>
                <w:rFonts w:ascii="Times New Roman" w:hAnsi="Times New Roman"/>
                <w:kern w:val="2"/>
                <w:sz w:val="24"/>
                <w:szCs w:val="24"/>
              </w:rPr>
            </w:pPr>
            <w:r>
              <w:rPr>
                <w:rFonts w:ascii="Times New Roman" w:hAnsi="Times New Roman"/>
                <w:kern w:val="2"/>
              </w:rPr>
              <w:t>消防水池</w:t>
            </w:r>
          </w:p>
        </w:tc>
        <w:tc>
          <w:tcPr>
            <w:tcW w:w="1815"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80" w:lineRule="exact"/>
              <w:jc w:val="center"/>
              <w:rPr>
                <w:rFonts w:ascii="Times New Roman" w:hAnsi="Times New Roman"/>
              </w:rPr>
            </w:pPr>
            <w:r>
              <w:rPr>
                <w:rFonts w:ascii="Times New Roman" w:hAnsi="Times New Roman"/>
              </w:rPr>
              <w:t>80m³</w:t>
            </w:r>
          </w:p>
        </w:tc>
        <w:tc>
          <w:tcPr>
            <w:tcW w:w="1755"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80" w:lineRule="exact"/>
              <w:jc w:val="center"/>
              <w:rPr>
                <w:rFonts w:ascii="Times New Roman" w:hAnsi="Times New Roman"/>
              </w:rPr>
            </w:pPr>
          </w:p>
        </w:tc>
        <w:tc>
          <w:tcPr>
            <w:tcW w:w="2221" w:type="dxa"/>
            <w:tcBorders>
              <w:top w:val="single" w:color="auto" w:sz="4" w:space="0"/>
              <w:left w:val="single" w:color="auto" w:sz="4" w:space="0"/>
              <w:bottom w:val="single" w:color="auto" w:sz="4" w:space="0"/>
              <w:right w:val="nil"/>
            </w:tcBorders>
            <w:vAlign w:val="center"/>
          </w:tcPr>
          <w:p>
            <w:pPr>
              <w:adjustRightInd w:val="0"/>
              <w:snapToGrid w:val="0"/>
              <w:spacing w:line="280" w:lineRule="exact"/>
              <w:jc w:val="center"/>
              <w:rPr>
                <w:rFonts w:ascii="Times New Roman" w:hAnsi="Times New Roman"/>
                <w:bCs/>
                <w:spacing w:val="3"/>
              </w:rPr>
            </w:pPr>
            <w:r>
              <w:rPr>
                <w:rFonts w:hint="eastAsia" w:ascii="Times New Roman" w:hAnsi="Times New Roman"/>
                <w:bCs/>
                <w:spacing w:val="3"/>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858" w:type="dxa"/>
            <w:tcBorders>
              <w:top w:val="single" w:color="auto" w:sz="4" w:space="0"/>
              <w:left w:val="nil"/>
              <w:bottom w:val="single" w:color="auto" w:sz="4" w:space="0"/>
              <w:right w:val="single" w:color="auto" w:sz="4" w:space="0"/>
            </w:tcBorders>
            <w:vAlign w:val="center"/>
          </w:tcPr>
          <w:p>
            <w:pPr>
              <w:adjustRightInd w:val="0"/>
              <w:snapToGrid w:val="0"/>
              <w:spacing w:line="280" w:lineRule="exact"/>
              <w:jc w:val="center"/>
              <w:rPr>
                <w:rFonts w:ascii="Times New Roman" w:hAnsi="Times New Roman"/>
              </w:rPr>
            </w:pPr>
            <w:r>
              <w:rPr>
                <w:rFonts w:ascii="Times New Roman" w:hAnsi="Times New Roman"/>
              </w:rPr>
              <w:t>18</w:t>
            </w:r>
          </w:p>
        </w:tc>
        <w:tc>
          <w:tcPr>
            <w:tcW w:w="1880"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80" w:lineRule="exact"/>
              <w:jc w:val="center"/>
              <w:rPr>
                <w:rFonts w:ascii="Times New Roman" w:hAnsi="Times New Roman"/>
                <w:kern w:val="2"/>
              </w:rPr>
            </w:pPr>
            <w:r>
              <w:rPr>
                <w:rFonts w:ascii="Times New Roman" w:hAnsi="Times New Roman"/>
                <w:kern w:val="2"/>
              </w:rPr>
              <w:t>空地</w:t>
            </w:r>
          </w:p>
        </w:tc>
        <w:tc>
          <w:tcPr>
            <w:tcW w:w="1815"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80" w:lineRule="exact"/>
              <w:jc w:val="center"/>
              <w:rPr>
                <w:rFonts w:ascii="Times New Roman" w:hAnsi="Times New Roman"/>
              </w:rPr>
            </w:pPr>
          </w:p>
        </w:tc>
        <w:tc>
          <w:tcPr>
            <w:tcW w:w="1755"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80" w:lineRule="exact"/>
              <w:jc w:val="center"/>
              <w:rPr>
                <w:rFonts w:ascii="Times New Roman" w:hAnsi="Times New Roman"/>
              </w:rPr>
            </w:pPr>
          </w:p>
        </w:tc>
        <w:tc>
          <w:tcPr>
            <w:tcW w:w="2221" w:type="dxa"/>
            <w:tcBorders>
              <w:top w:val="single" w:color="auto" w:sz="4" w:space="0"/>
              <w:left w:val="single" w:color="auto" w:sz="4" w:space="0"/>
              <w:bottom w:val="single" w:color="auto" w:sz="4" w:space="0"/>
              <w:right w:val="nil"/>
            </w:tcBorders>
            <w:vAlign w:val="center"/>
          </w:tcPr>
          <w:p>
            <w:pPr>
              <w:adjustRightInd w:val="0"/>
              <w:snapToGrid w:val="0"/>
              <w:spacing w:line="280" w:lineRule="exact"/>
              <w:jc w:val="center"/>
              <w:rPr>
                <w:rFonts w:ascii="Times New Roman" w:hAnsi="Times New Roman"/>
              </w:rPr>
            </w:pPr>
            <w:r>
              <w:rPr>
                <w:rFonts w:ascii="Times New Roman" w:hAnsi="Times New Roman"/>
              </w:rPr>
              <w:t>硬化面积1258㎡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858" w:type="dxa"/>
            <w:tcBorders>
              <w:top w:val="single" w:color="auto" w:sz="4" w:space="0"/>
              <w:left w:val="nil"/>
              <w:bottom w:val="single" w:color="auto" w:sz="12" w:space="0"/>
              <w:right w:val="single" w:color="auto" w:sz="4" w:space="0"/>
            </w:tcBorders>
            <w:vAlign w:val="center"/>
          </w:tcPr>
          <w:p>
            <w:pPr>
              <w:adjustRightInd w:val="0"/>
              <w:snapToGrid w:val="0"/>
              <w:spacing w:line="280" w:lineRule="exact"/>
              <w:jc w:val="center"/>
              <w:rPr>
                <w:rFonts w:ascii="Times New Roman" w:hAnsi="Times New Roman"/>
              </w:rPr>
            </w:pPr>
            <w:r>
              <w:rPr>
                <w:rFonts w:ascii="Times New Roman" w:hAnsi="Times New Roman"/>
              </w:rPr>
              <w:t>19</w:t>
            </w:r>
          </w:p>
        </w:tc>
        <w:tc>
          <w:tcPr>
            <w:tcW w:w="1880" w:type="dxa"/>
            <w:tcBorders>
              <w:top w:val="single" w:color="auto" w:sz="4" w:space="0"/>
              <w:left w:val="single" w:color="auto" w:sz="4" w:space="0"/>
              <w:bottom w:val="single" w:color="auto" w:sz="12" w:space="0"/>
              <w:right w:val="single" w:color="auto" w:sz="4" w:space="0"/>
            </w:tcBorders>
            <w:vAlign w:val="center"/>
          </w:tcPr>
          <w:p>
            <w:pPr>
              <w:widowControl/>
              <w:spacing w:line="280" w:lineRule="exact"/>
              <w:jc w:val="center"/>
              <w:rPr>
                <w:rFonts w:ascii="Times New Roman" w:hAnsi="Times New Roman"/>
              </w:rPr>
            </w:pPr>
            <w:r>
              <w:rPr>
                <w:rFonts w:ascii="Times New Roman" w:hAnsi="Times New Roman"/>
              </w:rPr>
              <w:t>合计</w:t>
            </w:r>
          </w:p>
        </w:tc>
        <w:tc>
          <w:tcPr>
            <w:tcW w:w="1815" w:type="dxa"/>
            <w:tcBorders>
              <w:top w:val="single" w:color="auto" w:sz="4" w:space="0"/>
              <w:left w:val="single" w:color="auto" w:sz="4" w:space="0"/>
              <w:bottom w:val="single" w:color="auto" w:sz="12" w:space="0"/>
              <w:right w:val="single" w:color="auto" w:sz="4" w:space="0"/>
            </w:tcBorders>
            <w:vAlign w:val="center"/>
          </w:tcPr>
          <w:p>
            <w:pPr>
              <w:adjustRightInd w:val="0"/>
              <w:snapToGrid w:val="0"/>
              <w:spacing w:line="280" w:lineRule="exact"/>
              <w:jc w:val="center"/>
              <w:rPr>
                <w:rFonts w:ascii="Times New Roman" w:hAnsi="Times New Roman"/>
              </w:rPr>
            </w:pPr>
          </w:p>
        </w:tc>
        <w:tc>
          <w:tcPr>
            <w:tcW w:w="1755" w:type="dxa"/>
            <w:tcBorders>
              <w:top w:val="single" w:color="auto" w:sz="4" w:space="0"/>
              <w:left w:val="single" w:color="auto" w:sz="4" w:space="0"/>
              <w:bottom w:val="single" w:color="auto" w:sz="12" w:space="0"/>
              <w:right w:val="single" w:color="auto" w:sz="4" w:space="0"/>
            </w:tcBorders>
            <w:vAlign w:val="center"/>
          </w:tcPr>
          <w:p>
            <w:pPr>
              <w:adjustRightInd w:val="0"/>
              <w:snapToGrid w:val="0"/>
              <w:spacing w:line="280" w:lineRule="exact"/>
              <w:jc w:val="center"/>
              <w:rPr>
                <w:rFonts w:ascii="Times New Roman" w:hAnsi="Times New Roman"/>
              </w:rPr>
            </w:pPr>
          </w:p>
        </w:tc>
        <w:tc>
          <w:tcPr>
            <w:tcW w:w="2221" w:type="dxa"/>
            <w:tcBorders>
              <w:top w:val="single" w:color="auto" w:sz="4" w:space="0"/>
              <w:left w:val="single" w:color="auto" w:sz="4" w:space="0"/>
              <w:bottom w:val="single" w:color="auto" w:sz="12" w:space="0"/>
              <w:right w:val="nil"/>
            </w:tcBorders>
            <w:vAlign w:val="center"/>
          </w:tcPr>
          <w:p>
            <w:pPr>
              <w:adjustRightInd w:val="0"/>
              <w:snapToGrid w:val="0"/>
              <w:spacing w:line="280" w:lineRule="exact"/>
              <w:jc w:val="center"/>
              <w:rPr>
                <w:rFonts w:ascii="Times New Roman" w:hAnsi="Times New Roman"/>
              </w:rPr>
            </w:pPr>
          </w:p>
        </w:tc>
      </w:tr>
    </w:tbl>
    <w:p>
      <w:pPr>
        <w:spacing w:line="480" w:lineRule="exact"/>
        <w:rPr>
          <w:rFonts w:ascii="Times New Roman" w:hAnsi="Times New Roman"/>
          <w:b/>
        </w:rPr>
        <w:sectPr>
          <w:pgSz w:w="11907" w:h="16839"/>
          <w:pgMar w:top="1440" w:right="1797" w:bottom="1440" w:left="1797" w:header="851" w:footer="850" w:gutter="0"/>
          <w:cols w:space="720" w:num="1"/>
          <w:docGrid w:linePitch="312" w:charSpace="0"/>
        </w:sectPr>
      </w:pPr>
    </w:p>
    <w:p>
      <w:pPr>
        <w:spacing w:line="480" w:lineRule="exact"/>
        <w:jc w:val="center"/>
        <w:rPr>
          <w:rFonts w:ascii="Times New Roman" w:hAnsi="Times New Roman"/>
          <w:b/>
        </w:rPr>
      </w:pPr>
      <w:r>
        <w:rPr>
          <w:rFonts w:ascii="Times New Roman" w:hAnsi="Times New Roman"/>
          <w:b/>
        </w:rPr>
        <w:t>表3.2-2 项目建设内容组成一览表</w:t>
      </w:r>
    </w:p>
    <w:tbl>
      <w:tblPr>
        <w:tblStyle w:val="77"/>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28" w:type="dxa"/>
          <w:bottom w:w="0" w:type="dxa"/>
          <w:right w:w="28" w:type="dxa"/>
        </w:tblCellMar>
      </w:tblPr>
      <w:tblGrid>
        <w:gridCol w:w="1851"/>
        <w:gridCol w:w="2955"/>
        <w:gridCol w:w="6145"/>
        <w:gridCol w:w="2350"/>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0" w:hRule="atLeast"/>
          <w:jc w:val="center"/>
        </w:trPr>
        <w:tc>
          <w:tcPr>
            <w:tcW w:w="696" w:type="pct"/>
            <w:vAlign w:val="center"/>
          </w:tcPr>
          <w:p>
            <w:pPr>
              <w:adjustRightInd w:val="0"/>
              <w:snapToGrid w:val="0"/>
              <w:jc w:val="center"/>
              <w:rPr>
                <w:rFonts w:ascii="Times New Roman" w:hAnsi="Times New Roman"/>
                <w:b/>
                <w:bCs/>
                <w:kern w:val="2"/>
              </w:rPr>
            </w:pPr>
            <w:r>
              <w:rPr>
                <w:rFonts w:ascii="Times New Roman" w:hAnsi="Times New Roman"/>
                <w:b/>
                <w:bCs/>
                <w:kern w:val="2"/>
              </w:rPr>
              <w:t>工程类别</w:t>
            </w:r>
          </w:p>
        </w:tc>
        <w:tc>
          <w:tcPr>
            <w:tcW w:w="1111" w:type="pct"/>
            <w:vAlign w:val="center"/>
          </w:tcPr>
          <w:p>
            <w:pPr>
              <w:adjustRightInd w:val="0"/>
              <w:snapToGrid w:val="0"/>
              <w:jc w:val="center"/>
              <w:rPr>
                <w:rFonts w:ascii="Times New Roman" w:hAnsi="Times New Roman"/>
                <w:b/>
                <w:bCs/>
                <w:kern w:val="2"/>
              </w:rPr>
            </w:pPr>
            <w:r>
              <w:rPr>
                <w:rFonts w:ascii="Times New Roman" w:hAnsi="Times New Roman"/>
                <w:b/>
                <w:bCs/>
                <w:kern w:val="2"/>
              </w:rPr>
              <w:t>项目名称</w:t>
            </w:r>
          </w:p>
        </w:tc>
        <w:tc>
          <w:tcPr>
            <w:tcW w:w="2310" w:type="pct"/>
            <w:vAlign w:val="center"/>
          </w:tcPr>
          <w:p>
            <w:pPr>
              <w:adjustRightInd w:val="0"/>
              <w:snapToGrid w:val="0"/>
              <w:jc w:val="center"/>
              <w:rPr>
                <w:rFonts w:ascii="Times New Roman" w:hAnsi="Times New Roman"/>
                <w:b/>
                <w:bCs/>
                <w:kern w:val="2"/>
              </w:rPr>
            </w:pPr>
            <w:r>
              <w:rPr>
                <w:rFonts w:hint="eastAsia" w:ascii="Times New Roman" w:hAnsi="Times New Roman"/>
                <w:b/>
                <w:bCs/>
                <w:kern w:val="2"/>
              </w:rPr>
              <w:t>建设内容</w:t>
            </w:r>
          </w:p>
        </w:tc>
        <w:tc>
          <w:tcPr>
            <w:tcW w:w="883" w:type="pct"/>
            <w:vAlign w:val="center"/>
          </w:tcPr>
          <w:p>
            <w:pPr>
              <w:adjustRightInd w:val="0"/>
              <w:snapToGrid w:val="0"/>
              <w:jc w:val="center"/>
              <w:rPr>
                <w:rFonts w:ascii="Times New Roman" w:hAnsi="Times New Roman"/>
                <w:b/>
                <w:bCs/>
                <w:kern w:val="2"/>
              </w:rPr>
            </w:pPr>
            <w:r>
              <w:rPr>
                <w:rFonts w:ascii="Times New Roman" w:hAnsi="Times New Roman"/>
                <w:b/>
                <w:bCs/>
                <w:kern w:val="2"/>
              </w:rPr>
              <w:t>备注</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0" w:hRule="atLeast"/>
          <w:jc w:val="center"/>
        </w:trPr>
        <w:tc>
          <w:tcPr>
            <w:tcW w:w="696" w:type="pct"/>
            <w:vMerge w:val="restart"/>
            <w:vAlign w:val="center"/>
          </w:tcPr>
          <w:p>
            <w:pPr>
              <w:adjustRightInd w:val="0"/>
              <w:snapToGrid w:val="0"/>
              <w:jc w:val="center"/>
              <w:rPr>
                <w:rFonts w:ascii="Times New Roman" w:hAnsi="Times New Roman"/>
                <w:kern w:val="2"/>
              </w:rPr>
            </w:pPr>
            <w:r>
              <w:rPr>
                <w:rFonts w:ascii="Times New Roman" w:hAnsi="Times New Roman"/>
                <w:kern w:val="2"/>
              </w:rPr>
              <w:t>主体工程</w:t>
            </w:r>
          </w:p>
        </w:tc>
        <w:tc>
          <w:tcPr>
            <w:tcW w:w="1111" w:type="pct"/>
            <w:vAlign w:val="center"/>
          </w:tcPr>
          <w:p>
            <w:pPr>
              <w:adjustRightInd w:val="0"/>
              <w:snapToGrid w:val="0"/>
              <w:jc w:val="center"/>
              <w:rPr>
                <w:rFonts w:ascii="Times New Roman" w:hAnsi="Times New Roman"/>
                <w:kern w:val="2"/>
              </w:rPr>
            </w:pPr>
            <w:r>
              <w:rPr>
                <w:rFonts w:hint="eastAsia" w:ascii="Times New Roman" w:hAnsi="Times New Roman"/>
                <w:kern w:val="2"/>
              </w:rPr>
              <w:t>收集过程</w:t>
            </w:r>
          </w:p>
        </w:tc>
        <w:tc>
          <w:tcPr>
            <w:tcW w:w="2310" w:type="pct"/>
            <w:vAlign w:val="center"/>
          </w:tcPr>
          <w:p>
            <w:pPr>
              <w:adjustRightInd w:val="0"/>
              <w:snapToGrid w:val="0"/>
              <w:jc w:val="center"/>
              <w:rPr>
                <w:rFonts w:ascii="Times New Roman" w:hAnsi="Times New Roman"/>
                <w:kern w:val="2"/>
              </w:rPr>
            </w:pPr>
            <w:r>
              <w:rPr>
                <w:rFonts w:hint="eastAsia" w:ascii="Times New Roman" w:hAnsi="Times New Roman"/>
                <w:kern w:val="2"/>
              </w:rPr>
              <w:t>周转箱5</w:t>
            </w:r>
            <w:r>
              <w:rPr>
                <w:rFonts w:ascii="Times New Roman" w:hAnsi="Times New Roman"/>
                <w:kern w:val="2"/>
              </w:rPr>
              <w:t>00</w:t>
            </w:r>
            <w:r>
              <w:rPr>
                <w:rFonts w:hint="eastAsia" w:ascii="Times New Roman" w:hAnsi="Times New Roman"/>
                <w:kern w:val="2"/>
              </w:rPr>
              <w:t>个</w:t>
            </w:r>
          </w:p>
        </w:tc>
        <w:tc>
          <w:tcPr>
            <w:tcW w:w="883" w:type="pct"/>
            <w:vAlign w:val="center"/>
          </w:tcPr>
          <w:p>
            <w:pPr>
              <w:adjustRightInd w:val="0"/>
              <w:snapToGrid w:val="0"/>
              <w:jc w:val="center"/>
              <w:rPr>
                <w:rFonts w:ascii="Times New Roman" w:hAnsi="Times New Roman"/>
                <w:kern w:val="2"/>
              </w:rPr>
            </w:pPr>
            <w:r>
              <w:rPr>
                <w:rFonts w:hint="eastAsia" w:ascii="Times New Roman" w:hAnsi="Times New Roman"/>
                <w:kern w:val="2"/>
              </w:rPr>
              <w:t>依托</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0" w:hRule="atLeast"/>
          <w:jc w:val="center"/>
        </w:trPr>
        <w:tc>
          <w:tcPr>
            <w:tcW w:w="696" w:type="pct"/>
            <w:vMerge w:val="continue"/>
            <w:vAlign w:val="center"/>
          </w:tcPr>
          <w:p>
            <w:pPr>
              <w:adjustRightInd w:val="0"/>
              <w:snapToGrid w:val="0"/>
              <w:jc w:val="center"/>
              <w:rPr>
                <w:rFonts w:ascii="Times New Roman" w:hAnsi="Times New Roman"/>
                <w:kern w:val="2"/>
              </w:rPr>
            </w:pPr>
          </w:p>
        </w:tc>
        <w:tc>
          <w:tcPr>
            <w:tcW w:w="1111" w:type="pct"/>
            <w:vAlign w:val="center"/>
          </w:tcPr>
          <w:p>
            <w:pPr>
              <w:adjustRightInd w:val="0"/>
              <w:snapToGrid w:val="0"/>
              <w:jc w:val="center"/>
              <w:rPr>
                <w:rFonts w:ascii="Times New Roman" w:hAnsi="Times New Roman"/>
                <w:kern w:val="2"/>
              </w:rPr>
            </w:pPr>
            <w:r>
              <w:rPr>
                <w:rFonts w:hint="eastAsia" w:ascii="Times New Roman" w:hAnsi="Times New Roman"/>
                <w:kern w:val="2"/>
              </w:rPr>
              <w:t>运输过程</w:t>
            </w:r>
          </w:p>
        </w:tc>
        <w:tc>
          <w:tcPr>
            <w:tcW w:w="2310" w:type="pct"/>
            <w:vAlign w:val="center"/>
          </w:tcPr>
          <w:p>
            <w:pPr>
              <w:adjustRightInd w:val="0"/>
              <w:snapToGrid w:val="0"/>
              <w:jc w:val="center"/>
              <w:rPr>
                <w:rFonts w:ascii="Times New Roman" w:hAnsi="Times New Roman"/>
                <w:kern w:val="2"/>
              </w:rPr>
            </w:pPr>
            <w:r>
              <w:rPr>
                <w:rFonts w:hint="eastAsia" w:ascii="Times New Roman" w:hAnsi="Times New Roman"/>
                <w:kern w:val="2"/>
              </w:rPr>
              <w:t>运输车辆6个</w:t>
            </w:r>
          </w:p>
        </w:tc>
        <w:tc>
          <w:tcPr>
            <w:tcW w:w="883" w:type="pct"/>
            <w:vAlign w:val="center"/>
          </w:tcPr>
          <w:p>
            <w:pPr>
              <w:adjustRightInd w:val="0"/>
              <w:snapToGrid w:val="0"/>
              <w:jc w:val="center"/>
              <w:rPr>
                <w:rFonts w:ascii="Times New Roman" w:hAnsi="Times New Roman"/>
                <w:kern w:val="2"/>
              </w:rPr>
            </w:pPr>
            <w:r>
              <w:rPr>
                <w:rFonts w:hint="eastAsia" w:ascii="Times New Roman" w:hAnsi="Times New Roman"/>
                <w:kern w:val="2"/>
              </w:rPr>
              <w:t>依托</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0" w:hRule="atLeast"/>
          <w:jc w:val="center"/>
        </w:trPr>
        <w:tc>
          <w:tcPr>
            <w:tcW w:w="696" w:type="pct"/>
            <w:vMerge w:val="continue"/>
            <w:vAlign w:val="center"/>
          </w:tcPr>
          <w:p>
            <w:pPr>
              <w:adjustRightInd w:val="0"/>
              <w:snapToGrid w:val="0"/>
              <w:jc w:val="center"/>
              <w:rPr>
                <w:rFonts w:ascii="Times New Roman" w:hAnsi="Times New Roman"/>
                <w:kern w:val="2"/>
              </w:rPr>
            </w:pPr>
          </w:p>
        </w:tc>
        <w:tc>
          <w:tcPr>
            <w:tcW w:w="1111" w:type="pct"/>
            <w:vAlign w:val="center"/>
          </w:tcPr>
          <w:p>
            <w:pPr>
              <w:adjustRightInd w:val="0"/>
              <w:snapToGrid w:val="0"/>
              <w:jc w:val="center"/>
              <w:rPr>
                <w:rFonts w:ascii="Times New Roman" w:hAnsi="Times New Roman"/>
                <w:kern w:val="2"/>
              </w:rPr>
            </w:pPr>
            <w:r>
              <w:rPr>
                <w:rFonts w:hint="eastAsia" w:ascii="Times New Roman" w:hAnsi="Times New Roman"/>
                <w:kern w:val="2"/>
              </w:rPr>
              <w:t>接收过程</w:t>
            </w:r>
          </w:p>
        </w:tc>
        <w:tc>
          <w:tcPr>
            <w:tcW w:w="2310" w:type="pct"/>
            <w:vAlign w:val="center"/>
          </w:tcPr>
          <w:p>
            <w:pPr>
              <w:adjustRightInd w:val="0"/>
              <w:snapToGrid w:val="0"/>
              <w:jc w:val="center"/>
              <w:rPr>
                <w:rFonts w:ascii="Times New Roman" w:hAnsi="Times New Roman"/>
                <w:kern w:val="2"/>
              </w:rPr>
            </w:pPr>
            <w:r>
              <w:rPr>
                <w:rFonts w:hint="eastAsia" w:ascii="Times New Roman" w:hAnsi="Times New Roman"/>
                <w:kern w:val="2"/>
              </w:rPr>
              <w:t>计量系统一套，本项目卸料区即为医疗废物暂存间，设置了废水导流和收集设施</w:t>
            </w:r>
          </w:p>
        </w:tc>
        <w:tc>
          <w:tcPr>
            <w:tcW w:w="883" w:type="pct"/>
            <w:vAlign w:val="center"/>
          </w:tcPr>
          <w:p>
            <w:pPr>
              <w:adjustRightInd w:val="0"/>
              <w:snapToGrid w:val="0"/>
              <w:jc w:val="center"/>
              <w:rPr>
                <w:rFonts w:ascii="Times New Roman" w:hAnsi="Times New Roman"/>
                <w:kern w:val="2"/>
              </w:rPr>
            </w:pPr>
            <w:r>
              <w:rPr>
                <w:rFonts w:hint="eastAsia" w:ascii="Times New Roman" w:hAnsi="Times New Roman"/>
                <w:kern w:val="2"/>
              </w:rPr>
              <w:t>依托</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0" w:hRule="atLeast"/>
          <w:jc w:val="center"/>
        </w:trPr>
        <w:tc>
          <w:tcPr>
            <w:tcW w:w="696" w:type="pct"/>
            <w:vMerge w:val="continue"/>
            <w:vAlign w:val="center"/>
          </w:tcPr>
          <w:p>
            <w:pPr>
              <w:adjustRightInd w:val="0"/>
              <w:snapToGrid w:val="0"/>
              <w:jc w:val="center"/>
              <w:rPr>
                <w:rFonts w:ascii="Times New Roman" w:hAnsi="Times New Roman"/>
                <w:kern w:val="2"/>
              </w:rPr>
            </w:pPr>
          </w:p>
        </w:tc>
        <w:tc>
          <w:tcPr>
            <w:tcW w:w="1111" w:type="pct"/>
            <w:vAlign w:val="center"/>
          </w:tcPr>
          <w:p>
            <w:pPr>
              <w:adjustRightInd w:val="0"/>
              <w:snapToGrid w:val="0"/>
              <w:jc w:val="center"/>
              <w:rPr>
                <w:rFonts w:ascii="Times New Roman" w:hAnsi="Times New Roman"/>
                <w:kern w:val="2"/>
              </w:rPr>
            </w:pPr>
            <w:r>
              <w:rPr>
                <w:rFonts w:ascii="Times New Roman" w:hAnsi="Times New Roman"/>
                <w:kern w:val="2"/>
              </w:rPr>
              <w:t>蒸汽灭菌车间</w:t>
            </w:r>
          </w:p>
        </w:tc>
        <w:tc>
          <w:tcPr>
            <w:tcW w:w="2310" w:type="pct"/>
            <w:vAlign w:val="center"/>
          </w:tcPr>
          <w:p>
            <w:pPr>
              <w:adjustRightInd w:val="0"/>
              <w:snapToGrid w:val="0"/>
              <w:rPr>
                <w:rFonts w:ascii="Times New Roman" w:hAnsi="Times New Roman"/>
                <w:kern w:val="2"/>
              </w:rPr>
            </w:pPr>
            <w:r>
              <w:rPr>
                <w:rFonts w:hint="eastAsia" w:ascii="Times New Roman" w:hAnsi="Times New Roman"/>
                <w:kern w:val="2"/>
              </w:rPr>
              <w:t>在车间内新增一条高温干热工艺灭菌</w:t>
            </w:r>
            <w:r>
              <w:rPr>
                <w:rFonts w:ascii="Times New Roman" w:hAnsi="Times New Roman"/>
                <w:kern w:val="2"/>
              </w:rPr>
              <w:t>生产线，日处理规模</w:t>
            </w:r>
            <w:r>
              <w:rPr>
                <w:rFonts w:hint="eastAsia" w:ascii="Times New Roman" w:hAnsi="Times New Roman"/>
                <w:kern w:val="2"/>
              </w:rPr>
              <w:t>为</w:t>
            </w:r>
            <w:r>
              <w:rPr>
                <w:rFonts w:ascii="Times New Roman" w:hAnsi="Times New Roman"/>
                <w:kern w:val="2"/>
              </w:rPr>
              <w:t>5t/d</w:t>
            </w:r>
          </w:p>
        </w:tc>
        <w:tc>
          <w:tcPr>
            <w:tcW w:w="883" w:type="pct"/>
            <w:vAlign w:val="center"/>
          </w:tcPr>
          <w:p>
            <w:pPr>
              <w:adjustRightInd w:val="0"/>
              <w:snapToGrid w:val="0"/>
              <w:rPr>
                <w:rFonts w:ascii="Times New Roman" w:hAnsi="Times New Roman"/>
                <w:kern w:val="2"/>
              </w:rPr>
            </w:pPr>
            <w:r>
              <w:rPr>
                <w:rFonts w:ascii="Times New Roman" w:hAnsi="Times New Roman"/>
                <w:kern w:val="2"/>
              </w:rPr>
              <w:t>增加1条生产线，增加产能</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0" w:hRule="atLeast"/>
          <w:jc w:val="center"/>
        </w:trPr>
        <w:tc>
          <w:tcPr>
            <w:tcW w:w="696" w:type="pct"/>
            <w:vMerge w:val="restart"/>
            <w:vAlign w:val="center"/>
          </w:tcPr>
          <w:p>
            <w:pPr>
              <w:adjustRightInd w:val="0"/>
              <w:snapToGrid w:val="0"/>
              <w:jc w:val="center"/>
              <w:rPr>
                <w:rFonts w:ascii="Times New Roman" w:hAnsi="Times New Roman"/>
                <w:kern w:val="2"/>
              </w:rPr>
            </w:pPr>
            <w:r>
              <w:rPr>
                <w:rFonts w:ascii="Times New Roman" w:hAnsi="Times New Roman"/>
                <w:kern w:val="2"/>
              </w:rPr>
              <w:t>辅助工程</w:t>
            </w:r>
          </w:p>
        </w:tc>
        <w:tc>
          <w:tcPr>
            <w:tcW w:w="1111" w:type="pct"/>
            <w:vAlign w:val="center"/>
          </w:tcPr>
          <w:p>
            <w:pPr>
              <w:adjustRightInd w:val="0"/>
              <w:snapToGrid w:val="0"/>
              <w:jc w:val="center"/>
              <w:rPr>
                <w:rFonts w:ascii="Times New Roman" w:hAnsi="Times New Roman"/>
                <w:kern w:val="2"/>
              </w:rPr>
            </w:pPr>
            <w:r>
              <w:rPr>
                <w:rFonts w:ascii="Times New Roman" w:hAnsi="Times New Roman"/>
                <w:kern w:val="2"/>
              </w:rPr>
              <w:t>污水处理间</w:t>
            </w:r>
          </w:p>
        </w:tc>
        <w:tc>
          <w:tcPr>
            <w:tcW w:w="2310" w:type="pct"/>
            <w:vAlign w:val="center"/>
          </w:tcPr>
          <w:p>
            <w:pPr>
              <w:adjustRightInd w:val="0"/>
              <w:snapToGrid w:val="0"/>
              <w:rPr>
                <w:rFonts w:ascii="Times New Roman" w:hAnsi="Times New Roman"/>
                <w:kern w:val="2"/>
              </w:rPr>
            </w:pPr>
            <w:r>
              <w:rPr>
                <w:rFonts w:ascii="Times New Roman" w:hAnsi="Times New Roman"/>
                <w:kern w:val="2"/>
              </w:rPr>
              <w:t>污水处理间1座，占地面积15m</w:t>
            </w:r>
            <w:r>
              <w:rPr>
                <w:rFonts w:ascii="Times New Roman" w:hAnsi="Times New Roman"/>
                <w:kern w:val="2"/>
                <w:vertAlign w:val="superscript"/>
              </w:rPr>
              <w:t>2</w:t>
            </w:r>
            <w:r>
              <w:rPr>
                <w:rFonts w:ascii="Times New Roman" w:hAnsi="Times New Roman"/>
                <w:kern w:val="2"/>
              </w:rPr>
              <w:t>，采用“格栅→调节池→一体化污水处理设备(水解酸化池→接触氧化池 →二沉池 →MBR 池)→二氧化氯发生器→回用水池”工艺，处理能力为15t/d</w:t>
            </w:r>
          </w:p>
        </w:tc>
        <w:tc>
          <w:tcPr>
            <w:tcW w:w="883" w:type="pct"/>
            <w:vAlign w:val="center"/>
          </w:tcPr>
          <w:p>
            <w:pPr>
              <w:adjustRightInd w:val="0"/>
              <w:snapToGrid w:val="0"/>
              <w:jc w:val="center"/>
              <w:rPr>
                <w:rFonts w:ascii="Times New Roman" w:hAnsi="Times New Roman"/>
                <w:kern w:val="2"/>
              </w:rPr>
            </w:pPr>
            <w:r>
              <w:rPr>
                <w:rFonts w:ascii="Times New Roman" w:hAnsi="Times New Roman"/>
                <w:kern w:val="2"/>
              </w:rPr>
              <w:t>依托现有</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0" w:hRule="atLeast"/>
          <w:jc w:val="center"/>
        </w:trPr>
        <w:tc>
          <w:tcPr>
            <w:tcW w:w="696" w:type="pct"/>
            <w:vMerge w:val="continue"/>
            <w:vAlign w:val="center"/>
          </w:tcPr>
          <w:p>
            <w:pPr>
              <w:adjustRightInd w:val="0"/>
              <w:snapToGrid w:val="0"/>
              <w:jc w:val="center"/>
              <w:rPr>
                <w:rFonts w:ascii="Times New Roman" w:hAnsi="Times New Roman"/>
                <w:kern w:val="2"/>
              </w:rPr>
            </w:pPr>
          </w:p>
        </w:tc>
        <w:tc>
          <w:tcPr>
            <w:tcW w:w="1111" w:type="pct"/>
            <w:vAlign w:val="center"/>
          </w:tcPr>
          <w:p>
            <w:pPr>
              <w:pStyle w:val="304"/>
              <w:spacing w:line="240" w:lineRule="auto"/>
              <w:jc w:val="center"/>
              <w:rPr>
                <w:rFonts w:ascii="Times New Roman" w:hAnsi="Times New Roman"/>
                <w:sz w:val="21"/>
                <w:szCs w:val="21"/>
              </w:rPr>
            </w:pPr>
            <w:r>
              <w:rPr>
                <w:rFonts w:ascii="Times New Roman" w:hAnsi="Times New Roman"/>
                <w:sz w:val="21"/>
                <w:szCs w:val="21"/>
              </w:rPr>
              <w:t>冷却水泵房</w:t>
            </w:r>
          </w:p>
        </w:tc>
        <w:tc>
          <w:tcPr>
            <w:tcW w:w="2310" w:type="pct"/>
            <w:vAlign w:val="center"/>
          </w:tcPr>
          <w:p>
            <w:pPr>
              <w:adjustRightInd w:val="0"/>
              <w:snapToGrid w:val="0"/>
              <w:rPr>
                <w:rFonts w:ascii="Times New Roman" w:hAnsi="Times New Roman"/>
                <w:kern w:val="2"/>
              </w:rPr>
            </w:pPr>
            <w:r>
              <w:rPr>
                <w:rFonts w:ascii="Times New Roman" w:hAnsi="Times New Roman"/>
                <w:kern w:val="2"/>
              </w:rPr>
              <w:t>冷却水泵房1座，占地面积22m</w:t>
            </w:r>
            <w:r>
              <w:rPr>
                <w:rFonts w:ascii="Times New Roman" w:hAnsi="Times New Roman"/>
                <w:kern w:val="2"/>
                <w:vertAlign w:val="superscript"/>
              </w:rPr>
              <w:t>2</w:t>
            </w:r>
          </w:p>
        </w:tc>
        <w:tc>
          <w:tcPr>
            <w:tcW w:w="883" w:type="pct"/>
            <w:vAlign w:val="center"/>
          </w:tcPr>
          <w:p>
            <w:pPr>
              <w:adjustRightInd w:val="0"/>
              <w:snapToGrid w:val="0"/>
              <w:jc w:val="center"/>
              <w:rPr>
                <w:rFonts w:ascii="Times New Roman" w:hAnsi="Times New Roman"/>
                <w:kern w:val="2"/>
              </w:rPr>
            </w:pPr>
            <w:r>
              <w:rPr>
                <w:rFonts w:ascii="Times New Roman" w:hAnsi="Times New Roman"/>
                <w:kern w:val="2"/>
              </w:rPr>
              <w:t>依托</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0" w:hRule="atLeast"/>
          <w:jc w:val="center"/>
        </w:trPr>
        <w:tc>
          <w:tcPr>
            <w:tcW w:w="696" w:type="pct"/>
            <w:vMerge w:val="continue"/>
            <w:vAlign w:val="center"/>
          </w:tcPr>
          <w:p>
            <w:pPr>
              <w:adjustRightInd w:val="0"/>
              <w:snapToGrid w:val="0"/>
              <w:jc w:val="center"/>
              <w:rPr>
                <w:rFonts w:ascii="Times New Roman" w:hAnsi="Times New Roman"/>
                <w:kern w:val="2"/>
              </w:rPr>
            </w:pPr>
          </w:p>
        </w:tc>
        <w:tc>
          <w:tcPr>
            <w:tcW w:w="1111" w:type="pct"/>
            <w:vAlign w:val="center"/>
          </w:tcPr>
          <w:p>
            <w:pPr>
              <w:pStyle w:val="304"/>
              <w:spacing w:line="240" w:lineRule="auto"/>
              <w:jc w:val="center"/>
              <w:rPr>
                <w:rFonts w:ascii="Times New Roman" w:hAnsi="Times New Roman"/>
                <w:sz w:val="21"/>
                <w:szCs w:val="21"/>
              </w:rPr>
            </w:pPr>
            <w:r>
              <w:rPr>
                <w:rFonts w:ascii="Times New Roman" w:hAnsi="Times New Roman"/>
                <w:sz w:val="21"/>
                <w:szCs w:val="21"/>
              </w:rPr>
              <w:t>泵房</w:t>
            </w:r>
          </w:p>
        </w:tc>
        <w:tc>
          <w:tcPr>
            <w:tcW w:w="2310" w:type="pct"/>
            <w:vAlign w:val="center"/>
          </w:tcPr>
          <w:p>
            <w:pPr>
              <w:adjustRightInd w:val="0"/>
              <w:snapToGrid w:val="0"/>
              <w:jc w:val="center"/>
              <w:rPr>
                <w:rFonts w:ascii="Times New Roman" w:hAnsi="Times New Roman"/>
                <w:kern w:val="2"/>
              </w:rPr>
            </w:pPr>
            <w:r>
              <w:rPr>
                <w:rFonts w:ascii="Times New Roman" w:hAnsi="Times New Roman"/>
                <w:kern w:val="2"/>
              </w:rPr>
              <w:t>泵房1座，占地面积14.1m</w:t>
            </w:r>
            <w:r>
              <w:rPr>
                <w:rFonts w:ascii="Times New Roman" w:hAnsi="Times New Roman"/>
                <w:kern w:val="2"/>
                <w:vertAlign w:val="superscript"/>
              </w:rPr>
              <w:t>2</w:t>
            </w:r>
          </w:p>
        </w:tc>
        <w:tc>
          <w:tcPr>
            <w:tcW w:w="883" w:type="pct"/>
            <w:vAlign w:val="center"/>
          </w:tcPr>
          <w:p>
            <w:pPr>
              <w:adjustRightInd w:val="0"/>
              <w:snapToGrid w:val="0"/>
              <w:jc w:val="center"/>
              <w:rPr>
                <w:rFonts w:ascii="Times New Roman" w:hAnsi="Times New Roman"/>
                <w:kern w:val="2"/>
              </w:rPr>
            </w:pPr>
            <w:r>
              <w:rPr>
                <w:rFonts w:ascii="Times New Roman" w:hAnsi="Times New Roman"/>
                <w:kern w:val="2"/>
              </w:rPr>
              <w:t>依托</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0" w:hRule="atLeast"/>
          <w:jc w:val="center"/>
        </w:trPr>
        <w:tc>
          <w:tcPr>
            <w:tcW w:w="696" w:type="pct"/>
            <w:vMerge w:val="continue"/>
            <w:vAlign w:val="center"/>
          </w:tcPr>
          <w:p>
            <w:pPr>
              <w:adjustRightInd w:val="0"/>
              <w:snapToGrid w:val="0"/>
              <w:jc w:val="center"/>
              <w:rPr>
                <w:rFonts w:ascii="Times New Roman" w:hAnsi="Times New Roman"/>
                <w:kern w:val="2"/>
              </w:rPr>
            </w:pPr>
          </w:p>
        </w:tc>
        <w:tc>
          <w:tcPr>
            <w:tcW w:w="1111" w:type="pct"/>
            <w:vAlign w:val="center"/>
          </w:tcPr>
          <w:p>
            <w:pPr>
              <w:pStyle w:val="304"/>
              <w:spacing w:line="240" w:lineRule="auto"/>
              <w:jc w:val="center"/>
              <w:rPr>
                <w:rFonts w:ascii="Times New Roman" w:hAnsi="Times New Roman"/>
                <w:sz w:val="21"/>
                <w:szCs w:val="21"/>
              </w:rPr>
            </w:pPr>
            <w:r>
              <w:rPr>
                <w:rFonts w:ascii="Times New Roman" w:hAnsi="Times New Roman"/>
                <w:sz w:val="21"/>
                <w:szCs w:val="21"/>
              </w:rPr>
              <w:t>办公室</w:t>
            </w:r>
          </w:p>
        </w:tc>
        <w:tc>
          <w:tcPr>
            <w:tcW w:w="2310" w:type="pct"/>
            <w:vAlign w:val="center"/>
          </w:tcPr>
          <w:p>
            <w:pPr>
              <w:adjustRightInd w:val="0"/>
              <w:snapToGrid w:val="0"/>
              <w:jc w:val="center"/>
              <w:rPr>
                <w:rFonts w:ascii="Times New Roman" w:hAnsi="Times New Roman"/>
                <w:kern w:val="2"/>
              </w:rPr>
            </w:pPr>
            <w:r>
              <w:rPr>
                <w:rFonts w:ascii="Times New Roman" w:hAnsi="Times New Roman"/>
                <w:kern w:val="2"/>
              </w:rPr>
              <w:t>办公室1座，占地面积260m</w:t>
            </w:r>
            <w:r>
              <w:rPr>
                <w:rFonts w:ascii="Times New Roman" w:hAnsi="Times New Roman"/>
                <w:kern w:val="2"/>
                <w:vertAlign w:val="superscript"/>
              </w:rPr>
              <w:t>2</w:t>
            </w:r>
          </w:p>
        </w:tc>
        <w:tc>
          <w:tcPr>
            <w:tcW w:w="883" w:type="pct"/>
            <w:vAlign w:val="center"/>
          </w:tcPr>
          <w:p>
            <w:pPr>
              <w:adjustRightInd w:val="0"/>
              <w:snapToGrid w:val="0"/>
              <w:jc w:val="center"/>
              <w:rPr>
                <w:rFonts w:ascii="Times New Roman" w:hAnsi="Times New Roman"/>
                <w:kern w:val="2"/>
              </w:rPr>
            </w:pPr>
            <w:r>
              <w:rPr>
                <w:rFonts w:ascii="Times New Roman" w:hAnsi="Times New Roman"/>
                <w:kern w:val="2"/>
              </w:rPr>
              <w:t>依托</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0" w:hRule="atLeast"/>
          <w:jc w:val="center"/>
        </w:trPr>
        <w:tc>
          <w:tcPr>
            <w:tcW w:w="696" w:type="pct"/>
            <w:vMerge w:val="continue"/>
            <w:vAlign w:val="center"/>
          </w:tcPr>
          <w:p>
            <w:pPr>
              <w:adjustRightInd w:val="0"/>
              <w:snapToGrid w:val="0"/>
              <w:jc w:val="center"/>
              <w:rPr>
                <w:rFonts w:ascii="Times New Roman" w:hAnsi="Times New Roman"/>
                <w:kern w:val="2"/>
              </w:rPr>
            </w:pPr>
          </w:p>
        </w:tc>
        <w:tc>
          <w:tcPr>
            <w:tcW w:w="1111" w:type="pct"/>
            <w:vAlign w:val="center"/>
          </w:tcPr>
          <w:p>
            <w:pPr>
              <w:pStyle w:val="304"/>
              <w:spacing w:line="240" w:lineRule="auto"/>
              <w:jc w:val="center"/>
              <w:rPr>
                <w:rFonts w:ascii="Times New Roman" w:hAnsi="Times New Roman"/>
                <w:sz w:val="21"/>
                <w:szCs w:val="21"/>
              </w:rPr>
            </w:pPr>
            <w:r>
              <w:rPr>
                <w:rFonts w:ascii="Times New Roman" w:hAnsi="Times New Roman"/>
                <w:sz w:val="21"/>
                <w:szCs w:val="21"/>
              </w:rPr>
              <w:t>门卫室</w:t>
            </w:r>
          </w:p>
        </w:tc>
        <w:tc>
          <w:tcPr>
            <w:tcW w:w="2310" w:type="pct"/>
            <w:vAlign w:val="center"/>
          </w:tcPr>
          <w:p>
            <w:pPr>
              <w:adjustRightInd w:val="0"/>
              <w:snapToGrid w:val="0"/>
              <w:jc w:val="center"/>
              <w:rPr>
                <w:rFonts w:ascii="Times New Roman" w:hAnsi="Times New Roman"/>
                <w:kern w:val="2"/>
              </w:rPr>
            </w:pPr>
            <w:r>
              <w:rPr>
                <w:rFonts w:ascii="Times New Roman" w:hAnsi="Times New Roman"/>
                <w:kern w:val="2"/>
              </w:rPr>
              <w:t>门卫1座，占地面积32m</w:t>
            </w:r>
            <w:r>
              <w:rPr>
                <w:rFonts w:ascii="Times New Roman" w:hAnsi="Times New Roman"/>
                <w:kern w:val="2"/>
                <w:vertAlign w:val="superscript"/>
              </w:rPr>
              <w:t>2</w:t>
            </w:r>
          </w:p>
        </w:tc>
        <w:tc>
          <w:tcPr>
            <w:tcW w:w="883" w:type="pct"/>
            <w:vAlign w:val="center"/>
          </w:tcPr>
          <w:p>
            <w:pPr>
              <w:adjustRightInd w:val="0"/>
              <w:snapToGrid w:val="0"/>
              <w:jc w:val="center"/>
              <w:rPr>
                <w:rFonts w:ascii="Times New Roman" w:hAnsi="Times New Roman"/>
                <w:kern w:val="2"/>
              </w:rPr>
            </w:pPr>
            <w:r>
              <w:rPr>
                <w:rFonts w:ascii="Times New Roman" w:hAnsi="Times New Roman"/>
                <w:kern w:val="2"/>
              </w:rPr>
              <w:t>依托</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0" w:hRule="atLeast"/>
          <w:jc w:val="center"/>
        </w:trPr>
        <w:tc>
          <w:tcPr>
            <w:tcW w:w="696" w:type="pct"/>
            <w:vMerge w:val="continue"/>
            <w:vAlign w:val="center"/>
          </w:tcPr>
          <w:p>
            <w:pPr>
              <w:adjustRightInd w:val="0"/>
              <w:snapToGrid w:val="0"/>
              <w:jc w:val="center"/>
              <w:rPr>
                <w:rFonts w:ascii="Times New Roman" w:hAnsi="Times New Roman"/>
                <w:kern w:val="2"/>
              </w:rPr>
            </w:pPr>
          </w:p>
        </w:tc>
        <w:tc>
          <w:tcPr>
            <w:tcW w:w="1111" w:type="pct"/>
            <w:vAlign w:val="center"/>
          </w:tcPr>
          <w:p>
            <w:pPr>
              <w:pStyle w:val="304"/>
              <w:spacing w:line="240" w:lineRule="auto"/>
              <w:jc w:val="center"/>
              <w:rPr>
                <w:rFonts w:ascii="Times New Roman" w:hAnsi="Times New Roman"/>
                <w:sz w:val="21"/>
                <w:szCs w:val="21"/>
              </w:rPr>
            </w:pPr>
            <w:r>
              <w:rPr>
                <w:rFonts w:ascii="Times New Roman" w:hAnsi="Times New Roman"/>
                <w:sz w:val="21"/>
                <w:szCs w:val="21"/>
              </w:rPr>
              <w:t>休息室</w:t>
            </w:r>
          </w:p>
        </w:tc>
        <w:tc>
          <w:tcPr>
            <w:tcW w:w="2310" w:type="pct"/>
            <w:vAlign w:val="center"/>
          </w:tcPr>
          <w:p>
            <w:pPr>
              <w:adjustRightInd w:val="0"/>
              <w:snapToGrid w:val="0"/>
              <w:jc w:val="center"/>
              <w:rPr>
                <w:rFonts w:ascii="Times New Roman" w:hAnsi="Times New Roman"/>
                <w:kern w:val="2"/>
              </w:rPr>
            </w:pPr>
            <w:r>
              <w:rPr>
                <w:rFonts w:ascii="Times New Roman" w:hAnsi="Times New Roman"/>
                <w:kern w:val="2"/>
              </w:rPr>
              <w:t>休息室1座，占地面积10m</w:t>
            </w:r>
            <w:r>
              <w:rPr>
                <w:rFonts w:ascii="Times New Roman" w:hAnsi="Times New Roman"/>
                <w:kern w:val="2"/>
                <w:vertAlign w:val="superscript"/>
              </w:rPr>
              <w:t>2</w:t>
            </w:r>
          </w:p>
        </w:tc>
        <w:tc>
          <w:tcPr>
            <w:tcW w:w="883" w:type="pct"/>
            <w:vAlign w:val="center"/>
          </w:tcPr>
          <w:p>
            <w:pPr>
              <w:adjustRightInd w:val="0"/>
              <w:snapToGrid w:val="0"/>
              <w:jc w:val="center"/>
              <w:rPr>
                <w:rFonts w:ascii="Times New Roman" w:hAnsi="Times New Roman"/>
                <w:kern w:val="2"/>
              </w:rPr>
            </w:pPr>
            <w:r>
              <w:rPr>
                <w:rFonts w:ascii="Times New Roman" w:hAnsi="Times New Roman"/>
                <w:kern w:val="2"/>
              </w:rPr>
              <w:t>依托</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0" w:hRule="atLeast"/>
          <w:jc w:val="center"/>
        </w:trPr>
        <w:tc>
          <w:tcPr>
            <w:tcW w:w="696" w:type="pct"/>
            <w:vMerge w:val="continue"/>
            <w:vAlign w:val="center"/>
          </w:tcPr>
          <w:p>
            <w:pPr>
              <w:adjustRightInd w:val="0"/>
              <w:snapToGrid w:val="0"/>
              <w:jc w:val="center"/>
              <w:rPr>
                <w:rFonts w:ascii="Times New Roman" w:hAnsi="Times New Roman"/>
                <w:kern w:val="2"/>
              </w:rPr>
            </w:pPr>
          </w:p>
        </w:tc>
        <w:tc>
          <w:tcPr>
            <w:tcW w:w="1111" w:type="pct"/>
            <w:vAlign w:val="center"/>
          </w:tcPr>
          <w:p>
            <w:pPr>
              <w:pStyle w:val="304"/>
              <w:spacing w:line="240" w:lineRule="auto"/>
              <w:jc w:val="center"/>
              <w:rPr>
                <w:rFonts w:ascii="Times New Roman" w:hAnsi="Times New Roman"/>
                <w:sz w:val="21"/>
                <w:szCs w:val="21"/>
              </w:rPr>
            </w:pPr>
            <w:r>
              <w:rPr>
                <w:rFonts w:ascii="Times New Roman" w:hAnsi="Times New Roman"/>
                <w:sz w:val="21"/>
                <w:szCs w:val="21"/>
              </w:rPr>
              <w:t>卫生间</w:t>
            </w:r>
          </w:p>
        </w:tc>
        <w:tc>
          <w:tcPr>
            <w:tcW w:w="2310" w:type="pct"/>
            <w:vAlign w:val="center"/>
          </w:tcPr>
          <w:p>
            <w:pPr>
              <w:adjustRightInd w:val="0"/>
              <w:snapToGrid w:val="0"/>
              <w:jc w:val="center"/>
              <w:rPr>
                <w:rFonts w:ascii="Times New Roman" w:hAnsi="Times New Roman"/>
                <w:kern w:val="2"/>
              </w:rPr>
            </w:pPr>
            <w:r>
              <w:rPr>
                <w:rFonts w:ascii="Times New Roman" w:hAnsi="Times New Roman"/>
                <w:kern w:val="2"/>
              </w:rPr>
              <w:t>卫生间1座，占地面积5m</w:t>
            </w:r>
            <w:r>
              <w:rPr>
                <w:rFonts w:ascii="Times New Roman" w:hAnsi="Times New Roman"/>
                <w:kern w:val="2"/>
                <w:vertAlign w:val="superscript"/>
              </w:rPr>
              <w:t>2</w:t>
            </w:r>
          </w:p>
        </w:tc>
        <w:tc>
          <w:tcPr>
            <w:tcW w:w="883" w:type="pct"/>
            <w:vAlign w:val="center"/>
          </w:tcPr>
          <w:p>
            <w:pPr>
              <w:adjustRightInd w:val="0"/>
              <w:snapToGrid w:val="0"/>
              <w:jc w:val="center"/>
              <w:rPr>
                <w:rFonts w:ascii="Times New Roman" w:hAnsi="Times New Roman"/>
                <w:kern w:val="2"/>
              </w:rPr>
            </w:pPr>
            <w:r>
              <w:rPr>
                <w:rFonts w:ascii="Times New Roman" w:hAnsi="Times New Roman"/>
                <w:kern w:val="2"/>
              </w:rPr>
              <w:t>依托</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0" w:hRule="atLeast"/>
          <w:jc w:val="center"/>
        </w:trPr>
        <w:tc>
          <w:tcPr>
            <w:tcW w:w="696" w:type="pct"/>
            <w:vMerge w:val="continue"/>
            <w:vAlign w:val="center"/>
          </w:tcPr>
          <w:p>
            <w:pPr>
              <w:adjustRightInd w:val="0"/>
              <w:snapToGrid w:val="0"/>
              <w:jc w:val="center"/>
              <w:rPr>
                <w:rFonts w:ascii="Times New Roman" w:hAnsi="Times New Roman"/>
                <w:kern w:val="2"/>
              </w:rPr>
            </w:pPr>
          </w:p>
        </w:tc>
        <w:tc>
          <w:tcPr>
            <w:tcW w:w="1111" w:type="pct"/>
            <w:vAlign w:val="center"/>
          </w:tcPr>
          <w:p>
            <w:pPr>
              <w:pStyle w:val="304"/>
              <w:spacing w:line="240" w:lineRule="auto"/>
              <w:jc w:val="center"/>
              <w:rPr>
                <w:rFonts w:ascii="Times New Roman" w:hAnsi="Times New Roman"/>
                <w:sz w:val="21"/>
                <w:szCs w:val="21"/>
              </w:rPr>
            </w:pPr>
            <w:r>
              <w:rPr>
                <w:rFonts w:ascii="Times New Roman" w:hAnsi="Times New Roman"/>
                <w:sz w:val="21"/>
                <w:szCs w:val="21"/>
              </w:rPr>
              <w:t>电控室</w:t>
            </w:r>
          </w:p>
        </w:tc>
        <w:tc>
          <w:tcPr>
            <w:tcW w:w="2310" w:type="pct"/>
            <w:vAlign w:val="center"/>
          </w:tcPr>
          <w:p>
            <w:pPr>
              <w:adjustRightInd w:val="0"/>
              <w:snapToGrid w:val="0"/>
              <w:jc w:val="center"/>
              <w:rPr>
                <w:rFonts w:ascii="Times New Roman" w:hAnsi="Times New Roman"/>
                <w:kern w:val="2"/>
              </w:rPr>
            </w:pPr>
            <w:r>
              <w:rPr>
                <w:rFonts w:ascii="Times New Roman" w:hAnsi="Times New Roman"/>
                <w:kern w:val="2"/>
              </w:rPr>
              <w:t>电控室1座，占地面积10m</w:t>
            </w:r>
            <w:r>
              <w:rPr>
                <w:rFonts w:ascii="Times New Roman" w:hAnsi="Times New Roman"/>
                <w:kern w:val="2"/>
                <w:vertAlign w:val="superscript"/>
              </w:rPr>
              <w:t>2</w:t>
            </w:r>
          </w:p>
        </w:tc>
        <w:tc>
          <w:tcPr>
            <w:tcW w:w="883" w:type="pct"/>
            <w:vAlign w:val="center"/>
          </w:tcPr>
          <w:p>
            <w:pPr>
              <w:adjustRightInd w:val="0"/>
              <w:snapToGrid w:val="0"/>
              <w:jc w:val="center"/>
              <w:rPr>
                <w:rFonts w:ascii="Times New Roman" w:hAnsi="Times New Roman"/>
                <w:kern w:val="2"/>
              </w:rPr>
            </w:pPr>
            <w:r>
              <w:rPr>
                <w:rFonts w:ascii="Times New Roman" w:hAnsi="Times New Roman"/>
                <w:kern w:val="2"/>
              </w:rPr>
              <w:t>依托</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0" w:hRule="atLeast"/>
          <w:jc w:val="center"/>
        </w:trPr>
        <w:tc>
          <w:tcPr>
            <w:tcW w:w="696" w:type="pct"/>
            <w:vMerge w:val="restart"/>
            <w:vAlign w:val="center"/>
          </w:tcPr>
          <w:p>
            <w:pPr>
              <w:pStyle w:val="304"/>
              <w:spacing w:line="240" w:lineRule="auto"/>
              <w:rPr>
                <w:rFonts w:ascii="Times New Roman" w:hAnsi="Times New Roman"/>
                <w:bCs/>
                <w:sz w:val="21"/>
                <w:szCs w:val="21"/>
              </w:rPr>
            </w:pPr>
            <w:r>
              <w:rPr>
                <w:rFonts w:ascii="Times New Roman" w:hAnsi="Times New Roman"/>
                <w:bCs/>
                <w:sz w:val="21"/>
                <w:szCs w:val="21"/>
              </w:rPr>
              <w:t>储运工程</w:t>
            </w:r>
          </w:p>
        </w:tc>
        <w:tc>
          <w:tcPr>
            <w:tcW w:w="1111" w:type="pct"/>
            <w:vAlign w:val="center"/>
          </w:tcPr>
          <w:p>
            <w:pPr>
              <w:pStyle w:val="304"/>
              <w:spacing w:line="240" w:lineRule="auto"/>
              <w:rPr>
                <w:rFonts w:ascii="Times New Roman" w:hAnsi="Times New Roman"/>
                <w:bCs/>
                <w:sz w:val="21"/>
                <w:szCs w:val="21"/>
              </w:rPr>
            </w:pPr>
            <w:r>
              <w:rPr>
                <w:rFonts w:ascii="Times New Roman" w:hAnsi="Times New Roman"/>
                <w:bCs/>
                <w:sz w:val="21"/>
                <w:szCs w:val="21"/>
              </w:rPr>
              <w:t>医疗废物暂存间（冷库）</w:t>
            </w:r>
          </w:p>
        </w:tc>
        <w:tc>
          <w:tcPr>
            <w:tcW w:w="2310" w:type="pct"/>
            <w:vAlign w:val="center"/>
          </w:tcPr>
          <w:p>
            <w:pPr>
              <w:jc w:val="center"/>
              <w:rPr>
                <w:rFonts w:ascii="Calibri" w:hAnsi="Calibri"/>
                <w:kern w:val="2"/>
              </w:rPr>
            </w:pPr>
            <w:r>
              <w:rPr>
                <w:rFonts w:ascii="Times New Roman" w:hAnsi="Times New Roman"/>
                <w:kern w:val="2"/>
              </w:rPr>
              <w:t>现有低温贮存间一座，占地面积33m</w:t>
            </w:r>
            <w:r>
              <w:rPr>
                <w:rFonts w:ascii="Times New Roman" w:hAnsi="Times New Roman"/>
                <w:kern w:val="2"/>
                <w:vertAlign w:val="superscript"/>
              </w:rPr>
              <w:t>2</w:t>
            </w:r>
            <w:r>
              <w:rPr>
                <w:rFonts w:hint="eastAsia" w:ascii="Times New Roman" w:hAnsi="Times New Roman"/>
                <w:kern w:val="2"/>
              </w:rPr>
              <w:t>，暂存间在车间内部，配有一台HDF5N风冷型恒温机组，储存能力20吨，</w:t>
            </w:r>
            <w:r>
              <w:rPr>
                <w:rFonts w:ascii="Times New Roman" w:hAnsi="Times New Roman"/>
                <w:kern w:val="2"/>
              </w:rPr>
              <w:t>用于暂存当天不能处置完的医疗废物</w:t>
            </w:r>
            <w:r>
              <w:rPr>
                <w:rFonts w:hint="eastAsia" w:ascii="Times New Roman" w:hAnsi="Times New Roman"/>
                <w:kern w:val="2"/>
              </w:rPr>
              <w:t>。储存间为密闭间，储存间内废气负压收集后通过管道经D</w:t>
            </w:r>
            <w:r>
              <w:rPr>
                <w:rFonts w:ascii="Times New Roman" w:hAnsi="Times New Roman"/>
                <w:kern w:val="2"/>
              </w:rPr>
              <w:t>A001</w:t>
            </w:r>
            <w:r>
              <w:rPr>
                <w:rFonts w:hint="eastAsia" w:ascii="Times New Roman" w:hAnsi="Times New Roman"/>
                <w:kern w:val="2"/>
              </w:rPr>
              <w:t>排放口排放。医疗废物存放于袋子中，袋子存放在桶中。本项目两个设备目前是轮换应用，暂存间储存能力为2</w:t>
            </w:r>
            <w:r>
              <w:rPr>
                <w:rFonts w:ascii="Times New Roman" w:hAnsi="Times New Roman"/>
                <w:kern w:val="2"/>
              </w:rPr>
              <w:t>0</w:t>
            </w:r>
            <w:r>
              <w:rPr>
                <w:rFonts w:hint="eastAsia" w:ascii="Times New Roman" w:hAnsi="Times New Roman"/>
                <w:kern w:val="2"/>
              </w:rPr>
              <w:t>吨，储存规模依托可行。</w:t>
            </w:r>
          </w:p>
        </w:tc>
        <w:tc>
          <w:tcPr>
            <w:tcW w:w="883" w:type="pct"/>
            <w:vAlign w:val="center"/>
          </w:tcPr>
          <w:p>
            <w:pPr>
              <w:adjustRightInd w:val="0"/>
              <w:snapToGrid w:val="0"/>
              <w:jc w:val="center"/>
              <w:rPr>
                <w:rFonts w:ascii="Times New Roman" w:hAnsi="Times New Roman"/>
                <w:kern w:val="2"/>
              </w:rPr>
            </w:pPr>
            <w:r>
              <w:rPr>
                <w:rFonts w:ascii="Times New Roman" w:hAnsi="Times New Roman"/>
                <w:kern w:val="2"/>
              </w:rPr>
              <w:t>依托</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0" w:hRule="atLeast"/>
          <w:jc w:val="center"/>
        </w:trPr>
        <w:tc>
          <w:tcPr>
            <w:tcW w:w="696" w:type="pct"/>
            <w:vMerge w:val="continue"/>
            <w:vAlign w:val="center"/>
          </w:tcPr>
          <w:p>
            <w:pPr>
              <w:pStyle w:val="304"/>
              <w:spacing w:line="240" w:lineRule="auto"/>
              <w:rPr>
                <w:rFonts w:ascii="Times New Roman" w:hAnsi="Times New Roman"/>
                <w:bCs/>
                <w:sz w:val="21"/>
                <w:szCs w:val="21"/>
              </w:rPr>
            </w:pPr>
          </w:p>
        </w:tc>
        <w:tc>
          <w:tcPr>
            <w:tcW w:w="1111" w:type="pct"/>
            <w:vAlign w:val="center"/>
          </w:tcPr>
          <w:p>
            <w:pPr>
              <w:pStyle w:val="304"/>
              <w:spacing w:line="240" w:lineRule="auto"/>
              <w:rPr>
                <w:rFonts w:ascii="Times New Roman" w:hAnsi="Times New Roman"/>
                <w:bCs/>
                <w:sz w:val="21"/>
                <w:szCs w:val="21"/>
              </w:rPr>
            </w:pPr>
            <w:r>
              <w:rPr>
                <w:rFonts w:ascii="Times New Roman" w:hAnsi="Times New Roman"/>
                <w:bCs/>
                <w:sz w:val="21"/>
                <w:szCs w:val="21"/>
              </w:rPr>
              <w:t>库房</w:t>
            </w:r>
          </w:p>
        </w:tc>
        <w:tc>
          <w:tcPr>
            <w:tcW w:w="2310" w:type="pct"/>
            <w:vAlign w:val="center"/>
          </w:tcPr>
          <w:p>
            <w:pPr>
              <w:adjustRightInd w:val="0"/>
              <w:snapToGrid w:val="0"/>
              <w:rPr>
                <w:rFonts w:ascii="Times New Roman" w:hAnsi="Times New Roman"/>
                <w:kern w:val="2"/>
              </w:rPr>
            </w:pPr>
            <w:r>
              <w:rPr>
                <w:rFonts w:ascii="Times New Roman" w:hAnsi="Times New Roman"/>
                <w:kern w:val="2"/>
              </w:rPr>
              <w:t>库房1座，占地面积10m</w:t>
            </w:r>
            <w:r>
              <w:rPr>
                <w:rFonts w:ascii="Times New Roman" w:hAnsi="Times New Roman"/>
                <w:kern w:val="2"/>
                <w:vertAlign w:val="superscript"/>
              </w:rPr>
              <w:t>2</w:t>
            </w:r>
            <w:r>
              <w:rPr>
                <w:rFonts w:ascii="Times New Roman" w:hAnsi="Times New Roman"/>
                <w:kern w:val="2"/>
              </w:rPr>
              <w:t>，用于暂存杂物</w:t>
            </w:r>
          </w:p>
        </w:tc>
        <w:tc>
          <w:tcPr>
            <w:tcW w:w="883" w:type="pct"/>
            <w:vAlign w:val="center"/>
          </w:tcPr>
          <w:p>
            <w:pPr>
              <w:adjustRightInd w:val="0"/>
              <w:snapToGrid w:val="0"/>
              <w:jc w:val="center"/>
              <w:rPr>
                <w:rFonts w:ascii="Times New Roman" w:hAnsi="Times New Roman"/>
                <w:kern w:val="2"/>
              </w:rPr>
            </w:pPr>
            <w:r>
              <w:rPr>
                <w:rFonts w:ascii="Times New Roman" w:hAnsi="Times New Roman"/>
                <w:bCs/>
                <w:spacing w:val="3"/>
              </w:rPr>
              <w:t>依托</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0" w:hRule="atLeast"/>
          <w:jc w:val="center"/>
        </w:trPr>
        <w:tc>
          <w:tcPr>
            <w:tcW w:w="696" w:type="pct"/>
            <w:vMerge w:val="continue"/>
            <w:vAlign w:val="center"/>
          </w:tcPr>
          <w:p>
            <w:pPr>
              <w:pStyle w:val="304"/>
              <w:spacing w:line="240" w:lineRule="auto"/>
              <w:rPr>
                <w:rFonts w:ascii="Times New Roman" w:hAnsi="Times New Roman"/>
                <w:bCs/>
                <w:sz w:val="21"/>
                <w:szCs w:val="21"/>
              </w:rPr>
            </w:pPr>
          </w:p>
        </w:tc>
        <w:tc>
          <w:tcPr>
            <w:tcW w:w="1111" w:type="pct"/>
            <w:vAlign w:val="center"/>
          </w:tcPr>
          <w:p>
            <w:pPr>
              <w:pStyle w:val="304"/>
              <w:spacing w:line="240" w:lineRule="auto"/>
              <w:rPr>
                <w:rFonts w:ascii="Times New Roman" w:hAnsi="Times New Roman"/>
                <w:bCs/>
                <w:sz w:val="21"/>
                <w:szCs w:val="21"/>
              </w:rPr>
            </w:pPr>
            <w:r>
              <w:rPr>
                <w:rFonts w:ascii="Times New Roman" w:hAnsi="Times New Roman"/>
                <w:bCs/>
                <w:sz w:val="21"/>
                <w:szCs w:val="21"/>
              </w:rPr>
              <w:t>车库</w:t>
            </w:r>
          </w:p>
        </w:tc>
        <w:tc>
          <w:tcPr>
            <w:tcW w:w="2310" w:type="pct"/>
            <w:vAlign w:val="center"/>
          </w:tcPr>
          <w:p>
            <w:pPr>
              <w:adjustRightInd w:val="0"/>
              <w:snapToGrid w:val="0"/>
              <w:rPr>
                <w:rFonts w:ascii="Times New Roman" w:hAnsi="Times New Roman"/>
                <w:kern w:val="2"/>
              </w:rPr>
            </w:pPr>
            <w:r>
              <w:rPr>
                <w:rFonts w:ascii="Times New Roman" w:hAnsi="Times New Roman"/>
                <w:kern w:val="2"/>
              </w:rPr>
              <w:t>车库1座，占地面积78.75m</w:t>
            </w:r>
            <w:r>
              <w:rPr>
                <w:rFonts w:ascii="Times New Roman" w:hAnsi="Times New Roman"/>
                <w:kern w:val="2"/>
                <w:vertAlign w:val="superscript"/>
              </w:rPr>
              <w:t>2</w:t>
            </w:r>
            <w:r>
              <w:rPr>
                <w:rFonts w:ascii="Times New Roman" w:hAnsi="Times New Roman"/>
                <w:kern w:val="2"/>
              </w:rPr>
              <w:t>，用于暂存车辆</w:t>
            </w:r>
          </w:p>
        </w:tc>
        <w:tc>
          <w:tcPr>
            <w:tcW w:w="883" w:type="pct"/>
            <w:vAlign w:val="center"/>
          </w:tcPr>
          <w:p>
            <w:pPr>
              <w:adjustRightInd w:val="0"/>
              <w:snapToGrid w:val="0"/>
              <w:jc w:val="center"/>
              <w:rPr>
                <w:rFonts w:ascii="Times New Roman" w:hAnsi="Times New Roman"/>
                <w:kern w:val="2"/>
              </w:rPr>
            </w:pPr>
            <w:r>
              <w:rPr>
                <w:rFonts w:ascii="Times New Roman" w:hAnsi="Times New Roman"/>
                <w:kern w:val="2"/>
              </w:rPr>
              <w:t>依托</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0" w:hRule="atLeast"/>
          <w:jc w:val="center"/>
        </w:trPr>
        <w:tc>
          <w:tcPr>
            <w:tcW w:w="696" w:type="pct"/>
            <w:vMerge w:val="continue"/>
            <w:vAlign w:val="center"/>
          </w:tcPr>
          <w:p>
            <w:pPr>
              <w:pStyle w:val="304"/>
              <w:spacing w:line="240" w:lineRule="auto"/>
              <w:rPr>
                <w:rFonts w:ascii="Times New Roman" w:hAnsi="Times New Roman"/>
                <w:bCs/>
                <w:sz w:val="21"/>
                <w:szCs w:val="21"/>
              </w:rPr>
            </w:pPr>
          </w:p>
        </w:tc>
        <w:tc>
          <w:tcPr>
            <w:tcW w:w="1111" w:type="pct"/>
            <w:vAlign w:val="center"/>
          </w:tcPr>
          <w:p>
            <w:pPr>
              <w:pStyle w:val="304"/>
              <w:spacing w:line="240" w:lineRule="auto"/>
              <w:rPr>
                <w:rFonts w:ascii="Times New Roman" w:hAnsi="Times New Roman"/>
                <w:bCs/>
                <w:sz w:val="21"/>
                <w:szCs w:val="21"/>
              </w:rPr>
            </w:pPr>
            <w:r>
              <w:rPr>
                <w:rFonts w:ascii="Times New Roman" w:hAnsi="Times New Roman"/>
                <w:bCs/>
                <w:sz w:val="21"/>
                <w:szCs w:val="21"/>
              </w:rPr>
              <w:t>危险废物暂存间</w:t>
            </w:r>
          </w:p>
        </w:tc>
        <w:tc>
          <w:tcPr>
            <w:tcW w:w="2310" w:type="pct"/>
            <w:vAlign w:val="center"/>
          </w:tcPr>
          <w:p>
            <w:pPr>
              <w:adjustRightInd w:val="0"/>
              <w:snapToGrid w:val="0"/>
              <w:rPr>
                <w:rFonts w:ascii="Times New Roman" w:hAnsi="Times New Roman"/>
                <w:kern w:val="2"/>
              </w:rPr>
            </w:pPr>
            <w:r>
              <w:rPr>
                <w:rFonts w:ascii="Times New Roman" w:hAnsi="Times New Roman"/>
                <w:kern w:val="2"/>
              </w:rPr>
              <w:t>危险废物暂存间1座，占地面积10m</w:t>
            </w:r>
            <w:r>
              <w:rPr>
                <w:rFonts w:ascii="Times New Roman" w:hAnsi="Times New Roman"/>
                <w:kern w:val="2"/>
                <w:vertAlign w:val="superscript"/>
              </w:rPr>
              <w:t>2</w:t>
            </w:r>
            <w:r>
              <w:rPr>
                <w:rFonts w:hint="eastAsia" w:ascii="Times New Roman" w:hAnsi="Times New Roman"/>
                <w:kern w:val="2"/>
              </w:rPr>
              <w:t>，位于车间内部，原有加上新建工程年产生危险废物量为0</w:t>
            </w:r>
            <w:r>
              <w:rPr>
                <w:rFonts w:ascii="Times New Roman" w:hAnsi="Times New Roman"/>
                <w:kern w:val="2"/>
              </w:rPr>
              <w:t>.4268</w:t>
            </w:r>
            <w:r>
              <w:rPr>
                <w:rFonts w:hint="eastAsia" w:ascii="Times New Roman" w:hAnsi="Times New Roman"/>
                <w:kern w:val="2"/>
              </w:rPr>
              <w:t>t</w:t>
            </w:r>
            <w:r>
              <w:rPr>
                <w:rFonts w:ascii="Times New Roman" w:hAnsi="Times New Roman"/>
                <w:kern w:val="2"/>
              </w:rPr>
              <w:t>/</w:t>
            </w:r>
            <w:r>
              <w:rPr>
                <w:rFonts w:hint="eastAsia" w:ascii="Times New Roman" w:hAnsi="Times New Roman"/>
                <w:kern w:val="2"/>
              </w:rPr>
              <w:t>a，储存间最大储存量为</w:t>
            </w:r>
            <w:r>
              <w:rPr>
                <w:rFonts w:ascii="Times New Roman" w:hAnsi="Times New Roman"/>
                <w:kern w:val="2"/>
              </w:rPr>
              <w:t>6</w:t>
            </w:r>
            <w:r>
              <w:rPr>
                <w:rFonts w:hint="eastAsia" w:ascii="Times New Roman" w:hAnsi="Times New Roman"/>
                <w:kern w:val="2"/>
              </w:rPr>
              <w:t>t，所以本项目依托可行。</w:t>
            </w:r>
          </w:p>
        </w:tc>
        <w:tc>
          <w:tcPr>
            <w:tcW w:w="883" w:type="pct"/>
            <w:vAlign w:val="center"/>
          </w:tcPr>
          <w:p>
            <w:pPr>
              <w:adjustRightInd w:val="0"/>
              <w:snapToGrid w:val="0"/>
              <w:jc w:val="center"/>
              <w:rPr>
                <w:rFonts w:ascii="Times New Roman" w:hAnsi="Times New Roman"/>
                <w:kern w:val="2"/>
              </w:rPr>
            </w:pPr>
            <w:r>
              <w:rPr>
                <w:rFonts w:hint="eastAsia" w:ascii="Times New Roman" w:hAnsi="Times New Roman"/>
                <w:kern w:val="2"/>
              </w:rPr>
              <w:t>依托</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0" w:hRule="atLeast"/>
          <w:jc w:val="center"/>
        </w:trPr>
        <w:tc>
          <w:tcPr>
            <w:tcW w:w="696" w:type="pct"/>
            <w:vMerge w:val="continue"/>
            <w:vAlign w:val="center"/>
          </w:tcPr>
          <w:p>
            <w:pPr>
              <w:adjustRightInd w:val="0"/>
              <w:snapToGrid w:val="0"/>
              <w:rPr>
                <w:rFonts w:ascii="Times New Roman" w:hAnsi="Times New Roman"/>
                <w:kern w:val="2"/>
              </w:rPr>
            </w:pPr>
          </w:p>
        </w:tc>
        <w:tc>
          <w:tcPr>
            <w:tcW w:w="1111" w:type="pct"/>
            <w:vAlign w:val="center"/>
          </w:tcPr>
          <w:p>
            <w:pPr>
              <w:pStyle w:val="304"/>
              <w:spacing w:line="240" w:lineRule="auto"/>
              <w:rPr>
                <w:rFonts w:ascii="Times New Roman" w:hAnsi="Times New Roman"/>
                <w:sz w:val="21"/>
                <w:szCs w:val="21"/>
              </w:rPr>
            </w:pPr>
            <w:r>
              <w:rPr>
                <w:rFonts w:ascii="Times New Roman" w:hAnsi="Times New Roman"/>
                <w:sz w:val="21"/>
                <w:szCs w:val="21"/>
              </w:rPr>
              <w:t>事故应急池</w:t>
            </w:r>
          </w:p>
        </w:tc>
        <w:tc>
          <w:tcPr>
            <w:tcW w:w="2310" w:type="pct"/>
            <w:vAlign w:val="center"/>
          </w:tcPr>
          <w:p>
            <w:pPr>
              <w:adjustRightInd w:val="0"/>
              <w:snapToGrid w:val="0"/>
              <w:rPr>
                <w:rFonts w:ascii="Times New Roman" w:hAnsi="Times New Roman"/>
                <w:kern w:val="2"/>
              </w:rPr>
            </w:pPr>
            <w:r>
              <w:rPr>
                <w:rFonts w:ascii="Times New Roman" w:hAnsi="Times New Roman"/>
                <w:kern w:val="2"/>
              </w:rPr>
              <w:t>事故应急池1座，容积115m</w:t>
            </w:r>
            <w:r>
              <w:rPr>
                <w:rFonts w:ascii="Times New Roman" w:hAnsi="Times New Roman"/>
                <w:kern w:val="2"/>
                <w:vertAlign w:val="superscript"/>
              </w:rPr>
              <w:t>3</w:t>
            </w:r>
            <w:r>
              <w:rPr>
                <w:rFonts w:hint="eastAsia" w:ascii="Times New Roman" w:hAnsi="Times New Roman"/>
                <w:kern w:val="2"/>
              </w:rPr>
              <w:t>，本项目全场日产生废水1</w:t>
            </w:r>
            <w:r>
              <w:rPr>
                <w:rFonts w:ascii="Times New Roman" w:hAnsi="Times New Roman"/>
                <w:kern w:val="2"/>
              </w:rPr>
              <w:t>1.13m</w:t>
            </w:r>
            <w:r>
              <w:rPr>
                <w:rFonts w:ascii="Times New Roman" w:hAnsi="Times New Roman"/>
                <w:kern w:val="2"/>
                <w:vertAlign w:val="superscript"/>
              </w:rPr>
              <w:t>3</w:t>
            </w:r>
            <w:r>
              <w:rPr>
                <w:rFonts w:hint="eastAsia" w:ascii="Times New Roman" w:hAnsi="Times New Roman"/>
                <w:kern w:val="2"/>
              </w:rPr>
              <w:t>，事故应急池可完全可容纳3天废水，依托可行。</w:t>
            </w:r>
          </w:p>
        </w:tc>
        <w:tc>
          <w:tcPr>
            <w:tcW w:w="883" w:type="pct"/>
            <w:vAlign w:val="center"/>
          </w:tcPr>
          <w:p>
            <w:pPr>
              <w:adjustRightInd w:val="0"/>
              <w:snapToGrid w:val="0"/>
              <w:jc w:val="center"/>
              <w:rPr>
                <w:rFonts w:ascii="Times New Roman" w:hAnsi="Times New Roman"/>
                <w:kern w:val="2"/>
              </w:rPr>
            </w:pPr>
            <w:r>
              <w:rPr>
                <w:rFonts w:ascii="Times New Roman" w:hAnsi="Times New Roman"/>
                <w:kern w:val="2"/>
              </w:rPr>
              <w:t>依托</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0" w:hRule="atLeast"/>
          <w:jc w:val="center"/>
        </w:trPr>
        <w:tc>
          <w:tcPr>
            <w:tcW w:w="696" w:type="pct"/>
            <w:vMerge w:val="continue"/>
            <w:vAlign w:val="center"/>
          </w:tcPr>
          <w:p>
            <w:pPr>
              <w:adjustRightInd w:val="0"/>
              <w:snapToGrid w:val="0"/>
              <w:rPr>
                <w:rFonts w:ascii="Times New Roman" w:hAnsi="Times New Roman"/>
                <w:kern w:val="2"/>
              </w:rPr>
            </w:pPr>
          </w:p>
        </w:tc>
        <w:tc>
          <w:tcPr>
            <w:tcW w:w="1111" w:type="pct"/>
            <w:vAlign w:val="center"/>
          </w:tcPr>
          <w:p>
            <w:pPr>
              <w:pStyle w:val="304"/>
              <w:spacing w:line="240" w:lineRule="auto"/>
              <w:rPr>
                <w:rFonts w:ascii="Times New Roman" w:hAnsi="Times New Roman"/>
                <w:sz w:val="21"/>
                <w:szCs w:val="21"/>
              </w:rPr>
            </w:pPr>
            <w:r>
              <w:rPr>
                <w:rFonts w:ascii="Times New Roman" w:hAnsi="Times New Roman"/>
                <w:sz w:val="21"/>
                <w:szCs w:val="21"/>
              </w:rPr>
              <w:t>初期雨水池</w:t>
            </w:r>
          </w:p>
        </w:tc>
        <w:tc>
          <w:tcPr>
            <w:tcW w:w="2310" w:type="pct"/>
            <w:vAlign w:val="center"/>
          </w:tcPr>
          <w:p>
            <w:pPr>
              <w:adjustRightInd w:val="0"/>
              <w:snapToGrid w:val="0"/>
              <w:rPr>
                <w:rFonts w:ascii="Times New Roman" w:hAnsi="Times New Roman"/>
                <w:kern w:val="2"/>
              </w:rPr>
            </w:pPr>
            <w:r>
              <w:rPr>
                <w:rFonts w:hint="eastAsia" w:ascii="Times New Roman" w:hAnsi="Times New Roman"/>
                <w:kern w:val="2"/>
              </w:rPr>
              <w:t>初期雨水池</w:t>
            </w:r>
            <w:r>
              <w:rPr>
                <w:rFonts w:ascii="Times New Roman" w:hAnsi="Times New Roman"/>
                <w:kern w:val="2"/>
              </w:rPr>
              <w:t>1座，容积20m</w:t>
            </w:r>
            <w:r>
              <w:rPr>
                <w:rFonts w:ascii="Times New Roman" w:hAnsi="Times New Roman"/>
                <w:kern w:val="2"/>
                <w:vertAlign w:val="superscript"/>
              </w:rPr>
              <w:t>3</w:t>
            </w:r>
          </w:p>
        </w:tc>
        <w:tc>
          <w:tcPr>
            <w:tcW w:w="883" w:type="pct"/>
            <w:vAlign w:val="center"/>
          </w:tcPr>
          <w:p>
            <w:pPr>
              <w:adjustRightInd w:val="0"/>
              <w:snapToGrid w:val="0"/>
              <w:jc w:val="center"/>
              <w:rPr>
                <w:rFonts w:ascii="Times New Roman" w:hAnsi="Times New Roman"/>
                <w:kern w:val="2"/>
              </w:rPr>
            </w:pPr>
            <w:r>
              <w:rPr>
                <w:rFonts w:ascii="Times New Roman" w:hAnsi="Times New Roman"/>
                <w:kern w:val="2"/>
              </w:rPr>
              <w:t>依托</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0" w:hRule="atLeast"/>
          <w:jc w:val="center"/>
        </w:trPr>
        <w:tc>
          <w:tcPr>
            <w:tcW w:w="696" w:type="pct"/>
            <w:vMerge w:val="restart"/>
            <w:vAlign w:val="center"/>
          </w:tcPr>
          <w:p>
            <w:pPr>
              <w:adjustRightInd w:val="0"/>
              <w:snapToGrid w:val="0"/>
              <w:rPr>
                <w:rFonts w:ascii="Times New Roman" w:hAnsi="Times New Roman"/>
                <w:kern w:val="2"/>
              </w:rPr>
            </w:pPr>
            <w:r>
              <w:rPr>
                <w:rFonts w:ascii="Times New Roman" w:hAnsi="Times New Roman"/>
                <w:kern w:val="2"/>
              </w:rPr>
              <w:t>公用工程</w:t>
            </w:r>
          </w:p>
        </w:tc>
        <w:tc>
          <w:tcPr>
            <w:tcW w:w="1111" w:type="pct"/>
            <w:vAlign w:val="center"/>
          </w:tcPr>
          <w:p>
            <w:pPr>
              <w:adjustRightInd w:val="0"/>
              <w:snapToGrid w:val="0"/>
              <w:rPr>
                <w:rFonts w:ascii="Times New Roman" w:hAnsi="Times New Roman"/>
                <w:kern w:val="2"/>
              </w:rPr>
            </w:pPr>
            <w:r>
              <w:rPr>
                <w:rFonts w:ascii="Times New Roman" w:hAnsi="Times New Roman"/>
                <w:kern w:val="2"/>
              </w:rPr>
              <w:t>供电</w:t>
            </w:r>
          </w:p>
        </w:tc>
        <w:tc>
          <w:tcPr>
            <w:tcW w:w="2310" w:type="pct"/>
            <w:vAlign w:val="center"/>
          </w:tcPr>
          <w:p>
            <w:pPr>
              <w:adjustRightInd w:val="0"/>
              <w:snapToGrid w:val="0"/>
              <w:rPr>
                <w:rFonts w:ascii="Times New Roman" w:hAnsi="Times New Roman"/>
                <w:kern w:val="2"/>
              </w:rPr>
            </w:pPr>
            <w:r>
              <w:rPr>
                <w:rFonts w:ascii="Times New Roman" w:hAnsi="Times New Roman"/>
                <w:kern w:val="2"/>
              </w:rPr>
              <w:t>用电由双鸭山供电局电力变电所供应</w:t>
            </w:r>
          </w:p>
        </w:tc>
        <w:tc>
          <w:tcPr>
            <w:tcW w:w="883" w:type="pct"/>
            <w:vAlign w:val="center"/>
          </w:tcPr>
          <w:p>
            <w:pPr>
              <w:adjustRightInd w:val="0"/>
              <w:snapToGrid w:val="0"/>
              <w:jc w:val="center"/>
              <w:rPr>
                <w:rFonts w:ascii="Times New Roman" w:hAnsi="Times New Roman"/>
                <w:kern w:val="2"/>
              </w:rPr>
            </w:pPr>
            <w:r>
              <w:rPr>
                <w:rFonts w:ascii="Times New Roman" w:hAnsi="Times New Roman"/>
                <w:kern w:val="2"/>
              </w:rPr>
              <w:t>依托</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0" w:hRule="atLeast"/>
          <w:jc w:val="center"/>
        </w:trPr>
        <w:tc>
          <w:tcPr>
            <w:tcW w:w="696" w:type="pct"/>
            <w:vMerge w:val="continue"/>
            <w:vAlign w:val="center"/>
          </w:tcPr>
          <w:p>
            <w:pPr>
              <w:adjustRightInd w:val="0"/>
              <w:snapToGrid w:val="0"/>
              <w:rPr>
                <w:rFonts w:ascii="Times New Roman" w:hAnsi="Times New Roman"/>
                <w:kern w:val="2"/>
              </w:rPr>
            </w:pPr>
          </w:p>
        </w:tc>
        <w:tc>
          <w:tcPr>
            <w:tcW w:w="1111" w:type="pct"/>
            <w:vAlign w:val="center"/>
          </w:tcPr>
          <w:p>
            <w:pPr>
              <w:adjustRightInd w:val="0"/>
              <w:snapToGrid w:val="0"/>
              <w:rPr>
                <w:rFonts w:ascii="Times New Roman" w:hAnsi="Times New Roman"/>
                <w:kern w:val="2"/>
              </w:rPr>
            </w:pPr>
            <w:r>
              <w:rPr>
                <w:rFonts w:ascii="Times New Roman" w:hAnsi="Times New Roman"/>
                <w:kern w:val="2"/>
              </w:rPr>
              <w:t>给水</w:t>
            </w:r>
          </w:p>
        </w:tc>
        <w:tc>
          <w:tcPr>
            <w:tcW w:w="2310" w:type="pct"/>
            <w:vAlign w:val="center"/>
          </w:tcPr>
          <w:p>
            <w:pPr>
              <w:adjustRightInd w:val="0"/>
              <w:snapToGrid w:val="0"/>
              <w:rPr>
                <w:rFonts w:ascii="Times New Roman" w:hAnsi="Times New Roman"/>
                <w:kern w:val="2"/>
              </w:rPr>
            </w:pPr>
            <w:r>
              <w:rPr>
                <w:rFonts w:hint="eastAsia" w:ascii="Times New Roman" w:hAnsi="Times New Roman"/>
                <w:kern w:val="2"/>
              </w:rPr>
              <w:t>生产用水由厂区内水井供给，生活饮用水购买桶装水</w:t>
            </w:r>
          </w:p>
        </w:tc>
        <w:tc>
          <w:tcPr>
            <w:tcW w:w="883" w:type="pct"/>
            <w:vAlign w:val="center"/>
          </w:tcPr>
          <w:p>
            <w:pPr>
              <w:adjustRightInd w:val="0"/>
              <w:snapToGrid w:val="0"/>
              <w:jc w:val="center"/>
              <w:rPr>
                <w:rFonts w:ascii="Times New Roman" w:hAnsi="Times New Roman"/>
                <w:kern w:val="2"/>
              </w:rPr>
            </w:pPr>
            <w:r>
              <w:rPr>
                <w:rFonts w:ascii="Times New Roman" w:hAnsi="Times New Roman"/>
                <w:kern w:val="2"/>
              </w:rPr>
              <w:t>依托</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0" w:hRule="atLeast"/>
          <w:jc w:val="center"/>
        </w:trPr>
        <w:tc>
          <w:tcPr>
            <w:tcW w:w="696" w:type="pct"/>
            <w:vMerge w:val="continue"/>
            <w:vAlign w:val="center"/>
          </w:tcPr>
          <w:p>
            <w:pPr>
              <w:adjustRightInd w:val="0"/>
              <w:snapToGrid w:val="0"/>
              <w:rPr>
                <w:rFonts w:ascii="Times New Roman" w:hAnsi="Times New Roman"/>
                <w:kern w:val="2"/>
              </w:rPr>
            </w:pPr>
          </w:p>
        </w:tc>
        <w:tc>
          <w:tcPr>
            <w:tcW w:w="1111" w:type="pct"/>
            <w:vAlign w:val="center"/>
          </w:tcPr>
          <w:p>
            <w:pPr>
              <w:adjustRightInd w:val="0"/>
              <w:snapToGrid w:val="0"/>
              <w:rPr>
                <w:rFonts w:ascii="Times New Roman" w:hAnsi="Times New Roman"/>
                <w:kern w:val="2"/>
              </w:rPr>
            </w:pPr>
            <w:r>
              <w:rPr>
                <w:rFonts w:ascii="Times New Roman" w:hAnsi="Times New Roman"/>
                <w:kern w:val="2"/>
              </w:rPr>
              <w:t>排水</w:t>
            </w:r>
          </w:p>
        </w:tc>
        <w:tc>
          <w:tcPr>
            <w:tcW w:w="2310" w:type="pct"/>
            <w:vAlign w:val="center"/>
          </w:tcPr>
          <w:p>
            <w:pPr>
              <w:adjustRightInd w:val="0"/>
              <w:snapToGrid w:val="0"/>
              <w:rPr>
                <w:rFonts w:ascii="Times New Roman" w:hAnsi="Times New Roman"/>
                <w:kern w:val="2"/>
              </w:rPr>
            </w:pPr>
            <w:r>
              <w:rPr>
                <w:rFonts w:ascii="Times New Roman" w:hAnsi="Times New Roman"/>
                <w:kern w:val="2"/>
              </w:rPr>
              <w:t>生产废水经企业原有污水处理站(工艺流程：格栅→调节池→一体化污水处理设备(水解酸化池→接触氧化池 →二沉池 →MBR池) →二氧化氯发生器→回用水池) 处理后满足《城市污水再生利用城市杂用水水质》( GB/T18920-2002 ) 中“车辆冲洗标准”，厂内全部回用 (回用于车间地面消毒清洗用水、转运车消毒清洗用水和周转箱消毒清洗用水) ，不外排。</w:t>
            </w:r>
            <w:r>
              <w:rPr>
                <w:rFonts w:hint="eastAsia" w:ascii="Times New Roman" w:hAnsi="Times New Roman"/>
                <w:kern w:val="2"/>
              </w:rPr>
              <w:t>生活污水由罐车运送至双鸭山市城市污水处理厂处理后达到《城镇污水处理厂污染物排放标准》（GB18918-2002）一级A标准后排放。</w:t>
            </w:r>
          </w:p>
        </w:tc>
        <w:tc>
          <w:tcPr>
            <w:tcW w:w="883" w:type="pct"/>
            <w:vAlign w:val="center"/>
          </w:tcPr>
          <w:p>
            <w:pPr>
              <w:adjustRightInd w:val="0"/>
              <w:snapToGrid w:val="0"/>
              <w:jc w:val="center"/>
              <w:rPr>
                <w:rFonts w:ascii="Times New Roman" w:hAnsi="Times New Roman"/>
                <w:kern w:val="2"/>
              </w:rPr>
            </w:pPr>
            <w:r>
              <w:rPr>
                <w:rFonts w:ascii="Times New Roman" w:hAnsi="Times New Roman"/>
                <w:kern w:val="2"/>
              </w:rPr>
              <w:t>依托</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0" w:hRule="atLeast"/>
          <w:jc w:val="center"/>
        </w:trPr>
        <w:tc>
          <w:tcPr>
            <w:tcW w:w="696" w:type="pct"/>
            <w:vMerge w:val="continue"/>
            <w:vAlign w:val="center"/>
          </w:tcPr>
          <w:p>
            <w:pPr>
              <w:adjustRightInd w:val="0"/>
              <w:snapToGrid w:val="0"/>
              <w:rPr>
                <w:rFonts w:ascii="Times New Roman" w:hAnsi="Times New Roman"/>
                <w:kern w:val="2"/>
              </w:rPr>
            </w:pPr>
          </w:p>
        </w:tc>
        <w:tc>
          <w:tcPr>
            <w:tcW w:w="1111" w:type="pct"/>
            <w:vAlign w:val="center"/>
          </w:tcPr>
          <w:p>
            <w:pPr>
              <w:adjustRightInd w:val="0"/>
              <w:snapToGrid w:val="0"/>
              <w:rPr>
                <w:rFonts w:ascii="Times New Roman" w:hAnsi="Times New Roman"/>
                <w:kern w:val="2"/>
              </w:rPr>
            </w:pPr>
            <w:r>
              <w:rPr>
                <w:rFonts w:ascii="Times New Roman" w:hAnsi="Times New Roman"/>
                <w:kern w:val="2"/>
              </w:rPr>
              <w:t>供热</w:t>
            </w:r>
          </w:p>
        </w:tc>
        <w:tc>
          <w:tcPr>
            <w:tcW w:w="2310" w:type="pct"/>
            <w:vAlign w:val="center"/>
          </w:tcPr>
          <w:p>
            <w:pPr>
              <w:rPr>
                <w:rFonts w:ascii="Arial" w:hAnsi="Arial" w:cs="Arial"/>
              </w:rPr>
            </w:pPr>
            <w:r>
              <w:rPr>
                <w:rFonts w:ascii="Times New Roman" w:hAnsi="Times New Roman"/>
                <w:kern w:val="2"/>
              </w:rPr>
              <w:t>新建生产线生产供热由新建</w:t>
            </w:r>
            <w:r>
              <w:rPr>
                <w:rFonts w:hint="eastAsia" w:ascii="Times New Roman" w:hAnsi="Times New Roman"/>
                <w:kern w:val="2"/>
              </w:rPr>
              <w:t>的6万kcal/h</w:t>
            </w:r>
            <w:r>
              <w:rPr>
                <w:rFonts w:ascii="Times New Roman" w:hAnsi="Times New Roman"/>
                <w:kern w:val="2"/>
              </w:rPr>
              <w:t>导热油炉供给。</w:t>
            </w:r>
            <w:r>
              <w:rPr>
                <w:rFonts w:hint="eastAsia" w:ascii="Times New Roman" w:hAnsi="Times New Roman"/>
                <w:kern w:val="2"/>
              </w:rPr>
              <w:t>导热油炉燃料为轻质柴油，年消耗量为</w:t>
            </w:r>
            <w:r>
              <w:rPr>
                <w:rFonts w:ascii="Times New Roman" w:hAnsi="Times New Roman"/>
                <w:kern w:val="2"/>
              </w:rPr>
              <w:t>29.2t/a</w:t>
            </w:r>
            <w:r>
              <w:rPr>
                <w:rFonts w:hint="eastAsia" w:ascii="Times New Roman" w:hAnsi="Times New Roman"/>
                <w:kern w:val="2"/>
              </w:rPr>
              <w:t>，导热油炉与高温干热生产设备为一体的，轻质柴油无单独柴油储存罐，也在高温干热设备内储存。</w:t>
            </w:r>
          </w:p>
        </w:tc>
        <w:tc>
          <w:tcPr>
            <w:tcW w:w="883" w:type="pct"/>
            <w:vAlign w:val="center"/>
          </w:tcPr>
          <w:p>
            <w:pPr>
              <w:adjustRightInd w:val="0"/>
              <w:snapToGrid w:val="0"/>
              <w:rPr>
                <w:rFonts w:ascii="Times New Roman" w:hAnsi="Times New Roman"/>
                <w:kern w:val="2"/>
              </w:rPr>
            </w:pPr>
            <w:r>
              <w:rPr>
                <w:rFonts w:ascii="Times New Roman" w:hAnsi="Times New Roman"/>
                <w:kern w:val="2"/>
              </w:rPr>
              <w:t>增加1台导热油炉</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0" w:hRule="atLeast"/>
          <w:jc w:val="center"/>
        </w:trPr>
        <w:tc>
          <w:tcPr>
            <w:tcW w:w="696" w:type="pct"/>
            <w:vMerge w:val="restart"/>
            <w:vAlign w:val="center"/>
          </w:tcPr>
          <w:p>
            <w:pPr>
              <w:adjustRightInd w:val="0"/>
              <w:snapToGrid w:val="0"/>
              <w:rPr>
                <w:rFonts w:ascii="Times New Roman" w:hAnsi="Times New Roman"/>
                <w:kern w:val="2"/>
              </w:rPr>
            </w:pPr>
            <w:r>
              <w:rPr>
                <w:rFonts w:ascii="Times New Roman" w:hAnsi="Times New Roman"/>
                <w:kern w:val="2"/>
              </w:rPr>
              <w:t>环保工程</w:t>
            </w:r>
          </w:p>
        </w:tc>
        <w:tc>
          <w:tcPr>
            <w:tcW w:w="1111" w:type="pct"/>
            <w:vAlign w:val="center"/>
          </w:tcPr>
          <w:p>
            <w:pPr>
              <w:adjustRightInd w:val="0"/>
              <w:snapToGrid w:val="0"/>
              <w:rPr>
                <w:rFonts w:ascii="Times New Roman" w:hAnsi="Times New Roman"/>
                <w:kern w:val="2"/>
              </w:rPr>
            </w:pPr>
            <w:r>
              <w:rPr>
                <w:rFonts w:ascii="Times New Roman" w:hAnsi="Times New Roman"/>
                <w:kern w:val="2"/>
              </w:rPr>
              <w:t>废水处理工程</w:t>
            </w:r>
          </w:p>
        </w:tc>
        <w:tc>
          <w:tcPr>
            <w:tcW w:w="2310" w:type="pct"/>
            <w:vAlign w:val="center"/>
          </w:tcPr>
          <w:p>
            <w:pPr>
              <w:adjustRightInd w:val="0"/>
              <w:snapToGrid w:val="0"/>
              <w:rPr>
                <w:rFonts w:ascii="Times New Roman" w:hAnsi="Times New Roman"/>
                <w:kern w:val="2"/>
              </w:rPr>
            </w:pPr>
            <w:r>
              <w:rPr>
                <w:rFonts w:ascii="Times New Roman" w:hAnsi="Times New Roman"/>
                <w:kern w:val="2"/>
              </w:rPr>
              <w:t>生产废水经企业原有污水处理站(工艺流程：格栅→调节池→一体化污水处理设备(水解酸化池→接触氧化池 →二沉池 →MBR池) →二氧化氯发生器→回用水池) 处理后满足《城市污水再生利用城市杂用水水质》( GB/T18920-2002 ) 中“车辆冲洗标准”，厂内全部回用 (回用于车间地面消毒清洗用水、转运车消毒清洗用水和周转箱消毒清洗用水) ，不外排。</w:t>
            </w:r>
            <w:r>
              <w:rPr>
                <w:rFonts w:hint="eastAsia" w:ascii="Times New Roman" w:hAnsi="Times New Roman"/>
                <w:kern w:val="2"/>
              </w:rPr>
              <w:t>生活污水由罐车运送至双鸭山市城市污水处理厂处理后达到《城镇污水处理厂污染物排放标准》（GB18918-2002）一级A标准后排放。现有污水量为</w:t>
            </w:r>
            <w:r>
              <w:rPr>
                <w:rFonts w:ascii="Times New Roman" w:hAnsi="Times New Roman"/>
                <w:kern w:val="2"/>
              </w:rPr>
              <w:t>2.81</w:t>
            </w:r>
            <w:r>
              <w:rPr>
                <w:rFonts w:hint="eastAsia" w:ascii="Times New Roman" w:hAnsi="Times New Roman"/>
                <w:kern w:val="2"/>
              </w:rPr>
              <w:t>t</w:t>
            </w:r>
            <w:r>
              <w:rPr>
                <w:rFonts w:ascii="Times New Roman" w:hAnsi="Times New Roman"/>
                <w:kern w:val="2"/>
              </w:rPr>
              <w:t>/</w:t>
            </w:r>
            <w:r>
              <w:rPr>
                <w:rFonts w:hint="eastAsia" w:ascii="Times New Roman" w:hAnsi="Times New Roman"/>
                <w:kern w:val="2"/>
              </w:rPr>
              <w:t>d。本项目新增</w:t>
            </w:r>
            <w:r>
              <w:rPr>
                <w:rFonts w:ascii="Times New Roman" w:hAnsi="Times New Roman"/>
                <w:kern w:val="2"/>
              </w:rPr>
              <w:t>8.32</w:t>
            </w:r>
            <w:r>
              <w:rPr>
                <w:rFonts w:hint="eastAsia" w:ascii="Times New Roman" w:hAnsi="Times New Roman"/>
                <w:kern w:val="2"/>
              </w:rPr>
              <w:t>t</w:t>
            </w:r>
            <w:r>
              <w:rPr>
                <w:rFonts w:ascii="Times New Roman" w:hAnsi="Times New Roman"/>
                <w:kern w:val="2"/>
              </w:rPr>
              <w:t>/</w:t>
            </w:r>
            <w:r>
              <w:rPr>
                <w:rFonts w:hint="eastAsia" w:ascii="Times New Roman" w:hAnsi="Times New Roman"/>
                <w:kern w:val="2"/>
              </w:rPr>
              <w:t>d。总排污量为</w:t>
            </w:r>
            <w:r>
              <w:rPr>
                <w:rFonts w:ascii="Times New Roman" w:hAnsi="Times New Roman"/>
                <w:kern w:val="2"/>
              </w:rPr>
              <w:t>11.13</w:t>
            </w:r>
            <w:r>
              <w:rPr>
                <w:rFonts w:hint="eastAsia" w:ascii="Times New Roman" w:hAnsi="Times New Roman"/>
                <w:kern w:val="2"/>
              </w:rPr>
              <w:t>t</w:t>
            </w:r>
            <w:r>
              <w:rPr>
                <w:rFonts w:ascii="Times New Roman" w:hAnsi="Times New Roman"/>
                <w:kern w:val="2"/>
              </w:rPr>
              <w:t>/</w:t>
            </w:r>
            <w:r>
              <w:rPr>
                <w:rFonts w:hint="eastAsia" w:ascii="Times New Roman" w:hAnsi="Times New Roman"/>
                <w:kern w:val="2"/>
              </w:rPr>
              <w:t>d，小于设计处理量1</w:t>
            </w:r>
            <w:r>
              <w:rPr>
                <w:rFonts w:ascii="Times New Roman" w:hAnsi="Times New Roman"/>
                <w:kern w:val="2"/>
              </w:rPr>
              <w:t>5/</w:t>
            </w:r>
            <w:r>
              <w:rPr>
                <w:rFonts w:hint="eastAsia" w:ascii="Times New Roman" w:hAnsi="Times New Roman"/>
                <w:kern w:val="2"/>
              </w:rPr>
              <w:t>d，</w:t>
            </w:r>
            <w:r>
              <w:rPr>
                <w:rFonts w:ascii="Times New Roman" w:hAnsi="Times New Roman"/>
                <w:kern w:val="2"/>
              </w:rPr>
              <w:t>本项目为改扩建项目，所以本项目依托可行。</w:t>
            </w:r>
          </w:p>
        </w:tc>
        <w:tc>
          <w:tcPr>
            <w:tcW w:w="883" w:type="pct"/>
            <w:vAlign w:val="center"/>
          </w:tcPr>
          <w:p>
            <w:pPr>
              <w:adjustRightInd w:val="0"/>
              <w:snapToGrid w:val="0"/>
              <w:jc w:val="center"/>
              <w:rPr>
                <w:rFonts w:ascii="Times New Roman" w:hAnsi="Times New Roman"/>
                <w:kern w:val="2"/>
              </w:rPr>
            </w:pPr>
            <w:r>
              <w:rPr>
                <w:rFonts w:ascii="Times New Roman" w:hAnsi="Times New Roman"/>
                <w:kern w:val="2"/>
              </w:rPr>
              <w:t>依托</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0" w:hRule="atLeast"/>
          <w:jc w:val="center"/>
        </w:trPr>
        <w:tc>
          <w:tcPr>
            <w:tcW w:w="696" w:type="pct"/>
            <w:vMerge w:val="continue"/>
            <w:vAlign w:val="center"/>
          </w:tcPr>
          <w:p>
            <w:pPr>
              <w:adjustRightInd w:val="0"/>
              <w:snapToGrid w:val="0"/>
              <w:rPr>
                <w:rFonts w:ascii="Times New Roman" w:hAnsi="Times New Roman"/>
                <w:kern w:val="2"/>
              </w:rPr>
            </w:pPr>
          </w:p>
        </w:tc>
        <w:tc>
          <w:tcPr>
            <w:tcW w:w="1111" w:type="pct"/>
            <w:vMerge w:val="restart"/>
            <w:vAlign w:val="center"/>
          </w:tcPr>
          <w:p>
            <w:pPr>
              <w:adjustRightInd w:val="0"/>
              <w:snapToGrid w:val="0"/>
              <w:rPr>
                <w:rFonts w:ascii="Times New Roman" w:hAnsi="Times New Roman"/>
                <w:kern w:val="2"/>
              </w:rPr>
            </w:pPr>
            <w:r>
              <w:rPr>
                <w:rFonts w:ascii="Times New Roman" w:hAnsi="Times New Roman"/>
                <w:kern w:val="2"/>
              </w:rPr>
              <w:t>废气处理工程</w:t>
            </w:r>
          </w:p>
        </w:tc>
        <w:tc>
          <w:tcPr>
            <w:tcW w:w="2310" w:type="pct"/>
            <w:vAlign w:val="center"/>
          </w:tcPr>
          <w:p>
            <w:pPr>
              <w:adjustRightInd w:val="0"/>
              <w:snapToGrid w:val="0"/>
              <w:rPr>
                <w:rFonts w:ascii="Times New Roman" w:hAnsi="Times New Roman"/>
                <w:kern w:val="2"/>
              </w:rPr>
            </w:pPr>
            <w:r>
              <w:rPr>
                <w:rFonts w:ascii="Times New Roman" w:hAnsi="Times New Roman"/>
                <w:kern w:val="2"/>
              </w:rPr>
              <w:t>导热油炉燃料为轻质柴油</w:t>
            </w:r>
            <w:r>
              <w:rPr>
                <w:rFonts w:hint="eastAsia" w:ascii="Times New Roman" w:hAnsi="Times New Roman"/>
                <w:kern w:val="2"/>
              </w:rPr>
              <w:t>，通过1</w:t>
            </w:r>
            <w:r>
              <w:rPr>
                <w:rFonts w:ascii="Times New Roman" w:hAnsi="Times New Roman"/>
                <w:kern w:val="2"/>
              </w:rPr>
              <w:t>5</w:t>
            </w:r>
            <w:r>
              <w:rPr>
                <w:rFonts w:hint="eastAsia" w:ascii="Times New Roman" w:hAnsi="Times New Roman"/>
                <w:kern w:val="2"/>
              </w:rPr>
              <w:t>米排气筒（D</w:t>
            </w:r>
            <w:r>
              <w:rPr>
                <w:rFonts w:ascii="Times New Roman" w:hAnsi="Times New Roman"/>
                <w:kern w:val="2"/>
              </w:rPr>
              <w:t>A002</w:t>
            </w:r>
            <w:r>
              <w:rPr>
                <w:rFonts w:hint="eastAsia" w:ascii="Times New Roman" w:hAnsi="Times New Roman"/>
                <w:kern w:val="2"/>
              </w:rPr>
              <w:t>）排气筒排放</w:t>
            </w:r>
          </w:p>
        </w:tc>
        <w:tc>
          <w:tcPr>
            <w:tcW w:w="883" w:type="pct"/>
            <w:vMerge w:val="restart"/>
            <w:vAlign w:val="center"/>
          </w:tcPr>
          <w:p>
            <w:pPr>
              <w:adjustRightInd w:val="0"/>
              <w:snapToGrid w:val="0"/>
              <w:rPr>
                <w:rFonts w:ascii="Times New Roman" w:hAnsi="Times New Roman"/>
                <w:kern w:val="2"/>
              </w:rPr>
            </w:pPr>
            <w:r>
              <w:rPr>
                <w:rFonts w:ascii="Times New Roman" w:hAnsi="Times New Roman"/>
                <w:kern w:val="2"/>
              </w:rPr>
              <w:t>增加1套</w:t>
            </w:r>
            <w:r>
              <w:rPr>
                <w:rFonts w:ascii="Times New Roman" w:hAnsi="Times New Roman"/>
              </w:rPr>
              <w:t>粉尘阻拦干燥器+低温等离子废气净化器</w:t>
            </w:r>
            <w:r>
              <w:rPr>
                <w:rFonts w:ascii="Times New Roman" w:hAnsi="Times New Roman"/>
                <w:kern w:val="2"/>
              </w:rPr>
              <w:t>处理设备</w:t>
            </w:r>
            <w:r>
              <w:rPr>
                <w:rFonts w:hint="eastAsia" w:ascii="Times New Roman" w:hAnsi="Times New Roman"/>
                <w:kern w:val="2"/>
              </w:rPr>
              <w:t>，排气筒编号为D</w:t>
            </w:r>
            <w:r>
              <w:rPr>
                <w:rFonts w:ascii="Times New Roman" w:hAnsi="Times New Roman"/>
                <w:kern w:val="2"/>
              </w:rPr>
              <w:t>A002</w:t>
            </w:r>
            <w:r>
              <w:rPr>
                <w:rFonts w:hint="eastAsia" w:ascii="Times New Roman" w:hAnsi="Times New Roman"/>
                <w:kern w:val="2"/>
              </w:rPr>
              <w:t>，排气筒风量为2</w:t>
            </w:r>
            <w:r>
              <w:rPr>
                <w:rFonts w:ascii="Times New Roman" w:hAnsi="Times New Roman"/>
                <w:kern w:val="2"/>
              </w:rPr>
              <w:t>087</w:t>
            </w:r>
            <w:r>
              <w:rPr>
                <w:rFonts w:hint="eastAsia" w:ascii="Times New Roman" w:hAnsi="Times New Roman"/>
                <w:kern w:val="2"/>
              </w:rPr>
              <w:t>m</w:t>
            </w:r>
            <w:r>
              <w:rPr>
                <w:rFonts w:ascii="Times New Roman" w:hAnsi="Times New Roman"/>
                <w:kern w:val="2"/>
                <w:vertAlign w:val="superscript"/>
              </w:rPr>
              <w:t>3</w:t>
            </w:r>
            <w:r>
              <w:rPr>
                <w:rFonts w:ascii="Times New Roman" w:hAnsi="Times New Roman"/>
                <w:kern w:val="2"/>
              </w:rPr>
              <w:t>/</w:t>
            </w:r>
            <w:r>
              <w:rPr>
                <w:rFonts w:hint="eastAsia" w:ascii="Times New Roman" w:hAnsi="Times New Roman"/>
                <w:kern w:val="2"/>
              </w:rPr>
              <w:t>h，排气筒内径为0</w:t>
            </w:r>
            <w:r>
              <w:rPr>
                <w:rFonts w:ascii="Times New Roman" w:hAnsi="Times New Roman"/>
                <w:kern w:val="2"/>
              </w:rPr>
              <w:t>.5</w:t>
            </w:r>
            <w:r>
              <w:rPr>
                <w:rFonts w:hint="eastAsia" w:ascii="Times New Roman" w:hAnsi="Times New Roman"/>
                <w:kern w:val="2"/>
              </w:rPr>
              <w:t>m。</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0" w:hRule="atLeast"/>
          <w:jc w:val="center"/>
        </w:trPr>
        <w:tc>
          <w:tcPr>
            <w:tcW w:w="696" w:type="pct"/>
            <w:vMerge w:val="continue"/>
            <w:vAlign w:val="center"/>
          </w:tcPr>
          <w:p>
            <w:pPr>
              <w:adjustRightInd w:val="0"/>
              <w:snapToGrid w:val="0"/>
              <w:rPr>
                <w:rFonts w:ascii="Times New Roman" w:hAnsi="Times New Roman"/>
                <w:kern w:val="2"/>
              </w:rPr>
            </w:pPr>
          </w:p>
        </w:tc>
        <w:tc>
          <w:tcPr>
            <w:tcW w:w="1111" w:type="pct"/>
            <w:vMerge w:val="continue"/>
            <w:vAlign w:val="center"/>
          </w:tcPr>
          <w:p>
            <w:pPr>
              <w:adjustRightInd w:val="0"/>
              <w:snapToGrid w:val="0"/>
              <w:rPr>
                <w:rFonts w:ascii="Times New Roman" w:hAnsi="Times New Roman"/>
                <w:kern w:val="2"/>
              </w:rPr>
            </w:pPr>
          </w:p>
        </w:tc>
        <w:tc>
          <w:tcPr>
            <w:tcW w:w="2310" w:type="pct"/>
            <w:vAlign w:val="center"/>
          </w:tcPr>
          <w:p>
            <w:pPr>
              <w:adjustRightInd w:val="0"/>
              <w:snapToGrid w:val="0"/>
              <w:rPr>
                <w:rFonts w:ascii="Times New Roman" w:hAnsi="Times New Roman"/>
                <w:kern w:val="2"/>
              </w:rPr>
            </w:pPr>
            <w:r>
              <w:rPr>
                <w:rFonts w:ascii="Times New Roman" w:hAnsi="Times New Roman"/>
              </w:rPr>
              <w:t>新建</w:t>
            </w:r>
            <w:r>
              <w:rPr>
                <w:rFonts w:hint="eastAsia" w:ascii="Times New Roman" w:hAnsi="Times New Roman"/>
              </w:rPr>
              <w:t>高温干热工艺消毒生产线废气经</w:t>
            </w:r>
            <w:r>
              <w:rPr>
                <w:rFonts w:ascii="Times New Roman" w:hAnsi="Times New Roman"/>
              </w:rPr>
              <w:t>粉尘阻拦干燥器+低温等离子废气净化器</w:t>
            </w:r>
            <w:r>
              <w:rPr>
                <w:rFonts w:ascii="Times New Roman" w:hAnsi="Times New Roman"/>
                <w:kern w:val="2"/>
              </w:rPr>
              <w:t>处理后由15m排气筒</w:t>
            </w:r>
            <w:r>
              <w:rPr>
                <w:rFonts w:hint="eastAsia" w:ascii="Times New Roman" w:hAnsi="Times New Roman"/>
                <w:kern w:val="2"/>
              </w:rPr>
              <w:t>（D</w:t>
            </w:r>
            <w:r>
              <w:rPr>
                <w:rFonts w:ascii="Times New Roman" w:hAnsi="Times New Roman"/>
                <w:kern w:val="2"/>
              </w:rPr>
              <w:t>A002</w:t>
            </w:r>
            <w:r>
              <w:rPr>
                <w:rFonts w:hint="eastAsia" w:ascii="Times New Roman" w:hAnsi="Times New Roman"/>
                <w:kern w:val="2"/>
              </w:rPr>
              <w:t>）</w:t>
            </w:r>
            <w:r>
              <w:rPr>
                <w:rFonts w:ascii="Times New Roman" w:hAnsi="Times New Roman"/>
                <w:kern w:val="2"/>
              </w:rPr>
              <w:t>排放</w:t>
            </w:r>
          </w:p>
        </w:tc>
        <w:tc>
          <w:tcPr>
            <w:tcW w:w="883" w:type="pct"/>
            <w:vMerge w:val="continue"/>
            <w:vAlign w:val="center"/>
          </w:tcPr>
          <w:p>
            <w:pPr>
              <w:adjustRightInd w:val="0"/>
              <w:snapToGrid w:val="0"/>
              <w:rPr>
                <w:rFonts w:ascii="Times New Roman" w:hAnsi="Times New Roman"/>
                <w:kern w:val="2"/>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0" w:hRule="atLeast"/>
          <w:jc w:val="center"/>
        </w:trPr>
        <w:tc>
          <w:tcPr>
            <w:tcW w:w="696" w:type="pct"/>
            <w:vMerge w:val="continue"/>
            <w:vAlign w:val="center"/>
          </w:tcPr>
          <w:p>
            <w:pPr>
              <w:adjustRightInd w:val="0"/>
              <w:snapToGrid w:val="0"/>
              <w:rPr>
                <w:rFonts w:ascii="Times New Roman" w:hAnsi="Times New Roman"/>
                <w:kern w:val="2"/>
              </w:rPr>
            </w:pPr>
          </w:p>
        </w:tc>
        <w:tc>
          <w:tcPr>
            <w:tcW w:w="1111" w:type="pct"/>
            <w:vMerge w:val="continue"/>
            <w:vAlign w:val="center"/>
          </w:tcPr>
          <w:p>
            <w:pPr>
              <w:adjustRightInd w:val="0"/>
              <w:snapToGrid w:val="0"/>
              <w:rPr>
                <w:rFonts w:ascii="Times New Roman" w:hAnsi="Times New Roman"/>
                <w:kern w:val="2"/>
              </w:rPr>
            </w:pPr>
          </w:p>
        </w:tc>
        <w:tc>
          <w:tcPr>
            <w:tcW w:w="2310" w:type="pct"/>
            <w:vAlign w:val="center"/>
          </w:tcPr>
          <w:p>
            <w:pPr>
              <w:adjustRightInd w:val="0"/>
              <w:snapToGrid w:val="0"/>
              <w:rPr>
                <w:rFonts w:ascii="Times New Roman" w:hAnsi="Times New Roman"/>
                <w:kern w:val="2"/>
              </w:rPr>
            </w:pPr>
            <w:r>
              <w:rPr>
                <w:rFonts w:ascii="Times New Roman" w:hAnsi="Times New Roman"/>
                <w:kern w:val="2"/>
              </w:rPr>
              <w:t>污水处理间</w:t>
            </w:r>
            <w:r>
              <w:rPr>
                <w:rFonts w:hint="eastAsia" w:ascii="Times New Roman" w:hAnsi="Times New Roman"/>
                <w:kern w:val="2"/>
              </w:rPr>
              <w:t>有组织废气经除臭塔由1</w:t>
            </w:r>
            <w:r>
              <w:rPr>
                <w:rFonts w:ascii="Times New Roman" w:hAnsi="Times New Roman"/>
                <w:kern w:val="2"/>
              </w:rPr>
              <w:t>5</w:t>
            </w:r>
            <w:r>
              <w:rPr>
                <w:rFonts w:hint="eastAsia" w:ascii="Times New Roman" w:hAnsi="Times New Roman"/>
                <w:kern w:val="2"/>
              </w:rPr>
              <w:t>m高排气筒(</w:t>
            </w:r>
            <w:r>
              <w:rPr>
                <w:rFonts w:ascii="Times New Roman" w:hAnsi="Times New Roman"/>
                <w:kern w:val="2"/>
              </w:rPr>
              <w:t>DA003)</w:t>
            </w:r>
            <w:r>
              <w:rPr>
                <w:rFonts w:hint="eastAsia" w:ascii="Times New Roman" w:hAnsi="Times New Roman"/>
                <w:kern w:val="2"/>
              </w:rPr>
              <w:t>排放，无组织废气</w:t>
            </w:r>
            <w:r>
              <w:rPr>
                <w:rFonts w:ascii="Times New Roman" w:hAnsi="Times New Roman"/>
                <w:kern w:val="2"/>
              </w:rPr>
              <w:t>喷洒除臭剂</w:t>
            </w:r>
          </w:p>
        </w:tc>
        <w:tc>
          <w:tcPr>
            <w:tcW w:w="883" w:type="pct"/>
            <w:vAlign w:val="center"/>
          </w:tcPr>
          <w:p>
            <w:pPr>
              <w:adjustRightInd w:val="0"/>
              <w:snapToGrid w:val="0"/>
              <w:jc w:val="center"/>
              <w:rPr>
                <w:rFonts w:ascii="Times New Roman" w:hAnsi="Times New Roman"/>
                <w:kern w:val="2"/>
              </w:rPr>
            </w:pPr>
            <w:r>
              <w:rPr>
                <w:rFonts w:ascii="Times New Roman" w:hAnsi="Times New Roman"/>
                <w:kern w:val="2"/>
              </w:rPr>
              <w:t>依托</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90" w:hRule="atLeast"/>
          <w:jc w:val="center"/>
        </w:trPr>
        <w:tc>
          <w:tcPr>
            <w:tcW w:w="696" w:type="pct"/>
            <w:vMerge w:val="continue"/>
            <w:vAlign w:val="center"/>
          </w:tcPr>
          <w:p>
            <w:pPr>
              <w:adjustRightInd w:val="0"/>
              <w:snapToGrid w:val="0"/>
              <w:rPr>
                <w:rFonts w:ascii="Times New Roman" w:hAnsi="Times New Roman"/>
                <w:kern w:val="2"/>
              </w:rPr>
            </w:pPr>
          </w:p>
        </w:tc>
        <w:tc>
          <w:tcPr>
            <w:tcW w:w="1111" w:type="pct"/>
            <w:vMerge w:val="continue"/>
            <w:vAlign w:val="center"/>
          </w:tcPr>
          <w:p>
            <w:pPr>
              <w:adjustRightInd w:val="0"/>
              <w:snapToGrid w:val="0"/>
              <w:rPr>
                <w:rFonts w:ascii="Times New Roman" w:hAnsi="Times New Roman"/>
                <w:kern w:val="2"/>
              </w:rPr>
            </w:pPr>
          </w:p>
        </w:tc>
        <w:tc>
          <w:tcPr>
            <w:tcW w:w="2310" w:type="pct"/>
            <w:vAlign w:val="center"/>
          </w:tcPr>
          <w:p>
            <w:pPr>
              <w:adjustRightInd w:val="0"/>
              <w:snapToGrid w:val="0"/>
              <w:rPr>
                <w:rFonts w:ascii="Times New Roman" w:hAnsi="Times New Roman"/>
                <w:kern w:val="2"/>
              </w:rPr>
            </w:pPr>
            <w:r>
              <w:rPr>
                <w:rFonts w:hint="eastAsia" w:ascii="Times New Roman" w:hAnsi="Times New Roman"/>
                <w:kern w:val="2"/>
              </w:rPr>
              <w:t>医疗废物处置间、医疗废物暂存间</w:t>
            </w:r>
            <w:r>
              <w:rPr>
                <w:rFonts w:ascii="Times New Roman" w:hAnsi="Times New Roman"/>
                <w:kern w:val="2"/>
              </w:rPr>
              <w:t>(冷库) 、转运车消毒间和周转箱消毒间封闭、微负压设计，室内换出的空气经活性炭吸附装置处理后通过15m高排气筒（DA001）排放</w:t>
            </w:r>
            <w:r>
              <w:rPr>
                <w:rFonts w:hint="eastAsia" w:ascii="Times New Roman" w:hAnsi="Times New Roman"/>
                <w:kern w:val="2"/>
              </w:rPr>
              <w:t>。D</w:t>
            </w:r>
            <w:r>
              <w:rPr>
                <w:rFonts w:ascii="Times New Roman" w:hAnsi="Times New Roman"/>
                <w:kern w:val="2"/>
              </w:rPr>
              <w:t>A001</w:t>
            </w:r>
            <w:r>
              <w:rPr>
                <w:rFonts w:hint="eastAsia" w:ascii="Times New Roman" w:hAnsi="Times New Roman"/>
                <w:kern w:val="2"/>
              </w:rPr>
              <w:t>号排气筒收集现有车间废气和现有消毒设备产生的废气排放，收集过程和排气过程均为成熟工艺。</w:t>
            </w:r>
          </w:p>
        </w:tc>
        <w:tc>
          <w:tcPr>
            <w:tcW w:w="883" w:type="pct"/>
            <w:vAlign w:val="center"/>
          </w:tcPr>
          <w:p>
            <w:pPr>
              <w:adjustRightInd w:val="0"/>
              <w:snapToGrid w:val="0"/>
              <w:jc w:val="center"/>
              <w:rPr>
                <w:rFonts w:ascii="Times New Roman" w:hAnsi="Times New Roman"/>
                <w:kern w:val="2"/>
              </w:rPr>
            </w:pPr>
            <w:r>
              <w:rPr>
                <w:rFonts w:hint="eastAsia" w:ascii="Times New Roman" w:hAnsi="Times New Roman"/>
                <w:kern w:val="2"/>
              </w:rPr>
              <w:t>依托</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0" w:hRule="atLeast"/>
          <w:jc w:val="center"/>
        </w:trPr>
        <w:tc>
          <w:tcPr>
            <w:tcW w:w="696" w:type="pct"/>
            <w:vMerge w:val="continue"/>
            <w:vAlign w:val="center"/>
          </w:tcPr>
          <w:p>
            <w:pPr>
              <w:adjustRightInd w:val="0"/>
              <w:snapToGrid w:val="0"/>
              <w:rPr>
                <w:rFonts w:ascii="Times New Roman" w:hAnsi="Times New Roman"/>
                <w:kern w:val="2"/>
              </w:rPr>
            </w:pPr>
          </w:p>
        </w:tc>
        <w:tc>
          <w:tcPr>
            <w:tcW w:w="1111" w:type="pct"/>
            <w:vAlign w:val="center"/>
          </w:tcPr>
          <w:p>
            <w:pPr>
              <w:adjustRightInd w:val="0"/>
              <w:snapToGrid w:val="0"/>
              <w:rPr>
                <w:rFonts w:ascii="Times New Roman" w:hAnsi="Times New Roman"/>
                <w:kern w:val="2"/>
              </w:rPr>
            </w:pPr>
            <w:r>
              <w:rPr>
                <w:rFonts w:ascii="Times New Roman" w:hAnsi="Times New Roman"/>
                <w:kern w:val="2"/>
              </w:rPr>
              <w:t>噪声治理工程</w:t>
            </w:r>
          </w:p>
        </w:tc>
        <w:tc>
          <w:tcPr>
            <w:tcW w:w="2310" w:type="pct"/>
            <w:vAlign w:val="center"/>
          </w:tcPr>
          <w:p>
            <w:pPr>
              <w:adjustRightInd w:val="0"/>
              <w:snapToGrid w:val="0"/>
              <w:rPr>
                <w:rFonts w:ascii="Times New Roman" w:hAnsi="Times New Roman"/>
                <w:kern w:val="2"/>
              </w:rPr>
            </w:pPr>
            <w:r>
              <w:rPr>
                <w:rFonts w:ascii="Times New Roman" w:hAnsi="Times New Roman"/>
                <w:kern w:val="2"/>
              </w:rPr>
              <w:t>采用低噪声设备，设备基础采用减震措施</w:t>
            </w:r>
          </w:p>
        </w:tc>
        <w:tc>
          <w:tcPr>
            <w:tcW w:w="883" w:type="pct"/>
            <w:vAlign w:val="center"/>
          </w:tcPr>
          <w:p>
            <w:pPr>
              <w:adjustRightInd w:val="0"/>
              <w:snapToGrid w:val="0"/>
              <w:jc w:val="center"/>
              <w:rPr>
                <w:rFonts w:ascii="Times New Roman" w:hAnsi="Times New Roman"/>
                <w:kern w:val="2"/>
              </w:rPr>
            </w:pPr>
            <w:r>
              <w:rPr>
                <w:rFonts w:ascii="Times New Roman" w:hAnsi="Times New Roman"/>
                <w:kern w:val="2"/>
              </w:rPr>
              <w:t>新增</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0" w:hRule="atLeast"/>
          <w:jc w:val="center"/>
        </w:trPr>
        <w:tc>
          <w:tcPr>
            <w:tcW w:w="696" w:type="pct"/>
            <w:vMerge w:val="continue"/>
            <w:vAlign w:val="center"/>
          </w:tcPr>
          <w:p>
            <w:pPr>
              <w:adjustRightInd w:val="0"/>
              <w:snapToGrid w:val="0"/>
              <w:rPr>
                <w:rFonts w:ascii="Times New Roman" w:hAnsi="Times New Roman"/>
                <w:kern w:val="2"/>
              </w:rPr>
            </w:pPr>
          </w:p>
        </w:tc>
        <w:tc>
          <w:tcPr>
            <w:tcW w:w="1111" w:type="pct"/>
            <w:vMerge w:val="restart"/>
            <w:vAlign w:val="center"/>
          </w:tcPr>
          <w:p>
            <w:pPr>
              <w:adjustRightInd w:val="0"/>
              <w:snapToGrid w:val="0"/>
              <w:rPr>
                <w:rFonts w:ascii="Times New Roman" w:hAnsi="Times New Roman"/>
                <w:kern w:val="2"/>
              </w:rPr>
            </w:pPr>
            <w:r>
              <w:rPr>
                <w:rFonts w:ascii="Times New Roman" w:hAnsi="Times New Roman"/>
                <w:kern w:val="2"/>
              </w:rPr>
              <w:t>固体废物处理</w:t>
            </w:r>
          </w:p>
          <w:p>
            <w:pPr>
              <w:adjustRightInd w:val="0"/>
              <w:snapToGrid w:val="0"/>
              <w:rPr>
                <w:rFonts w:ascii="Times New Roman" w:hAnsi="Times New Roman"/>
                <w:kern w:val="2"/>
              </w:rPr>
            </w:pPr>
            <w:r>
              <w:rPr>
                <w:rFonts w:ascii="Times New Roman" w:hAnsi="Times New Roman"/>
                <w:kern w:val="2"/>
              </w:rPr>
              <w:t>工程</w:t>
            </w:r>
          </w:p>
        </w:tc>
        <w:tc>
          <w:tcPr>
            <w:tcW w:w="2310" w:type="pct"/>
            <w:vAlign w:val="center"/>
          </w:tcPr>
          <w:p>
            <w:pPr>
              <w:adjustRightInd w:val="0"/>
              <w:snapToGrid w:val="0"/>
              <w:rPr>
                <w:rFonts w:ascii="Times New Roman" w:hAnsi="Times New Roman"/>
                <w:kern w:val="2"/>
              </w:rPr>
            </w:pPr>
            <w:r>
              <w:rPr>
                <w:rFonts w:ascii="Times New Roman" w:hAnsi="Times New Roman"/>
                <w:kern w:val="2"/>
              </w:rPr>
              <w:t>职工生活垃圾集中收集，交由环卫部门处置</w:t>
            </w:r>
          </w:p>
        </w:tc>
        <w:tc>
          <w:tcPr>
            <w:tcW w:w="883" w:type="pct"/>
            <w:vAlign w:val="center"/>
          </w:tcPr>
          <w:p>
            <w:pPr>
              <w:adjustRightInd w:val="0"/>
              <w:snapToGrid w:val="0"/>
              <w:jc w:val="center"/>
              <w:rPr>
                <w:rFonts w:ascii="Times New Roman" w:hAnsi="Times New Roman"/>
                <w:kern w:val="2"/>
              </w:rPr>
            </w:pPr>
            <w:r>
              <w:rPr>
                <w:rFonts w:ascii="Times New Roman" w:hAnsi="Times New Roman"/>
                <w:kern w:val="2"/>
              </w:rPr>
              <w:t>依托</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0" w:hRule="atLeast"/>
          <w:jc w:val="center"/>
        </w:trPr>
        <w:tc>
          <w:tcPr>
            <w:tcW w:w="696" w:type="pct"/>
            <w:vMerge w:val="continue"/>
            <w:vAlign w:val="center"/>
          </w:tcPr>
          <w:p>
            <w:pPr>
              <w:adjustRightInd w:val="0"/>
              <w:snapToGrid w:val="0"/>
              <w:rPr>
                <w:rFonts w:ascii="Times New Roman" w:hAnsi="Times New Roman"/>
                <w:kern w:val="2"/>
              </w:rPr>
            </w:pPr>
          </w:p>
        </w:tc>
        <w:tc>
          <w:tcPr>
            <w:tcW w:w="1111" w:type="pct"/>
            <w:vMerge w:val="continue"/>
            <w:vAlign w:val="center"/>
          </w:tcPr>
          <w:p>
            <w:pPr>
              <w:adjustRightInd w:val="0"/>
              <w:snapToGrid w:val="0"/>
              <w:rPr>
                <w:rFonts w:ascii="Times New Roman" w:hAnsi="Times New Roman"/>
                <w:kern w:val="2"/>
              </w:rPr>
            </w:pPr>
          </w:p>
        </w:tc>
        <w:tc>
          <w:tcPr>
            <w:tcW w:w="2310" w:type="pct"/>
            <w:vAlign w:val="center"/>
          </w:tcPr>
          <w:p>
            <w:pPr>
              <w:adjustRightInd w:val="0"/>
              <w:snapToGrid w:val="0"/>
              <w:rPr>
                <w:rFonts w:ascii="Times New Roman" w:hAnsi="Times New Roman"/>
                <w:kern w:val="2"/>
              </w:rPr>
            </w:pPr>
            <w:r>
              <w:rPr>
                <w:rFonts w:ascii="Times New Roman" w:hAnsi="Times New Roman"/>
                <w:kern w:val="2"/>
              </w:rPr>
              <w:t>现有工程处理后的医疗废物处理后的医疗废物经分袋包装后运送至厂址东侧双鸭山市生活垃圾填埋场处理</w:t>
            </w:r>
          </w:p>
        </w:tc>
        <w:tc>
          <w:tcPr>
            <w:tcW w:w="883" w:type="pct"/>
            <w:vAlign w:val="center"/>
          </w:tcPr>
          <w:p>
            <w:pPr>
              <w:adjustRightInd w:val="0"/>
              <w:snapToGrid w:val="0"/>
              <w:jc w:val="center"/>
              <w:rPr>
                <w:rFonts w:ascii="Times New Roman" w:hAnsi="Times New Roman"/>
                <w:kern w:val="2"/>
              </w:rPr>
            </w:pPr>
            <w:r>
              <w:rPr>
                <w:rFonts w:ascii="Times New Roman" w:hAnsi="Times New Roman"/>
                <w:kern w:val="2"/>
              </w:rPr>
              <w:t>依托</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0" w:hRule="atLeast"/>
          <w:jc w:val="center"/>
        </w:trPr>
        <w:tc>
          <w:tcPr>
            <w:tcW w:w="696" w:type="pct"/>
            <w:vMerge w:val="continue"/>
            <w:vAlign w:val="center"/>
          </w:tcPr>
          <w:p>
            <w:pPr>
              <w:adjustRightInd w:val="0"/>
              <w:snapToGrid w:val="0"/>
              <w:rPr>
                <w:rFonts w:ascii="Times New Roman" w:hAnsi="Times New Roman"/>
                <w:kern w:val="2"/>
              </w:rPr>
            </w:pPr>
          </w:p>
        </w:tc>
        <w:tc>
          <w:tcPr>
            <w:tcW w:w="1111" w:type="pct"/>
            <w:vMerge w:val="continue"/>
            <w:vAlign w:val="center"/>
          </w:tcPr>
          <w:p>
            <w:pPr>
              <w:adjustRightInd w:val="0"/>
              <w:snapToGrid w:val="0"/>
              <w:rPr>
                <w:rFonts w:ascii="Times New Roman" w:hAnsi="Times New Roman"/>
                <w:kern w:val="2"/>
              </w:rPr>
            </w:pPr>
          </w:p>
        </w:tc>
        <w:tc>
          <w:tcPr>
            <w:tcW w:w="2310" w:type="pct"/>
            <w:vAlign w:val="center"/>
          </w:tcPr>
          <w:p>
            <w:pPr>
              <w:adjustRightInd w:val="0"/>
              <w:snapToGrid w:val="0"/>
              <w:rPr>
                <w:rFonts w:ascii="Times New Roman" w:hAnsi="Times New Roman"/>
                <w:kern w:val="2"/>
              </w:rPr>
            </w:pPr>
            <w:r>
              <w:rPr>
                <w:rFonts w:ascii="Times New Roman" w:hAnsi="Times New Roman"/>
                <w:kern w:val="2"/>
              </w:rPr>
              <w:t>项目废活性炭、废导热油和污水处理间污泥</w:t>
            </w:r>
            <w:r>
              <w:rPr>
                <w:rFonts w:hint="eastAsia" w:ascii="Times New Roman" w:hAnsi="Times New Roman"/>
                <w:kern w:val="2"/>
              </w:rPr>
              <w:t>、栅渣</w:t>
            </w:r>
          </w:p>
          <w:p>
            <w:pPr>
              <w:adjustRightInd w:val="0"/>
              <w:snapToGrid w:val="0"/>
              <w:rPr>
                <w:rFonts w:ascii="Times New Roman" w:hAnsi="Times New Roman"/>
                <w:kern w:val="2"/>
              </w:rPr>
            </w:pPr>
            <w:r>
              <w:rPr>
                <w:rFonts w:ascii="Times New Roman" w:hAnsi="Times New Roman"/>
                <w:kern w:val="2"/>
              </w:rPr>
              <w:t>暂存于危险废物暂存间（占地面积10m</w:t>
            </w:r>
            <w:r>
              <w:rPr>
                <w:rFonts w:ascii="Times New Roman" w:hAnsi="Times New Roman"/>
                <w:kern w:val="2"/>
                <w:vertAlign w:val="superscript"/>
              </w:rPr>
              <w:t>2</w:t>
            </w:r>
            <w:r>
              <w:rPr>
                <w:rFonts w:ascii="Times New Roman" w:hAnsi="Times New Roman"/>
                <w:kern w:val="2"/>
              </w:rPr>
              <w:t>），污泥运送至黑龙江京盛华环保科技有限公司处置、废导热油和废活性炭更换后直接交由黑龙江京盛华环保科技有限公司处置</w:t>
            </w:r>
          </w:p>
        </w:tc>
        <w:tc>
          <w:tcPr>
            <w:tcW w:w="883" w:type="pct"/>
            <w:vAlign w:val="center"/>
          </w:tcPr>
          <w:p>
            <w:pPr>
              <w:adjustRightInd w:val="0"/>
              <w:snapToGrid w:val="0"/>
              <w:jc w:val="center"/>
              <w:rPr>
                <w:rFonts w:ascii="Times New Roman" w:hAnsi="Times New Roman"/>
                <w:kern w:val="2"/>
              </w:rPr>
            </w:pPr>
            <w:r>
              <w:rPr>
                <w:rFonts w:ascii="Times New Roman" w:hAnsi="Times New Roman"/>
                <w:kern w:val="2"/>
              </w:rPr>
              <w:t>依托</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0" w:hRule="atLeast"/>
          <w:jc w:val="center"/>
        </w:trPr>
        <w:tc>
          <w:tcPr>
            <w:tcW w:w="696" w:type="pct"/>
            <w:vMerge w:val="continue"/>
            <w:vAlign w:val="center"/>
          </w:tcPr>
          <w:p>
            <w:pPr>
              <w:adjustRightInd w:val="0"/>
              <w:snapToGrid w:val="0"/>
              <w:rPr>
                <w:rFonts w:ascii="Times New Roman" w:hAnsi="Times New Roman"/>
                <w:kern w:val="2"/>
              </w:rPr>
            </w:pPr>
          </w:p>
        </w:tc>
        <w:tc>
          <w:tcPr>
            <w:tcW w:w="1111" w:type="pct"/>
            <w:vAlign w:val="center"/>
          </w:tcPr>
          <w:p>
            <w:pPr>
              <w:adjustRightInd w:val="0"/>
              <w:snapToGrid w:val="0"/>
              <w:rPr>
                <w:rFonts w:ascii="Times New Roman" w:hAnsi="Times New Roman"/>
                <w:kern w:val="2"/>
              </w:rPr>
            </w:pPr>
            <w:r>
              <w:rPr>
                <w:rFonts w:ascii="Times New Roman" w:hAnsi="Times New Roman"/>
                <w:kern w:val="2"/>
              </w:rPr>
              <w:t>地下水</w:t>
            </w:r>
          </w:p>
          <w:p>
            <w:pPr>
              <w:adjustRightInd w:val="0"/>
              <w:snapToGrid w:val="0"/>
              <w:rPr>
                <w:rFonts w:ascii="Times New Roman" w:hAnsi="Times New Roman"/>
                <w:kern w:val="2"/>
              </w:rPr>
            </w:pPr>
            <w:r>
              <w:rPr>
                <w:rFonts w:ascii="Times New Roman" w:hAnsi="Times New Roman"/>
                <w:kern w:val="2"/>
              </w:rPr>
              <w:t>防治工程</w:t>
            </w:r>
          </w:p>
        </w:tc>
        <w:tc>
          <w:tcPr>
            <w:tcW w:w="2310" w:type="pct"/>
            <w:vAlign w:val="center"/>
          </w:tcPr>
          <w:p>
            <w:pPr>
              <w:adjustRightInd w:val="0"/>
              <w:snapToGrid w:val="0"/>
              <w:rPr>
                <w:rFonts w:ascii="Times New Roman" w:hAnsi="Times New Roman"/>
                <w:kern w:val="2"/>
              </w:rPr>
            </w:pPr>
            <w:r>
              <w:rPr>
                <w:rFonts w:ascii="Times New Roman" w:hAnsi="Times New Roman"/>
                <w:kern w:val="2"/>
              </w:rPr>
              <w:t>医疗废物暂存室</w:t>
            </w:r>
            <w:r>
              <w:rPr>
                <w:rFonts w:ascii="Times New Roman" w:hAnsi="Times New Roman"/>
              </w:rPr>
              <w:t>（冷库）、蒸汽灭菌车间、污水处理间、危险废物、事故应急池和初期雨水池</w:t>
            </w:r>
            <w:r>
              <w:rPr>
                <w:rFonts w:ascii="Times New Roman" w:hAnsi="Times New Roman"/>
                <w:kern w:val="2"/>
              </w:rPr>
              <w:t>作为重点防渗区；</w:t>
            </w:r>
            <w:r>
              <w:rPr>
                <w:rFonts w:ascii="Times New Roman" w:hAnsi="Times New Roman"/>
              </w:rPr>
              <w:t>厂区其余建筑物为一般污染防渗区；厂区地面进行硬化。重点污染防渗区参照《危险废物贮存污染控制标准》（GB18597-2001）及其修改单的相关要求，基础做防渗，采用2mm厚的高密度聚乙烯或其它人工材料，防渗系数≤10</w:t>
            </w:r>
            <w:r>
              <w:rPr>
                <w:rFonts w:ascii="Times New Roman" w:hAnsi="Times New Roman"/>
                <w:vertAlign w:val="superscript"/>
              </w:rPr>
              <w:t>-10</w:t>
            </w:r>
            <w:r>
              <w:rPr>
                <w:rFonts w:ascii="Times New Roman" w:hAnsi="Times New Roman"/>
              </w:rPr>
              <w:t>cm/s；一般污染防治区参照《危险废物贮存污染控制标准》（GB18597-2001）及其修改单的相关要求，基础做防渗，采用2mm厚的高密度聚乙烯或其它人工材料，防渗系数≤10</w:t>
            </w:r>
            <w:r>
              <w:rPr>
                <w:rFonts w:ascii="Times New Roman" w:hAnsi="Times New Roman"/>
                <w:vertAlign w:val="superscript"/>
              </w:rPr>
              <w:t>-7</w:t>
            </w:r>
            <w:r>
              <w:rPr>
                <w:rFonts w:ascii="Times New Roman" w:hAnsi="Times New Roman"/>
              </w:rPr>
              <w:t>cm/s。建立地下水监测系统，布设3口跟踪监测井，定期进行地下水跟踪监测</w:t>
            </w:r>
          </w:p>
        </w:tc>
        <w:tc>
          <w:tcPr>
            <w:tcW w:w="883" w:type="pct"/>
            <w:vAlign w:val="center"/>
          </w:tcPr>
          <w:p>
            <w:pPr>
              <w:adjustRightInd w:val="0"/>
              <w:snapToGrid w:val="0"/>
              <w:rPr>
                <w:rFonts w:ascii="Times New Roman" w:hAnsi="Times New Roman"/>
                <w:kern w:val="2"/>
              </w:rPr>
            </w:pPr>
            <w:r>
              <w:rPr>
                <w:rFonts w:ascii="Times New Roman" w:hAnsi="Times New Roman"/>
                <w:kern w:val="2"/>
              </w:rPr>
              <w:t>将</w:t>
            </w:r>
            <w:r>
              <w:rPr>
                <w:rFonts w:ascii="Times New Roman" w:hAnsi="Times New Roman"/>
              </w:rPr>
              <w:t>蒸汽灭菌车间、污水处理间、危险废物、事故应急池和初期雨水池</w:t>
            </w:r>
            <w:r>
              <w:rPr>
                <w:rFonts w:ascii="Times New Roman" w:hAnsi="Times New Roman"/>
                <w:kern w:val="2"/>
              </w:rPr>
              <w:t>作为重点防渗区。</w:t>
            </w:r>
            <w:r>
              <w:rPr>
                <w:rFonts w:ascii="Times New Roman" w:hAnsi="Times New Roman"/>
              </w:rPr>
              <w:t>建立地下水监测系统，布设3口跟踪监测井，定期进行地下水跟踪监测</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0" w:hRule="atLeast"/>
          <w:jc w:val="center"/>
        </w:trPr>
        <w:tc>
          <w:tcPr>
            <w:tcW w:w="696" w:type="pct"/>
            <w:vMerge w:val="continue"/>
            <w:vAlign w:val="center"/>
          </w:tcPr>
          <w:p>
            <w:pPr>
              <w:adjustRightInd w:val="0"/>
              <w:snapToGrid w:val="0"/>
              <w:rPr>
                <w:rFonts w:ascii="Times New Roman" w:hAnsi="Times New Roman"/>
                <w:kern w:val="2"/>
              </w:rPr>
            </w:pPr>
          </w:p>
        </w:tc>
        <w:tc>
          <w:tcPr>
            <w:tcW w:w="1111" w:type="pct"/>
            <w:vAlign w:val="center"/>
          </w:tcPr>
          <w:p>
            <w:pPr>
              <w:adjustRightInd w:val="0"/>
              <w:snapToGrid w:val="0"/>
              <w:rPr>
                <w:rFonts w:ascii="Times New Roman" w:hAnsi="Times New Roman"/>
                <w:kern w:val="2"/>
              </w:rPr>
            </w:pPr>
            <w:r>
              <w:rPr>
                <w:rFonts w:ascii="Times New Roman" w:hAnsi="Times New Roman"/>
                <w:kern w:val="2"/>
              </w:rPr>
              <w:t>土壤污染</w:t>
            </w:r>
          </w:p>
          <w:p>
            <w:pPr>
              <w:adjustRightInd w:val="0"/>
              <w:snapToGrid w:val="0"/>
              <w:rPr>
                <w:rFonts w:ascii="Times New Roman" w:hAnsi="Times New Roman"/>
                <w:kern w:val="2"/>
              </w:rPr>
            </w:pPr>
            <w:r>
              <w:rPr>
                <w:rFonts w:ascii="Times New Roman" w:hAnsi="Times New Roman"/>
                <w:kern w:val="2"/>
              </w:rPr>
              <w:t>防治</w:t>
            </w:r>
          </w:p>
        </w:tc>
        <w:tc>
          <w:tcPr>
            <w:tcW w:w="2310" w:type="pct"/>
            <w:vAlign w:val="center"/>
          </w:tcPr>
          <w:p>
            <w:pPr>
              <w:adjustRightInd w:val="0"/>
              <w:snapToGrid w:val="0"/>
              <w:rPr>
                <w:rFonts w:ascii="Times New Roman" w:hAnsi="Times New Roman"/>
                <w:kern w:val="2"/>
              </w:rPr>
            </w:pPr>
            <w:r>
              <w:rPr>
                <w:rFonts w:ascii="Times New Roman" w:hAnsi="Times New Roman"/>
                <w:spacing w:val="-4"/>
              </w:rPr>
              <w:t>土壤污染防治措施以预防为主，加强管理，定期巡检，杜绝跑、冒、滴、漏现象。对生产装置经常存在物料泄漏的地方，进行定期巡检，筛查出发生泄漏的位置，确认泄漏的设备，安排人员进行维修更换，通过修理降低跑、冒、滴、漏</w:t>
            </w:r>
          </w:p>
        </w:tc>
        <w:tc>
          <w:tcPr>
            <w:tcW w:w="883" w:type="pct"/>
            <w:vAlign w:val="center"/>
          </w:tcPr>
          <w:p>
            <w:pPr>
              <w:adjustRightInd w:val="0"/>
              <w:snapToGrid w:val="0"/>
              <w:rPr>
                <w:rFonts w:ascii="Times New Roman" w:hAnsi="Times New Roman"/>
                <w:kern w:val="2"/>
              </w:rPr>
            </w:pPr>
            <w:r>
              <w:rPr>
                <w:rFonts w:ascii="Times New Roman" w:hAnsi="Times New Roman"/>
                <w:kern w:val="2"/>
              </w:rPr>
              <w:t>/</w:t>
            </w:r>
          </w:p>
        </w:tc>
      </w:tr>
    </w:tbl>
    <w:p>
      <w:pPr>
        <w:pStyle w:val="21"/>
        <w:ind w:firstLine="0"/>
        <w:rPr>
          <w:rFonts w:ascii="Times New Roman" w:hAnsi="Times New Roman"/>
        </w:rPr>
      </w:pPr>
    </w:p>
    <w:p>
      <w:pPr>
        <w:pStyle w:val="21"/>
        <w:rPr>
          <w:rFonts w:ascii="Times New Roman" w:hAnsi="Times New Roman"/>
        </w:rPr>
        <w:sectPr>
          <w:pgSz w:w="16839" w:h="11907" w:orient="landscape"/>
          <w:pgMar w:top="1440" w:right="1797" w:bottom="1440" w:left="1797" w:header="851" w:footer="850" w:gutter="0"/>
          <w:cols w:space="720" w:num="1"/>
          <w:docGrid w:linePitch="312" w:charSpace="0"/>
        </w:sectPr>
      </w:pPr>
    </w:p>
    <w:p>
      <w:pPr>
        <w:pStyle w:val="4"/>
        <w:spacing w:before="120" w:beforeLines="50" w:after="120" w:afterLines="50" w:line="480" w:lineRule="exact"/>
        <w:rPr>
          <w:rFonts w:ascii="Times New Roman" w:hAnsi="Times New Roman" w:eastAsia="黑体"/>
          <w:bCs/>
          <w:sz w:val="28"/>
          <w:szCs w:val="28"/>
        </w:rPr>
      </w:pPr>
      <w:bookmarkStart w:id="518" w:name="_Toc26115"/>
      <w:bookmarkStart w:id="519" w:name="_Toc532556590"/>
      <w:bookmarkStart w:id="520" w:name="_Toc486970368"/>
      <w:bookmarkStart w:id="521" w:name="_Toc14397"/>
      <w:bookmarkStart w:id="522" w:name="_Toc26188007"/>
      <w:bookmarkStart w:id="523" w:name="_Toc27521"/>
      <w:bookmarkStart w:id="524" w:name="_Toc535168890"/>
      <w:bookmarkStart w:id="525" w:name="_Toc9843794"/>
      <w:bookmarkStart w:id="526" w:name="_Toc530655950"/>
      <w:bookmarkStart w:id="527" w:name="_Toc527205717"/>
      <w:bookmarkStart w:id="528" w:name="_Toc535348444"/>
      <w:bookmarkStart w:id="529" w:name="_Toc1363"/>
      <w:bookmarkStart w:id="530" w:name="_Toc497228815"/>
      <w:bookmarkStart w:id="531" w:name="_Toc21795"/>
      <w:bookmarkStart w:id="532" w:name="_Toc27134283"/>
      <w:bookmarkStart w:id="533" w:name="_Toc487111486"/>
      <w:bookmarkStart w:id="534" w:name="_Toc534537605"/>
      <w:bookmarkStart w:id="535" w:name="_Toc482020604"/>
      <w:bookmarkStart w:id="536" w:name="_Toc497228813"/>
      <w:bookmarkStart w:id="537" w:name="_Toc458063849"/>
      <w:bookmarkStart w:id="538" w:name="_Toc466271372"/>
      <w:bookmarkStart w:id="539" w:name="_Toc480983822"/>
      <w:bookmarkStart w:id="540" w:name="_Toc480190441"/>
      <w:bookmarkStart w:id="541" w:name="_Toc453708949"/>
      <w:bookmarkStart w:id="542" w:name="_Toc464036674"/>
      <w:bookmarkStart w:id="543" w:name="_Toc486970364"/>
      <w:bookmarkStart w:id="544" w:name="_Toc487111485"/>
      <w:r>
        <w:rPr>
          <w:rFonts w:ascii="Times New Roman" w:hAnsi="Times New Roman" w:eastAsia="黑体"/>
          <w:bCs/>
          <w:sz w:val="28"/>
          <w:szCs w:val="28"/>
        </w:rPr>
        <w:t>主要设备</w:t>
      </w:r>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p>
    <w:p>
      <w:pPr>
        <w:spacing w:line="480" w:lineRule="exact"/>
        <w:ind w:firstLine="480" w:firstLineChars="200"/>
        <w:rPr>
          <w:rFonts w:ascii="Times New Roman" w:hAnsi="Times New Roman"/>
          <w:sz w:val="24"/>
          <w:szCs w:val="24"/>
        </w:rPr>
      </w:pPr>
      <w:r>
        <w:rPr>
          <w:rFonts w:ascii="Times New Roman" w:hAnsi="Times New Roman"/>
          <w:sz w:val="24"/>
          <w:szCs w:val="24"/>
        </w:rPr>
        <w:t>本项目</w:t>
      </w:r>
      <w:bookmarkStart w:id="545" w:name="_Toc26188008"/>
      <w:bookmarkStart w:id="546" w:name="_Toc11972"/>
      <w:bookmarkStart w:id="547" w:name="_Toc6244"/>
      <w:bookmarkStart w:id="548" w:name="_Toc13806"/>
      <w:bookmarkStart w:id="549" w:name="_Toc27134284"/>
      <w:bookmarkStart w:id="550" w:name="_Toc327"/>
      <w:bookmarkStart w:id="551" w:name="_Toc9843795"/>
      <w:r>
        <w:rPr>
          <w:rFonts w:ascii="Times New Roman" w:hAnsi="Times New Roman"/>
          <w:sz w:val="24"/>
          <w:szCs w:val="24"/>
        </w:rPr>
        <w:t>改扩建主要设备情况见表3.2-3。</w:t>
      </w:r>
    </w:p>
    <w:p>
      <w:pPr>
        <w:spacing w:line="480" w:lineRule="exact"/>
        <w:jc w:val="center"/>
        <w:rPr>
          <w:rFonts w:ascii="Times New Roman" w:hAnsi="Times New Roman"/>
          <w:b/>
        </w:rPr>
      </w:pPr>
      <w:r>
        <w:rPr>
          <w:rFonts w:ascii="Times New Roman" w:hAnsi="Times New Roman"/>
          <w:b/>
        </w:rPr>
        <w:t>表3.2-3 改扩建后全厂主要设备一览表</w:t>
      </w:r>
    </w:p>
    <w:tbl>
      <w:tblPr>
        <w:tblStyle w:val="77"/>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34"/>
        <w:gridCol w:w="1843"/>
        <w:gridCol w:w="1561"/>
        <w:gridCol w:w="1274"/>
        <w:gridCol w:w="1769"/>
        <w:gridCol w:w="154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13" w:type="pct"/>
            <w:tcBorders>
              <w:top w:val="single" w:color="auto" w:sz="12" w:space="0"/>
            </w:tcBorders>
            <w:vAlign w:val="center"/>
          </w:tcPr>
          <w:p>
            <w:pPr>
              <w:widowControl/>
              <w:spacing w:line="280" w:lineRule="exact"/>
              <w:jc w:val="center"/>
              <w:rPr>
                <w:rFonts w:ascii="Times New Roman" w:hAnsi="Times New Roman"/>
                <w:b/>
                <w:bCs/>
              </w:rPr>
            </w:pPr>
            <w:r>
              <w:rPr>
                <w:rFonts w:ascii="Times New Roman" w:hAnsi="Times New Roman"/>
                <w:b/>
                <w:bCs/>
              </w:rPr>
              <w:t>序号</w:t>
            </w:r>
          </w:p>
        </w:tc>
        <w:tc>
          <w:tcPr>
            <w:tcW w:w="1080" w:type="pct"/>
            <w:tcBorders>
              <w:top w:val="single" w:color="auto" w:sz="12" w:space="0"/>
            </w:tcBorders>
            <w:noWrap/>
            <w:vAlign w:val="center"/>
          </w:tcPr>
          <w:p>
            <w:pPr>
              <w:widowControl/>
              <w:spacing w:line="280" w:lineRule="exact"/>
              <w:jc w:val="center"/>
              <w:rPr>
                <w:rFonts w:ascii="Times New Roman" w:hAnsi="Times New Roman"/>
              </w:rPr>
            </w:pPr>
            <w:r>
              <w:rPr>
                <w:rFonts w:ascii="Times New Roman" w:hAnsi="Times New Roman"/>
                <w:b/>
                <w:bCs/>
              </w:rPr>
              <w:t>设备名称</w:t>
            </w:r>
          </w:p>
        </w:tc>
        <w:tc>
          <w:tcPr>
            <w:tcW w:w="915" w:type="pct"/>
            <w:tcBorders>
              <w:top w:val="single" w:color="auto" w:sz="12" w:space="0"/>
            </w:tcBorders>
            <w:noWrap/>
            <w:vAlign w:val="center"/>
          </w:tcPr>
          <w:p>
            <w:pPr>
              <w:widowControl/>
              <w:spacing w:line="280" w:lineRule="exact"/>
              <w:jc w:val="center"/>
              <w:rPr>
                <w:rFonts w:ascii="Times New Roman" w:hAnsi="Times New Roman"/>
                <w:b/>
                <w:bCs/>
              </w:rPr>
            </w:pPr>
            <w:r>
              <w:rPr>
                <w:rFonts w:ascii="Times New Roman" w:hAnsi="Times New Roman"/>
                <w:b/>
                <w:bCs/>
              </w:rPr>
              <w:t>备用（台套）</w:t>
            </w:r>
          </w:p>
        </w:tc>
        <w:tc>
          <w:tcPr>
            <w:tcW w:w="747" w:type="pct"/>
            <w:tcBorders>
              <w:top w:val="single" w:color="auto" w:sz="12" w:space="0"/>
            </w:tcBorders>
            <w:vAlign w:val="center"/>
          </w:tcPr>
          <w:p>
            <w:pPr>
              <w:widowControl/>
              <w:spacing w:line="280" w:lineRule="exact"/>
              <w:jc w:val="center"/>
              <w:rPr>
                <w:rFonts w:ascii="Times New Roman" w:hAnsi="Times New Roman"/>
                <w:b/>
                <w:bCs/>
              </w:rPr>
            </w:pPr>
            <w:r>
              <w:rPr>
                <w:rFonts w:ascii="Times New Roman" w:hAnsi="Times New Roman"/>
                <w:b/>
                <w:bCs/>
              </w:rPr>
              <w:t>常用（台套）</w:t>
            </w:r>
          </w:p>
        </w:tc>
        <w:tc>
          <w:tcPr>
            <w:tcW w:w="1037" w:type="pct"/>
            <w:tcBorders>
              <w:top w:val="single" w:color="auto" w:sz="12" w:space="0"/>
            </w:tcBorders>
            <w:vAlign w:val="center"/>
          </w:tcPr>
          <w:p>
            <w:pPr>
              <w:widowControl/>
              <w:spacing w:line="280" w:lineRule="exact"/>
              <w:jc w:val="center"/>
              <w:rPr>
                <w:rFonts w:ascii="Times New Roman" w:hAnsi="Times New Roman"/>
                <w:b/>
                <w:bCs/>
              </w:rPr>
            </w:pPr>
            <w:r>
              <w:rPr>
                <w:rFonts w:hint="eastAsia" w:ascii="Times New Roman" w:hAnsi="Times New Roman"/>
                <w:b/>
                <w:bCs/>
              </w:rPr>
              <w:t>运行参数</w:t>
            </w:r>
          </w:p>
        </w:tc>
        <w:tc>
          <w:tcPr>
            <w:tcW w:w="908" w:type="pct"/>
            <w:tcBorders>
              <w:top w:val="single" w:color="auto" w:sz="12" w:space="0"/>
            </w:tcBorders>
            <w:vAlign w:val="center"/>
          </w:tcPr>
          <w:p>
            <w:pPr>
              <w:widowControl/>
              <w:spacing w:line="280" w:lineRule="exact"/>
              <w:jc w:val="center"/>
              <w:rPr>
                <w:rFonts w:ascii="Times New Roman" w:hAnsi="Times New Roman"/>
                <w:b/>
                <w:bCs/>
              </w:rPr>
            </w:pPr>
            <w:r>
              <w:rPr>
                <w:rFonts w:hint="eastAsia" w:ascii="Times New Roman" w:hAnsi="Times New Roman"/>
                <w:b/>
                <w:bCs/>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13" w:type="pct"/>
            <w:tcBorders>
              <w:bottom w:val="single" w:color="auto" w:sz="4" w:space="0"/>
            </w:tcBorders>
            <w:vAlign w:val="center"/>
          </w:tcPr>
          <w:p>
            <w:pPr>
              <w:widowControl/>
              <w:spacing w:line="280" w:lineRule="exact"/>
              <w:jc w:val="center"/>
              <w:rPr>
                <w:rFonts w:ascii="Times New Roman" w:hAnsi="Times New Roman"/>
              </w:rPr>
            </w:pPr>
            <w:r>
              <w:rPr>
                <w:rFonts w:hint="eastAsia" w:ascii="Times New Roman" w:hAnsi="Times New Roman"/>
              </w:rPr>
              <w:t>1</w:t>
            </w:r>
          </w:p>
        </w:tc>
        <w:tc>
          <w:tcPr>
            <w:tcW w:w="1080" w:type="pct"/>
            <w:tcBorders>
              <w:bottom w:val="single" w:color="auto" w:sz="4" w:space="0"/>
            </w:tcBorders>
            <w:noWrap/>
            <w:vAlign w:val="center"/>
          </w:tcPr>
          <w:p>
            <w:pPr>
              <w:widowControl/>
              <w:spacing w:line="280" w:lineRule="exact"/>
              <w:jc w:val="center"/>
              <w:rPr>
                <w:rFonts w:ascii="Times New Roman" w:hAnsi="Times New Roman"/>
              </w:rPr>
            </w:pPr>
            <w:r>
              <w:rPr>
                <w:rFonts w:ascii="Times New Roman" w:hAnsi="Times New Roman"/>
              </w:rPr>
              <w:t>医疗废物干热处理系统</w:t>
            </w:r>
          </w:p>
        </w:tc>
        <w:tc>
          <w:tcPr>
            <w:tcW w:w="915" w:type="pct"/>
            <w:tcBorders>
              <w:bottom w:val="single" w:color="auto" w:sz="4" w:space="0"/>
            </w:tcBorders>
            <w:noWrap/>
            <w:vAlign w:val="center"/>
          </w:tcPr>
          <w:p>
            <w:pPr>
              <w:widowControl/>
              <w:spacing w:line="280" w:lineRule="exact"/>
              <w:jc w:val="center"/>
              <w:rPr>
                <w:rFonts w:ascii="Times New Roman" w:hAnsi="Times New Roman"/>
              </w:rPr>
            </w:pPr>
            <w:r>
              <w:rPr>
                <w:rFonts w:ascii="Times New Roman" w:hAnsi="Times New Roman"/>
              </w:rPr>
              <w:t>1</w:t>
            </w:r>
          </w:p>
        </w:tc>
        <w:tc>
          <w:tcPr>
            <w:tcW w:w="747" w:type="pct"/>
            <w:tcBorders>
              <w:bottom w:val="single" w:color="auto" w:sz="4" w:space="0"/>
            </w:tcBorders>
            <w:vAlign w:val="center"/>
          </w:tcPr>
          <w:p>
            <w:pPr>
              <w:widowControl/>
              <w:spacing w:line="280" w:lineRule="exact"/>
              <w:jc w:val="center"/>
              <w:rPr>
                <w:rFonts w:ascii="Times New Roman" w:hAnsi="Times New Roman"/>
              </w:rPr>
            </w:pPr>
            <w:r>
              <w:rPr>
                <w:rFonts w:ascii="Times New Roman" w:hAnsi="Times New Roman"/>
              </w:rPr>
              <w:t>Simplex500型高温干热医疗废物处置设备</w:t>
            </w:r>
          </w:p>
        </w:tc>
        <w:tc>
          <w:tcPr>
            <w:tcW w:w="1037" w:type="pct"/>
            <w:tcBorders>
              <w:bottom w:val="single" w:color="auto" w:sz="4" w:space="0"/>
            </w:tcBorders>
            <w:vAlign w:val="center"/>
          </w:tcPr>
          <w:p>
            <w:pPr>
              <w:widowControl/>
              <w:spacing w:line="280" w:lineRule="exact"/>
              <w:jc w:val="center"/>
              <w:rPr>
                <w:rFonts w:ascii="Times New Roman" w:hAnsi="Times New Roman"/>
              </w:rPr>
            </w:pPr>
            <w:r>
              <w:rPr>
                <w:rFonts w:ascii="Times New Roman" w:hAnsi="Times New Roman"/>
              </w:rPr>
              <w:t>医疗废物干热处理系统</w:t>
            </w:r>
          </w:p>
        </w:tc>
        <w:tc>
          <w:tcPr>
            <w:tcW w:w="908" w:type="pct"/>
            <w:tcBorders>
              <w:bottom w:val="single" w:color="auto" w:sz="4" w:space="0"/>
            </w:tcBorders>
            <w:vAlign w:val="center"/>
          </w:tcPr>
          <w:p>
            <w:pPr>
              <w:widowControl/>
              <w:spacing w:line="280" w:lineRule="exact"/>
              <w:jc w:val="center"/>
              <w:rPr>
                <w:rFonts w:ascii="Times New Roman" w:hAnsi="Times New Roman"/>
              </w:rPr>
            </w:pPr>
            <w:r>
              <w:rPr>
                <w:rFonts w:hint="eastAsia" w:ascii="Times New Roman" w:hAnsi="Times New Roman"/>
              </w:rPr>
              <w:t>新建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13" w:type="pct"/>
            <w:vAlign w:val="center"/>
          </w:tcPr>
          <w:p>
            <w:pPr>
              <w:widowControl/>
              <w:spacing w:line="280" w:lineRule="exact"/>
              <w:jc w:val="center"/>
              <w:rPr>
                <w:rFonts w:ascii="Times New Roman" w:hAnsi="Times New Roman"/>
              </w:rPr>
            </w:pPr>
            <w:r>
              <w:rPr>
                <w:rFonts w:ascii="Times New Roman" w:hAnsi="Times New Roman"/>
              </w:rPr>
              <w:t>2</w:t>
            </w:r>
          </w:p>
        </w:tc>
        <w:tc>
          <w:tcPr>
            <w:tcW w:w="1080" w:type="pct"/>
            <w:noWrap/>
            <w:vAlign w:val="center"/>
          </w:tcPr>
          <w:p>
            <w:pPr>
              <w:widowControl/>
              <w:spacing w:line="280" w:lineRule="exact"/>
              <w:jc w:val="center"/>
              <w:rPr>
                <w:rFonts w:ascii="Times New Roman" w:hAnsi="Times New Roman"/>
              </w:rPr>
            </w:pPr>
            <w:r>
              <w:rPr>
                <w:rFonts w:ascii="Times New Roman" w:hAnsi="Times New Roman"/>
              </w:rPr>
              <w:t>低温贮藏室负压风机</w:t>
            </w:r>
          </w:p>
        </w:tc>
        <w:tc>
          <w:tcPr>
            <w:tcW w:w="915" w:type="pct"/>
            <w:noWrap/>
            <w:vAlign w:val="center"/>
          </w:tcPr>
          <w:p>
            <w:pPr>
              <w:widowControl/>
              <w:spacing w:line="280" w:lineRule="exact"/>
              <w:jc w:val="center"/>
              <w:rPr>
                <w:rFonts w:ascii="Times New Roman" w:hAnsi="Times New Roman"/>
              </w:rPr>
            </w:pPr>
            <w:r>
              <w:rPr>
                <w:rFonts w:ascii="Times New Roman" w:hAnsi="Times New Roman"/>
              </w:rPr>
              <w:t>1</w:t>
            </w:r>
          </w:p>
        </w:tc>
        <w:tc>
          <w:tcPr>
            <w:tcW w:w="747" w:type="pct"/>
            <w:vAlign w:val="center"/>
          </w:tcPr>
          <w:p>
            <w:pPr>
              <w:widowControl/>
              <w:spacing w:line="280" w:lineRule="exact"/>
              <w:jc w:val="center"/>
              <w:rPr>
                <w:rFonts w:ascii="Times New Roman" w:hAnsi="Times New Roman"/>
              </w:rPr>
            </w:pPr>
            <w:r>
              <w:rPr>
                <w:rFonts w:ascii="Times New Roman" w:hAnsi="Times New Roman"/>
              </w:rPr>
              <w:t>1</w:t>
            </w:r>
          </w:p>
        </w:tc>
        <w:tc>
          <w:tcPr>
            <w:tcW w:w="1037" w:type="pct"/>
            <w:vAlign w:val="center"/>
          </w:tcPr>
          <w:p>
            <w:pPr>
              <w:widowControl/>
              <w:spacing w:line="280" w:lineRule="exact"/>
              <w:jc w:val="center"/>
              <w:rPr>
                <w:rFonts w:ascii="Times New Roman" w:hAnsi="Times New Roman"/>
              </w:rPr>
            </w:pPr>
            <w:r>
              <w:rPr>
                <w:rFonts w:ascii="Times New Roman" w:hAnsi="Times New Roman"/>
              </w:rPr>
              <w:t>连续</w:t>
            </w:r>
          </w:p>
        </w:tc>
        <w:tc>
          <w:tcPr>
            <w:tcW w:w="908" w:type="pct"/>
            <w:vAlign w:val="center"/>
          </w:tcPr>
          <w:p>
            <w:pPr>
              <w:widowControl/>
              <w:spacing w:line="280" w:lineRule="exact"/>
              <w:jc w:val="center"/>
              <w:rPr>
                <w:rFonts w:ascii="Times New Roman" w:hAnsi="Times New Roman"/>
              </w:rPr>
            </w:pPr>
            <w:r>
              <w:rPr>
                <w:rFonts w:hint="eastAsia" w:ascii="Times New Roman" w:hAnsi="Times New Roman"/>
              </w:rPr>
              <w:t>依托</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13" w:type="pct"/>
            <w:vAlign w:val="center"/>
          </w:tcPr>
          <w:p>
            <w:pPr>
              <w:widowControl/>
              <w:spacing w:line="280" w:lineRule="exact"/>
              <w:jc w:val="center"/>
              <w:rPr>
                <w:rFonts w:ascii="Times New Roman" w:hAnsi="Times New Roman"/>
              </w:rPr>
            </w:pPr>
            <w:r>
              <w:rPr>
                <w:rFonts w:ascii="Times New Roman" w:hAnsi="Times New Roman"/>
              </w:rPr>
              <w:t>3</w:t>
            </w:r>
          </w:p>
        </w:tc>
        <w:tc>
          <w:tcPr>
            <w:tcW w:w="1080" w:type="pct"/>
            <w:noWrap/>
            <w:vAlign w:val="center"/>
          </w:tcPr>
          <w:p>
            <w:pPr>
              <w:widowControl/>
              <w:spacing w:line="280" w:lineRule="exact"/>
              <w:jc w:val="center"/>
              <w:rPr>
                <w:rFonts w:ascii="Times New Roman" w:hAnsi="Times New Roman"/>
              </w:rPr>
            </w:pPr>
            <w:r>
              <w:rPr>
                <w:rFonts w:ascii="Times New Roman" w:hAnsi="Times New Roman"/>
              </w:rPr>
              <w:t>冷藏室压缩机</w:t>
            </w:r>
          </w:p>
        </w:tc>
        <w:tc>
          <w:tcPr>
            <w:tcW w:w="915" w:type="pct"/>
            <w:noWrap/>
            <w:vAlign w:val="center"/>
          </w:tcPr>
          <w:p>
            <w:pPr>
              <w:widowControl/>
              <w:spacing w:line="280" w:lineRule="exact"/>
              <w:jc w:val="center"/>
              <w:rPr>
                <w:rFonts w:ascii="Times New Roman" w:hAnsi="Times New Roman"/>
              </w:rPr>
            </w:pPr>
          </w:p>
        </w:tc>
        <w:tc>
          <w:tcPr>
            <w:tcW w:w="747" w:type="pct"/>
            <w:vAlign w:val="center"/>
          </w:tcPr>
          <w:p>
            <w:pPr>
              <w:widowControl/>
              <w:spacing w:line="280" w:lineRule="exact"/>
              <w:jc w:val="center"/>
              <w:rPr>
                <w:rFonts w:ascii="Times New Roman" w:hAnsi="Times New Roman"/>
              </w:rPr>
            </w:pPr>
            <w:r>
              <w:rPr>
                <w:rFonts w:ascii="Times New Roman" w:hAnsi="Times New Roman"/>
              </w:rPr>
              <w:t>2</w:t>
            </w:r>
          </w:p>
        </w:tc>
        <w:tc>
          <w:tcPr>
            <w:tcW w:w="1037" w:type="pct"/>
            <w:vAlign w:val="center"/>
          </w:tcPr>
          <w:p>
            <w:pPr>
              <w:widowControl/>
              <w:spacing w:line="280" w:lineRule="exact"/>
              <w:jc w:val="center"/>
              <w:rPr>
                <w:rFonts w:ascii="Times New Roman" w:hAnsi="Times New Roman"/>
              </w:rPr>
            </w:pPr>
          </w:p>
        </w:tc>
        <w:tc>
          <w:tcPr>
            <w:tcW w:w="908" w:type="pct"/>
          </w:tcPr>
          <w:p>
            <w:pPr>
              <w:widowControl/>
              <w:spacing w:line="280" w:lineRule="exact"/>
              <w:jc w:val="center"/>
              <w:rPr>
                <w:rFonts w:ascii="Times New Roman" w:hAnsi="Times New Roman"/>
              </w:rPr>
            </w:pPr>
            <w:r>
              <w:rPr>
                <w:rFonts w:hint="eastAsia" w:ascii="Times New Roman" w:hAnsi="Times New Roman"/>
              </w:rPr>
              <w:t>依托</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13" w:type="pct"/>
            <w:vAlign w:val="center"/>
          </w:tcPr>
          <w:p>
            <w:pPr>
              <w:widowControl/>
              <w:spacing w:line="280" w:lineRule="exact"/>
              <w:jc w:val="center"/>
              <w:rPr>
                <w:rFonts w:ascii="Times New Roman" w:hAnsi="Times New Roman"/>
              </w:rPr>
            </w:pPr>
            <w:r>
              <w:rPr>
                <w:rFonts w:ascii="Times New Roman" w:hAnsi="Times New Roman"/>
              </w:rPr>
              <w:t>4</w:t>
            </w:r>
          </w:p>
        </w:tc>
        <w:tc>
          <w:tcPr>
            <w:tcW w:w="1080" w:type="pct"/>
            <w:noWrap/>
            <w:vAlign w:val="center"/>
          </w:tcPr>
          <w:p>
            <w:pPr>
              <w:widowControl/>
              <w:spacing w:line="280" w:lineRule="exact"/>
              <w:jc w:val="center"/>
              <w:rPr>
                <w:rFonts w:ascii="Times New Roman" w:hAnsi="Times New Roman"/>
              </w:rPr>
            </w:pPr>
            <w:r>
              <w:rPr>
                <w:rFonts w:ascii="Times New Roman" w:hAnsi="Times New Roman"/>
              </w:rPr>
              <w:t>清洗消毒泵</w:t>
            </w:r>
          </w:p>
        </w:tc>
        <w:tc>
          <w:tcPr>
            <w:tcW w:w="915" w:type="pct"/>
            <w:noWrap/>
            <w:vAlign w:val="center"/>
          </w:tcPr>
          <w:p>
            <w:pPr>
              <w:widowControl/>
              <w:spacing w:line="280" w:lineRule="exact"/>
              <w:jc w:val="center"/>
              <w:rPr>
                <w:rFonts w:ascii="Times New Roman" w:hAnsi="Times New Roman"/>
              </w:rPr>
            </w:pPr>
            <w:r>
              <w:rPr>
                <w:rFonts w:ascii="Times New Roman" w:hAnsi="Times New Roman"/>
              </w:rPr>
              <w:t>台</w:t>
            </w:r>
          </w:p>
        </w:tc>
        <w:tc>
          <w:tcPr>
            <w:tcW w:w="747" w:type="pct"/>
            <w:vAlign w:val="center"/>
          </w:tcPr>
          <w:p>
            <w:pPr>
              <w:widowControl/>
              <w:spacing w:line="280" w:lineRule="exact"/>
              <w:jc w:val="center"/>
              <w:rPr>
                <w:rFonts w:ascii="Times New Roman" w:hAnsi="Times New Roman"/>
              </w:rPr>
            </w:pPr>
          </w:p>
        </w:tc>
        <w:tc>
          <w:tcPr>
            <w:tcW w:w="1037" w:type="pct"/>
            <w:vAlign w:val="center"/>
          </w:tcPr>
          <w:p>
            <w:pPr>
              <w:widowControl/>
              <w:spacing w:line="280" w:lineRule="exact"/>
              <w:jc w:val="center"/>
              <w:rPr>
                <w:rFonts w:ascii="Times New Roman" w:hAnsi="Times New Roman"/>
              </w:rPr>
            </w:pPr>
            <w:r>
              <w:rPr>
                <w:rFonts w:ascii="Times New Roman" w:hAnsi="Times New Roman"/>
              </w:rPr>
              <w:t>5</w:t>
            </w:r>
          </w:p>
        </w:tc>
        <w:tc>
          <w:tcPr>
            <w:tcW w:w="908" w:type="pct"/>
          </w:tcPr>
          <w:p>
            <w:pPr>
              <w:widowControl/>
              <w:spacing w:line="280" w:lineRule="exact"/>
              <w:jc w:val="center"/>
              <w:rPr>
                <w:rFonts w:ascii="Times New Roman" w:hAnsi="Times New Roman"/>
              </w:rPr>
            </w:pPr>
            <w:r>
              <w:rPr>
                <w:rFonts w:hint="eastAsia" w:ascii="Times New Roman" w:hAnsi="Times New Roman"/>
              </w:rPr>
              <w:t>依托</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13" w:type="pct"/>
            <w:vAlign w:val="center"/>
          </w:tcPr>
          <w:p>
            <w:pPr>
              <w:widowControl/>
              <w:spacing w:line="280" w:lineRule="exact"/>
              <w:jc w:val="center"/>
              <w:rPr>
                <w:rFonts w:ascii="Times New Roman" w:hAnsi="Times New Roman"/>
              </w:rPr>
            </w:pPr>
            <w:r>
              <w:rPr>
                <w:rFonts w:ascii="Times New Roman" w:hAnsi="Times New Roman"/>
              </w:rPr>
              <w:t>5</w:t>
            </w:r>
          </w:p>
        </w:tc>
        <w:tc>
          <w:tcPr>
            <w:tcW w:w="1080" w:type="pct"/>
            <w:noWrap/>
            <w:vAlign w:val="center"/>
          </w:tcPr>
          <w:p>
            <w:pPr>
              <w:widowControl/>
              <w:spacing w:line="280" w:lineRule="exact"/>
              <w:jc w:val="center"/>
              <w:rPr>
                <w:rFonts w:ascii="Times New Roman" w:hAnsi="Times New Roman"/>
              </w:rPr>
            </w:pPr>
            <w:r>
              <w:rPr>
                <w:rFonts w:ascii="Times New Roman" w:hAnsi="Times New Roman"/>
              </w:rPr>
              <w:t>给水提升泵</w:t>
            </w:r>
          </w:p>
        </w:tc>
        <w:tc>
          <w:tcPr>
            <w:tcW w:w="915" w:type="pct"/>
            <w:noWrap/>
            <w:vAlign w:val="center"/>
          </w:tcPr>
          <w:p>
            <w:pPr>
              <w:widowControl/>
              <w:spacing w:line="280" w:lineRule="exact"/>
              <w:jc w:val="center"/>
              <w:rPr>
                <w:rFonts w:ascii="Times New Roman" w:hAnsi="Times New Roman"/>
              </w:rPr>
            </w:pPr>
            <w:r>
              <w:rPr>
                <w:rFonts w:ascii="Times New Roman" w:hAnsi="Times New Roman"/>
              </w:rPr>
              <w:t>1</w:t>
            </w:r>
          </w:p>
        </w:tc>
        <w:tc>
          <w:tcPr>
            <w:tcW w:w="747" w:type="pct"/>
            <w:vAlign w:val="center"/>
          </w:tcPr>
          <w:p>
            <w:pPr>
              <w:widowControl/>
              <w:spacing w:line="280" w:lineRule="exact"/>
              <w:jc w:val="center"/>
              <w:rPr>
                <w:rFonts w:ascii="Times New Roman" w:hAnsi="Times New Roman"/>
              </w:rPr>
            </w:pPr>
            <w:r>
              <w:rPr>
                <w:rFonts w:ascii="Times New Roman" w:hAnsi="Times New Roman"/>
              </w:rPr>
              <w:t>1</w:t>
            </w:r>
          </w:p>
        </w:tc>
        <w:tc>
          <w:tcPr>
            <w:tcW w:w="1037" w:type="pct"/>
            <w:vAlign w:val="center"/>
          </w:tcPr>
          <w:p>
            <w:pPr>
              <w:widowControl/>
              <w:spacing w:line="280" w:lineRule="exact"/>
              <w:jc w:val="center"/>
              <w:rPr>
                <w:rFonts w:ascii="Times New Roman" w:hAnsi="Times New Roman"/>
              </w:rPr>
            </w:pPr>
            <w:r>
              <w:rPr>
                <w:rFonts w:ascii="Times New Roman" w:hAnsi="Times New Roman"/>
              </w:rPr>
              <w:t>连续</w:t>
            </w:r>
          </w:p>
        </w:tc>
        <w:tc>
          <w:tcPr>
            <w:tcW w:w="908" w:type="pct"/>
          </w:tcPr>
          <w:p>
            <w:pPr>
              <w:widowControl/>
              <w:spacing w:line="280" w:lineRule="exact"/>
              <w:jc w:val="center"/>
              <w:rPr>
                <w:rFonts w:ascii="Times New Roman" w:hAnsi="Times New Roman"/>
              </w:rPr>
            </w:pPr>
            <w:r>
              <w:rPr>
                <w:rFonts w:hint="eastAsia" w:ascii="Times New Roman" w:hAnsi="Times New Roman"/>
              </w:rPr>
              <w:t>依托</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13" w:type="pct"/>
            <w:vAlign w:val="center"/>
          </w:tcPr>
          <w:p>
            <w:pPr>
              <w:widowControl/>
              <w:spacing w:line="280" w:lineRule="exact"/>
              <w:jc w:val="center"/>
              <w:rPr>
                <w:rFonts w:ascii="Times New Roman" w:hAnsi="Times New Roman"/>
              </w:rPr>
            </w:pPr>
            <w:r>
              <w:rPr>
                <w:rFonts w:ascii="Times New Roman" w:hAnsi="Times New Roman"/>
              </w:rPr>
              <w:t>6</w:t>
            </w:r>
          </w:p>
        </w:tc>
        <w:tc>
          <w:tcPr>
            <w:tcW w:w="1080" w:type="pct"/>
            <w:noWrap/>
            <w:vAlign w:val="center"/>
          </w:tcPr>
          <w:p>
            <w:pPr>
              <w:widowControl/>
              <w:spacing w:line="280" w:lineRule="exact"/>
              <w:jc w:val="center"/>
              <w:rPr>
                <w:rFonts w:ascii="Times New Roman" w:hAnsi="Times New Roman"/>
              </w:rPr>
            </w:pPr>
            <w:r>
              <w:rPr>
                <w:rFonts w:ascii="Times New Roman" w:hAnsi="Times New Roman"/>
              </w:rPr>
              <w:t>污水提升泵</w:t>
            </w:r>
          </w:p>
        </w:tc>
        <w:tc>
          <w:tcPr>
            <w:tcW w:w="915" w:type="pct"/>
            <w:noWrap/>
            <w:vAlign w:val="center"/>
          </w:tcPr>
          <w:p>
            <w:pPr>
              <w:widowControl/>
              <w:spacing w:line="280" w:lineRule="exact"/>
              <w:jc w:val="center"/>
              <w:rPr>
                <w:rFonts w:ascii="Times New Roman" w:hAnsi="Times New Roman"/>
              </w:rPr>
            </w:pPr>
            <w:r>
              <w:rPr>
                <w:rFonts w:ascii="Times New Roman" w:hAnsi="Times New Roman"/>
              </w:rPr>
              <w:t>1</w:t>
            </w:r>
          </w:p>
        </w:tc>
        <w:tc>
          <w:tcPr>
            <w:tcW w:w="747" w:type="pct"/>
            <w:vAlign w:val="center"/>
          </w:tcPr>
          <w:p>
            <w:pPr>
              <w:widowControl/>
              <w:spacing w:line="280" w:lineRule="exact"/>
              <w:jc w:val="center"/>
              <w:rPr>
                <w:rFonts w:ascii="Times New Roman" w:hAnsi="Times New Roman"/>
              </w:rPr>
            </w:pPr>
            <w:r>
              <w:rPr>
                <w:rFonts w:ascii="Times New Roman" w:hAnsi="Times New Roman"/>
              </w:rPr>
              <w:t>1</w:t>
            </w:r>
          </w:p>
        </w:tc>
        <w:tc>
          <w:tcPr>
            <w:tcW w:w="1037" w:type="pct"/>
            <w:vAlign w:val="center"/>
          </w:tcPr>
          <w:p>
            <w:pPr>
              <w:widowControl/>
              <w:spacing w:line="280" w:lineRule="exact"/>
              <w:jc w:val="center"/>
              <w:rPr>
                <w:rFonts w:ascii="Times New Roman" w:hAnsi="Times New Roman"/>
              </w:rPr>
            </w:pPr>
            <w:r>
              <w:rPr>
                <w:rFonts w:ascii="Times New Roman" w:hAnsi="Times New Roman"/>
              </w:rPr>
              <w:t>间断运行</w:t>
            </w:r>
          </w:p>
        </w:tc>
        <w:tc>
          <w:tcPr>
            <w:tcW w:w="908" w:type="pct"/>
          </w:tcPr>
          <w:p>
            <w:pPr>
              <w:widowControl/>
              <w:spacing w:line="280" w:lineRule="exact"/>
              <w:jc w:val="center"/>
              <w:rPr>
                <w:rFonts w:ascii="Times New Roman" w:hAnsi="Times New Roman"/>
              </w:rPr>
            </w:pPr>
            <w:r>
              <w:rPr>
                <w:rFonts w:hint="eastAsia" w:ascii="Times New Roman" w:hAnsi="Times New Roman"/>
              </w:rPr>
              <w:t>依托</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13" w:type="pct"/>
            <w:vAlign w:val="center"/>
          </w:tcPr>
          <w:p>
            <w:pPr>
              <w:widowControl/>
              <w:spacing w:line="280" w:lineRule="exact"/>
              <w:jc w:val="center"/>
              <w:rPr>
                <w:rFonts w:ascii="Times New Roman" w:hAnsi="Times New Roman"/>
              </w:rPr>
            </w:pPr>
            <w:r>
              <w:rPr>
                <w:rFonts w:ascii="Times New Roman" w:hAnsi="Times New Roman"/>
              </w:rPr>
              <w:t>7</w:t>
            </w:r>
          </w:p>
        </w:tc>
        <w:tc>
          <w:tcPr>
            <w:tcW w:w="1080" w:type="pct"/>
            <w:noWrap/>
            <w:vAlign w:val="center"/>
          </w:tcPr>
          <w:p>
            <w:pPr>
              <w:widowControl/>
              <w:spacing w:line="280" w:lineRule="exact"/>
              <w:jc w:val="center"/>
              <w:rPr>
                <w:rFonts w:ascii="Times New Roman" w:hAnsi="Times New Roman"/>
              </w:rPr>
            </w:pPr>
            <w:r>
              <w:rPr>
                <w:rFonts w:ascii="Times New Roman" w:hAnsi="Times New Roman"/>
              </w:rPr>
              <w:t>车间轴流风机</w:t>
            </w:r>
          </w:p>
        </w:tc>
        <w:tc>
          <w:tcPr>
            <w:tcW w:w="915" w:type="pct"/>
            <w:noWrap/>
            <w:vAlign w:val="center"/>
          </w:tcPr>
          <w:p>
            <w:pPr>
              <w:widowControl/>
              <w:spacing w:line="280" w:lineRule="exact"/>
              <w:jc w:val="center"/>
              <w:rPr>
                <w:rFonts w:ascii="Times New Roman" w:hAnsi="Times New Roman"/>
              </w:rPr>
            </w:pPr>
          </w:p>
        </w:tc>
        <w:tc>
          <w:tcPr>
            <w:tcW w:w="747" w:type="pct"/>
            <w:vAlign w:val="center"/>
          </w:tcPr>
          <w:p>
            <w:pPr>
              <w:widowControl/>
              <w:spacing w:line="280" w:lineRule="exact"/>
              <w:jc w:val="center"/>
              <w:rPr>
                <w:rFonts w:ascii="Times New Roman" w:hAnsi="Times New Roman"/>
              </w:rPr>
            </w:pPr>
            <w:r>
              <w:rPr>
                <w:rFonts w:ascii="Times New Roman" w:hAnsi="Times New Roman"/>
              </w:rPr>
              <w:t>4</w:t>
            </w:r>
          </w:p>
        </w:tc>
        <w:tc>
          <w:tcPr>
            <w:tcW w:w="1037" w:type="pct"/>
            <w:vAlign w:val="center"/>
          </w:tcPr>
          <w:p>
            <w:pPr>
              <w:widowControl/>
              <w:spacing w:line="280" w:lineRule="exact"/>
              <w:jc w:val="center"/>
              <w:rPr>
                <w:rFonts w:ascii="Times New Roman" w:hAnsi="Times New Roman"/>
              </w:rPr>
            </w:pPr>
          </w:p>
        </w:tc>
        <w:tc>
          <w:tcPr>
            <w:tcW w:w="908" w:type="pct"/>
          </w:tcPr>
          <w:p>
            <w:pPr>
              <w:widowControl/>
              <w:spacing w:line="280" w:lineRule="exact"/>
              <w:jc w:val="center"/>
              <w:rPr>
                <w:rFonts w:ascii="Times New Roman" w:hAnsi="Times New Roman"/>
              </w:rPr>
            </w:pPr>
            <w:r>
              <w:rPr>
                <w:rFonts w:hint="eastAsia" w:ascii="Times New Roman" w:hAnsi="Times New Roman"/>
              </w:rPr>
              <w:t>依托</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13" w:type="pct"/>
            <w:vAlign w:val="center"/>
          </w:tcPr>
          <w:p>
            <w:pPr>
              <w:widowControl/>
              <w:spacing w:line="280" w:lineRule="exact"/>
              <w:jc w:val="center"/>
              <w:rPr>
                <w:rFonts w:ascii="Times New Roman" w:hAnsi="Times New Roman"/>
              </w:rPr>
            </w:pPr>
            <w:r>
              <w:rPr>
                <w:rFonts w:ascii="Times New Roman" w:hAnsi="Times New Roman"/>
              </w:rPr>
              <w:t>8</w:t>
            </w:r>
          </w:p>
        </w:tc>
        <w:tc>
          <w:tcPr>
            <w:tcW w:w="1080" w:type="pct"/>
            <w:noWrap/>
            <w:vAlign w:val="center"/>
          </w:tcPr>
          <w:p>
            <w:pPr>
              <w:widowControl/>
              <w:spacing w:line="280" w:lineRule="exact"/>
              <w:jc w:val="center"/>
              <w:rPr>
                <w:rFonts w:ascii="Times New Roman" w:hAnsi="Times New Roman"/>
              </w:rPr>
            </w:pPr>
            <w:r>
              <w:rPr>
                <w:rFonts w:ascii="Times New Roman" w:hAnsi="Times New Roman"/>
              </w:rPr>
              <w:t>车间照明</w:t>
            </w:r>
          </w:p>
        </w:tc>
        <w:tc>
          <w:tcPr>
            <w:tcW w:w="915" w:type="pct"/>
            <w:noWrap/>
            <w:vAlign w:val="center"/>
          </w:tcPr>
          <w:p>
            <w:pPr>
              <w:widowControl/>
              <w:spacing w:line="280" w:lineRule="exact"/>
              <w:jc w:val="center"/>
              <w:rPr>
                <w:rFonts w:ascii="Times New Roman" w:hAnsi="Times New Roman"/>
              </w:rPr>
            </w:pPr>
          </w:p>
        </w:tc>
        <w:tc>
          <w:tcPr>
            <w:tcW w:w="747" w:type="pct"/>
            <w:vAlign w:val="center"/>
          </w:tcPr>
          <w:p>
            <w:pPr>
              <w:widowControl/>
              <w:spacing w:line="280" w:lineRule="exact"/>
              <w:jc w:val="center"/>
              <w:rPr>
                <w:rFonts w:ascii="Times New Roman" w:hAnsi="Times New Roman"/>
              </w:rPr>
            </w:pPr>
          </w:p>
        </w:tc>
        <w:tc>
          <w:tcPr>
            <w:tcW w:w="1037" w:type="pct"/>
            <w:vAlign w:val="center"/>
          </w:tcPr>
          <w:p>
            <w:pPr>
              <w:widowControl/>
              <w:spacing w:line="280" w:lineRule="exact"/>
              <w:jc w:val="center"/>
              <w:rPr>
                <w:rFonts w:ascii="Times New Roman" w:hAnsi="Times New Roman"/>
              </w:rPr>
            </w:pPr>
            <w:r>
              <w:rPr>
                <w:rFonts w:ascii="Times New Roman" w:hAnsi="Times New Roman"/>
              </w:rPr>
              <w:t>面积580m</w:t>
            </w:r>
            <w:r>
              <w:rPr>
                <w:rFonts w:ascii="Times New Roman" w:hAnsi="Times New Roman"/>
                <w:vertAlign w:val="superscript"/>
              </w:rPr>
              <w:t>2</w:t>
            </w:r>
          </w:p>
        </w:tc>
        <w:tc>
          <w:tcPr>
            <w:tcW w:w="908" w:type="pct"/>
          </w:tcPr>
          <w:p>
            <w:pPr>
              <w:widowControl/>
              <w:spacing w:line="280" w:lineRule="exact"/>
              <w:jc w:val="center"/>
              <w:rPr>
                <w:rFonts w:ascii="Times New Roman" w:hAnsi="Times New Roman"/>
              </w:rPr>
            </w:pPr>
            <w:r>
              <w:rPr>
                <w:rFonts w:hint="eastAsia" w:ascii="Times New Roman" w:hAnsi="Times New Roman"/>
              </w:rPr>
              <w:t>依托</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13" w:type="pct"/>
            <w:vAlign w:val="center"/>
          </w:tcPr>
          <w:p>
            <w:pPr>
              <w:widowControl/>
              <w:spacing w:line="280" w:lineRule="exact"/>
              <w:jc w:val="center"/>
              <w:rPr>
                <w:rFonts w:ascii="Times New Roman" w:hAnsi="Times New Roman"/>
              </w:rPr>
            </w:pPr>
            <w:r>
              <w:rPr>
                <w:rFonts w:ascii="Times New Roman" w:hAnsi="Times New Roman"/>
              </w:rPr>
              <w:t>9</w:t>
            </w:r>
          </w:p>
        </w:tc>
        <w:tc>
          <w:tcPr>
            <w:tcW w:w="1080" w:type="pct"/>
            <w:noWrap/>
            <w:vAlign w:val="center"/>
          </w:tcPr>
          <w:p>
            <w:pPr>
              <w:widowControl/>
              <w:spacing w:line="280" w:lineRule="exact"/>
              <w:jc w:val="center"/>
              <w:rPr>
                <w:rFonts w:ascii="Times New Roman" w:hAnsi="Times New Roman"/>
              </w:rPr>
            </w:pPr>
            <w:r>
              <w:rPr>
                <w:rFonts w:ascii="Times New Roman" w:hAnsi="Times New Roman"/>
              </w:rPr>
              <w:t>生活办公区照明</w:t>
            </w:r>
          </w:p>
        </w:tc>
        <w:tc>
          <w:tcPr>
            <w:tcW w:w="915" w:type="pct"/>
            <w:noWrap/>
            <w:vAlign w:val="center"/>
          </w:tcPr>
          <w:p>
            <w:pPr>
              <w:widowControl/>
              <w:spacing w:line="280" w:lineRule="exact"/>
              <w:jc w:val="center"/>
              <w:rPr>
                <w:rFonts w:ascii="Times New Roman" w:hAnsi="Times New Roman"/>
              </w:rPr>
            </w:pPr>
          </w:p>
        </w:tc>
        <w:tc>
          <w:tcPr>
            <w:tcW w:w="747" w:type="pct"/>
            <w:vAlign w:val="center"/>
          </w:tcPr>
          <w:p>
            <w:pPr>
              <w:widowControl/>
              <w:spacing w:line="280" w:lineRule="exact"/>
              <w:jc w:val="center"/>
              <w:rPr>
                <w:rFonts w:ascii="Times New Roman" w:hAnsi="Times New Roman"/>
              </w:rPr>
            </w:pPr>
          </w:p>
        </w:tc>
        <w:tc>
          <w:tcPr>
            <w:tcW w:w="1037" w:type="pct"/>
            <w:vAlign w:val="center"/>
          </w:tcPr>
          <w:p>
            <w:pPr>
              <w:widowControl/>
              <w:spacing w:line="280" w:lineRule="exact"/>
              <w:jc w:val="center"/>
              <w:rPr>
                <w:rFonts w:ascii="Times New Roman" w:hAnsi="Times New Roman"/>
              </w:rPr>
            </w:pPr>
            <w:r>
              <w:rPr>
                <w:rFonts w:ascii="Times New Roman" w:hAnsi="Times New Roman"/>
              </w:rPr>
              <w:t>面积81m</w:t>
            </w:r>
            <w:r>
              <w:rPr>
                <w:rFonts w:ascii="Times New Roman" w:hAnsi="Times New Roman"/>
                <w:vertAlign w:val="superscript"/>
              </w:rPr>
              <w:t>2</w:t>
            </w:r>
          </w:p>
        </w:tc>
        <w:tc>
          <w:tcPr>
            <w:tcW w:w="908" w:type="pct"/>
          </w:tcPr>
          <w:p>
            <w:pPr>
              <w:widowControl/>
              <w:spacing w:line="280" w:lineRule="exact"/>
              <w:jc w:val="center"/>
              <w:rPr>
                <w:rFonts w:ascii="Times New Roman" w:hAnsi="Times New Roman"/>
              </w:rPr>
            </w:pPr>
            <w:r>
              <w:rPr>
                <w:rFonts w:hint="eastAsia" w:ascii="Times New Roman" w:hAnsi="Times New Roman"/>
              </w:rPr>
              <w:t>依托</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13" w:type="pct"/>
            <w:vAlign w:val="center"/>
          </w:tcPr>
          <w:p>
            <w:pPr>
              <w:widowControl/>
              <w:spacing w:line="280" w:lineRule="exact"/>
              <w:jc w:val="center"/>
              <w:rPr>
                <w:rFonts w:ascii="Times New Roman" w:hAnsi="Times New Roman"/>
              </w:rPr>
            </w:pPr>
            <w:r>
              <w:rPr>
                <w:rFonts w:hint="eastAsia" w:ascii="Times New Roman" w:hAnsi="Times New Roman"/>
              </w:rPr>
              <w:t>1</w:t>
            </w:r>
            <w:r>
              <w:rPr>
                <w:rFonts w:ascii="Times New Roman" w:hAnsi="Times New Roman"/>
              </w:rPr>
              <w:t>0</w:t>
            </w:r>
          </w:p>
        </w:tc>
        <w:tc>
          <w:tcPr>
            <w:tcW w:w="1080" w:type="pct"/>
            <w:noWrap/>
            <w:vAlign w:val="center"/>
          </w:tcPr>
          <w:p>
            <w:pPr>
              <w:widowControl/>
              <w:spacing w:line="280" w:lineRule="exact"/>
              <w:jc w:val="center"/>
              <w:rPr>
                <w:rFonts w:ascii="Times New Roman" w:hAnsi="Times New Roman"/>
              </w:rPr>
            </w:pPr>
            <w:r>
              <w:rPr>
                <w:rFonts w:hint="eastAsia" w:ascii="Times New Roman" w:hAnsi="Times New Roman"/>
              </w:rPr>
              <w:t>周转箱</w:t>
            </w:r>
          </w:p>
        </w:tc>
        <w:tc>
          <w:tcPr>
            <w:tcW w:w="915" w:type="pct"/>
            <w:noWrap/>
            <w:vAlign w:val="center"/>
          </w:tcPr>
          <w:p>
            <w:pPr>
              <w:widowControl/>
              <w:spacing w:line="280" w:lineRule="exact"/>
              <w:jc w:val="center"/>
              <w:rPr>
                <w:rFonts w:ascii="Times New Roman" w:hAnsi="Times New Roman"/>
              </w:rPr>
            </w:pPr>
            <w:r>
              <w:rPr>
                <w:rFonts w:hint="eastAsia" w:ascii="Times New Roman" w:hAnsi="Times New Roman"/>
              </w:rPr>
              <w:t>台</w:t>
            </w:r>
          </w:p>
        </w:tc>
        <w:tc>
          <w:tcPr>
            <w:tcW w:w="747" w:type="pct"/>
            <w:vAlign w:val="center"/>
          </w:tcPr>
          <w:p>
            <w:pPr>
              <w:widowControl/>
              <w:spacing w:line="280" w:lineRule="exact"/>
              <w:jc w:val="center"/>
              <w:rPr>
                <w:rFonts w:ascii="Times New Roman" w:hAnsi="Times New Roman"/>
              </w:rPr>
            </w:pPr>
            <w:r>
              <w:rPr>
                <w:rFonts w:hint="eastAsia" w:ascii="Times New Roman" w:hAnsi="Times New Roman"/>
              </w:rPr>
              <w:t>5</w:t>
            </w:r>
            <w:r>
              <w:rPr>
                <w:rFonts w:ascii="Times New Roman" w:hAnsi="Times New Roman"/>
              </w:rPr>
              <w:t>00</w:t>
            </w:r>
          </w:p>
        </w:tc>
        <w:tc>
          <w:tcPr>
            <w:tcW w:w="1037" w:type="pct"/>
            <w:vAlign w:val="center"/>
          </w:tcPr>
          <w:p>
            <w:pPr>
              <w:widowControl/>
              <w:spacing w:line="280" w:lineRule="exact"/>
              <w:jc w:val="center"/>
              <w:rPr>
                <w:rFonts w:ascii="Times New Roman" w:hAnsi="Times New Roman"/>
              </w:rPr>
            </w:pPr>
          </w:p>
        </w:tc>
        <w:tc>
          <w:tcPr>
            <w:tcW w:w="908" w:type="pct"/>
          </w:tcPr>
          <w:p>
            <w:pPr>
              <w:widowControl/>
              <w:spacing w:line="280" w:lineRule="exact"/>
              <w:jc w:val="center"/>
              <w:rPr>
                <w:rFonts w:ascii="Times New Roman" w:hAnsi="Times New Roman"/>
              </w:rPr>
            </w:pPr>
            <w:r>
              <w:rPr>
                <w:rFonts w:hint="eastAsia" w:ascii="Times New Roman" w:hAnsi="Times New Roman"/>
              </w:rPr>
              <w:t>依托</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13" w:type="pct"/>
            <w:tcBorders>
              <w:bottom w:val="single" w:color="auto" w:sz="12" w:space="0"/>
            </w:tcBorders>
            <w:vAlign w:val="center"/>
          </w:tcPr>
          <w:p>
            <w:pPr>
              <w:widowControl/>
              <w:spacing w:line="280" w:lineRule="exact"/>
              <w:jc w:val="center"/>
              <w:rPr>
                <w:rFonts w:ascii="Times New Roman" w:hAnsi="Times New Roman"/>
              </w:rPr>
            </w:pPr>
            <w:r>
              <w:rPr>
                <w:rFonts w:hint="eastAsia" w:ascii="Times New Roman" w:hAnsi="Times New Roman"/>
              </w:rPr>
              <w:t>1</w:t>
            </w:r>
            <w:r>
              <w:rPr>
                <w:rFonts w:ascii="Times New Roman" w:hAnsi="Times New Roman"/>
              </w:rPr>
              <w:t>1</w:t>
            </w:r>
          </w:p>
        </w:tc>
        <w:tc>
          <w:tcPr>
            <w:tcW w:w="1080" w:type="pct"/>
            <w:tcBorders>
              <w:bottom w:val="single" w:color="auto" w:sz="12" w:space="0"/>
            </w:tcBorders>
            <w:noWrap/>
            <w:vAlign w:val="center"/>
          </w:tcPr>
          <w:p>
            <w:pPr>
              <w:widowControl/>
              <w:spacing w:line="280" w:lineRule="exact"/>
              <w:jc w:val="center"/>
              <w:rPr>
                <w:rFonts w:ascii="Times New Roman" w:hAnsi="Times New Roman"/>
              </w:rPr>
            </w:pPr>
            <w:r>
              <w:rPr>
                <w:rFonts w:hint="eastAsia" w:ascii="Times New Roman" w:hAnsi="Times New Roman"/>
              </w:rPr>
              <w:t>运输车辆</w:t>
            </w:r>
          </w:p>
        </w:tc>
        <w:tc>
          <w:tcPr>
            <w:tcW w:w="915" w:type="pct"/>
            <w:tcBorders>
              <w:bottom w:val="single" w:color="auto" w:sz="12" w:space="0"/>
            </w:tcBorders>
            <w:noWrap/>
            <w:vAlign w:val="center"/>
          </w:tcPr>
          <w:p>
            <w:pPr>
              <w:widowControl/>
              <w:spacing w:line="280" w:lineRule="exact"/>
              <w:jc w:val="center"/>
              <w:rPr>
                <w:rFonts w:ascii="Times New Roman" w:hAnsi="Times New Roman"/>
              </w:rPr>
            </w:pPr>
            <w:r>
              <w:rPr>
                <w:rFonts w:hint="eastAsia" w:ascii="Times New Roman" w:hAnsi="Times New Roman"/>
              </w:rPr>
              <w:t>台</w:t>
            </w:r>
          </w:p>
        </w:tc>
        <w:tc>
          <w:tcPr>
            <w:tcW w:w="747" w:type="pct"/>
            <w:tcBorders>
              <w:bottom w:val="single" w:color="auto" w:sz="12" w:space="0"/>
            </w:tcBorders>
            <w:vAlign w:val="center"/>
          </w:tcPr>
          <w:p>
            <w:pPr>
              <w:widowControl/>
              <w:spacing w:line="280" w:lineRule="exact"/>
              <w:jc w:val="center"/>
              <w:rPr>
                <w:rFonts w:ascii="Times New Roman" w:hAnsi="Times New Roman"/>
              </w:rPr>
            </w:pPr>
            <w:r>
              <w:rPr>
                <w:rFonts w:hint="eastAsia" w:ascii="Times New Roman" w:hAnsi="Times New Roman"/>
              </w:rPr>
              <w:t>6</w:t>
            </w:r>
          </w:p>
        </w:tc>
        <w:tc>
          <w:tcPr>
            <w:tcW w:w="1037" w:type="pct"/>
            <w:tcBorders>
              <w:bottom w:val="single" w:color="auto" w:sz="12" w:space="0"/>
            </w:tcBorders>
            <w:vAlign w:val="center"/>
          </w:tcPr>
          <w:p>
            <w:pPr>
              <w:widowControl/>
              <w:spacing w:line="280" w:lineRule="exact"/>
              <w:jc w:val="center"/>
              <w:rPr>
                <w:rFonts w:ascii="Times New Roman" w:hAnsi="Times New Roman"/>
              </w:rPr>
            </w:pPr>
          </w:p>
        </w:tc>
        <w:tc>
          <w:tcPr>
            <w:tcW w:w="908" w:type="pct"/>
            <w:tcBorders>
              <w:bottom w:val="single" w:color="auto" w:sz="12" w:space="0"/>
            </w:tcBorders>
          </w:tcPr>
          <w:p>
            <w:pPr>
              <w:widowControl/>
              <w:spacing w:line="280" w:lineRule="exact"/>
              <w:jc w:val="center"/>
              <w:rPr>
                <w:rFonts w:ascii="Times New Roman" w:hAnsi="Times New Roman"/>
              </w:rPr>
            </w:pPr>
            <w:r>
              <w:rPr>
                <w:rFonts w:hint="eastAsia" w:ascii="Times New Roman" w:hAnsi="Times New Roman"/>
              </w:rPr>
              <w:t>依托</w:t>
            </w:r>
          </w:p>
        </w:tc>
      </w:tr>
    </w:tbl>
    <w:p>
      <w:pPr>
        <w:pStyle w:val="4"/>
        <w:spacing w:before="120" w:beforeLines="50" w:after="120" w:afterLines="50" w:line="480" w:lineRule="exact"/>
        <w:rPr>
          <w:rFonts w:ascii="Times New Roman" w:hAnsi="Times New Roman" w:eastAsia="黑体"/>
          <w:bCs/>
          <w:sz w:val="28"/>
          <w:szCs w:val="28"/>
        </w:rPr>
      </w:pPr>
      <w:bookmarkStart w:id="552" w:name="_Toc17860"/>
      <w:r>
        <w:rPr>
          <w:rFonts w:ascii="Times New Roman" w:hAnsi="Times New Roman" w:eastAsia="黑体"/>
          <w:bCs/>
          <w:sz w:val="28"/>
          <w:szCs w:val="28"/>
        </w:rPr>
        <w:t>原辅料及能耗</w:t>
      </w:r>
      <w:bookmarkEnd w:id="545"/>
      <w:bookmarkEnd w:id="546"/>
      <w:bookmarkEnd w:id="547"/>
      <w:bookmarkEnd w:id="548"/>
      <w:bookmarkEnd w:id="549"/>
      <w:bookmarkEnd w:id="550"/>
      <w:bookmarkEnd w:id="551"/>
      <w:bookmarkEnd w:id="552"/>
    </w:p>
    <w:p>
      <w:pPr>
        <w:pStyle w:val="155"/>
        <w:spacing w:line="480" w:lineRule="exact"/>
        <w:ind w:firstLine="480"/>
      </w:pPr>
      <w:r>
        <w:t>（1）原料介绍</w:t>
      </w:r>
    </w:p>
    <w:p>
      <w:pPr>
        <w:spacing w:line="480" w:lineRule="exact"/>
        <w:ind w:firstLine="480" w:firstLineChars="200"/>
        <w:rPr>
          <w:rFonts w:ascii="Times New Roman" w:hAnsi="Times New Roman"/>
          <w:sz w:val="24"/>
          <w:szCs w:val="24"/>
        </w:rPr>
      </w:pPr>
      <w:r>
        <w:rPr>
          <w:rFonts w:ascii="Times New Roman" w:hAnsi="Times New Roman"/>
          <w:sz w:val="24"/>
          <w:szCs w:val="24"/>
        </w:rPr>
        <w:t>本项目针对《国家危险废物名录》（2021年版）中医疗废物（废物类别HW01）中感染性废物（废物代码841-001-01）和损伤性废物（废物代码841-002-01）进行无害化处置，根据《医疗废物分类目录</w:t>
      </w:r>
      <w:r>
        <w:rPr>
          <w:rFonts w:hint="eastAsia" w:ascii="Times New Roman" w:hAnsi="Times New Roman"/>
          <w:sz w:val="24"/>
          <w:szCs w:val="24"/>
        </w:rPr>
        <w:t>（2</w:t>
      </w:r>
      <w:r>
        <w:rPr>
          <w:rFonts w:ascii="Times New Roman" w:hAnsi="Times New Roman"/>
          <w:sz w:val="24"/>
          <w:szCs w:val="24"/>
        </w:rPr>
        <w:t>021</w:t>
      </w:r>
      <w:r>
        <w:rPr>
          <w:rFonts w:hint="eastAsia" w:ascii="Times New Roman" w:hAnsi="Times New Roman"/>
          <w:sz w:val="24"/>
          <w:szCs w:val="24"/>
        </w:rPr>
        <w:t>年版）</w:t>
      </w:r>
      <w:r>
        <w:rPr>
          <w:rFonts w:ascii="Times New Roman" w:hAnsi="Times New Roman"/>
          <w:sz w:val="24"/>
          <w:szCs w:val="24"/>
        </w:rPr>
        <w:t>》，本项目处置的医疗废物介绍见表3.2-4。参考</w:t>
      </w:r>
      <w:r>
        <w:rPr>
          <w:rFonts w:ascii="Times New Roman" w:hAnsi="Times New Roman"/>
          <w:kern w:val="2"/>
          <w:sz w:val="24"/>
          <w:szCs w:val="20"/>
        </w:rPr>
        <w:t>《</w:t>
      </w:r>
      <w:r>
        <w:rPr>
          <w:rFonts w:hint="eastAsia" w:ascii="Times New Roman" w:hAnsi="Times New Roman"/>
          <w:kern w:val="2"/>
          <w:sz w:val="24"/>
          <w:szCs w:val="20"/>
        </w:rPr>
        <w:t>医疗废物高温蒸汽消毒集中处理工程技术规范</w:t>
      </w:r>
      <w:r>
        <w:rPr>
          <w:rFonts w:ascii="Times New Roman" w:hAnsi="Times New Roman"/>
          <w:kern w:val="2"/>
          <w:sz w:val="24"/>
          <w:szCs w:val="20"/>
        </w:rPr>
        <w:t>》</w:t>
      </w:r>
      <w:r>
        <w:rPr>
          <w:rFonts w:ascii="Times New Roman" w:hAnsi="Times New Roman"/>
          <w:sz w:val="24"/>
          <w:szCs w:val="24"/>
        </w:rPr>
        <w:t>（HJ276-2021），本项目的工艺技术不适用于处理放射性废物、带压/密闭器具、麻醉、精神性、细胞毒性药品、病理性废物、药物性废物、化学性废物，不适用于处理汞和挥发性有机物含量较高的医疗废物，不适用于可重复使用的医疗器械的消毒或灭菌。</w:t>
      </w:r>
    </w:p>
    <w:p>
      <w:pPr>
        <w:spacing w:line="480" w:lineRule="exact"/>
        <w:jc w:val="center"/>
        <w:rPr>
          <w:rFonts w:ascii="Times New Roman" w:hAnsi="Times New Roman"/>
          <w:b/>
        </w:rPr>
      </w:pPr>
      <w:r>
        <w:rPr>
          <w:rFonts w:ascii="Times New Roman" w:hAnsi="Times New Roman"/>
          <w:b/>
        </w:rPr>
        <w:t>表3.2-4 本项目处置的医疗废物类别、特征</w:t>
      </w:r>
      <w:r>
        <w:rPr>
          <w:rFonts w:hint="eastAsia" w:ascii="Times New Roman" w:hAnsi="Times New Roman"/>
          <w:b/>
        </w:rPr>
        <w:t>、</w:t>
      </w:r>
      <w:r>
        <w:rPr>
          <w:rFonts w:ascii="Times New Roman" w:hAnsi="Times New Roman"/>
          <w:b/>
        </w:rPr>
        <w:t>常见组分</w:t>
      </w:r>
      <w:r>
        <w:rPr>
          <w:rFonts w:hint="eastAsia" w:ascii="Times New Roman" w:hAnsi="Times New Roman"/>
          <w:b/>
        </w:rPr>
        <w:t>和收集方式</w:t>
      </w:r>
    </w:p>
    <w:tbl>
      <w:tblPr>
        <w:tblStyle w:val="7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70"/>
        <w:gridCol w:w="1100"/>
        <w:gridCol w:w="3280"/>
        <w:gridCol w:w="327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10" w:type="pct"/>
            <w:vAlign w:val="center"/>
          </w:tcPr>
          <w:p>
            <w:pPr>
              <w:spacing w:line="280" w:lineRule="exact"/>
              <w:jc w:val="center"/>
              <w:rPr>
                <w:rFonts w:ascii="Times New Roman" w:hAnsi="Times New Roman"/>
                <w:b/>
              </w:rPr>
            </w:pPr>
            <w:r>
              <w:rPr>
                <w:rFonts w:ascii="Times New Roman" w:hAnsi="Times New Roman"/>
                <w:b/>
              </w:rPr>
              <w:t>类别</w:t>
            </w:r>
          </w:p>
        </w:tc>
        <w:tc>
          <w:tcPr>
            <w:tcW w:w="645" w:type="pct"/>
            <w:vAlign w:val="center"/>
          </w:tcPr>
          <w:p>
            <w:pPr>
              <w:spacing w:line="280" w:lineRule="exact"/>
              <w:jc w:val="center"/>
              <w:rPr>
                <w:rFonts w:ascii="Times New Roman" w:hAnsi="Times New Roman"/>
                <w:b/>
              </w:rPr>
            </w:pPr>
            <w:r>
              <w:rPr>
                <w:rFonts w:ascii="Times New Roman" w:hAnsi="Times New Roman"/>
                <w:b/>
              </w:rPr>
              <w:t>特征</w:t>
            </w:r>
          </w:p>
        </w:tc>
        <w:tc>
          <w:tcPr>
            <w:tcW w:w="1923" w:type="pct"/>
            <w:vAlign w:val="center"/>
          </w:tcPr>
          <w:p>
            <w:pPr>
              <w:spacing w:line="280" w:lineRule="exact"/>
              <w:jc w:val="center"/>
              <w:rPr>
                <w:rFonts w:ascii="Times New Roman" w:hAnsi="Times New Roman"/>
                <w:b/>
              </w:rPr>
            </w:pPr>
            <w:r>
              <w:rPr>
                <w:rFonts w:ascii="Times New Roman" w:hAnsi="Times New Roman"/>
                <w:b/>
              </w:rPr>
              <w:t>常见组分</w:t>
            </w:r>
          </w:p>
        </w:tc>
        <w:tc>
          <w:tcPr>
            <w:tcW w:w="1923" w:type="pct"/>
          </w:tcPr>
          <w:p>
            <w:pPr>
              <w:spacing w:line="280" w:lineRule="exact"/>
              <w:jc w:val="center"/>
              <w:rPr>
                <w:rFonts w:ascii="Times New Roman" w:hAnsi="Times New Roman"/>
                <w:b/>
              </w:rPr>
            </w:pPr>
            <w:r>
              <w:rPr>
                <w:rFonts w:hint="eastAsia" w:ascii="Times New Roman" w:hAnsi="Times New Roman"/>
                <w:b/>
              </w:rPr>
              <w:t>收集方式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10" w:type="pct"/>
            <w:vAlign w:val="center"/>
          </w:tcPr>
          <w:p>
            <w:pPr>
              <w:spacing w:line="280" w:lineRule="exact"/>
              <w:jc w:val="center"/>
              <w:rPr>
                <w:rFonts w:ascii="Times New Roman" w:hAnsi="Times New Roman"/>
              </w:rPr>
            </w:pPr>
            <w:r>
              <w:rPr>
                <w:rFonts w:ascii="Times New Roman" w:hAnsi="Times New Roman"/>
              </w:rPr>
              <w:t>感染性废物</w:t>
            </w:r>
          </w:p>
        </w:tc>
        <w:tc>
          <w:tcPr>
            <w:tcW w:w="645" w:type="pct"/>
            <w:vAlign w:val="center"/>
          </w:tcPr>
          <w:p>
            <w:pPr>
              <w:spacing w:line="280" w:lineRule="exact"/>
              <w:jc w:val="center"/>
              <w:rPr>
                <w:rFonts w:ascii="Times New Roman" w:hAnsi="Times New Roman"/>
              </w:rPr>
            </w:pPr>
            <w:r>
              <w:rPr>
                <w:rFonts w:ascii="Times New Roman" w:hAnsi="Times New Roman"/>
              </w:rPr>
              <w:t>携带病原微生物具有引发感染性疾病传播危险的医疗废物</w:t>
            </w:r>
          </w:p>
        </w:tc>
        <w:tc>
          <w:tcPr>
            <w:tcW w:w="1923" w:type="pct"/>
            <w:vAlign w:val="center"/>
          </w:tcPr>
          <w:p>
            <w:pPr>
              <w:numPr>
                <w:ilvl w:val="0"/>
                <w:numId w:val="7"/>
              </w:numPr>
              <w:spacing w:line="280" w:lineRule="exact"/>
              <w:jc w:val="center"/>
              <w:rPr>
                <w:rFonts w:ascii="Times New Roman" w:hAnsi="Times New Roman"/>
              </w:rPr>
            </w:pPr>
            <w:r>
              <w:rPr>
                <w:rFonts w:ascii="Times New Roman" w:hAnsi="Times New Roman"/>
              </w:rPr>
              <w:t>被患者血液、体液、排泄物等污染的除锐器以外的废物；</w:t>
            </w:r>
          </w:p>
          <w:p>
            <w:pPr>
              <w:numPr>
                <w:ilvl w:val="0"/>
                <w:numId w:val="7"/>
              </w:numPr>
              <w:spacing w:line="280" w:lineRule="exact"/>
              <w:jc w:val="center"/>
              <w:rPr>
                <w:rFonts w:ascii="Times New Roman" w:hAnsi="Times New Roman"/>
              </w:rPr>
            </w:pPr>
            <w:r>
              <w:rPr>
                <w:rFonts w:ascii="Times New Roman" w:hAnsi="Times New Roman"/>
              </w:rPr>
              <w:t>使用后废弃的一次性使用医疗器械，如注射器、输液器、透析器等；</w:t>
            </w:r>
          </w:p>
          <w:p>
            <w:pPr>
              <w:numPr>
                <w:ilvl w:val="0"/>
                <w:numId w:val="7"/>
              </w:numPr>
              <w:spacing w:line="280" w:lineRule="exact"/>
              <w:jc w:val="center"/>
              <w:rPr>
                <w:rFonts w:ascii="Times New Roman" w:hAnsi="Times New Roman"/>
              </w:rPr>
            </w:pPr>
            <w:r>
              <w:rPr>
                <w:rFonts w:ascii="Times New Roman" w:hAnsi="Times New Roman"/>
              </w:rPr>
              <w:t>病原微生物实验室废弃的病原体培养基、标本，菌种和毒种保存液及其容器；其他实验室及科室废弃的血液、血清、分泌物等标本和容器；</w:t>
            </w:r>
          </w:p>
          <w:p>
            <w:pPr>
              <w:numPr>
                <w:ilvl w:val="0"/>
                <w:numId w:val="7"/>
              </w:numPr>
              <w:spacing w:line="280" w:lineRule="exact"/>
              <w:jc w:val="center"/>
              <w:rPr>
                <w:rFonts w:ascii="Times New Roman" w:hAnsi="Times New Roman"/>
              </w:rPr>
            </w:pPr>
            <w:r>
              <w:rPr>
                <w:rFonts w:ascii="Times New Roman" w:hAnsi="Times New Roman"/>
              </w:rPr>
              <w:t>隔离传染病患者或者疑似传染病患者产生的废弃物</w:t>
            </w:r>
          </w:p>
        </w:tc>
        <w:tc>
          <w:tcPr>
            <w:tcW w:w="1923" w:type="pct"/>
          </w:tcPr>
          <w:p>
            <w:pPr>
              <w:spacing w:line="280" w:lineRule="exact"/>
              <w:rPr>
                <w:rFonts w:ascii="Times New Roman" w:hAnsi="Times New Roman"/>
              </w:rPr>
            </w:pPr>
            <w:r>
              <w:rPr>
                <w:rFonts w:ascii="Times New Roman" w:hAnsi="Times New Roman"/>
              </w:rPr>
              <w:t>1.收集于符合《医疗废物专用包装袋、容器和警示标志标准》（HJ421）的医疗废物包装袋中；</w:t>
            </w:r>
          </w:p>
          <w:p>
            <w:pPr>
              <w:spacing w:line="280" w:lineRule="exact"/>
              <w:rPr>
                <w:rFonts w:ascii="Times New Roman" w:hAnsi="Times New Roman"/>
              </w:rPr>
            </w:pPr>
            <w:r>
              <w:rPr>
                <w:rFonts w:ascii="Times New Roman" w:hAnsi="Times New Roman"/>
              </w:rPr>
              <w:t>2.病原微生物实验室废弃的病原体培养基、标本，菌种和毒种保存液及其容器，应在产生地点进行压力蒸汽灭菌或者使用其他方式消毒，然后按感染性废物收集处理；</w:t>
            </w:r>
          </w:p>
          <w:p>
            <w:pPr>
              <w:spacing w:line="280" w:lineRule="exact"/>
              <w:rPr>
                <w:rFonts w:ascii="Times New Roman" w:hAnsi="Times New Roman"/>
              </w:rPr>
            </w:pPr>
            <w:r>
              <w:rPr>
                <w:rFonts w:ascii="Times New Roman" w:hAnsi="Times New Roman"/>
              </w:rPr>
              <w:t>3.隔离传染病患者或者疑似传染病患者产生的医疗废物应当使用双层医疗废物包装袋盛装。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10" w:type="pct"/>
            <w:vAlign w:val="center"/>
          </w:tcPr>
          <w:p>
            <w:pPr>
              <w:spacing w:line="280" w:lineRule="exact"/>
              <w:jc w:val="center"/>
              <w:rPr>
                <w:rFonts w:ascii="Times New Roman" w:hAnsi="Times New Roman"/>
              </w:rPr>
            </w:pPr>
            <w:r>
              <w:rPr>
                <w:rFonts w:ascii="Times New Roman" w:hAnsi="Times New Roman"/>
              </w:rPr>
              <w:t>损伤性废物</w:t>
            </w:r>
          </w:p>
        </w:tc>
        <w:tc>
          <w:tcPr>
            <w:tcW w:w="645" w:type="pct"/>
            <w:vAlign w:val="center"/>
          </w:tcPr>
          <w:p>
            <w:pPr>
              <w:spacing w:line="280" w:lineRule="exact"/>
              <w:jc w:val="center"/>
              <w:rPr>
                <w:rFonts w:ascii="Times New Roman" w:hAnsi="Times New Roman"/>
              </w:rPr>
            </w:pPr>
            <w:r>
              <w:rPr>
                <w:rFonts w:ascii="Times New Roman" w:hAnsi="Times New Roman"/>
              </w:rPr>
              <w:t>能够刺伤或者割伤人体的废弃的医用锐器</w:t>
            </w:r>
          </w:p>
        </w:tc>
        <w:tc>
          <w:tcPr>
            <w:tcW w:w="1923" w:type="pct"/>
            <w:vAlign w:val="center"/>
          </w:tcPr>
          <w:p>
            <w:pPr>
              <w:spacing w:line="280" w:lineRule="exact"/>
              <w:jc w:val="center"/>
              <w:rPr>
                <w:rFonts w:ascii="Times New Roman" w:hAnsi="Times New Roman"/>
              </w:rPr>
            </w:pPr>
            <w:r>
              <w:rPr>
                <w:rFonts w:ascii="Times New Roman" w:hAnsi="Times New Roman"/>
              </w:rPr>
              <w:t>1.废弃的金属类锐器，如针头、缝合针、针灸针、探针、穿刺针、解剖刀、手术刀、手术锯、备皮刀、钢钉和导丝等；</w:t>
            </w:r>
          </w:p>
          <w:p>
            <w:pPr>
              <w:spacing w:line="280" w:lineRule="exact"/>
              <w:jc w:val="center"/>
              <w:rPr>
                <w:rFonts w:ascii="Times New Roman" w:hAnsi="Times New Roman"/>
              </w:rPr>
            </w:pPr>
            <w:r>
              <w:rPr>
                <w:rFonts w:ascii="Times New Roman" w:hAnsi="Times New Roman"/>
              </w:rPr>
              <w:t>2.废弃的玻璃类锐器，如盖玻片、载玻片、玻璃安瓿等；</w:t>
            </w:r>
          </w:p>
          <w:p>
            <w:pPr>
              <w:spacing w:line="280" w:lineRule="exact"/>
              <w:jc w:val="center"/>
              <w:rPr>
                <w:rFonts w:ascii="Times New Roman" w:hAnsi="Times New Roman"/>
              </w:rPr>
            </w:pPr>
            <w:r>
              <w:rPr>
                <w:rFonts w:ascii="Times New Roman" w:hAnsi="Times New Roman"/>
              </w:rPr>
              <w:t>3.废弃的其他材质类锐器</w:t>
            </w:r>
          </w:p>
        </w:tc>
        <w:tc>
          <w:tcPr>
            <w:tcW w:w="1923" w:type="pct"/>
          </w:tcPr>
          <w:p>
            <w:pPr>
              <w:spacing w:line="280" w:lineRule="exact"/>
              <w:jc w:val="center"/>
              <w:rPr>
                <w:rFonts w:ascii="Times New Roman" w:hAnsi="Times New Roman"/>
              </w:rPr>
            </w:pPr>
            <w:r>
              <w:rPr>
                <w:rFonts w:ascii="Times New Roman" w:hAnsi="Times New Roman"/>
              </w:rPr>
              <w:t>1.收集于符合《医疗废物专用包装袋、容器和警示标志标准》（HJ421）的利器盒中；</w:t>
            </w:r>
          </w:p>
          <w:p>
            <w:pPr>
              <w:spacing w:line="280" w:lineRule="exact"/>
              <w:jc w:val="center"/>
              <w:rPr>
                <w:rFonts w:ascii="Times New Roman" w:hAnsi="Times New Roman"/>
              </w:rPr>
            </w:pPr>
            <w:r>
              <w:rPr>
                <w:rFonts w:ascii="Times New Roman" w:hAnsi="Times New Roman"/>
              </w:rPr>
              <w:t>2.利器盒达到3/4满时，应当封闭严密，按流程运送、贮存。</w:t>
            </w:r>
          </w:p>
        </w:tc>
      </w:tr>
    </w:tbl>
    <w:p>
      <w:pPr>
        <w:pStyle w:val="155"/>
        <w:spacing w:line="480" w:lineRule="exact"/>
        <w:ind w:firstLine="480"/>
      </w:pPr>
      <w:r>
        <w:t>根据卫生主管部门统计资料，医疗废物中感染性废物和损伤性废物产生量分别占医疗废物总产生量的70~80%和15~20%；参照《黑龙江省医疗废物应急处置中心暨尚志市医疗废物集中处置中心项目环境影响报告书》（类比项目已于2021年4月12日取得了排污许可证，编号91230183MA1B5QY97W001V）及国内有关城市的医疗废物调查资料，医疗废物组分见表3.2-5和3.2-6。</w:t>
      </w:r>
    </w:p>
    <w:p>
      <w:pPr>
        <w:pStyle w:val="155"/>
        <w:spacing w:line="480" w:lineRule="exact"/>
        <w:ind w:firstLine="0" w:firstLineChars="0"/>
        <w:jc w:val="center"/>
        <w:rPr>
          <w:b/>
          <w:kern w:val="0"/>
          <w:sz w:val="21"/>
          <w:szCs w:val="21"/>
        </w:rPr>
      </w:pPr>
      <w:r>
        <w:rPr>
          <w:b/>
          <w:kern w:val="0"/>
          <w:sz w:val="21"/>
          <w:szCs w:val="21"/>
        </w:rPr>
        <w:t>表3.2-5 医疗废物的组成</w:t>
      </w:r>
    </w:p>
    <w:tbl>
      <w:tblPr>
        <w:tblStyle w:val="7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4"/>
        <w:gridCol w:w="1065"/>
        <w:gridCol w:w="1065"/>
        <w:gridCol w:w="1067"/>
        <w:gridCol w:w="1067"/>
        <w:gridCol w:w="1067"/>
        <w:gridCol w:w="1067"/>
        <w:gridCol w:w="10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4" w:type="dxa"/>
            <w:vMerge w:val="restart"/>
            <w:tcBorders>
              <w:top w:val="single" w:color="auto" w:sz="12" w:space="0"/>
              <w:left w:val="nil"/>
            </w:tcBorders>
            <w:vAlign w:val="center"/>
          </w:tcPr>
          <w:p>
            <w:pPr>
              <w:spacing w:line="280" w:lineRule="exact"/>
              <w:jc w:val="center"/>
              <w:rPr>
                <w:rFonts w:ascii="Times New Roman" w:hAnsi="Times New Roman"/>
                <w:b/>
                <w:bCs/>
              </w:rPr>
            </w:pPr>
            <w:r>
              <w:rPr>
                <w:rFonts w:ascii="Times New Roman" w:hAnsi="Times New Roman"/>
                <w:b/>
                <w:bCs/>
              </w:rPr>
              <w:t>成分</w:t>
            </w:r>
          </w:p>
        </w:tc>
        <w:tc>
          <w:tcPr>
            <w:tcW w:w="4264" w:type="dxa"/>
            <w:gridSpan w:val="4"/>
            <w:tcBorders>
              <w:top w:val="single" w:color="auto" w:sz="12" w:space="0"/>
            </w:tcBorders>
            <w:vAlign w:val="center"/>
          </w:tcPr>
          <w:p>
            <w:pPr>
              <w:spacing w:line="280" w:lineRule="exact"/>
              <w:jc w:val="center"/>
              <w:rPr>
                <w:rFonts w:ascii="Times New Roman" w:hAnsi="Times New Roman"/>
                <w:b/>
                <w:bCs/>
              </w:rPr>
            </w:pPr>
            <w:r>
              <w:rPr>
                <w:rFonts w:ascii="Times New Roman" w:hAnsi="Times New Roman"/>
                <w:b/>
                <w:bCs/>
              </w:rPr>
              <w:t>有机物</w:t>
            </w:r>
          </w:p>
        </w:tc>
        <w:tc>
          <w:tcPr>
            <w:tcW w:w="2134" w:type="dxa"/>
            <w:gridSpan w:val="2"/>
            <w:tcBorders>
              <w:top w:val="single" w:color="auto" w:sz="12" w:space="0"/>
            </w:tcBorders>
            <w:vAlign w:val="center"/>
          </w:tcPr>
          <w:p>
            <w:pPr>
              <w:spacing w:line="280" w:lineRule="exact"/>
              <w:jc w:val="center"/>
              <w:rPr>
                <w:rFonts w:ascii="Times New Roman" w:hAnsi="Times New Roman"/>
                <w:b/>
                <w:bCs/>
              </w:rPr>
            </w:pPr>
            <w:r>
              <w:rPr>
                <w:rFonts w:ascii="Times New Roman" w:hAnsi="Times New Roman"/>
                <w:b/>
                <w:bCs/>
              </w:rPr>
              <w:t>无机物</w:t>
            </w:r>
          </w:p>
        </w:tc>
        <w:tc>
          <w:tcPr>
            <w:tcW w:w="1067" w:type="dxa"/>
            <w:vMerge w:val="restart"/>
            <w:tcBorders>
              <w:top w:val="single" w:color="auto" w:sz="12" w:space="0"/>
              <w:right w:val="nil"/>
            </w:tcBorders>
            <w:vAlign w:val="center"/>
          </w:tcPr>
          <w:p>
            <w:pPr>
              <w:spacing w:line="280" w:lineRule="exact"/>
              <w:jc w:val="center"/>
              <w:rPr>
                <w:rFonts w:ascii="Times New Roman" w:hAnsi="Times New Roman"/>
              </w:rPr>
            </w:pPr>
            <w:r>
              <w:rPr>
                <w:rFonts w:ascii="Times New Roman" w:hAnsi="Times New Roman"/>
                <w:b/>
                <w:bCs/>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4" w:type="dxa"/>
            <w:vMerge w:val="continue"/>
            <w:tcBorders>
              <w:left w:val="nil"/>
            </w:tcBorders>
            <w:vAlign w:val="center"/>
          </w:tcPr>
          <w:p>
            <w:pPr>
              <w:spacing w:line="280" w:lineRule="exact"/>
              <w:jc w:val="center"/>
              <w:rPr>
                <w:rFonts w:ascii="Times New Roman" w:hAnsi="Times New Roman"/>
              </w:rPr>
            </w:pPr>
          </w:p>
        </w:tc>
        <w:tc>
          <w:tcPr>
            <w:tcW w:w="1065" w:type="dxa"/>
            <w:vAlign w:val="center"/>
          </w:tcPr>
          <w:p>
            <w:pPr>
              <w:spacing w:line="280" w:lineRule="exact"/>
              <w:jc w:val="center"/>
              <w:rPr>
                <w:rFonts w:ascii="Times New Roman" w:hAnsi="Times New Roman"/>
                <w:b/>
                <w:bCs/>
              </w:rPr>
            </w:pPr>
            <w:r>
              <w:rPr>
                <w:rFonts w:ascii="Times New Roman" w:hAnsi="Times New Roman"/>
                <w:b/>
                <w:bCs/>
              </w:rPr>
              <w:t>棉签</w:t>
            </w:r>
          </w:p>
        </w:tc>
        <w:tc>
          <w:tcPr>
            <w:tcW w:w="1065" w:type="dxa"/>
            <w:vAlign w:val="center"/>
          </w:tcPr>
          <w:p>
            <w:pPr>
              <w:spacing w:line="280" w:lineRule="exact"/>
              <w:jc w:val="center"/>
              <w:rPr>
                <w:rFonts w:ascii="Times New Roman" w:hAnsi="Times New Roman"/>
                <w:b/>
                <w:bCs/>
              </w:rPr>
            </w:pPr>
            <w:r>
              <w:rPr>
                <w:rFonts w:ascii="Times New Roman" w:hAnsi="Times New Roman"/>
                <w:b/>
                <w:bCs/>
              </w:rPr>
              <w:t>纸类</w:t>
            </w:r>
          </w:p>
        </w:tc>
        <w:tc>
          <w:tcPr>
            <w:tcW w:w="1067" w:type="dxa"/>
            <w:vAlign w:val="center"/>
          </w:tcPr>
          <w:p>
            <w:pPr>
              <w:spacing w:line="280" w:lineRule="exact"/>
              <w:jc w:val="center"/>
              <w:rPr>
                <w:rFonts w:ascii="Times New Roman" w:hAnsi="Times New Roman"/>
                <w:b/>
                <w:bCs/>
              </w:rPr>
            </w:pPr>
            <w:r>
              <w:rPr>
                <w:rFonts w:ascii="Times New Roman" w:hAnsi="Times New Roman"/>
                <w:b/>
                <w:bCs/>
              </w:rPr>
              <w:t>织物</w:t>
            </w:r>
          </w:p>
        </w:tc>
        <w:tc>
          <w:tcPr>
            <w:tcW w:w="1067" w:type="dxa"/>
            <w:vAlign w:val="center"/>
          </w:tcPr>
          <w:p>
            <w:pPr>
              <w:spacing w:line="280" w:lineRule="exact"/>
              <w:jc w:val="center"/>
              <w:rPr>
                <w:rFonts w:ascii="Times New Roman" w:hAnsi="Times New Roman"/>
                <w:b/>
                <w:bCs/>
              </w:rPr>
            </w:pPr>
            <w:r>
              <w:rPr>
                <w:rFonts w:ascii="Times New Roman" w:hAnsi="Times New Roman"/>
                <w:b/>
                <w:bCs/>
              </w:rPr>
              <w:t>塑料</w:t>
            </w:r>
          </w:p>
        </w:tc>
        <w:tc>
          <w:tcPr>
            <w:tcW w:w="1067" w:type="dxa"/>
            <w:vAlign w:val="center"/>
          </w:tcPr>
          <w:p>
            <w:pPr>
              <w:spacing w:line="280" w:lineRule="exact"/>
              <w:jc w:val="center"/>
              <w:rPr>
                <w:rFonts w:ascii="Times New Roman" w:hAnsi="Times New Roman"/>
                <w:b/>
                <w:bCs/>
              </w:rPr>
            </w:pPr>
            <w:r>
              <w:rPr>
                <w:rFonts w:ascii="Times New Roman" w:hAnsi="Times New Roman"/>
                <w:b/>
                <w:bCs/>
              </w:rPr>
              <w:t>玻璃</w:t>
            </w:r>
          </w:p>
        </w:tc>
        <w:tc>
          <w:tcPr>
            <w:tcW w:w="1067" w:type="dxa"/>
            <w:vAlign w:val="center"/>
          </w:tcPr>
          <w:p>
            <w:pPr>
              <w:spacing w:line="280" w:lineRule="exact"/>
              <w:jc w:val="center"/>
              <w:rPr>
                <w:rFonts w:ascii="Times New Roman" w:hAnsi="Times New Roman"/>
                <w:b/>
                <w:bCs/>
              </w:rPr>
            </w:pPr>
            <w:r>
              <w:rPr>
                <w:rFonts w:ascii="Times New Roman" w:hAnsi="Times New Roman"/>
                <w:b/>
                <w:bCs/>
              </w:rPr>
              <w:t>金属</w:t>
            </w:r>
          </w:p>
        </w:tc>
        <w:tc>
          <w:tcPr>
            <w:tcW w:w="1067" w:type="dxa"/>
            <w:vMerge w:val="continue"/>
            <w:tcBorders>
              <w:right w:val="nil"/>
            </w:tcBorders>
            <w:vAlign w:val="center"/>
          </w:tcPr>
          <w:p>
            <w:pPr>
              <w:spacing w:line="280" w:lineRule="exact"/>
              <w:jc w:val="center"/>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4" w:type="dxa"/>
            <w:tcBorders>
              <w:left w:val="nil"/>
              <w:bottom w:val="single" w:color="auto" w:sz="12" w:space="0"/>
            </w:tcBorders>
            <w:vAlign w:val="center"/>
          </w:tcPr>
          <w:p>
            <w:pPr>
              <w:spacing w:line="280" w:lineRule="exact"/>
              <w:jc w:val="center"/>
              <w:rPr>
                <w:rFonts w:ascii="Times New Roman" w:hAnsi="Times New Roman"/>
              </w:rPr>
            </w:pPr>
            <w:r>
              <w:rPr>
                <w:rFonts w:ascii="Times New Roman" w:hAnsi="Times New Roman"/>
              </w:rPr>
              <w:t>含量（%）</w:t>
            </w:r>
          </w:p>
        </w:tc>
        <w:tc>
          <w:tcPr>
            <w:tcW w:w="1065" w:type="dxa"/>
            <w:tcBorders>
              <w:bottom w:val="single" w:color="auto" w:sz="12" w:space="0"/>
            </w:tcBorders>
            <w:vAlign w:val="center"/>
          </w:tcPr>
          <w:p>
            <w:pPr>
              <w:spacing w:line="280" w:lineRule="exact"/>
              <w:jc w:val="center"/>
              <w:rPr>
                <w:rFonts w:ascii="Times New Roman" w:hAnsi="Times New Roman"/>
              </w:rPr>
            </w:pPr>
            <w:r>
              <w:rPr>
                <w:rFonts w:ascii="Times New Roman" w:hAnsi="Times New Roman"/>
              </w:rPr>
              <w:t>11.57</w:t>
            </w:r>
          </w:p>
        </w:tc>
        <w:tc>
          <w:tcPr>
            <w:tcW w:w="1065" w:type="dxa"/>
            <w:tcBorders>
              <w:bottom w:val="single" w:color="auto" w:sz="12" w:space="0"/>
            </w:tcBorders>
            <w:vAlign w:val="center"/>
          </w:tcPr>
          <w:p>
            <w:pPr>
              <w:spacing w:line="280" w:lineRule="exact"/>
              <w:jc w:val="center"/>
              <w:rPr>
                <w:rFonts w:ascii="Times New Roman" w:hAnsi="Times New Roman"/>
              </w:rPr>
            </w:pPr>
            <w:r>
              <w:rPr>
                <w:rFonts w:ascii="Times New Roman" w:hAnsi="Times New Roman"/>
              </w:rPr>
              <w:t>27.15</w:t>
            </w:r>
          </w:p>
        </w:tc>
        <w:tc>
          <w:tcPr>
            <w:tcW w:w="1067" w:type="dxa"/>
            <w:tcBorders>
              <w:bottom w:val="single" w:color="auto" w:sz="12" w:space="0"/>
            </w:tcBorders>
            <w:vAlign w:val="center"/>
          </w:tcPr>
          <w:p>
            <w:pPr>
              <w:spacing w:line="280" w:lineRule="exact"/>
              <w:jc w:val="center"/>
              <w:rPr>
                <w:rFonts w:ascii="Times New Roman" w:hAnsi="Times New Roman"/>
              </w:rPr>
            </w:pPr>
            <w:r>
              <w:rPr>
                <w:rFonts w:ascii="Times New Roman" w:hAnsi="Times New Roman"/>
              </w:rPr>
              <w:t>14.18</w:t>
            </w:r>
          </w:p>
        </w:tc>
        <w:tc>
          <w:tcPr>
            <w:tcW w:w="1067" w:type="dxa"/>
            <w:tcBorders>
              <w:bottom w:val="single" w:color="auto" w:sz="12" w:space="0"/>
            </w:tcBorders>
            <w:vAlign w:val="center"/>
          </w:tcPr>
          <w:p>
            <w:pPr>
              <w:spacing w:line="280" w:lineRule="exact"/>
              <w:jc w:val="center"/>
              <w:rPr>
                <w:rFonts w:ascii="Times New Roman" w:hAnsi="Times New Roman"/>
              </w:rPr>
            </w:pPr>
            <w:r>
              <w:rPr>
                <w:rFonts w:ascii="Times New Roman" w:hAnsi="Times New Roman"/>
              </w:rPr>
              <w:t>22.03</w:t>
            </w:r>
          </w:p>
        </w:tc>
        <w:tc>
          <w:tcPr>
            <w:tcW w:w="1067" w:type="dxa"/>
            <w:tcBorders>
              <w:bottom w:val="single" w:color="auto" w:sz="12" w:space="0"/>
            </w:tcBorders>
            <w:vAlign w:val="center"/>
          </w:tcPr>
          <w:p>
            <w:pPr>
              <w:spacing w:line="280" w:lineRule="exact"/>
              <w:jc w:val="center"/>
              <w:rPr>
                <w:rFonts w:ascii="Times New Roman" w:hAnsi="Times New Roman"/>
              </w:rPr>
            </w:pPr>
            <w:r>
              <w:rPr>
                <w:rFonts w:ascii="Times New Roman" w:hAnsi="Times New Roman"/>
              </w:rPr>
              <w:t>10.66</w:t>
            </w:r>
          </w:p>
        </w:tc>
        <w:tc>
          <w:tcPr>
            <w:tcW w:w="1067" w:type="dxa"/>
            <w:tcBorders>
              <w:bottom w:val="single" w:color="auto" w:sz="12" w:space="0"/>
            </w:tcBorders>
            <w:vAlign w:val="center"/>
          </w:tcPr>
          <w:p>
            <w:pPr>
              <w:spacing w:line="280" w:lineRule="exact"/>
              <w:jc w:val="center"/>
              <w:rPr>
                <w:rFonts w:ascii="Times New Roman" w:hAnsi="Times New Roman"/>
              </w:rPr>
            </w:pPr>
            <w:r>
              <w:rPr>
                <w:rFonts w:ascii="Times New Roman" w:hAnsi="Times New Roman"/>
              </w:rPr>
              <w:t>1.74</w:t>
            </w:r>
          </w:p>
        </w:tc>
        <w:tc>
          <w:tcPr>
            <w:tcW w:w="1067" w:type="dxa"/>
            <w:tcBorders>
              <w:bottom w:val="single" w:color="auto" w:sz="12" w:space="0"/>
              <w:right w:val="nil"/>
            </w:tcBorders>
            <w:vAlign w:val="center"/>
          </w:tcPr>
          <w:p>
            <w:pPr>
              <w:spacing w:line="280" w:lineRule="exact"/>
              <w:jc w:val="center"/>
              <w:rPr>
                <w:rFonts w:ascii="Times New Roman" w:hAnsi="Times New Roman"/>
              </w:rPr>
            </w:pPr>
            <w:r>
              <w:rPr>
                <w:rFonts w:ascii="Times New Roman" w:hAnsi="Times New Roman"/>
              </w:rPr>
              <w:t>12.67</w:t>
            </w:r>
          </w:p>
        </w:tc>
      </w:tr>
    </w:tbl>
    <w:p>
      <w:pPr>
        <w:pStyle w:val="155"/>
        <w:spacing w:line="480" w:lineRule="exact"/>
        <w:ind w:firstLine="0" w:firstLineChars="0"/>
        <w:jc w:val="center"/>
        <w:rPr>
          <w:b/>
          <w:kern w:val="0"/>
          <w:sz w:val="21"/>
          <w:szCs w:val="21"/>
        </w:rPr>
      </w:pPr>
      <w:r>
        <w:rPr>
          <w:b/>
          <w:kern w:val="0"/>
          <w:sz w:val="21"/>
          <w:szCs w:val="21"/>
        </w:rPr>
        <w:t>表3.2-6 医疗废物的成分</w:t>
      </w:r>
    </w:p>
    <w:tbl>
      <w:tblPr>
        <w:tblStyle w:val="7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8"/>
        <w:gridCol w:w="1419"/>
        <w:gridCol w:w="1423"/>
        <w:gridCol w:w="1423"/>
        <w:gridCol w:w="1423"/>
        <w:gridCol w:w="14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8" w:type="dxa"/>
            <w:tcBorders>
              <w:top w:val="single" w:color="auto" w:sz="12" w:space="0"/>
              <w:left w:val="nil"/>
            </w:tcBorders>
            <w:vAlign w:val="center"/>
          </w:tcPr>
          <w:p>
            <w:pPr>
              <w:spacing w:line="280" w:lineRule="exact"/>
              <w:jc w:val="center"/>
              <w:rPr>
                <w:rFonts w:ascii="Times New Roman" w:hAnsi="Times New Roman"/>
                <w:b/>
                <w:bCs/>
              </w:rPr>
            </w:pPr>
            <w:r>
              <w:rPr>
                <w:rFonts w:ascii="Times New Roman" w:hAnsi="Times New Roman"/>
                <w:b/>
                <w:bCs/>
              </w:rPr>
              <w:t>组分</w:t>
            </w:r>
          </w:p>
        </w:tc>
        <w:tc>
          <w:tcPr>
            <w:tcW w:w="1419" w:type="dxa"/>
            <w:tcBorders>
              <w:top w:val="single" w:color="auto" w:sz="12" w:space="0"/>
            </w:tcBorders>
            <w:vAlign w:val="center"/>
          </w:tcPr>
          <w:p>
            <w:pPr>
              <w:spacing w:line="280" w:lineRule="exact"/>
              <w:jc w:val="center"/>
              <w:rPr>
                <w:rFonts w:ascii="Times New Roman" w:hAnsi="Times New Roman"/>
                <w:b/>
                <w:bCs/>
              </w:rPr>
            </w:pPr>
            <w:r>
              <w:rPr>
                <w:rFonts w:ascii="Times New Roman" w:hAnsi="Times New Roman"/>
                <w:b/>
                <w:bCs/>
              </w:rPr>
              <w:t>水分</w:t>
            </w:r>
          </w:p>
        </w:tc>
        <w:tc>
          <w:tcPr>
            <w:tcW w:w="1423" w:type="dxa"/>
            <w:tcBorders>
              <w:top w:val="single" w:color="auto" w:sz="12" w:space="0"/>
            </w:tcBorders>
            <w:vAlign w:val="center"/>
          </w:tcPr>
          <w:p>
            <w:pPr>
              <w:spacing w:line="280" w:lineRule="exact"/>
              <w:jc w:val="center"/>
              <w:rPr>
                <w:rFonts w:ascii="Times New Roman" w:hAnsi="Times New Roman"/>
                <w:b/>
                <w:bCs/>
              </w:rPr>
            </w:pPr>
            <w:r>
              <w:rPr>
                <w:rFonts w:ascii="Times New Roman" w:hAnsi="Times New Roman"/>
                <w:b/>
                <w:bCs/>
              </w:rPr>
              <w:t>灰份</w:t>
            </w:r>
          </w:p>
        </w:tc>
        <w:tc>
          <w:tcPr>
            <w:tcW w:w="1423" w:type="dxa"/>
            <w:tcBorders>
              <w:top w:val="single" w:color="auto" w:sz="12" w:space="0"/>
            </w:tcBorders>
            <w:vAlign w:val="center"/>
          </w:tcPr>
          <w:p>
            <w:pPr>
              <w:spacing w:line="280" w:lineRule="exact"/>
              <w:jc w:val="center"/>
              <w:rPr>
                <w:rFonts w:ascii="Times New Roman" w:hAnsi="Times New Roman"/>
                <w:b/>
                <w:bCs/>
              </w:rPr>
            </w:pPr>
            <w:r>
              <w:rPr>
                <w:rFonts w:ascii="Times New Roman" w:hAnsi="Times New Roman"/>
                <w:b/>
                <w:bCs/>
              </w:rPr>
              <w:t>可燃物</w:t>
            </w:r>
          </w:p>
        </w:tc>
        <w:tc>
          <w:tcPr>
            <w:tcW w:w="1423" w:type="dxa"/>
            <w:tcBorders>
              <w:top w:val="single" w:color="auto" w:sz="12" w:space="0"/>
            </w:tcBorders>
            <w:vAlign w:val="center"/>
          </w:tcPr>
          <w:p>
            <w:pPr>
              <w:spacing w:line="280" w:lineRule="exact"/>
              <w:jc w:val="center"/>
              <w:rPr>
                <w:rFonts w:ascii="Times New Roman" w:hAnsi="Times New Roman"/>
                <w:b/>
                <w:bCs/>
              </w:rPr>
            </w:pPr>
            <w:r>
              <w:rPr>
                <w:rFonts w:ascii="Times New Roman" w:hAnsi="Times New Roman"/>
                <w:b/>
                <w:bCs/>
              </w:rPr>
              <w:t>其他</w:t>
            </w:r>
          </w:p>
        </w:tc>
        <w:tc>
          <w:tcPr>
            <w:tcW w:w="1423" w:type="dxa"/>
            <w:tcBorders>
              <w:top w:val="single" w:color="auto" w:sz="12" w:space="0"/>
              <w:right w:val="nil"/>
            </w:tcBorders>
            <w:vAlign w:val="center"/>
          </w:tcPr>
          <w:p>
            <w:pPr>
              <w:spacing w:line="280" w:lineRule="exact"/>
              <w:jc w:val="center"/>
              <w:rPr>
                <w:rFonts w:ascii="Times New Roman" w:hAnsi="Times New Roman"/>
                <w:b/>
                <w:bCs/>
              </w:rPr>
            </w:pPr>
            <w:r>
              <w:rPr>
                <w:rFonts w:ascii="Times New Roman" w:hAnsi="Times New Roman"/>
                <w:b/>
                <w:bCs/>
              </w:rPr>
              <w:t>容量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8" w:type="dxa"/>
            <w:tcBorders>
              <w:left w:val="nil"/>
              <w:bottom w:val="single" w:color="auto" w:sz="12" w:space="0"/>
            </w:tcBorders>
            <w:vAlign w:val="center"/>
          </w:tcPr>
          <w:p>
            <w:pPr>
              <w:spacing w:line="280" w:lineRule="exact"/>
              <w:jc w:val="center"/>
              <w:rPr>
                <w:rFonts w:ascii="Times New Roman" w:hAnsi="Times New Roman"/>
              </w:rPr>
            </w:pPr>
            <w:r>
              <w:rPr>
                <w:rFonts w:ascii="Times New Roman" w:hAnsi="Times New Roman"/>
              </w:rPr>
              <w:t>含量（%）</w:t>
            </w:r>
          </w:p>
        </w:tc>
        <w:tc>
          <w:tcPr>
            <w:tcW w:w="1419" w:type="dxa"/>
            <w:tcBorders>
              <w:bottom w:val="single" w:color="auto" w:sz="12" w:space="0"/>
            </w:tcBorders>
            <w:vAlign w:val="center"/>
          </w:tcPr>
          <w:p>
            <w:pPr>
              <w:spacing w:line="280" w:lineRule="exact"/>
              <w:jc w:val="center"/>
              <w:rPr>
                <w:rFonts w:ascii="Times New Roman" w:hAnsi="Times New Roman"/>
              </w:rPr>
            </w:pPr>
            <w:r>
              <w:rPr>
                <w:rFonts w:ascii="Times New Roman" w:hAnsi="Times New Roman"/>
              </w:rPr>
              <w:t>20.0</w:t>
            </w:r>
          </w:p>
        </w:tc>
        <w:tc>
          <w:tcPr>
            <w:tcW w:w="1423" w:type="dxa"/>
            <w:tcBorders>
              <w:bottom w:val="single" w:color="auto" w:sz="12" w:space="0"/>
            </w:tcBorders>
            <w:vAlign w:val="center"/>
          </w:tcPr>
          <w:p>
            <w:pPr>
              <w:spacing w:line="280" w:lineRule="exact"/>
              <w:jc w:val="center"/>
              <w:rPr>
                <w:rFonts w:ascii="Times New Roman" w:hAnsi="Times New Roman"/>
              </w:rPr>
            </w:pPr>
            <w:r>
              <w:rPr>
                <w:rFonts w:ascii="Times New Roman" w:hAnsi="Times New Roman"/>
              </w:rPr>
              <w:t>11.9</w:t>
            </w:r>
          </w:p>
        </w:tc>
        <w:tc>
          <w:tcPr>
            <w:tcW w:w="1423" w:type="dxa"/>
            <w:tcBorders>
              <w:bottom w:val="single" w:color="auto" w:sz="12" w:space="0"/>
            </w:tcBorders>
            <w:vAlign w:val="center"/>
          </w:tcPr>
          <w:p>
            <w:pPr>
              <w:spacing w:line="280" w:lineRule="exact"/>
              <w:jc w:val="center"/>
              <w:rPr>
                <w:rFonts w:ascii="Times New Roman" w:hAnsi="Times New Roman"/>
              </w:rPr>
            </w:pPr>
            <w:r>
              <w:rPr>
                <w:rFonts w:ascii="Times New Roman" w:hAnsi="Times New Roman"/>
              </w:rPr>
              <w:t>60.6</w:t>
            </w:r>
          </w:p>
        </w:tc>
        <w:tc>
          <w:tcPr>
            <w:tcW w:w="1423" w:type="dxa"/>
            <w:tcBorders>
              <w:bottom w:val="single" w:color="auto" w:sz="12" w:space="0"/>
            </w:tcBorders>
            <w:vAlign w:val="center"/>
          </w:tcPr>
          <w:p>
            <w:pPr>
              <w:spacing w:line="280" w:lineRule="exact"/>
              <w:jc w:val="center"/>
              <w:rPr>
                <w:rFonts w:ascii="Times New Roman" w:hAnsi="Times New Roman"/>
              </w:rPr>
            </w:pPr>
            <w:r>
              <w:rPr>
                <w:rFonts w:ascii="Times New Roman" w:hAnsi="Times New Roman"/>
              </w:rPr>
              <w:t>7.5</w:t>
            </w:r>
          </w:p>
        </w:tc>
        <w:tc>
          <w:tcPr>
            <w:tcW w:w="1423" w:type="dxa"/>
            <w:tcBorders>
              <w:bottom w:val="single" w:color="auto" w:sz="12" w:space="0"/>
              <w:right w:val="nil"/>
            </w:tcBorders>
            <w:vAlign w:val="center"/>
          </w:tcPr>
          <w:p>
            <w:pPr>
              <w:spacing w:line="280" w:lineRule="exact"/>
              <w:jc w:val="center"/>
              <w:rPr>
                <w:rFonts w:ascii="Times New Roman" w:hAnsi="Times New Roman"/>
              </w:rPr>
            </w:pPr>
            <w:r>
              <w:rPr>
                <w:rFonts w:ascii="Times New Roman" w:hAnsi="Times New Roman"/>
              </w:rPr>
              <w:t>0.251t/m</w:t>
            </w:r>
            <w:r>
              <w:rPr>
                <w:rFonts w:ascii="Times New Roman" w:hAnsi="Times New Roman"/>
                <w:vertAlign w:val="superscript"/>
              </w:rPr>
              <w:t>3</w:t>
            </w:r>
          </w:p>
        </w:tc>
      </w:tr>
    </w:tbl>
    <w:p>
      <w:pPr>
        <w:pStyle w:val="155"/>
        <w:spacing w:line="480" w:lineRule="exact"/>
        <w:ind w:firstLine="480"/>
      </w:pPr>
      <w:r>
        <w:t>（2）原料来源</w:t>
      </w:r>
    </w:p>
    <w:p>
      <w:pPr>
        <w:pStyle w:val="155"/>
        <w:spacing w:line="480" w:lineRule="exact"/>
        <w:ind w:firstLine="480"/>
      </w:pPr>
      <w:r>
        <w:t>本次扩建工程位于双鸭山市四方台梨花盖子沟垃圾处理场院内，服务范围为整个双鸭山市，包括8个区县，服务区域人口为</w:t>
      </w:r>
      <w:r>
        <w:rPr>
          <w:szCs w:val="24"/>
        </w:rPr>
        <w:t>153.5</w:t>
      </w:r>
      <w:r>
        <w:t>万人。</w:t>
      </w:r>
    </w:p>
    <w:p>
      <w:pPr>
        <w:pStyle w:val="155"/>
        <w:spacing w:line="480" w:lineRule="exact"/>
        <w:ind w:firstLine="480"/>
      </w:pPr>
      <w:r>
        <w:t>（3）</w:t>
      </w:r>
      <w:bookmarkStart w:id="553" w:name="_Toc535168891"/>
      <w:bookmarkStart w:id="554" w:name="_Toc534537606"/>
      <w:bookmarkStart w:id="555" w:name="_Toc530655951"/>
      <w:bookmarkStart w:id="556" w:name="_Toc9843797"/>
      <w:bookmarkStart w:id="557" w:name="_Toc527205718"/>
      <w:bookmarkStart w:id="558" w:name="_Toc535348445"/>
      <w:bookmarkStart w:id="559" w:name="_Toc9843796"/>
      <w:bookmarkStart w:id="560" w:name="_Toc532556591"/>
      <w:r>
        <w:t>原辅料及能耗</w:t>
      </w:r>
    </w:p>
    <w:p>
      <w:pPr>
        <w:spacing w:line="480" w:lineRule="exact"/>
        <w:ind w:firstLine="480" w:firstLineChars="200"/>
        <w:rPr>
          <w:rFonts w:ascii="Times New Roman" w:hAnsi="Times New Roman"/>
          <w:sz w:val="24"/>
          <w:szCs w:val="24"/>
        </w:rPr>
      </w:pPr>
      <w:r>
        <w:rPr>
          <w:rFonts w:ascii="Times New Roman" w:hAnsi="Times New Roman"/>
          <w:sz w:val="24"/>
          <w:szCs w:val="24"/>
        </w:rPr>
        <w:t>本项目原辅料及能耗用量情况见表3.2-7，主要化学品理化性质见表3.2-8。</w:t>
      </w:r>
    </w:p>
    <w:p>
      <w:pPr>
        <w:spacing w:line="480" w:lineRule="exact"/>
        <w:jc w:val="center"/>
        <w:rPr>
          <w:rFonts w:ascii="Times New Roman" w:hAnsi="Times New Roman"/>
          <w:b/>
        </w:rPr>
      </w:pPr>
      <w:r>
        <w:rPr>
          <w:rFonts w:ascii="Times New Roman" w:hAnsi="Times New Roman"/>
          <w:b/>
        </w:rPr>
        <w:t>表3.2-7 原辅料及能耗用量一览表</w:t>
      </w:r>
    </w:p>
    <w:tbl>
      <w:tblPr>
        <w:tblStyle w:val="7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14"/>
        <w:gridCol w:w="1510"/>
        <w:gridCol w:w="1232"/>
        <w:gridCol w:w="1114"/>
        <w:gridCol w:w="1429"/>
        <w:gridCol w:w="233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143" w:type="pct"/>
            <w:gridSpan w:val="3"/>
            <w:tcBorders>
              <w:top w:val="single" w:color="auto" w:sz="12" w:space="0"/>
            </w:tcBorders>
            <w:vAlign w:val="center"/>
          </w:tcPr>
          <w:p>
            <w:pPr>
              <w:jc w:val="center"/>
              <w:rPr>
                <w:rFonts w:ascii="Times New Roman" w:hAnsi="Times New Roman"/>
                <w:b/>
                <w:szCs w:val="20"/>
              </w:rPr>
            </w:pPr>
            <w:r>
              <w:rPr>
                <w:rFonts w:ascii="Times New Roman" w:hAnsi="Times New Roman"/>
                <w:b/>
                <w:szCs w:val="20"/>
              </w:rPr>
              <w:t>名称</w:t>
            </w:r>
          </w:p>
        </w:tc>
        <w:tc>
          <w:tcPr>
            <w:tcW w:w="653" w:type="pct"/>
            <w:tcBorders>
              <w:top w:val="single" w:color="auto" w:sz="12" w:space="0"/>
            </w:tcBorders>
            <w:vAlign w:val="center"/>
          </w:tcPr>
          <w:p>
            <w:pPr>
              <w:jc w:val="center"/>
              <w:rPr>
                <w:rFonts w:ascii="Times New Roman" w:hAnsi="Times New Roman"/>
                <w:b/>
                <w:szCs w:val="20"/>
              </w:rPr>
            </w:pPr>
            <w:r>
              <w:rPr>
                <w:rFonts w:ascii="Times New Roman" w:hAnsi="Times New Roman"/>
                <w:b/>
                <w:szCs w:val="20"/>
              </w:rPr>
              <w:t>单位</w:t>
            </w:r>
          </w:p>
        </w:tc>
        <w:tc>
          <w:tcPr>
            <w:tcW w:w="838" w:type="pct"/>
            <w:tcBorders>
              <w:top w:val="single" w:color="auto" w:sz="12" w:space="0"/>
            </w:tcBorders>
            <w:vAlign w:val="center"/>
          </w:tcPr>
          <w:p>
            <w:pPr>
              <w:jc w:val="center"/>
              <w:rPr>
                <w:rFonts w:ascii="Times New Roman" w:hAnsi="Times New Roman"/>
                <w:b/>
                <w:szCs w:val="20"/>
              </w:rPr>
            </w:pPr>
            <w:r>
              <w:rPr>
                <w:rFonts w:ascii="Times New Roman" w:hAnsi="Times New Roman"/>
                <w:b/>
                <w:szCs w:val="20"/>
              </w:rPr>
              <w:t>用量</w:t>
            </w:r>
          </w:p>
        </w:tc>
        <w:tc>
          <w:tcPr>
            <w:tcW w:w="1366" w:type="pct"/>
            <w:tcBorders>
              <w:top w:val="single" w:color="auto" w:sz="12" w:space="0"/>
            </w:tcBorders>
            <w:vAlign w:val="center"/>
          </w:tcPr>
          <w:p>
            <w:pPr>
              <w:jc w:val="center"/>
              <w:rPr>
                <w:rFonts w:ascii="Times New Roman" w:hAnsi="Times New Roman"/>
                <w:b/>
                <w:szCs w:val="20"/>
              </w:rPr>
            </w:pPr>
            <w:r>
              <w:rPr>
                <w:rFonts w:ascii="Times New Roman" w:hAnsi="Times New Roman"/>
                <w:b/>
                <w:szCs w:val="20"/>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536" w:type="pct"/>
            <w:vAlign w:val="center"/>
          </w:tcPr>
          <w:p>
            <w:pPr>
              <w:jc w:val="center"/>
              <w:rPr>
                <w:rFonts w:ascii="Times New Roman" w:hAnsi="Times New Roman"/>
                <w:szCs w:val="20"/>
              </w:rPr>
            </w:pPr>
            <w:r>
              <w:rPr>
                <w:rFonts w:ascii="Times New Roman" w:hAnsi="Times New Roman"/>
                <w:szCs w:val="20"/>
              </w:rPr>
              <w:t>原料</w:t>
            </w:r>
          </w:p>
        </w:tc>
        <w:tc>
          <w:tcPr>
            <w:tcW w:w="1607" w:type="pct"/>
            <w:gridSpan w:val="2"/>
            <w:vAlign w:val="center"/>
          </w:tcPr>
          <w:p>
            <w:pPr>
              <w:jc w:val="center"/>
              <w:rPr>
                <w:rFonts w:ascii="Times New Roman" w:hAnsi="Times New Roman"/>
                <w:szCs w:val="20"/>
              </w:rPr>
            </w:pPr>
            <w:r>
              <w:rPr>
                <w:rFonts w:ascii="Times New Roman" w:hAnsi="Times New Roman"/>
                <w:szCs w:val="20"/>
              </w:rPr>
              <w:t>医疗废物</w:t>
            </w:r>
          </w:p>
        </w:tc>
        <w:tc>
          <w:tcPr>
            <w:tcW w:w="653" w:type="pct"/>
            <w:vAlign w:val="center"/>
          </w:tcPr>
          <w:p>
            <w:pPr>
              <w:jc w:val="center"/>
              <w:rPr>
                <w:rFonts w:ascii="Times New Roman" w:hAnsi="Times New Roman"/>
                <w:szCs w:val="20"/>
              </w:rPr>
            </w:pPr>
            <w:r>
              <w:rPr>
                <w:rFonts w:ascii="Times New Roman" w:hAnsi="Times New Roman"/>
                <w:szCs w:val="20"/>
              </w:rPr>
              <w:t>t/d</w:t>
            </w:r>
          </w:p>
        </w:tc>
        <w:tc>
          <w:tcPr>
            <w:tcW w:w="838" w:type="pct"/>
            <w:vAlign w:val="center"/>
          </w:tcPr>
          <w:p>
            <w:pPr>
              <w:jc w:val="center"/>
              <w:rPr>
                <w:rFonts w:ascii="Times New Roman" w:hAnsi="Times New Roman"/>
                <w:szCs w:val="20"/>
              </w:rPr>
            </w:pPr>
            <w:r>
              <w:rPr>
                <w:rFonts w:ascii="Times New Roman" w:hAnsi="Times New Roman"/>
                <w:szCs w:val="20"/>
              </w:rPr>
              <w:t>5</w:t>
            </w:r>
          </w:p>
        </w:tc>
        <w:tc>
          <w:tcPr>
            <w:tcW w:w="1366" w:type="pct"/>
            <w:vAlign w:val="center"/>
          </w:tcPr>
          <w:p>
            <w:pPr>
              <w:jc w:val="center"/>
              <w:rPr>
                <w:rFonts w:ascii="Times New Roman" w:hAnsi="Times New Roman"/>
                <w:szCs w:val="20"/>
              </w:rPr>
            </w:pPr>
            <w:r>
              <w:rPr>
                <w:rFonts w:ascii="Times New Roman" w:hAnsi="Times New Roman"/>
                <w:szCs w:val="20"/>
              </w:rPr>
              <w:t>服务范围为</w:t>
            </w:r>
          </w:p>
          <w:p>
            <w:pPr>
              <w:jc w:val="center"/>
              <w:rPr>
                <w:rFonts w:ascii="Times New Roman" w:hAnsi="Times New Roman"/>
                <w:szCs w:val="20"/>
              </w:rPr>
            </w:pPr>
            <w:r>
              <w:rPr>
                <w:rFonts w:ascii="Times New Roman" w:hAnsi="Times New Roman"/>
                <w:szCs w:val="20"/>
              </w:rPr>
              <w:t>整个双鸭山市</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36" w:type="pct"/>
            <w:vMerge w:val="restart"/>
            <w:vAlign w:val="center"/>
          </w:tcPr>
          <w:p>
            <w:pPr>
              <w:jc w:val="center"/>
              <w:rPr>
                <w:rFonts w:ascii="Times New Roman" w:hAnsi="Times New Roman"/>
                <w:szCs w:val="20"/>
              </w:rPr>
            </w:pPr>
            <w:r>
              <w:rPr>
                <w:rFonts w:ascii="Times New Roman" w:hAnsi="Times New Roman"/>
                <w:szCs w:val="20"/>
              </w:rPr>
              <w:t>辅料</w:t>
            </w:r>
          </w:p>
        </w:tc>
        <w:tc>
          <w:tcPr>
            <w:tcW w:w="885" w:type="pct"/>
            <w:vAlign w:val="center"/>
          </w:tcPr>
          <w:p>
            <w:pPr>
              <w:jc w:val="center"/>
              <w:rPr>
                <w:rFonts w:ascii="Times New Roman" w:hAnsi="Times New Roman"/>
                <w:szCs w:val="20"/>
              </w:rPr>
            </w:pPr>
            <w:r>
              <w:rPr>
                <w:rFonts w:ascii="Times New Roman" w:hAnsi="Times New Roman"/>
                <w:szCs w:val="20"/>
              </w:rPr>
              <w:t>制冷剂</w:t>
            </w:r>
          </w:p>
        </w:tc>
        <w:tc>
          <w:tcPr>
            <w:tcW w:w="722" w:type="pct"/>
            <w:vAlign w:val="center"/>
          </w:tcPr>
          <w:p>
            <w:pPr>
              <w:jc w:val="center"/>
              <w:rPr>
                <w:rFonts w:ascii="Times New Roman" w:hAnsi="Times New Roman"/>
                <w:szCs w:val="20"/>
              </w:rPr>
            </w:pPr>
            <w:r>
              <w:rPr>
                <w:rFonts w:ascii="Times New Roman" w:hAnsi="Times New Roman"/>
                <w:szCs w:val="20"/>
              </w:rPr>
              <w:t>R22</w:t>
            </w:r>
          </w:p>
        </w:tc>
        <w:tc>
          <w:tcPr>
            <w:tcW w:w="653" w:type="pct"/>
            <w:vAlign w:val="center"/>
          </w:tcPr>
          <w:p>
            <w:pPr>
              <w:jc w:val="center"/>
              <w:rPr>
                <w:rFonts w:ascii="Times New Roman" w:hAnsi="Times New Roman"/>
                <w:szCs w:val="20"/>
              </w:rPr>
            </w:pPr>
            <w:r>
              <w:rPr>
                <w:rFonts w:ascii="Times New Roman" w:hAnsi="Times New Roman"/>
                <w:szCs w:val="20"/>
              </w:rPr>
              <w:t>t/a</w:t>
            </w:r>
          </w:p>
        </w:tc>
        <w:tc>
          <w:tcPr>
            <w:tcW w:w="838" w:type="pct"/>
            <w:vAlign w:val="center"/>
          </w:tcPr>
          <w:p>
            <w:pPr>
              <w:jc w:val="center"/>
              <w:rPr>
                <w:rFonts w:ascii="Times New Roman" w:hAnsi="Times New Roman"/>
                <w:szCs w:val="20"/>
              </w:rPr>
            </w:pPr>
            <w:r>
              <w:rPr>
                <w:rFonts w:ascii="Times New Roman" w:hAnsi="Times New Roman"/>
                <w:szCs w:val="20"/>
              </w:rPr>
              <w:t>0.01</w:t>
            </w:r>
          </w:p>
        </w:tc>
        <w:tc>
          <w:tcPr>
            <w:tcW w:w="1366" w:type="pct"/>
            <w:vAlign w:val="center"/>
          </w:tcPr>
          <w:p>
            <w:pPr>
              <w:jc w:val="center"/>
              <w:rPr>
                <w:rFonts w:ascii="Times New Roman" w:hAnsi="Times New Roman"/>
                <w:szCs w:val="20"/>
              </w:rPr>
            </w:pPr>
            <w:r>
              <w:rPr>
                <w:rFonts w:ascii="Times New Roman" w:hAnsi="Times New Roman"/>
                <w:szCs w:val="20"/>
              </w:rPr>
              <w:t>外购</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6" w:type="pct"/>
            <w:vMerge w:val="continue"/>
            <w:vAlign w:val="center"/>
          </w:tcPr>
          <w:p>
            <w:pPr>
              <w:jc w:val="center"/>
              <w:rPr>
                <w:rFonts w:ascii="Times New Roman" w:hAnsi="Times New Roman"/>
                <w:szCs w:val="20"/>
              </w:rPr>
            </w:pPr>
          </w:p>
        </w:tc>
        <w:tc>
          <w:tcPr>
            <w:tcW w:w="885" w:type="pct"/>
            <w:vMerge w:val="restart"/>
            <w:vAlign w:val="center"/>
          </w:tcPr>
          <w:p>
            <w:pPr>
              <w:jc w:val="center"/>
              <w:rPr>
                <w:rFonts w:ascii="Times New Roman" w:hAnsi="Times New Roman"/>
                <w:szCs w:val="20"/>
              </w:rPr>
            </w:pPr>
            <w:r>
              <w:rPr>
                <w:rFonts w:ascii="Times New Roman" w:hAnsi="Times New Roman"/>
                <w:szCs w:val="20"/>
              </w:rPr>
              <w:t>污水处理间消毒</w:t>
            </w:r>
          </w:p>
        </w:tc>
        <w:tc>
          <w:tcPr>
            <w:tcW w:w="722" w:type="pct"/>
            <w:vAlign w:val="center"/>
          </w:tcPr>
          <w:p>
            <w:pPr>
              <w:jc w:val="center"/>
              <w:rPr>
                <w:rFonts w:ascii="Times New Roman" w:hAnsi="Times New Roman"/>
                <w:szCs w:val="20"/>
              </w:rPr>
            </w:pPr>
            <w:r>
              <w:rPr>
                <w:rFonts w:ascii="Times New Roman" w:hAnsi="Times New Roman"/>
                <w:szCs w:val="20"/>
              </w:rPr>
              <w:t>盐酸</w:t>
            </w:r>
          </w:p>
        </w:tc>
        <w:tc>
          <w:tcPr>
            <w:tcW w:w="653" w:type="pct"/>
            <w:vAlign w:val="center"/>
          </w:tcPr>
          <w:p>
            <w:pPr>
              <w:jc w:val="center"/>
              <w:rPr>
                <w:rFonts w:ascii="Times New Roman" w:hAnsi="Times New Roman"/>
                <w:szCs w:val="20"/>
              </w:rPr>
            </w:pPr>
            <w:r>
              <w:rPr>
                <w:rFonts w:ascii="Times New Roman" w:hAnsi="Times New Roman"/>
                <w:szCs w:val="20"/>
              </w:rPr>
              <w:t>t/a</w:t>
            </w:r>
          </w:p>
        </w:tc>
        <w:tc>
          <w:tcPr>
            <w:tcW w:w="838" w:type="pct"/>
            <w:vAlign w:val="center"/>
          </w:tcPr>
          <w:p>
            <w:pPr>
              <w:jc w:val="center"/>
              <w:rPr>
                <w:rFonts w:ascii="Times New Roman" w:hAnsi="Times New Roman"/>
                <w:szCs w:val="20"/>
              </w:rPr>
            </w:pPr>
            <w:r>
              <w:rPr>
                <w:rFonts w:ascii="Times New Roman" w:hAnsi="Times New Roman"/>
                <w:szCs w:val="20"/>
              </w:rPr>
              <w:t>1.0</w:t>
            </w:r>
          </w:p>
        </w:tc>
        <w:tc>
          <w:tcPr>
            <w:tcW w:w="1366" w:type="pct"/>
            <w:vAlign w:val="center"/>
          </w:tcPr>
          <w:p>
            <w:pPr>
              <w:jc w:val="center"/>
              <w:rPr>
                <w:rFonts w:ascii="Times New Roman" w:hAnsi="Times New Roman"/>
                <w:szCs w:val="20"/>
              </w:rPr>
            </w:pPr>
            <w:r>
              <w:rPr>
                <w:rFonts w:ascii="Times New Roman" w:hAnsi="Times New Roman"/>
                <w:szCs w:val="20"/>
              </w:rPr>
              <w:t>外购</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6" w:type="pct"/>
            <w:vMerge w:val="continue"/>
            <w:vAlign w:val="center"/>
          </w:tcPr>
          <w:p>
            <w:pPr>
              <w:jc w:val="center"/>
              <w:rPr>
                <w:rFonts w:ascii="Times New Roman" w:hAnsi="Times New Roman"/>
                <w:szCs w:val="20"/>
              </w:rPr>
            </w:pPr>
          </w:p>
        </w:tc>
        <w:tc>
          <w:tcPr>
            <w:tcW w:w="885" w:type="pct"/>
            <w:vMerge w:val="continue"/>
            <w:vAlign w:val="center"/>
          </w:tcPr>
          <w:p>
            <w:pPr>
              <w:jc w:val="center"/>
              <w:rPr>
                <w:rFonts w:ascii="Times New Roman" w:hAnsi="Times New Roman"/>
                <w:szCs w:val="20"/>
              </w:rPr>
            </w:pPr>
          </w:p>
        </w:tc>
        <w:tc>
          <w:tcPr>
            <w:tcW w:w="722" w:type="pct"/>
            <w:vAlign w:val="center"/>
          </w:tcPr>
          <w:p>
            <w:pPr>
              <w:jc w:val="center"/>
              <w:rPr>
                <w:rFonts w:ascii="Times New Roman" w:hAnsi="Times New Roman"/>
                <w:szCs w:val="20"/>
              </w:rPr>
            </w:pPr>
            <w:r>
              <w:rPr>
                <w:rFonts w:ascii="Times New Roman" w:hAnsi="Times New Roman"/>
                <w:szCs w:val="20"/>
              </w:rPr>
              <w:t>氯酸钠</w:t>
            </w:r>
          </w:p>
        </w:tc>
        <w:tc>
          <w:tcPr>
            <w:tcW w:w="653" w:type="pct"/>
            <w:vAlign w:val="center"/>
          </w:tcPr>
          <w:p>
            <w:pPr>
              <w:jc w:val="center"/>
              <w:rPr>
                <w:rFonts w:ascii="Times New Roman" w:hAnsi="Times New Roman"/>
                <w:szCs w:val="20"/>
              </w:rPr>
            </w:pPr>
            <w:r>
              <w:rPr>
                <w:rFonts w:ascii="Times New Roman" w:hAnsi="Times New Roman"/>
                <w:szCs w:val="20"/>
              </w:rPr>
              <w:t>t/a</w:t>
            </w:r>
          </w:p>
        </w:tc>
        <w:tc>
          <w:tcPr>
            <w:tcW w:w="838" w:type="pct"/>
            <w:vAlign w:val="center"/>
          </w:tcPr>
          <w:p>
            <w:pPr>
              <w:jc w:val="center"/>
              <w:rPr>
                <w:rFonts w:ascii="Times New Roman" w:hAnsi="Times New Roman"/>
                <w:szCs w:val="20"/>
              </w:rPr>
            </w:pPr>
            <w:r>
              <w:rPr>
                <w:rFonts w:ascii="Times New Roman" w:hAnsi="Times New Roman"/>
                <w:szCs w:val="20"/>
              </w:rPr>
              <w:t>1.0</w:t>
            </w:r>
          </w:p>
        </w:tc>
        <w:tc>
          <w:tcPr>
            <w:tcW w:w="1366" w:type="pct"/>
            <w:vAlign w:val="center"/>
          </w:tcPr>
          <w:p>
            <w:pPr>
              <w:jc w:val="center"/>
              <w:rPr>
                <w:rFonts w:ascii="Times New Roman" w:hAnsi="Times New Roman"/>
                <w:szCs w:val="20"/>
              </w:rPr>
            </w:pPr>
            <w:r>
              <w:rPr>
                <w:rFonts w:ascii="Times New Roman" w:hAnsi="Times New Roman"/>
                <w:szCs w:val="20"/>
              </w:rPr>
              <w:t>外购</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536" w:type="pct"/>
            <w:vMerge w:val="continue"/>
            <w:vAlign w:val="center"/>
          </w:tcPr>
          <w:p>
            <w:pPr>
              <w:jc w:val="center"/>
              <w:rPr>
                <w:rFonts w:ascii="Times New Roman" w:hAnsi="Times New Roman"/>
                <w:szCs w:val="20"/>
              </w:rPr>
            </w:pPr>
          </w:p>
        </w:tc>
        <w:tc>
          <w:tcPr>
            <w:tcW w:w="885" w:type="pct"/>
            <w:vAlign w:val="center"/>
          </w:tcPr>
          <w:p>
            <w:pPr>
              <w:jc w:val="center"/>
              <w:rPr>
                <w:rFonts w:ascii="Times New Roman" w:hAnsi="Times New Roman"/>
                <w:szCs w:val="20"/>
              </w:rPr>
            </w:pPr>
            <w:r>
              <w:rPr>
                <w:rFonts w:ascii="Times New Roman" w:hAnsi="Times New Roman"/>
                <w:szCs w:val="20"/>
              </w:rPr>
              <w:t>清洗消毒</w:t>
            </w:r>
          </w:p>
        </w:tc>
        <w:tc>
          <w:tcPr>
            <w:tcW w:w="722" w:type="pct"/>
            <w:vAlign w:val="center"/>
          </w:tcPr>
          <w:p>
            <w:pPr>
              <w:jc w:val="center"/>
              <w:rPr>
                <w:rFonts w:ascii="Times New Roman" w:hAnsi="Times New Roman"/>
                <w:szCs w:val="20"/>
              </w:rPr>
            </w:pPr>
            <w:r>
              <w:rPr>
                <w:rFonts w:ascii="Times New Roman" w:hAnsi="Times New Roman"/>
                <w:szCs w:val="20"/>
              </w:rPr>
              <w:t>次氯</w:t>
            </w:r>
          </w:p>
          <w:p>
            <w:pPr>
              <w:jc w:val="center"/>
              <w:rPr>
                <w:rFonts w:ascii="Times New Roman" w:hAnsi="Times New Roman"/>
                <w:szCs w:val="20"/>
              </w:rPr>
            </w:pPr>
            <w:r>
              <w:rPr>
                <w:rFonts w:ascii="Times New Roman" w:hAnsi="Times New Roman"/>
                <w:szCs w:val="20"/>
              </w:rPr>
              <w:t>酸钠</w:t>
            </w:r>
          </w:p>
        </w:tc>
        <w:tc>
          <w:tcPr>
            <w:tcW w:w="653" w:type="pct"/>
            <w:vAlign w:val="center"/>
          </w:tcPr>
          <w:p>
            <w:pPr>
              <w:jc w:val="center"/>
              <w:rPr>
                <w:rFonts w:ascii="Times New Roman" w:hAnsi="Times New Roman"/>
                <w:szCs w:val="20"/>
              </w:rPr>
            </w:pPr>
            <w:r>
              <w:rPr>
                <w:rFonts w:ascii="Times New Roman" w:hAnsi="Times New Roman"/>
                <w:szCs w:val="20"/>
              </w:rPr>
              <w:t>t/a</w:t>
            </w:r>
          </w:p>
        </w:tc>
        <w:tc>
          <w:tcPr>
            <w:tcW w:w="838" w:type="pct"/>
            <w:vAlign w:val="center"/>
          </w:tcPr>
          <w:p>
            <w:pPr>
              <w:jc w:val="center"/>
              <w:rPr>
                <w:rFonts w:ascii="Times New Roman" w:hAnsi="Times New Roman"/>
                <w:szCs w:val="20"/>
              </w:rPr>
            </w:pPr>
            <w:r>
              <w:rPr>
                <w:rFonts w:ascii="Times New Roman" w:hAnsi="Times New Roman"/>
                <w:szCs w:val="20"/>
              </w:rPr>
              <w:t>1.0</w:t>
            </w:r>
          </w:p>
        </w:tc>
        <w:tc>
          <w:tcPr>
            <w:tcW w:w="1366" w:type="pct"/>
            <w:vAlign w:val="center"/>
          </w:tcPr>
          <w:p>
            <w:pPr>
              <w:jc w:val="center"/>
              <w:rPr>
                <w:rFonts w:ascii="Times New Roman" w:hAnsi="Times New Roman"/>
                <w:szCs w:val="20"/>
              </w:rPr>
            </w:pPr>
            <w:r>
              <w:rPr>
                <w:rFonts w:ascii="Times New Roman" w:hAnsi="Times New Roman"/>
                <w:szCs w:val="20"/>
              </w:rPr>
              <w:t>外购</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6" w:type="pct"/>
            <w:vMerge w:val="continue"/>
            <w:vAlign w:val="center"/>
          </w:tcPr>
          <w:p>
            <w:pPr>
              <w:jc w:val="center"/>
              <w:rPr>
                <w:rFonts w:ascii="Times New Roman" w:hAnsi="Times New Roman"/>
                <w:szCs w:val="20"/>
              </w:rPr>
            </w:pPr>
          </w:p>
        </w:tc>
        <w:tc>
          <w:tcPr>
            <w:tcW w:w="885" w:type="pct"/>
            <w:vAlign w:val="center"/>
          </w:tcPr>
          <w:p>
            <w:pPr>
              <w:jc w:val="center"/>
              <w:rPr>
                <w:rFonts w:ascii="Times New Roman" w:hAnsi="Times New Roman"/>
                <w:szCs w:val="20"/>
              </w:rPr>
            </w:pPr>
            <w:r>
              <w:rPr>
                <w:rFonts w:ascii="Times New Roman" w:hAnsi="Times New Roman"/>
                <w:szCs w:val="20"/>
              </w:rPr>
              <w:t>废气治理</w:t>
            </w:r>
          </w:p>
        </w:tc>
        <w:tc>
          <w:tcPr>
            <w:tcW w:w="722" w:type="pct"/>
            <w:vAlign w:val="center"/>
          </w:tcPr>
          <w:p>
            <w:pPr>
              <w:jc w:val="center"/>
              <w:rPr>
                <w:rFonts w:ascii="Times New Roman" w:hAnsi="Times New Roman"/>
                <w:szCs w:val="20"/>
              </w:rPr>
            </w:pPr>
            <w:r>
              <w:rPr>
                <w:rFonts w:ascii="Times New Roman" w:hAnsi="Times New Roman"/>
                <w:szCs w:val="20"/>
              </w:rPr>
              <w:t>活性炭</w:t>
            </w:r>
          </w:p>
        </w:tc>
        <w:tc>
          <w:tcPr>
            <w:tcW w:w="653" w:type="pct"/>
            <w:vAlign w:val="center"/>
          </w:tcPr>
          <w:p>
            <w:pPr>
              <w:jc w:val="center"/>
              <w:rPr>
                <w:rFonts w:ascii="Times New Roman" w:hAnsi="Times New Roman"/>
                <w:szCs w:val="20"/>
              </w:rPr>
            </w:pPr>
            <w:r>
              <w:rPr>
                <w:rFonts w:ascii="Times New Roman" w:hAnsi="Times New Roman"/>
                <w:szCs w:val="20"/>
              </w:rPr>
              <w:t>kg/a</w:t>
            </w:r>
          </w:p>
        </w:tc>
        <w:tc>
          <w:tcPr>
            <w:tcW w:w="838" w:type="pct"/>
            <w:vAlign w:val="center"/>
          </w:tcPr>
          <w:p>
            <w:pPr>
              <w:jc w:val="center"/>
              <w:rPr>
                <w:rFonts w:ascii="Times New Roman" w:hAnsi="Times New Roman"/>
                <w:szCs w:val="20"/>
              </w:rPr>
            </w:pPr>
            <w:r>
              <w:rPr>
                <w:rFonts w:ascii="Times New Roman" w:hAnsi="Times New Roman"/>
                <w:szCs w:val="20"/>
              </w:rPr>
              <w:t>0.1</w:t>
            </w:r>
          </w:p>
        </w:tc>
        <w:tc>
          <w:tcPr>
            <w:tcW w:w="1366" w:type="pct"/>
            <w:vAlign w:val="center"/>
          </w:tcPr>
          <w:p>
            <w:pPr>
              <w:jc w:val="center"/>
              <w:rPr>
                <w:rFonts w:ascii="Times New Roman" w:hAnsi="Times New Roman"/>
                <w:szCs w:val="20"/>
              </w:rPr>
            </w:pPr>
            <w:r>
              <w:rPr>
                <w:rFonts w:ascii="Times New Roman" w:hAnsi="Times New Roman"/>
                <w:szCs w:val="20"/>
              </w:rPr>
              <w:t>外购</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6" w:type="pct"/>
            <w:vMerge w:val="restart"/>
            <w:vAlign w:val="center"/>
          </w:tcPr>
          <w:p>
            <w:pPr>
              <w:jc w:val="center"/>
              <w:rPr>
                <w:rFonts w:ascii="Times New Roman" w:hAnsi="Times New Roman"/>
                <w:szCs w:val="20"/>
              </w:rPr>
            </w:pPr>
            <w:r>
              <w:rPr>
                <w:rFonts w:ascii="Times New Roman" w:hAnsi="Times New Roman"/>
                <w:szCs w:val="20"/>
              </w:rPr>
              <w:t>能耗</w:t>
            </w:r>
          </w:p>
        </w:tc>
        <w:tc>
          <w:tcPr>
            <w:tcW w:w="1607" w:type="pct"/>
            <w:gridSpan w:val="2"/>
            <w:vAlign w:val="center"/>
          </w:tcPr>
          <w:p>
            <w:pPr>
              <w:jc w:val="center"/>
              <w:rPr>
                <w:rFonts w:ascii="Times New Roman" w:hAnsi="Times New Roman"/>
                <w:szCs w:val="20"/>
              </w:rPr>
            </w:pPr>
            <w:r>
              <w:rPr>
                <w:rFonts w:ascii="Times New Roman" w:hAnsi="Times New Roman"/>
                <w:szCs w:val="20"/>
              </w:rPr>
              <w:t>新鲜水</w:t>
            </w:r>
          </w:p>
        </w:tc>
        <w:tc>
          <w:tcPr>
            <w:tcW w:w="653" w:type="pct"/>
            <w:vAlign w:val="center"/>
          </w:tcPr>
          <w:p>
            <w:pPr>
              <w:jc w:val="center"/>
              <w:rPr>
                <w:rFonts w:ascii="Times New Roman" w:hAnsi="Times New Roman"/>
                <w:szCs w:val="20"/>
              </w:rPr>
            </w:pPr>
            <w:r>
              <w:rPr>
                <w:rFonts w:ascii="Times New Roman" w:hAnsi="Times New Roman"/>
                <w:szCs w:val="20"/>
              </w:rPr>
              <w:t>t/a</w:t>
            </w:r>
          </w:p>
        </w:tc>
        <w:tc>
          <w:tcPr>
            <w:tcW w:w="838" w:type="pct"/>
            <w:vAlign w:val="center"/>
          </w:tcPr>
          <w:p>
            <w:pPr>
              <w:jc w:val="center"/>
              <w:rPr>
                <w:rFonts w:ascii="Times New Roman" w:hAnsi="Times New Roman"/>
                <w:szCs w:val="20"/>
              </w:rPr>
            </w:pPr>
            <w:r>
              <w:rPr>
                <w:rFonts w:ascii="Times New Roman" w:hAnsi="Times New Roman"/>
                <w:szCs w:val="20"/>
              </w:rPr>
              <w:t>6163</w:t>
            </w:r>
          </w:p>
        </w:tc>
        <w:tc>
          <w:tcPr>
            <w:tcW w:w="1366" w:type="pct"/>
            <w:vAlign w:val="center"/>
          </w:tcPr>
          <w:p>
            <w:pPr>
              <w:jc w:val="center"/>
              <w:rPr>
                <w:rFonts w:ascii="Times New Roman" w:hAnsi="Times New Roman"/>
                <w:szCs w:val="20"/>
              </w:rPr>
            </w:pPr>
            <w:r>
              <w:rPr>
                <w:rFonts w:ascii="Times New Roman" w:hAnsi="Times New Roman"/>
                <w:szCs w:val="20"/>
              </w:rPr>
              <w:t>由厂区内水井提供</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6" w:type="pct"/>
            <w:vMerge w:val="continue"/>
            <w:vAlign w:val="center"/>
          </w:tcPr>
          <w:p>
            <w:pPr>
              <w:jc w:val="center"/>
              <w:rPr>
                <w:rFonts w:ascii="Times New Roman" w:hAnsi="Times New Roman"/>
                <w:szCs w:val="20"/>
              </w:rPr>
            </w:pPr>
          </w:p>
        </w:tc>
        <w:tc>
          <w:tcPr>
            <w:tcW w:w="1607" w:type="pct"/>
            <w:gridSpan w:val="2"/>
            <w:vAlign w:val="center"/>
          </w:tcPr>
          <w:p>
            <w:pPr>
              <w:jc w:val="center"/>
              <w:rPr>
                <w:rFonts w:ascii="Times New Roman" w:hAnsi="Times New Roman"/>
                <w:szCs w:val="20"/>
              </w:rPr>
            </w:pPr>
            <w:r>
              <w:rPr>
                <w:rFonts w:ascii="Times New Roman" w:hAnsi="Times New Roman"/>
                <w:szCs w:val="20"/>
              </w:rPr>
              <w:t>电</w:t>
            </w:r>
          </w:p>
        </w:tc>
        <w:tc>
          <w:tcPr>
            <w:tcW w:w="653" w:type="pct"/>
            <w:vAlign w:val="center"/>
          </w:tcPr>
          <w:p>
            <w:pPr>
              <w:jc w:val="center"/>
              <w:rPr>
                <w:rFonts w:ascii="Times New Roman" w:hAnsi="Times New Roman"/>
                <w:szCs w:val="20"/>
              </w:rPr>
            </w:pPr>
            <w:r>
              <w:rPr>
                <w:rFonts w:ascii="Times New Roman" w:hAnsi="Times New Roman"/>
                <w:szCs w:val="20"/>
              </w:rPr>
              <w:t>kW·h</w:t>
            </w:r>
          </w:p>
        </w:tc>
        <w:tc>
          <w:tcPr>
            <w:tcW w:w="838" w:type="pct"/>
            <w:vAlign w:val="center"/>
          </w:tcPr>
          <w:p>
            <w:pPr>
              <w:jc w:val="center"/>
              <w:rPr>
                <w:rFonts w:ascii="Times New Roman" w:hAnsi="Times New Roman"/>
                <w:szCs w:val="20"/>
              </w:rPr>
            </w:pPr>
            <w:r>
              <w:rPr>
                <w:rFonts w:ascii="Times New Roman" w:hAnsi="Times New Roman"/>
                <w:szCs w:val="20"/>
              </w:rPr>
              <w:t>3万</w:t>
            </w:r>
          </w:p>
        </w:tc>
        <w:tc>
          <w:tcPr>
            <w:tcW w:w="1366" w:type="pct"/>
            <w:vAlign w:val="center"/>
          </w:tcPr>
          <w:p>
            <w:pPr>
              <w:jc w:val="center"/>
              <w:rPr>
                <w:rFonts w:ascii="Times New Roman" w:hAnsi="Times New Roman"/>
                <w:szCs w:val="20"/>
              </w:rPr>
            </w:pPr>
            <w:r>
              <w:rPr>
                <w:rFonts w:ascii="Times New Roman" w:hAnsi="Times New Roman"/>
                <w:szCs w:val="20"/>
              </w:rPr>
              <w:t>由双鸭山市供电局电力变电所供应，现有工程用电包括办公休息区用电，改扩建工程不予考虑</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6" w:type="pct"/>
            <w:vMerge w:val="continue"/>
            <w:vAlign w:val="center"/>
          </w:tcPr>
          <w:p>
            <w:pPr>
              <w:jc w:val="center"/>
              <w:rPr>
                <w:rFonts w:ascii="Times New Roman" w:hAnsi="Times New Roman"/>
                <w:szCs w:val="20"/>
              </w:rPr>
            </w:pPr>
          </w:p>
        </w:tc>
        <w:tc>
          <w:tcPr>
            <w:tcW w:w="1607" w:type="pct"/>
            <w:gridSpan w:val="2"/>
            <w:vAlign w:val="center"/>
          </w:tcPr>
          <w:p>
            <w:pPr>
              <w:jc w:val="center"/>
              <w:rPr>
                <w:rFonts w:ascii="Times New Roman" w:hAnsi="Times New Roman"/>
                <w:szCs w:val="20"/>
              </w:rPr>
            </w:pPr>
            <w:r>
              <w:rPr>
                <w:rFonts w:ascii="Times New Roman" w:hAnsi="Times New Roman"/>
                <w:szCs w:val="20"/>
              </w:rPr>
              <w:t>轻质柴油</w:t>
            </w:r>
          </w:p>
        </w:tc>
        <w:tc>
          <w:tcPr>
            <w:tcW w:w="653" w:type="pct"/>
            <w:vAlign w:val="center"/>
          </w:tcPr>
          <w:p>
            <w:pPr>
              <w:jc w:val="center"/>
              <w:rPr>
                <w:rFonts w:ascii="Times New Roman" w:hAnsi="Times New Roman"/>
                <w:szCs w:val="20"/>
              </w:rPr>
            </w:pPr>
            <w:r>
              <w:rPr>
                <w:rFonts w:ascii="Times New Roman" w:hAnsi="Times New Roman"/>
                <w:spacing w:val="-4"/>
              </w:rPr>
              <w:t>t/a</w:t>
            </w:r>
          </w:p>
        </w:tc>
        <w:tc>
          <w:tcPr>
            <w:tcW w:w="838" w:type="pct"/>
            <w:vAlign w:val="center"/>
          </w:tcPr>
          <w:p>
            <w:pPr>
              <w:jc w:val="center"/>
              <w:rPr>
                <w:rFonts w:ascii="Times New Roman" w:hAnsi="Times New Roman"/>
                <w:szCs w:val="20"/>
              </w:rPr>
            </w:pPr>
            <w:r>
              <w:rPr>
                <w:rFonts w:ascii="Times New Roman" w:hAnsi="Times New Roman"/>
                <w:szCs w:val="20"/>
              </w:rPr>
              <w:t>29.2</w:t>
            </w:r>
          </w:p>
        </w:tc>
        <w:tc>
          <w:tcPr>
            <w:tcW w:w="1366" w:type="pct"/>
            <w:vAlign w:val="center"/>
          </w:tcPr>
          <w:p>
            <w:pPr>
              <w:jc w:val="center"/>
              <w:rPr>
                <w:rFonts w:ascii="Times New Roman" w:hAnsi="Times New Roman"/>
                <w:szCs w:val="20"/>
              </w:rPr>
            </w:pPr>
            <w:r>
              <w:rPr>
                <w:rFonts w:ascii="Times New Roman" w:hAnsi="Times New Roman"/>
                <w:szCs w:val="20"/>
              </w:rPr>
              <w:t>全硫份 0.2%，</w:t>
            </w:r>
            <w:r>
              <w:rPr>
                <w:rFonts w:hint="eastAsia" w:ascii="Times New Roman" w:hAnsi="Times New Roman"/>
                <w:szCs w:val="20"/>
              </w:rPr>
              <w:t>本项目设备为一体的，无需设置柴油储罐</w:t>
            </w:r>
            <w:r>
              <w:rPr>
                <w:rFonts w:ascii="Times New Roman" w:hAnsi="Times New Roman"/>
                <w:szCs w:val="20"/>
              </w:rPr>
              <w:t xml:space="preserve"> 储存量约为0.3173t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6" w:type="pct"/>
            <w:vMerge w:val="continue"/>
            <w:tcBorders>
              <w:bottom w:val="single" w:color="auto" w:sz="12" w:space="0"/>
            </w:tcBorders>
            <w:vAlign w:val="center"/>
          </w:tcPr>
          <w:p>
            <w:pPr>
              <w:jc w:val="center"/>
              <w:rPr>
                <w:rFonts w:ascii="Times New Roman" w:hAnsi="Times New Roman"/>
                <w:szCs w:val="20"/>
              </w:rPr>
            </w:pPr>
          </w:p>
        </w:tc>
        <w:tc>
          <w:tcPr>
            <w:tcW w:w="1607" w:type="pct"/>
            <w:gridSpan w:val="2"/>
            <w:tcBorders>
              <w:bottom w:val="single" w:color="auto" w:sz="12" w:space="0"/>
            </w:tcBorders>
            <w:vAlign w:val="center"/>
          </w:tcPr>
          <w:p>
            <w:pPr>
              <w:jc w:val="center"/>
              <w:rPr>
                <w:rFonts w:ascii="Times New Roman" w:hAnsi="Times New Roman"/>
                <w:szCs w:val="20"/>
              </w:rPr>
            </w:pPr>
            <w:r>
              <w:rPr>
                <w:rFonts w:ascii="Times New Roman" w:hAnsi="Times New Roman"/>
                <w:szCs w:val="20"/>
              </w:rPr>
              <w:t>导热油</w:t>
            </w:r>
          </w:p>
        </w:tc>
        <w:tc>
          <w:tcPr>
            <w:tcW w:w="653" w:type="pct"/>
            <w:tcBorders>
              <w:bottom w:val="single" w:color="auto" w:sz="12" w:space="0"/>
            </w:tcBorders>
            <w:vAlign w:val="center"/>
          </w:tcPr>
          <w:p>
            <w:pPr>
              <w:jc w:val="center"/>
              <w:rPr>
                <w:rFonts w:ascii="Times New Roman" w:hAnsi="Times New Roman"/>
                <w:szCs w:val="20"/>
              </w:rPr>
            </w:pPr>
            <w:r>
              <w:rPr>
                <w:rFonts w:ascii="Times New Roman" w:hAnsi="Times New Roman"/>
                <w:spacing w:val="-4"/>
              </w:rPr>
              <w:t>t/a</w:t>
            </w:r>
          </w:p>
        </w:tc>
        <w:tc>
          <w:tcPr>
            <w:tcW w:w="838" w:type="pct"/>
            <w:tcBorders>
              <w:bottom w:val="single" w:color="auto" w:sz="12" w:space="0"/>
            </w:tcBorders>
            <w:vAlign w:val="center"/>
          </w:tcPr>
          <w:p>
            <w:pPr>
              <w:jc w:val="center"/>
              <w:rPr>
                <w:rFonts w:ascii="Times New Roman" w:hAnsi="Times New Roman"/>
                <w:szCs w:val="20"/>
              </w:rPr>
            </w:pPr>
            <w:r>
              <w:rPr>
                <w:rFonts w:ascii="Times New Roman" w:hAnsi="Times New Roman" w:eastAsia="仿宋"/>
                <w:spacing w:val="-8"/>
              </w:rPr>
              <w:t>0.11</w:t>
            </w:r>
          </w:p>
        </w:tc>
        <w:tc>
          <w:tcPr>
            <w:tcW w:w="1366" w:type="pct"/>
            <w:tcBorders>
              <w:bottom w:val="single" w:color="auto" w:sz="12" w:space="0"/>
            </w:tcBorders>
            <w:vAlign w:val="center"/>
          </w:tcPr>
          <w:p>
            <w:pPr>
              <w:jc w:val="center"/>
              <w:rPr>
                <w:rFonts w:ascii="Times New Roman" w:hAnsi="Times New Roman"/>
                <w:szCs w:val="20"/>
              </w:rPr>
            </w:pPr>
            <w:r>
              <w:rPr>
                <w:rFonts w:ascii="Times New Roman" w:hAnsi="Times New Roman"/>
                <w:szCs w:val="20"/>
              </w:rPr>
              <w:t>主要成分为十二烷基苯， 报废指标每一年 测试一次。当粘度变化大于±20%；闪点变 化大于±15%；酸值大于 0.5mgKOH/g；残 炭大于 1.5W%；其综合评判指数大于 80 时， 可进行换油。厂内不储存</w:t>
            </w:r>
          </w:p>
        </w:tc>
      </w:tr>
      <w:bookmarkEnd w:id="535"/>
      <w:bookmarkEnd w:id="536"/>
      <w:bookmarkEnd w:id="537"/>
      <w:bookmarkEnd w:id="538"/>
      <w:bookmarkEnd w:id="539"/>
      <w:bookmarkEnd w:id="540"/>
      <w:bookmarkEnd w:id="541"/>
      <w:bookmarkEnd w:id="542"/>
      <w:bookmarkEnd w:id="543"/>
      <w:bookmarkEnd w:id="544"/>
      <w:bookmarkEnd w:id="553"/>
      <w:bookmarkEnd w:id="554"/>
      <w:bookmarkEnd w:id="555"/>
      <w:bookmarkEnd w:id="556"/>
      <w:bookmarkEnd w:id="557"/>
      <w:bookmarkEnd w:id="558"/>
      <w:bookmarkEnd w:id="559"/>
      <w:bookmarkEnd w:id="560"/>
    </w:tbl>
    <w:p>
      <w:pPr>
        <w:spacing w:line="480" w:lineRule="exact"/>
        <w:jc w:val="center"/>
        <w:rPr>
          <w:rFonts w:ascii="Times New Roman" w:hAnsi="Times New Roman"/>
          <w:b/>
        </w:rPr>
      </w:pPr>
      <w:bookmarkStart w:id="561" w:name="_Toc26188012"/>
      <w:bookmarkStart w:id="562" w:name="_Toc22147"/>
      <w:bookmarkStart w:id="563" w:name="_Toc29446"/>
      <w:bookmarkStart w:id="564" w:name="_Toc27134288"/>
      <w:bookmarkStart w:id="565" w:name="_Toc25126"/>
      <w:bookmarkStart w:id="566" w:name="_Toc1561"/>
      <w:bookmarkStart w:id="567" w:name="_Toc409529945"/>
      <w:bookmarkStart w:id="568" w:name="_Toc480190442"/>
      <w:bookmarkStart w:id="569" w:name="_Toc458063850"/>
      <w:bookmarkStart w:id="570" w:name="_Toc480983823"/>
      <w:bookmarkStart w:id="571" w:name="_Toc409529740"/>
      <w:bookmarkStart w:id="572" w:name="_Toc466271373"/>
      <w:bookmarkStart w:id="573" w:name="_Toc416966898"/>
      <w:bookmarkStart w:id="574" w:name="_Toc453708950"/>
      <w:bookmarkStart w:id="575" w:name="_Toc464036675"/>
      <w:bookmarkStart w:id="576" w:name="_Toc482020605"/>
      <w:r>
        <w:rPr>
          <w:rFonts w:ascii="Times New Roman" w:hAnsi="Times New Roman"/>
          <w:b/>
        </w:rPr>
        <w:t>表3.2-8 主要化学品理化性质</w:t>
      </w:r>
    </w:p>
    <w:tbl>
      <w:tblPr>
        <w:tblStyle w:val="7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0"/>
        <w:gridCol w:w="1020"/>
        <w:gridCol w:w="3953"/>
        <w:gridCol w:w="1578"/>
        <w:gridCol w:w="110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64" w:type="dxa"/>
            <w:vAlign w:val="center"/>
          </w:tcPr>
          <w:p>
            <w:pPr>
              <w:jc w:val="center"/>
              <w:rPr>
                <w:rFonts w:ascii="Times New Roman" w:hAnsi="Times New Roman"/>
                <w:b/>
                <w:bCs/>
                <w:szCs w:val="20"/>
              </w:rPr>
            </w:pPr>
            <w:r>
              <w:rPr>
                <w:rFonts w:ascii="Times New Roman" w:hAnsi="Times New Roman"/>
                <w:b/>
                <w:bCs/>
                <w:szCs w:val="20"/>
              </w:rPr>
              <w:t>名称</w:t>
            </w:r>
          </w:p>
        </w:tc>
        <w:tc>
          <w:tcPr>
            <w:tcW w:w="1138" w:type="dxa"/>
            <w:vAlign w:val="center"/>
          </w:tcPr>
          <w:p>
            <w:pPr>
              <w:jc w:val="center"/>
              <w:rPr>
                <w:rFonts w:ascii="Times New Roman" w:hAnsi="Times New Roman"/>
                <w:b/>
                <w:bCs/>
                <w:szCs w:val="20"/>
              </w:rPr>
            </w:pPr>
            <w:r>
              <w:rPr>
                <w:rFonts w:ascii="Times New Roman" w:hAnsi="Times New Roman"/>
                <w:b/>
                <w:bCs/>
                <w:szCs w:val="20"/>
              </w:rPr>
              <w:t>分子式</w:t>
            </w:r>
          </w:p>
        </w:tc>
        <w:tc>
          <w:tcPr>
            <w:tcW w:w="4539" w:type="dxa"/>
            <w:vAlign w:val="center"/>
          </w:tcPr>
          <w:p>
            <w:pPr>
              <w:jc w:val="center"/>
              <w:rPr>
                <w:rFonts w:ascii="Times New Roman" w:hAnsi="Times New Roman"/>
                <w:b/>
                <w:bCs/>
                <w:szCs w:val="20"/>
              </w:rPr>
            </w:pPr>
            <w:r>
              <w:rPr>
                <w:rFonts w:ascii="Times New Roman" w:hAnsi="Times New Roman"/>
                <w:b/>
                <w:bCs/>
                <w:szCs w:val="20"/>
              </w:rPr>
              <w:t>理化性质</w:t>
            </w:r>
          </w:p>
        </w:tc>
        <w:tc>
          <w:tcPr>
            <w:tcW w:w="1785" w:type="dxa"/>
            <w:vAlign w:val="center"/>
          </w:tcPr>
          <w:p>
            <w:pPr>
              <w:jc w:val="center"/>
              <w:rPr>
                <w:rFonts w:ascii="Times New Roman" w:hAnsi="Times New Roman"/>
                <w:b/>
                <w:bCs/>
                <w:szCs w:val="20"/>
              </w:rPr>
            </w:pPr>
            <w:r>
              <w:rPr>
                <w:rFonts w:ascii="Times New Roman" w:hAnsi="Times New Roman"/>
                <w:b/>
                <w:bCs/>
                <w:szCs w:val="20"/>
              </w:rPr>
              <w:t>燃烧爆炸性</w:t>
            </w:r>
          </w:p>
        </w:tc>
        <w:tc>
          <w:tcPr>
            <w:tcW w:w="1240" w:type="dxa"/>
            <w:vAlign w:val="center"/>
          </w:tcPr>
          <w:p>
            <w:pPr>
              <w:jc w:val="center"/>
              <w:rPr>
                <w:rFonts w:ascii="Times New Roman" w:hAnsi="Times New Roman"/>
                <w:b/>
                <w:bCs/>
                <w:szCs w:val="20"/>
              </w:rPr>
            </w:pPr>
            <w:r>
              <w:rPr>
                <w:rFonts w:ascii="Times New Roman" w:hAnsi="Times New Roman"/>
                <w:b/>
                <w:bCs/>
                <w:szCs w:val="20"/>
              </w:rPr>
              <w:t>毒性毒理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64" w:type="dxa"/>
            <w:vAlign w:val="center"/>
          </w:tcPr>
          <w:p>
            <w:pPr>
              <w:jc w:val="center"/>
              <w:rPr>
                <w:rFonts w:ascii="Times New Roman" w:hAnsi="Times New Roman"/>
                <w:szCs w:val="20"/>
              </w:rPr>
            </w:pPr>
            <w:r>
              <w:rPr>
                <w:rFonts w:ascii="Times New Roman" w:hAnsi="Times New Roman"/>
                <w:szCs w:val="20"/>
              </w:rPr>
              <w:t>盐酸</w:t>
            </w:r>
          </w:p>
        </w:tc>
        <w:tc>
          <w:tcPr>
            <w:tcW w:w="1138" w:type="dxa"/>
            <w:vAlign w:val="center"/>
          </w:tcPr>
          <w:p>
            <w:pPr>
              <w:jc w:val="center"/>
              <w:rPr>
                <w:rFonts w:ascii="Times New Roman" w:hAnsi="Times New Roman"/>
                <w:szCs w:val="20"/>
              </w:rPr>
            </w:pPr>
            <w:r>
              <w:rPr>
                <w:rFonts w:ascii="Times New Roman" w:hAnsi="Times New Roman"/>
                <w:szCs w:val="20"/>
              </w:rPr>
              <w:t>HCl</w:t>
            </w:r>
          </w:p>
        </w:tc>
        <w:tc>
          <w:tcPr>
            <w:tcW w:w="4539" w:type="dxa"/>
            <w:vAlign w:val="center"/>
          </w:tcPr>
          <w:p>
            <w:pPr>
              <w:jc w:val="center"/>
              <w:rPr>
                <w:rFonts w:ascii="Times New Roman" w:hAnsi="Times New Roman"/>
                <w:szCs w:val="20"/>
              </w:rPr>
            </w:pPr>
            <w:r>
              <w:rPr>
                <w:rFonts w:ascii="Times New Roman" w:hAnsi="Times New Roman"/>
                <w:szCs w:val="20"/>
              </w:rPr>
              <w:t>盐酸是无色液体（工业用盐酸会因有杂质三价铁盐而略显黄色），为氯化氢的水溶液，具有刺激性气味，一般实验室使用的盐酸为0.1mol/L，pH=1。由于</w:t>
            </w:r>
            <w:r>
              <w:fldChar w:fldCharType="begin"/>
            </w:r>
            <w:r>
              <w:instrText xml:space="preserve"> HYPERLINK "https://baike.sogou.com/lemma/ShowInnerLink.htm?lemmaId=5547955&amp;ss_c=ssc.citiao.link" \t "_blank" </w:instrText>
            </w:r>
            <w:r>
              <w:fldChar w:fldCharType="separate"/>
            </w:r>
            <w:r>
              <w:rPr>
                <w:rFonts w:ascii="Times New Roman" w:hAnsi="Times New Roman"/>
                <w:szCs w:val="20"/>
              </w:rPr>
              <w:t>浓盐酸</w:t>
            </w:r>
            <w:r>
              <w:rPr>
                <w:rFonts w:ascii="Times New Roman" w:hAnsi="Times New Roman"/>
                <w:szCs w:val="20"/>
              </w:rPr>
              <w:fldChar w:fldCharType="end"/>
            </w:r>
            <w:r>
              <w:rPr>
                <w:rFonts w:ascii="Times New Roman" w:hAnsi="Times New Roman"/>
                <w:szCs w:val="20"/>
              </w:rPr>
              <w:t>具有挥发性，挥发出的氯化氢气体与空气中的水蒸气作用形成盐酸小液滴，所以会看到白雾。盐酸与水、乙醇任意混溶，浓盐酸稀释有热量放出，氯化氢能溶于苯。盐酸溶于碱液时与碱液发生中和反应。</w:t>
            </w:r>
          </w:p>
        </w:tc>
        <w:tc>
          <w:tcPr>
            <w:tcW w:w="1785" w:type="dxa"/>
            <w:vAlign w:val="center"/>
          </w:tcPr>
          <w:p>
            <w:pPr>
              <w:jc w:val="center"/>
              <w:rPr>
                <w:rFonts w:ascii="Times New Roman" w:hAnsi="Times New Roman"/>
                <w:szCs w:val="20"/>
              </w:rPr>
            </w:pPr>
            <w:r>
              <w:rPr>
                <w:rFonts w:ascii="Times New Roman" w:hAnsi="Times New Roman"/>
                <w:szCs w:val="20"/>
              </w:rPr>
              <w:t>具有强腐蚀性</w:t>
            </w:r>
          </w:p>
        </w:tc>
        <w:tc>
          <w:tcPr>
            <w:tcW w:w="1240" w:type="dxa"/>
            <w:vAlign w:val="center"/>
          </w:tcPr>
          <w:p>
            <w:pPr>
              <w:jc w:val="center"/>
              <w:rPr>
                <w:rFonts w:ascii="Times New Roman" w:hAnsi="Times New Roman"/>
                <w:szCs w:val="20"/>
              </w:rPr>
            </w:pPr>
            <w:r>
              <w:rPr>
                <w:rFonts w:ascii="Times New Roman" w:hAnsi="Times New Roman"/>
                <w:szCs w:val="20"/>
              </w:rPr>
              <w:t>无毒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64" w:type="dxa"/>
            <w:vAlign w:val="center"/>
          </w:tcPr>
          <w:p>
            <w:pPr>
              <w:jc w:val="center"/>
              <w:rPr>
                <w:rFonts w:ascii="Times New Roman" w:hAnsi="Times New Roman"/>
                <w:szCs w:val="20"/>
              </w:rPr>
            </w:pPr>
            <w:r>
              <w:rPr>
                <w:rFonts w:ascii="Times New Roman" w:hAnsi="Times New Roman"/>
                <w:szCs w:val="20"/>
              </w:rPr>
              <w:t>氯酸钠</w:t>
            </w:r>
          </w:p>
        </w:tc>
        <w:tc>
          <w:tcPr>
            <w:tcW w:w="1138" w:type="dxa"/>
            <w:vAlign w:val="center"/>
          </w:tcPr>
          <w:p>
            <w:pPr>
              <w:jc w:val="center"/>
              <w:rPr>
                <w:rFonts w:ascii="Times New Roman" w:hAnsi="Times New Roman"/>
                <w:szCs w:val="20"/>
              </w:rPr>
            </w:pPr>
            <w:r>
              <w:rPr>
                <w:rFonts w:ascii="Times New Roman" w:hAnsi="Times New Roman"/>
                <w:szCs w:val="20"/>
              </w:rPr>
              <w:t>NaClO</w:t>
            </w:r>
            <w:r>
              <w:rPr>
                <w:rFonts w:ascii="Times New Roman" w:hAnsi="Times New Roman"/>
                <w:szCs w:val="20"/>
                <w:vertAlign w:val="subscript"/>
              </w:rPr>
              <w:t>3</w:t>
            </w:r>
          </w:p>
        </w:tc>
        <w:tc>
          <w:tcPr>
            <w:tcW w:w="4539" w:type="dxa"/>
            <w:vAlign w:val="center"/>
          </w:tcPr>
          <w:p>
            <w:pPr>
              <w:jc w:val="center"/>
              <w:rPr>
                <w:rFonts w:ascii="Times New Roman" w:hAnsi="Times New Roman"/>
                <w:szCs w:val="20"/>
              </w:rPr>
            </w:pPr>
            <w:r>
              <w:rPr>
                <w:rFonts w:ascii="Times New Roman" w:hAnsi="Times New Roman"/>
                <w:szCs w:val="20"/>
              </w:rPr>
              <w:t>常温下为无色结晶或白色颗粒。无气味。约300℃时释放出氧气，较高温度全部分解。1g溶于约1mL冷水、0.5mL沸水、约130mL乙醇、50mL沸乙醇、4mL甘油，水溶液呈中性，氯化钠能降低其水中溶解度，相对密度2.5。熔点248℃。有强</w:t>
            </w:r>
            <w:r>
              <w:fldChar w:fldCharType="begin"/>
            </w:r>
            <w:r>
              <w:instrText xml:space="preserve"> HYPERLINK "https://baike.sogou.com/lemma/ShowInnerLink.htm?lemmaId=379884&amp;ss_c=ssc.citiao.link" \t "_blank" </w:instrText>
            </w:r>
            <w:r>
              <w:fldChar w:fldCharType="separate"/>
            </w:r>
            <w:r>
              <w:rPr>
                <w:rFonts w:ascii="Times New Roman" w:hAnsi="Times New Roman"/>
                <w:szCs w:val="20"/>
              </w:rPr>
              <w:t>氧化性</w:t>
            </w:r>
            <w:r>
              <w:rPr>
                <w:rFonts w:ascii="Times New Roman" w:hAnsi="Times New Roman"/>
                <w:szCs w:val="20"/>
              </w:rPr>
              <w:fldChar w:fldCharType="end"/>
            </w:r>
            <w:r>
              <w:rPr>
                <w:rFonts w:ascii="Times New Roman" w:hAnsi="Times New Roman"/>
                <w:szCs w:val="20"/>
              </w:rPr>
              <w:t>。</w:t>
            </w:r>
          </w:p>
        </w:tc>
        <w:tc>
          <w:tcPr>
            <w:tcW w:w="1785" w:type="dxa"/>
            <w:vAlign w:val="center"/>
          </w:tcPr>
          <w:p>
            <w:pPr>
              <w:jc w:val="center"/>
              <w:rPr>
                <w:rFonts w:ascii="Times New Roman" w:hAnsi="Times New Roman"/>
                <w:szCs w:val="20"/>
              </w:rPr>
            </w:pPr>
            <w:r>
              <w:rPr>
                <w:rFonts w:ascii="Times New Roman" w:hAnsi="Times New Roman"/>
                <w:szCs w:val="20"/>
              </w:rPr>
              <w:t>与有机物或</w:t>
            </w:r>
            <w:r>
              <w:fldChar w:fldCharType="begin"/>
            </w:r>
            <w:r>
              <w:instrText xml:space="preserve"> HYPERLINK "https://baike.sogou.com/lemma/ShowInnerLink.htm?lemmaId=379874&amp;ss_c=ssc.citiao.link" \t "_blank" </w:instrText>
            </w:r>
            <w:r>
              <w:fldChar w:fldCharType="separate"/>
            </w:r>
            <w:r>
              <w:rPr>
                <w:rFonts w:ascii="Times New Roman" w:hAnsi="Times New Roman"/>
                <w:szCs w:val="20"/>
              </w:rPr>
              <w:t>还原性</w:t>
            </w:r>
            <w:r>
              <w:rPr>
                <w:rFonts w:ascii="Times New Roman" w:hAnsi="Times New Roman"/>
                <w:szCs w:val="20"/>
              </w:rPr>
              <w:fldChar w:fldCharType="end"/>
            </w:r>
            <w:r>
              <w:rPr>
                <w:rFonts w:ascii="Times New Roman" w:hAnsi="Times New Roman"/>
                <w:szCs w:val="20"/>
              </w:rPr>
              <w:t>物质摩擦或撞击能引起烧或爆炸</w:t>
            </w:r>
          </w:p>
        </w:tc>
        <w:tc>
          <w:tcPr>
            <w:tcW w:w="1240" w:type="dxa"/>
            <w:vAlign w:val="center"/>
          </w:tcPr>
          <w:p>
            <w:pPr>
              <w:jc w:val="center"/>
              <w:rPr>
                <w:rFonts w:ascii="Times New Roman" w:hAnsi="Times New Roman"/>
                <w:szCs w:val="20"/>
              </w:rPr>
            </w:pPr>
            <w:r>
              <w:rPr>
                <w:rFonts w:ascii="Times New Roman" w:hAnsi="Times New Roman"/>
                <w:szCs w:val="20"/>
              </w:rPr>
              <w:t>低毒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64" w:type="dxa"/>
            <w:vAlign w:val="center"/>
          </w:tcPr>
          <w:p>
            <w:pPr>
              <w:jc w:val="center"/>
              <w:rPr>
                <w:rFonts w:ascii="Times New Roman" w:hAnsi="Times New Roman"/>
                <w:szCs w:val="20"/>
              </w:rPr>
            </w:pPr>
            <w:r>
              <w:rPr>
                <w:rFonts w:ascii="Times New Roman" w:hAnsi="Times New Roman"/>
                <w:szCs w:val="20"/>
              </w:rPr>
              <w:t>次氯酸</w:t>
            </w:r>
          </w:p>
        </w:tc>
        <w:tc>
          <w:tcPr>
            <w:tcW w:w="1138" w:type="dxa"/>
            <w:vAlign w:val="center"/>
          </w:tcPr>
          <w:p>
            <w:pPr>
              <w:jc w:val="center"/>
              <w:rPr>
                <w:rFonts w:ascii="Times New Roman" w:hAnsi="Times New Roman"/>
                <w:szCs w:val="20"/>
              </w:rPr>
            </w:pPr>
            <w:r>
              <w:rPr>
                <w:rFonts w:ascii="Times New Roman" w:hAnsi="Times New Roman"/>
                <w:szCs w:val="20"/>
              </w:rPr>
              <w:t>HClO</w:t>
            </w:r>
          </w:p>
        </w:tc>
        <w:tc>
          <w:tcPr>
            <w:tcW w:w="4539" w:type="dxa"/>
            <w:vAlign w:val="center"/>
          </w:tcPr>
          <w:p>
            <w:pPr>
              <w:jc w:val="center"/>
              <w:rPr>
                <w:rFonts w:ascii="Times New Roman" w:hAnsi="Times New Roman"/>
                <w:szCs w:val="20"/>
              </w:rPr>
            </w:pPr>
            <w:r>
              <w:rPr>
                <w:rFonts w:ascii="Times New Roman" w:hAnsi="Times New Roman"/>
                <w:szCs w:val="20"/>
              </w:rPr>
              <w:t>仅存在于溶液中，浓溶液呈黄色，稀溶液无色，有非常刺鼻的、类似</w:t>
            </w:r>
            <w:r>
              <w:fldChar w:fldCharType="begin"/>
            </w:r>
            <w:r>
              <w:instrText xml:space="preserve"> HYPERLINK "https://baike.baidu.com/item/%E6%B0%AF%E6%B0%94/1759805" \t "https://baike.baidu.com/item/%E6%AC%A1%E6%B0%AF%E9%85%B8/_blank" </w:instrText>
            </w:r>
            <w:r>
              <w:fldChar w:fldCharType="separate"/>
            </w:r>
            <w:r>
              <w:rPr>
                <w:rFonts w:ascii="Times New Roman" w:hAnsi="Times New Roman"/>
                <w:szCs w:val="20"/>
              </w:rPr>
              <w:t>氯气</w:t>
            </w:r>
            <w:r>
              <w:rPr>
                <w:rFonts w:ascii="Times New Roman" w:hAnsi="Times New Roman"/>
                <w:szCs w:val="20"/>
              </w:rPr>
              <w:fldChar w:fldCharType="end"/>
            </w:r>
            <w:r>
              <w:rPr>
                <w:rFonts w:ascii="Times New Roman" w:hAnsi="Times New Roman"/>
                <w:szCs w:val="20"/>
              </w:rPr>
              <w:t>的气味，而且极不稳定，是一种很弱的酸，比</w:t>
            </w:r>
            <w:r>
              <w:fldChar w:fldCharType="begin"/>
            </w:r>
            <w:r>
              <w:instrText xml:space="preserve"> HYPERLINK "https://baike.baidu.com/item/%E7%A2%B3%E9%85%B8/1000918" \t "https://baike.baidu.com/item/%E6%AC%A1%E6%B0%AF%E9%85%B8/_blank" </w:instrText>
            </w:r>
            <w:r>
              <w:fldChar w:fldCharType="separate"/>
            </w:r>
            <w:r>
              <w:rPr>
                <w:rFonts w:ascii="Times New Roman" w:hAnsi="Times New Roman"/>
                <w:szCs w:val="20"/>
              </w:rPr>
              <w:t>碳酸</w:t>
            </w:r>
            <w:r>
              <w:rPr>
                <w:rFonts w:ascii="Times New Roman" w:hAnsi="Times New Roman"/>
                <w:szCs w:val="20"/>
              </w:rPr>
              <w:fldChar w:fldCharType="end"/>
            </w:r>
            <w:r>
              <w:rPr>
                <w:rFonts w:ascii="Times New Roman" w:hAnsi="Times New Roman"/>
                <w:szCs w:val="20"/>
              </w:rPr>
              <w:t>弱，和</w:t>
            </w:r>
            <w:r>
              <w:fldChar w:fldCharType="begin"/>
            </w:r>
            <w:r>
              <w:instrText xml:space="preserve"> HYPERLINK "https://baike.baidu.com/item/%E6%B0%A2%E7%A1%AB%E9%85%B8/5359419" \t "https://baike.baidu.com/item/%E6%AC%A1%E6%B0%AF%E9%85%B8/_blank" </w:instrText>
            </w:r>
            <w:r>
              <w:fldChar w:fldCharType="separate"/>
            </w:r>
            <w:r>
              <w:rPr>
                <w:rFonts w:ascii="Times New Roman" w:hAnsi="Times New Roman"/>
                <w:szCs w:val="20"/>
              </w:rPr>
              <w:t>氢硫酸</w:t>
            </w:r>
            <w:r>
              <w:rPr>
                <w:rFonts w:ascii="Times New Roman" w:hAnsi="Times New Roman"/>
                <w:szCs w:val="20"/>
              </w:rPr>
              <w:fldChar w:fldCharType="end"/>
            </w:r>
            <w:r>
              <w:rPr>
                <w:rFonts w:ascii="Times New Roman" w:hAnsi="Times New Roman"/>
                <w:szCs w:val="20"/>
              </w:rPr>
              <w:t>相当。次氯酸也有很强的漂白作用，它的盐类可用做</w:t>
            </w:r>
            <w:r>
              <w:fldChar w:fldCharType="begin"/>
            </w:r>
            <w:r>
              <w:instrText xml:space="preserve"> HYPERLINK "https://baike.baidu.com/item/%E6%BC%82%E7%99%BD%E5%89%82/2531107" \t "https://baike.baidu.com/item/%E6%AC%A1%E6%B0%AF%E9%85%B8/_blank" </w:instrText>
            </w:r>
            <w:r>
              <w:fldChar w:fldCharType="separate"/>
            </w:r>
            <w:r>
              <w:rPr>
                <w:rFonts w:ascii="Times New Roman" w:hAnsi="Times New Roman"/>
                <w:szCs w:val="20"/>
              </w:rPr>
              <w:t>漂白剂</w:t>
            </w:r>
            <w:r>
              <w:rPr>
                <w:rFonts w:ascii="Times New Roman" w:hAnsi="Times New Roman"/>
                <w:szCs w:val="20"/>
              </w:rPr>
              <w:fldChar w:fldCharType="end"/>
            </w:r>
            <w:r>
              <w:rPr>
                <w:rFonts w:ascii="Times New Roman" w:hAnsi="Times New Roman"/>
                <w:szCs w:val="20"/>
              </w:rPr>
              <w:t>和</w:t>
            </w:r>
            <w:r>
              <w:fldChar w:fldCharType="begin"/>
            </w:r>
            <w:r>
              <w:instrText xml:space="preserve"> HYPERLINK "https://baike.baidu.com/item/%E6%B6%88%E6%AF%92%E5%89%82/7903794" \t "https://baike.baidu.com/item/%E6%AC%A1%E6%B0%AF%E9%85%B8/_blank" </w:instrText>
            </w:r>
            <w:r>
              <w:fldChar w:fldCharType="separate"/>
            </w:r>
            <w:r>
              <w:rPr>
                <w:rFonts w:ascii="Times New Roman" w:hAnsi="Times New Roman"/>
                <w:szCs w:val="20"/>
              </w:rPr>
              <w:t>消毒剂</w:t>
            </w:r>
            <w:r>
              <w:rPr>
                <w:rFonts w:ascii="Times New Roman" w:hAnsi="Times New Roman"/>
                <w:szCs w:val="20"/>
              </w:rPr>
              <w:fldChar w:fldCharType="end"/>
            </w:r>
            <w:r>
              <w:rPr>
                <w:rFonts w:ascii="Times New Roman" w:hAnsi="Times New Roman"/>
                <w:szCs w:val="20"/>
              </w:rPr>
              <w:t>。</w:t>
            </w:r>
          </w:p>
        </w:tc>
        <w:tc>
          <w:tcPr>
            <w:tcW w:w="1785" w:type="dxa"/>
            <w:vAlign w:val="center"/>
          </w:tcPr>
          <w:p>
            <w:pPr>
              <w:jc w:val="center"/>
              <w:rPr>
                <w:rFonts w:ascii="Times New Roman" w:hAnsi="Times New Roman"/>
                <w:szCs w:val="20"/>
              </w:rPr>
            </w:pPr>
            <w:r>
              <w:rPr>
                <w:rFonts w:ascii="Times New Roman" w:hAnsi="Times New Roman"/>
                <w:szCs w:val="20"/>
              </w:rPr>
              <w:t>不燃，</w:t>
            </w:r>
          </w:p>
          <w:p>
            <w:pPr>
              <w:jc w:val="center"/>
              <w:rPr>
                <w:rFonts w:ascii="Times New Roman" w:hAnsi="Times New Roman"/>
                <w:szCs w:val="20"/>
              </w:rPr>
            </w:pPr>
            <w:r>
              <w:rPr>
                <w:rFonts w:ascii="Times New Roman" w:hAnsi="Times New Roman"/>
                <w:szCs w:val="20"/>
              </w:rPr>
              <w:t>具</w:t>
            </w:r>
            <w:r>
              <w:fldChar w:fldCharType="begin"/>
            </w:r>
            <w:r>
              <w:instrText xml:space="preserve"> HYPERLINK "https://baike.so.com/doc/6094923-6308031.html" \t "https://baike.so.com/doc/_blank" </w:instrText>
            </w:r>
            <w:r>
              <w:fldChar w:fldCharType="separate"/>
            </w:r>
            <w:r>
              <w:rPr>
                <w:rFonts w:ascii="Times New Roman" w:hAnsi="Times New Roman"/>
                <w:szCs w:val="20"/>
              </w:rPr>
              <w:t>腐蚀性</w:t>
            </w:r>
            <w:r>
              <w:rPr>
                <w:rFonts w:ascii="Times New Roman" w:hAnsi="Times New Roman"/>
                <w:szCs w:val="20"/>
              </w:rPr>
              <w:fldChar w:fldCharType="end"/>
            </w:r>
          </w:p>
        </w:tc>
        <w:tc>
          <w:tcPr>
            <w:tcW w:w="1240" w:type="dxa"/>
            <w:vAlign w:val="center"/>
          </w:tcPr>
          <w:p>
            <w:pPr>
              <w:jc w:val="center"/>
              <w:rPr>
                <w:rFonts w:ascii="Times New Roman" w:hAnsi="Times New Roman"/>
                <w:szCs w:val="20"/>
              </w:rPr>
            </w:pPr>
            <w:r>
              <w:rPr>
                <w:rFonts w:ascii="Times New Roman" w:hAnsi="Times New Roman"/>
                <w:szCs w:val="20"/>
              </w:rPr>
              <w:t>无毒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64" w:type="dxa"/>
            <w:vAlign w:val="center"/>
          </w:tcPr>
          <w:p>
            <w:pPr>
              <w:jc w:val="center"/>
              <w:rPr>
                <w:rFonts w:ascii="Times New Roman" w:hAnsi="Times New Roman"/>
                <w:szCs w:val="20"/>
              </w:rPr>
            </w:pPr>
            <w:r>
              <w:rPr>
                <w:rFonts w:ascii="Times New Roman" w:hAnsi="Times New Roman"/>
                <w:szCs w:val="20"/>
              </w:rPr>
              <w:t>R22</w:t>
            </w:r>
          </w:p>
        </w:tc>
        <w:tc>
          <w:tcPr>
            <w:tcW w:w="1138" w:type="dxa"/>
            <w:vAlign w:val="center"/>
          </w:tcPr>
          <w:p>
            <w:pPr>
              <w:jc w:val="center"/>
              <w:rPr>
                <w:rFonts w:ascii="Times New Roman" w:hAnsi="Times New Roman"/>
                <w:szCs w:val="20"/>
              </w:rPr>
            </w:pPr>
            <w:r>
              <w:rPr>
                <w:rFonts w:ascii="Times New Roman" w:hAnsi="Times New Roman"/>
                <w:szCs w:val="20"/>
              </w:rPr>
              <w:t>CHCIF</w:t>
            </w:r>
            <w:r>
              <w:rPr>
                <w:rFonts w:ascii="Times New Roman" w:hAnsi="Times New Roman"/>
                <w:szCs w:val="20"/>
                <w:vertAlign w:val="subscript"/>
              </w:rPr>
              <w:t>2</w:t>
            </w:r>
          </w:p>
        </w:tc>
        <w:tc>
          <w:tcPr>
            <w:tcW w:w="4539" w:type="dxa"/>
            <w:vAlign w:val="center"/>
          </w:tcPr>
          <w:p>
            <w:pPr>
              <w:jc w:val="center"/>
              <w:rPr>
                <w:rFonts w:ascii="Times New Roman" w:hAnsi="Times New Roman"/>
                <w:szCs w:val="20"/>
              </w:rPr>
            </w:pPr>
            <w:r>
              <w:rPr>
                <w:rFonts w:ascii="Times New Roman" w:hAnsi="Times New Roman"/>
                <w:szCs w:val="20"/>
              </w:rPr>
              <w:t>形态：无色液化气体，有轻微乙醚味，气化温度：-40.8℃，蒸汽压 151.2（25℃）Psia；液体密度1194（25℃）kg/m</w:t>
            </w:r>
            <w:r>
              <w:rPr>
                <w:rFonts w:ascii="Times New Roman" w:hAnsi="Times New Roman"/>
                <w:szCs w:val="20"/>
                <w:vertAlign w:val="superscript"/>
              </w:rPr>
              <w:t>3</w:t>
            </w:r>
            <w:r>
              <w:rPr>
                <w:rFonts w:ascii="Times New Roman" w:hAnsi="Times New Roman"/>
                <w:szCs w:val="20"/>
              </w:rPr>
              <w:t>；温室效应系数HGWP0.43。</w:t>
            </w:r>
          </w:p>
        </w:tc>
        <w:tc>
          <w:tcPr>
            <w:tcW w:w="1785" w:type="dxa"/>
            <w:vAlign w:val="center"/>
          </w:tcPr>
          <w:p>
            <w:pPr>
              <w:jc w:val="center"/>
              <w:rPr>
                <w:rFonts w:ascii="Times New Roman" w:hAnsi="Times New Roman"/>
                <w:szCs w:val="20"/>
              </w:rPr>
            </w:pPr>
            <w:r>
              <w:rPr>
                <w:rFonts w:ascii="Times New Roman" w:hAnsi="Times New Roman"/>
                <w:szCs w:val="20"/>
              </w:rPr>
              <w:t>不燃烧、不爆炸、无腐蚀，在高温下会</w:t>
            </w:r>
          </w:p>
          <w:p>
            <w:pPr>
              <w:jc w:val="center"/>
              <w:rPr>
                <w:rFonts w:ascii="Times New Roman" w:hAnsi="Times New Roman"/>
                <w:szCs w:val="20"/>
              </w:rPr>
            </w:pPr>
            <w:r>
              <w:rPr>
                <w:rFonts w:ascii="Times New Roman" w:hAnsi="Times New Roman"/>
                <w:szCs w:val="20"/>
              </w:rPr>
              <w:t>发生裂解</w:t>
            </w:r>
          </w:p>
        </w:tc>
        <w:tc>
          <w:tcPr>
            <w:tcW w:w="1240" w:type="dxa"/>
            <w:vAlign w:val="center"/>
          </w:tcPr>
          <w:p>
            <w:pPr>
              <w:jc w:val="center"/>
              <w:rPr>
                <w:rFonts w:ascii="Times New Roman" w:hAnsi="Times New Roman"/>
                <w:szCs w:val="20"/>
              </w:rPr>
            </w:pPr>
            <w:r>
              <w:rPr>
                <w:rFonts w:ascii="Times New Roman" w:hAnsi="Times New Roman"/>
                <w:szCs w:val="20"/>
              </w:rPr>
              <w:t>低毒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64" w:type="dxa"/>
            <w:vAlign w:val="center"/>
          </w:tcPr>
          <w:p>
            <w:pPr>
              <w:jc w:val="center"/>
              <w:rPr>
                <w:rFonts w:ascii="Times New Roman" w:hAnsi="Times New Roman"/>
                <w:szCs w:val="20"/>
              </w:rPr>
            </w:pPr>
            <w:r>
              <w:rPr>
                <w:rFonts w:ascii="Times New Roman" w:hAnsi="Times New Roman"/>
                <w:szCs w:val="20"/>
              </w:rPr>
              <w:t>轻质柴油</w:t>
            </w:r>
          </w:p>
        </w:tc>
        <w:tc>
          <w:tcPr>
            <w:tcW w:w="1138" w:type="dxa"/>
            <w:vAlign w:val="center"/>
          </w:tcPr>
          <w:p>
            <w:pPr>
              <w:jc w:val="center"/>
              <w:rPr>
                <w:rFonts w:ascii="Times New Roman" w:hAnsi="Times New Roman"/>
                <w:szCs w:val="20"/>
              </w:rPr>
            </w:pPr>
            <w:r>
              <w:rPr>
                <w:rFonts w:ascii="Times New Roman" w:hAnsi="Times New Roman"/>
                <w:szCs w:val="20"/>
              </w:rPr>
              <w:t>复杂烃类（碳原子数约10～22）混合物</w:t>
            </w:r>
          </w:p>
        </w:tc>
        <w:tc>
          <w:tcPr>
            <w:tcW w:w="4539" w:type="dxa"/>
            <w:vAlign w:val="center"/>
          </w:tcPr>
          <w:p>
            <w:pPr>
              <w:jc w:val="center"/>
              <w:rPr>
                <w:rFonts w:ascii="Times New Roman" w:hAnsi="Times New Roman"/>
                <w:szCs w:val="20"/>
              </w:rPr>
            </w:pPr>
            <w:r>
              <w:rPr>
                <w:rFonts w:ascii="Times New Roman" w:hAnsi="Times New Roman"/>
                <w:szCs w:val="20"/>
              </w:rPr>
              <w:t>沸点范围为180～370℃；</w:t>
            </w:r>
            <w:r>
              <w:fldChar w:fldCharType="begin"/>
            </w:r>
            <w:r>
              <w:instrText xml:space="preserve"> HYPERLINK "https://baike.baidu.com/item/%E6%B2%B8%E7%82%B9" \t "_blank" </w:instrText>
            </w:r>
            <w:r>
              <w:fldChar w:fldCharType="separate"/>
            </w:r>
            <w:r>
              <w:rPr>
                <w:rFonts w:ascii="Times New Roman" w:hAnsi="Times New Roman"/>
                <w:szCs w:val="20"/>
              </w:rPr>
              <w:t>沸点</w:t>
            </w:r>
            <w:r>
              <w:rPr>
                <w:rFonts w:ascii="Times New Roman" w:hAnsi="Times New Roman"/>
                <w:szCs w:val="20"/>
              </w:rPr>
              <w:fldChar w:fldCharType="end"/>
            </w:r>
            <w:r>
              <w:rPr>
                <w:rFonts w:ascii="Times New Roman" w:hAnsi="Times New Roman"/>
                <w:szCs w:val="20"/>
              </w:rPr>
              <w:t>范围和</w:t>
            </w:r>
            <w:r>
              <w:fldChar w:fldCharType="begin"/>
            </w:r>
            <w:r>
              <w:instrText xml:space="preserve"> HYPERLINK "https://baike.baidu.com/item/%E9%BB%8F%E5%BA%A6" \t "_blank" </w:instrText>
            </w:r>
            <w:r>
              <w:fldChar w:fldCharType="separate"/>
            </w:r>
            <w:r>
              <w:rPr>
                <w:rFonts w:ascii="Times New Roman" w:hAnsi="Times New Roman"/>
                <w:szCs w:val="20"/>
              </w:rPr>
              <w:t>黏度</w:t>
            </w:r>
            <w:r>
              <w:rPr>
                <w:rFonts w:ascii="Times New Roman" w:hAnsi="Times New Roman"/>
                <w:szCs w:val="20"/>
              </w:rPr>
              <w:fldChar w:fldCharType="end"/>
            </w:r>
            <w:r>
              <w:rPr>
                <w:rFonts w:ascii="Times New Roman" w:hAnsi="Times New Roman"/>
                <w:szCs w:val="20"/>
              </w:rPr>
              <w:t>介于</w:t>
            </w:r>
            <w:r>
              <w:fldChar w:fldCharType="begin"/>
            </w:r>
            <w:r>
              <w:instrText xml:space="preserve"> HYPERLINK "https://baike.baidu.com/item/%E7%85%A4%E6%B2%B9" \t "_blank" </w:instrText>
            </w:r>
            <w:r>
              <w:fldChar w:fldCharType="separate"/>
            </w:r>
            <w:r>
              <w:rPr>
                <w:rFonts w:ascii="Times New Roman" w:hAnsi="Times New Roman"/>
                <w:szCs w:val="20"/>
              </w:rPr>
              <w:t>煤油</w:t>
            </w:r>
            <w:r>
              <w:rPr>
                <w:rFonts w:ascii="Times New Roman" w:hAnsi="Times New Roman"/>
                <w:szCs w:val="20"/>
              </w:rPr>
              <w:fldChar w:fldCharType="end"/>
            </w:r>
            <w:r>
              <w:rPr>
                <w:rFonts w:ascii="Times New Roman" w:hAnsi="Times New Roman"/>
                <w:szCs w:val="20"/>
              </w:rPr>
              <w:t>与</w:t>
            </w:r>
            <w:r>
              <w:fldChar w:fldCharType="begin"/>
            </w:r>
            <w:r>
              <w:instrText xml:space="preserve"> HYPERLINK "https://baike.baidu.com/item/%E6%B6%A6%E6%BB%91%E6%B2%B9" \t "_blank" </w:instrText>
            </w:r>
            <w:r>
              <w:fldChar w:fldCharType="separate"/>
            </w:r>
            <w:r>
              <w:rPr>
                <w:rFonts w:ascii="Times New Roman" w:hAnsi="Times New Roman"/>
                <w:szCs w:val="20"/>
              </w:rPr>
              <w:t>润滑油</w:t>
            </w:r>
            <w:r>
              <w:rPr>
                <w:rFonts w:ascii="Times New Roman" w:hAnsi="Times New Roman"/>
                <w:szCs w:val="20"/>
              </w:rPr>
              <w:fldChar w:fldCharType="end"/>
            </w:r>
            <w:r>
              <w:rPr>
                <w:rFonts w:ascii="Times New Roman" w:hAnsi="Times New Roman"/>
                <w:szCs w:val="20"/>
              </w:rPr>
              <w:t>之间的液态</w:t>
            </w:r>
            <w:r>
              <w:fldChar w:fldCharType="begin"/>
            </w:r>
            <w:r>
              <w:instrText xml:space="preserve"> HYPERLINK "https://baike.baidu.com/item/%E7%9F%B3%E6%B2%B9%E9%A6%8F%E5%88%86/12730127" \t "_blank" </w:instrText>
            </w:r>
            <w:r>
              <w:fldChar w:fldCharType="separate"/>
            </w:r>
            <w:r>
              <w:rPr>
                <w:rFonts w:ascii="Times New Roman" w:hAnsi="Times New Roman"/>
                <w:szCs w:val="20"/>
              </w:rPr>
              <w:t>石油馏分</w:t>
            </w:r>
            <w:r>
              <w:rPr>
                <w:rFonts w:ascii="Times New Roman" w:hAnsi="Times New Roman"/>
                <w:szCs w:val="20"/>
              </w:rPr>
              <w:fldChar w:fldCharType="end"/>
            </w:r>
            <w:r>
              <w:rPr>
                <w:rFonts w:ascii="Times New Roman" w:hAnsi="Times New Roman"/>
                <w:szCs w:val="20"/>
              </w:rPr>
              <w:t>。是组分复杂的</w:t>
            </w:r>
            <w:r>
              <w:fldChar w:fldCharType="begin"/>
            </w:r>
            <w:r>
              <w:instrText xml:space="preserve"> HYPERLINK "https://baike.baidu.com/item/%E6%B7%B7%E5%90%88%E7%89%A9" \t "_blank" </w:instrText>
            </w:r>
            <w:r>
              <w:fldChar w:fldCharType="separate"/>
            </w:r>
            <w:r>
              <w:rPr>
                <w:rFonts w:ascii="Times New Roman" w:hAnsi="Times New Roman"/>
                <w:szCs w:val="20"/>
              </w:rPr>
              <w:t>混合物</w:t>
            </w:r>
            <w:r>
              <w:rPr>
                <w:rFonts w:ascii="Times New Roman" w:hAnsi="Times New Roman"/>
                <w:szCs w:val="20"/>
              </w:rPr>
              <w:fldChar w:fldCharType="end"/>
            </w:r>
            <w:r>
              <w:rPr>
                <w:rFonts w:ascii="Times New Roman" w:hAnsi="Times New Roman"/>
                <w:szCs w:val="20"/>
              </w:rPr>
              <w:t>。</w:t>
            </w:r>
          </w:p>
        </w:tc>
        <w:tc>
          <w:tcPr>
            <w:tcW w:w="1785" w:type="dxa"/>
            <w:vAlign w:val="center"/>
          </w:tcPr>
          <w:p>
            <w:pPr>
              <w:jc w:val="center"/>
              <w:rPr>
                <w:rFonts w:ascii="Times New Roman" w:hAnsi="Times New Roman"/>
                <w:szCs w:val="20"/>
              </w:rPr>
            </w:pPr>
            <w:r>
              <w:rPr>
                <w:rFonts w:ascii="Times New Roman" w:hAnsi="Times New Roman"/>
                <w:szCs w:val="20"/>
              </w:rPr>
              <w:t>易燃易爆</w:t>
            </w:r>
          </w:p>
        </w:tc>
        <w:tc>
          <w:tcPr>
            <w:tcW w:w="1240" w:type="dxa"/>
            <w:vAlign w:val="center"/>
          </w:tcPr>
          <w:p>
            <w:pPr>
              <w:jc w:val="center"/>
              <w:rPr>
                <w:rFonts w:ascii="Times New Roman" w:hAnsi="Times New Roman"/>
                <w:szCs w:val="20"/>
              </w:rPr>
            </w:pPr>
            <w:r>
              <w:rPr>
                <w:rFonts w:ascii="Times New Roman" w:hAnsi="Times New Roman"/>
                <w:szCs w:val="20"/>
              </w:rPr>
              <w:t>低毒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64" w:type="dxa"/>
            <w:vAlign w:val="center"/>
          </w:tcPr>
          <w:p>
            <w:pPr>
              <w:jc w:val="center"/>
              <w:rPr>
                <w:rFonts w:ascii="Times New Roman" w:hAnsi="Times New Roman"/>
                <w:szCs w:val="20"/>
              </w:rPr>
            </w:pPr>
            <w:r>
              <w:rPr>
                <w:rFonts w:ascii="Times New Roman" w:hAnsi="Times New Roman"/>
                <w:szCs w:val="20"/>
              </w:rPr>
              <w:t>导热油</w:t>
            </w:r>
          </w:p>
        </w:tc>
        <w:tc>
          <w:tcPr>
            <w:tcW w:w="1138" w:type="dxa"/>
            <w:vAlign w:val="center"/>
          </w:tcPr>
          <w:p>
            <w:pPr>
              <w:jc w:val="center"/>
              <w:rPr>
                <w:rFonts w:ascii="Times New Roman" w:hAnsi="Times New Roman"/>
                <w:szCs w:val="20"/>
              </w:rPr>
            </w:pPr>
            <w:r>
              <w:rPr>
                <w:rFonts w:ascii="Times New Roman" w:hAnsi="Times New Roman"/>
                <w:szCs w:val="20"/>
              </w:rPr>
              <w:t>十二烷基苯</w:t>
            </w:r>
          </w:p>
        </w:tc>
        <w:tc>
          <w:tcPr>
            <w:tcW w:w="4539" w:type="dxa"/>
            <w:vAlign w:val="center"/>
          </w:tcPr>
          <w:p>
            <w:pPr>
              <w:jc w:val="center"/>
              <w:rPr>
                <w:rFonts w:ascii="Times New Roman" w:hAnsi="Times New Roman"/>
                <w:szCs w:val="20"/>
              </w:rPr>
            </w:pPr>
            <w:r>
              <w:rPr>
                <w:rFonts w:ascii="Times New Roman" w:hAnsi="Times New Roman"/>
                <w:szCs w:val="20"/>
              </w:rPr>
              <w:t>沸点331℃；相对密度（20/4℃）为0.8551；折射率（20℃）为1.4824；燃烧热（Kj/mol）为10538.9；不溶于水，但能很好溶解石油烃类。</w:t>
            </w:r>
          </w:p>
        </w:tc>
        <w:tc>
          <w:tcPr>
            <w:tcW w:w="1785" w:type="dxa"/>
            <w:vAlign w:val="center"/>
          </w:tcPr>
          <w:p>
            <w:pPr>
              <w:jc w:val="center"/>
              <w:rPr>
                <w:rFonts w:ascii="Times New Roman" w:hAnsi="Times New Roman"/>
                <w:szCs w:val="20"/>
              </w:rPr>
            </w:pPr>
            <w:r>
              <w:rPr>
                <w:rFonts w:ascii="Times New Roman" w:hAnsi="Times New Roman"/>
                <w:szCs w:val="20"/>
              </w:rPr>
              <w:t>不易着火</w:t>
            </w:r>
          </w:p>
        </w:tc>
        <w:tc>
          <w:tcPr>
            <w:tcW w:w="1240" w:type="dxa"/>
            <w:vAlign w:val="center"/>
          </w:tcPr>
          <w:p>
            <w:pPr>
              <w:jc w:val="center"/>
              <w:rPr>
                <w:rFonts w:ascii="Times New Roman" w:hAnsi="Times New Roman"/>
                <w:szCs w:val="20"/>
              </w:rPr>
            </w:pPr>
            <w:r>
              <w:rPr>
                <w:rFonts w:ascii="Times New Roman" w:hAnsi="Times New Roman"/>
                <w:szCs w:val="20"/>
              </w:rPr>
              <w:t>低毒</w:t>
            </w:r>
          </w:p>
        </w:tc>
      </w:tr>
    </w:tbl>
    <w:p>
      <w:pPr>
        <w:pStyle w:val="4"/>
        <w:spacing w:before="120" w:beforeLines="50" w:after="120" w:afterLines="50" w:line="480" w:lineRule="exact"/>
        <w:rPr>
          <w:rFonts w:ascii="Times New Roman" w:hAnsi="Times New Roman" w:eastAsia="黑体"/>
          <w:bCs/>
          <w:sz w:val="28"/>
          <w:szCs w:val="28"/>
        </w:rPr>
      </w:pPr>
      <w:bookmarkStart w:id="577" w:name="_Toc392"/>
      <w:r>
        <w:rPr>
          <w:rFonts w:ascii="Times New Roman" w:hAnsi="Times New Roman" w:eastAsia="黑体"/>
          <w:bCs/>
          <w:sz w:val="28"/>
          <w:szCs w:val="28"/>
        </w:rPr>
        <w:t>物料平衡</w:t>
      </w:r>
      <w:bookmarkEnd w:id="577"/>
    </w:p>
    <w:p>
      <w:pPr>
        <w:spacing w:line="480" w:lineRule="exact"/>
        <w:ind w:firstLine="480" w:firstLineChars="200"/>
        <w:rPr>
          <w:rFonts w:ascii="Times New Roman" w:hAnsi="Times New Roman"/>
          <w:kern w:val="2"/>
          <w:sz w:val="24"/>
          <w:szCs w:val="24"/>
        </w:rPr>
      </w:pPr>
      <w:r>
        <w:rPr>
          <w:rFonts w:ascii="Times New Roman" w:hAnsi="Times New Roman"/>
          <w:kern w:val="2"/>
          <w:sz w:val="24"/>
          <w:szCs w:val="24"/>
        </w:rPr>
        <w:t>本项目医疗废物高温干热过程中的物料变化主要是水分的变化，挥发性有机物的挥发量极少，忽略不计，物料平衡见下图。</w:t>
      </w:r>
    </w:p>
    <w:p>
      <w:pPr>
        <w:jc w:val="center"/>
        <w:rPr>
          <w:rFonts w:ascii="Times New Roman" w:hAnsi="Times New Roman"/>
          <w:sz w:val="20"/>
        </w:rPr>
      </w:pPr>
      <w:r>
        <w:rPr>
          <w:rFonts w:ascii="Times New Roman" w:hAnsi="Times New Roman"/>
          <w:sz w:val="20"/>
        </w:rPr>
        <mc:AlternateContent>
          <mc:Choice Requires="wpc">
            <w:drawing>
              <wp:inline distT="0" distB="0" distL="114300" distR="114300">
                <wp:extent cx="4144645" cy="1150620"/>
                <wp:effectExtent l="0" t="0" r="0" b="0"/>
                <wp:docPr id="16" name="画布 18"/>
                <wp:cNvGraphicFramePr/>
                <a:graphic xmlns:a="http://schemas.openxmlformats.org/drawingml/2006/main">
                  <a:graphicData uri="http://schemas.microsoft.com/office/word/2010/wordprocessingCanvas">
                    <wpc:wpc>
                      <wpc:bg>
                        <a:noFill/>
                      </wpc:bg>
                      <wpc:whole>
                        <a:ln>
                          <a:noFill/>
                        </a:ln>
                      </wpc:whole>
                      <wps:wsp>
                        <wps:cNvPr id="7" name="自选图形 18229"/>
                        <wps:cNvCnPr/>
                        <wps:spPr>
                          <a:xfrm rot="-5400000">
                            <a:off x="1255760" y="545830"/>
                            <a:ext cx="252000" cy="0"/>
                          </a:xfrm>
                          <a:prstGeom prst="straightConnector1">
                            <a:avLst/>
                          </a:prstGeom>
                          <a:ln w="6350" cap="flat" cmpd="sng">
                            <a:solidFill>
                              <a:srgbClr val="000000"/>
                            </a:solidFill>
                            <a:prstDash val="solid"/>
                            <a:headEnd type="none" w="med" len="med"/>
                            <a:tailEnd type="triangle" w="med" len="med"/>
                          </a:ln>
                        </wps:spPr>
                        <wps:bodyPr/>
                      </wps:wsp>
                      <wps:wsp>
                        <wps:cNvPr id="8" name="自选图形 18229"/>
                        <wps:cNvCnPr/>
                        <wps:spPr>
                          <a:xfrm>
                            <a:off x="816611" y="788670"/>
                            <a:ext cx="355600" cy="0"/>
                          </a:xfrm>
                          <a:prstGeom prst="straightConnector1">
                            <a:avLst/>
                          </a:prstGeom>
                          <a:ln w="6350" cap="flat" cmpd="sng">
                            <a:solidFill>
                              <a:srgbClr val="000000"/>
                            </a:solidFill>
                            <a:prstDash val="solid"/>
                            <a:headEnd type="none" w="med" len="med"/>
                            <a:tailEnd type="triangle" w="med" len="med"/>
                          </a:ln>
                        </wps:spPr>
                        <wps:bodyPr/>
                      </wps:wsp>
                      <wps:wsp>
                        <wps:cNvPr id="9" name="文本框 18181"/>
                        <wps:cNvSpPr txBox="1"/>
                        <wps:spPr>
                          <a:xfrm>
                            <a:off x="1177290" y="656590"/>
                            <a:ext cx="1196341" cy="254000"/>
                          </a:xfrm>
                          <a:prstGeom prst="rect">
                            <a:avLst/>
                          </a:prstGeom>
                          <a:noFill/>
                          <a:ln w="6350" cap="flat" cmpd="sng">
                            <a:solidFill>
                              <a:srgbClr val="000000"/>
                            </a:solidFill>
                            <a:prstDash val="solid"/>
                            <a:miter/>
                            <a:headEnd type="none" w="med" len="med"/>
                            <a:tailEnd type="none" w="med" len="med"/>
                          </a:ln>
                        </wps:spPr>
                        <wps:txbx>
                          <w:txbxContent>
                            <w:p>
                              <w:pPr>
                                <w:pStyle w:val="72"/>
                                <w:spacing w:before="0" w:beforeAutospacing="0" w:after="0" w:afterAutospacing="0" w:line="240" w:lineRule="exact"/>
                                <w:jc w:val="center"/>
                                <w:rPr>
                                  <w:rFonts w:ascii="Times New Roman" w:hAnsi="Times New Roman" w:cs="Times New Roman"/>
                                </w:rPr>
                              </w:pPr>
                              <w:r>
                                <w:rPr>
                                  <w:rFonts w:hint="eastAsia" w:ascii="Times New Roman" w:hAnsi="Times New Roman" w:cs="Times New Roman"/>
                                  <w:kern w:val="2"/>
                                </w:rPr>
                                <w:t>高温干热</w:t>
                              </w:r>
                            </w:p>
                          </w:txbxContent>
                        </wps:txbx>
                        <wps:bodyPr wrap="square" lIns="95269" tIns="47632" rIns="95269" bIns="47632" upright="1"/>
                      </wps:wsp>
                      <wps:wsp>
                        <wps:cNvPr id="10" name="文本框 18208"/>
                        <wps:cNvSpPr txBox="1"/>
                        <wps:spPr>
                          <a:xfrm>
                            <a:off x="966470" y="66675"/>
                            <a:ext cx="765176" cy="441325"/>
                          </a:xfrm>
                          <a:prstGeom prst="rect">
                            <a:avLst/>
                          </a:prstGeom>
                          <a:noFill/>
                          <a:ln w="6350">
                            <a:noFill/>
                          </a:ln>
                        </wps:spPr>
                        <wps:txbx>
                          <w:txbxContent>
                            <w:p>
                              <w:pPr>
                                <w:pStyle w:val="72"/>
                                <w:spacing w:before="0" w:beforeAutospacing="0" w:after="0" w:afterAutospacing="0" w:line="240" w:lineRule="exact"/>
                                <w:jc w:val="center"/>
                                <w:rPr>
                                  <w:rFonts w:ascii="Times New Roman" w:hAnsi="Times New Roman" w:cs="Times New Roman"/>
                                  <w:kern w:val="2"/>
                                </w:rPr>
                              </w:pPr>
                              <w:r>
                                <w:rPr>
                                  <w:rFonts w:hint="eastAsia" w:ascii="Times New Roman" w:hAnsi="Times New Roman" w:cs="Times New Roman"/>
                                  <w:kern w:val="2"/>
                                </w:rPr>
                                <w:t>蒸发消耗</w:t>
                              </w:r>
                            </w:p>
                            <w:p>
                              <w:pPr>
                                <w:pStyle w:val="72"/>
                                <w:spacing w:before="0" w:beforeAutospacing="0" w:after="0" w:afterAutospacing="0" w:line="240" w:lineRule="exact"/>
                                <w:jc w:val="center"/>
                                <w:rPr>
                                  <w:rFonts w:ascii="Times New Roman" w:hAnsi="Times New Roman" w:cs="Times New Roman"/>
                                </w:rPr>
                              </w:pPr>
                              <w:r>
                                <w:rPr>
                                  <w:rFonts w:ascii="Times New Roman" w:hAnsi="Times New Roman" w:cs="Times New Roman"/>
                                  <w:kern w:val="2"/>
                                </w:rPr>
                                <w:t>1</w:t>
                              </w:r>
                            </w:p>
                          </w:txbxContent>
                        </wps:txbx>
                        <wps:bodyPr wrap="square" lIns="95269" tIns="47632" rIns="95269" bIns="47632" upright="1"/>
                      </wps:wsp>
                      <wps:wsp>
                        <wps:cNvPr id="11" name="文本框 18208"/>
                        <wps:cNvSpPr txBox="1"/>
                        <wps:spPr>
                          <a:xfrm>
                            <a:off x="734696" y="575311"/>
                            <a:ext cx="504825" cy="228600"/>
                          </a:xfrm>
                          <a:prstGeom prst="rect">
                            <a:avLst/>
                          </a:prstGeom>
                          <a:noFill/>
                          <a:ln w="6350">
                            <a:noFill/>
                          </a:ln>
                        </wps:spPr>
                        <wps:txbx>
                          <w:txbxContent>
                            <w:p>
                              <w:pPr>
                                <w:pStyle w:val="72"/>
                                <w:spacing w:before="0" w:beforeAutospacing="0" w:after="0" w:afterAutospacing="0" w:line="240" w:lineRule="exact"/>
                                <w:jc w:val="center"/>
                                <w:rPr>
                                  <w:rFonts w:ascii="Times New Roman" w:hAnsi="Times New Roman" w:cs="Times New Roman"/>
                                </w:rPr>
                              </w:pPr>
                              <w:r>
                                <w:rPr>
                                  <w:rFonts w:ascii="Times New Roman" w:hAnsi="Times New Roman" w:cs="Times New Roman"/>
                                  <w:kern w:val="2"/>
                                </w:rPr>
                                <w:t>5</w:t>
                              </w:r>
                            </w:p>
                          </w:txbxContent>
                        </wps:txbx>
                        <wps:bodyPr wrap="square" lIns="95269" tIns="47632" rIns="95269" bIns="47632" upright="1"/>
                      </wps:wsp>
                      <wps:wsp>
                        <wps:cNvPr id="12" name="文本框 18208"/>
                        <wps:cNvSpPr txBox="1"/>
                        <wps:spPr>
                          <a:xfrm>
                            <a:off x="2321561" y="588010"/>
                            <a:ext cx="428625" cy="228600"/>
                          </a:xfrm>
                          <a:prstGeom prst="rect">
                            <a:avLst/>
                          </a:prstGeom>
                          <a:noFill/>
                          <a:ln w="6350">
                            <a:noFill/>
                          </a:ln>
                        </wps:spPr>
                        <wps:txbx>
                          <w:txbxContent>
                            <w:p>
                              <w:pPr>
                                <w:pStyle w:val="72"/>
                                <w:spacing w:before="0" w:beforeAutospacing="0" w:after="0" w:afterAutospacing="0" w:line="240" w:lineRule="exact"/>
                                <w:jc w:val="center"/>
                                <w:rPr>
                                  <w:rFonts w:ascii="Times New Roman" w:hAnsi="Times New Roman" w:cs="Times New Roman"/>
                                </w:rPr>
                              </w:pPr>
                              <w:r>
                                <w:rPr>
                                  <w:rFonts w:ascii="Times New Roman" w:hAnsi="Times New Roman" w:cs="Times New Roman"/>
                                  <w:kern w:val="2"/>
                                </w:rPr>
                                <w:t>4</w:t>
                              </w:r>
                            </w:p>
                          </w:txbxContent>
                        </wps:txbx>
                        <wps:bodyPr wrap="square" lIns="95269" tIns="47632" rIns="95269" bIns="47632" upright="1"/>
                      </wps:wsp>
                      <wps:wsp>
                        <wps:cNvPr id="13" name="自选图形 18229"/>
                        <wps:cNvCnPr/>
                        <wps:spPr>
                          <a:xfrm>
                            <a:off x="2387601" y="789305"/>
                            <a:ext cx="355600" cy="0"/>
                          </a:xfrm>
                          <a:prstGeom prst="straightConnector1">
                            <a:avLst/>
                          </a:prstGeom>
                          <a:ln w="6350" cap="flat" cmpd="sng">
                            <a:solidFill>
                              <a:srgbClr val="000000"/>
                            </a:solidFill>
                            <a:prstDash val="solid"/>
                            <a:headEnd type="none" w="med" len="med"/>
                            <a:tailEnd type="triangle" w="med" len="med"/>
                          </a:ln>
                        </wps:spPr>
                        <wps:bodyPr/>
                      </wps:wsp>
                      <wps:wsp>
                        <wps:cNvPr id="14" name="文本框 18181"/>
                        <wps:cNvSpPr txBox="1"/>
                        <wps:spPr>
                          <a:xfrm>
                            <a:off x="2745741" y="666115"/>
                            <a:ext cx="1289050" cy="255270"/>
                          </a:xfrm>
                          <a:prstGeom prst="rect">
                            <a:avLst/>
                          </a:prstGeom>
                          <a:noFill/>
                          <a:ln w="6350" cap="flat" cmpd="sng">
                            <a:solidFill>
                              <a:srgbClr val="000000"/>
                            </a:solidFill>
                            <a:prstDash val="solid"/>
                            <a:miter/>
                            <a:headEnd type="none" w="med" len="med"/>
                            <a:tailEnd type="none" w="med" len="med"/>
                          </a:ln>
                        </wps:spPr>
                        <wps:txbx>
                          <w:txbxContent>
                            <w:p>
                              <w:pPr>
                                <w:pStyle w:val="72"/>
                                <w:spacing w:before="0" w:beforeAutospacing="0" w:after="0" w:afterAutospacing="0" w:line="240" w:lineRule="exact"/>
                                <w:jc w:val="center"/>
                                <w:rPr>
                                  <w:rFonts w:ascii="Times New Roman" w:hAnsi="Times New Roman" w:cs="Times New Roman"/>
                                </w:rPr>
                              </w:pPr>
                              <w:r>
                                <w:rPr>
                                  <w:rFonts w:hint="eastAsia" w:ascii="Times New Roman" w:hAnsi="Times New Roman" w:cs="Times New Roman"/>
                                  <w:kern w:val="2"/>
                                </w:rPr>
                                <w:t>处理后的医疗废物</w:t>
                              </w:r>
                            </w:p>
                          </w:txbxContent>
                        </wps:txbx>
                        <wps:bodyPr wrap="square" lIns="95269" tIns="47632" rIns="95269" bIns="47632" upright="1"/>
                      </wps:wsp>
                      <wps:wsp>
                        <wps:cNvPr id="15" name="文本框 18181"/>
                        <wps:cNvSpPr txBox="1"/>
                        <wps:spPr>
                          <a:xfrm>
                            <a:off x="23495" y="655955"/>
                            <a:ext cx="787401" cy="254000"/>
                          </a:xfrm>
                          <a:prstGeom prst="rect">
                            <a:avLst/>
                          </a:prstGeom>
                          <a:noFill/>
                          <a:ln w="6350" cap="flat" cmpd="sng">
                            <a:solidFill>
                              <a:srgbClr val="000000"/>
                            </a:solidFill>
                            <a:prstDash val="solid"/>
                            <a:miter/>
                            <a:headEnd type="none" w="med" len="med"/>
                            <a:tailEnd type="none" w="med" len="med"/>
                          </a:ln>
                        </wps:spPr>
                        <wps:txbx>
                          <w:txbxContent>
                            <w:p>
                              <w:pPr>
                                <w:pStyle w:val="72"/>
                                <w:spacing w:before="0" w:beforeAutospacing="0" w:after="0" w:afterAutospacing="0" w:line="240" w:lineRule="exact"/>
                                <w:jc w:val="center"/>
                                <w:rPr>
                                  <w:rFonts w:ascii="Times New Roman" w:hAnsi="Times New Roman" w:cs="Times New Roman"/>
                                </w:rPr>
                              </w:pPr>
                              <w:r>
                                <w:rPr>
                                  <w:rFonts w:hint="eastAsia" w:ascii="Times New Roman" w:hAnsi="Times New Roman" w:cs="Times New Roman"/>
                                  <w:kern w:val="2"/>
                                </w:rPr>
                                <w:t>医疗废物</w:t>
                              </w:r>
                            </w:p>
                          </w:txbxContent>
                        </wps:txbx>
                        <wps:bodyPr wrap="square" lIns="95269" tIns="47632" rIns="95269" bIns="47632" upright="1"/>
                      </wps:wsp>
                    </wpc:wpc>
                  </a:graphicData>
                </a:graphic>
              </wp:inline>
            </w:drawing>
          </mc:Choice>
          <mc:Fallback>
            <w:pict>
              <v:group id="画布 18" o:spid="_x0000_s1026" o:spt="203" style="height:90.6pt;width:326.35pt;" coordsize="4144645,1150620" editas="canvas" o:gfxdata="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">
                <o:lock v:ext="edit" aspectratio="f"/>
                <v:shape id="画布 18" o:spid="_x0000_s1026" style="position:absolute;left:0;top:0;height:1150620;width:4144645;" filled="f" stroked="f" coordsize="21600,21600" o:gfxdata="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">
                  <v:fill on="f" focussize="0,0"/>
                  <v:stroke on="f"/>
                  <v:imagedata o:title=""/>
                  <o:lock v:ext="edit" aspectratio="f"/>
                </v:shape>
                <v:shape id="自选图形 18229" o:spid="_x0000_s1026" o:spt="32" type="#_x0000_t32" style="position:absolute;left:1255760;top:545830;height:0;width:252000;rotation:-5898240f;" filled="f" stroked="t" coordsize="21600,21600" o:gfxdata="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QPTjS1QAAAAUBAAAPAAAAAAAA&#10;AAEAIAAAACIAAABkcnMvZG93bnJldi54bWxQSwECFAAUAAAACACHTuJAn5lHgRUCAAAEBAAADgAA&#10;AAAAAAABACAAAAAkAQAAZHJzL2Uyb0RvYy54bWxQSwUGAAAAAAYABgBZAQAAqwUAAAAA&#10;">
                  <v:fill on="f" focussize="0,0"/>
                  <v:stroke weight="0.5pt" color="#000000" joinstyle="round" endarrow="block"/>
                  <v:imagedata o:title=""/>
                  <o:lock v:ext="edit" aspectratio="f"/>
                </v:shape>
                <v:shape id="自选图形 18229" o:spid="_x0000_s1026" o:spt="32" type="#_x0000_t32" style="position:absolute;left:816611;top:788670;height:0;width:355600;" filled="f" stroked="t" coordsize="21600,21600" o:gfxdata="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fVbZhNUAAAAFAQAADwAAAAAAAAABACAAAAAiAAAA&#10;ZHJzL2Rvd25yZXYueG1sUEsBAhQAFAAAAAgAh07iQELScSYKAgAA9AMAAA4AAAAAAAAAAQAgAAAA&#10;JAEAAGRycy9lMm9Eb2MueG1sUEsFBgAAAAAGAAYAWQEAAKAFAAAAAA==&#10;">
                  <v:fill on="f" focussize="0,0"/>
                  <v:stroke weight="0.5pt" color="#000000" joinstyle="round" endarrow="block"/>
                  <v:imagedata o:title=""/>
                  <o:lock v:ext="edit" aspectratio="f"/>
                </v:shape>
                <v:shape id="文本框 18181" o:spid="_x0000_s1026" o:spt="202" type="#_x0000_t202" style="position:absolute;left:1177290;top:656590;height:254000;width:1196341;" filled="f" stroked="t" coordsize="21600,21600" o:gfxdata="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DeWfq/0wAAAAUBAAAPAAAAAAAAAAEAIAAAACIAAABkcnMvZG93bnJldi54bWxQ&#10;SwECFAAUAAAACACHTuJAWPWzlzUCAABeBAAADgAAAAAAAAABACAAAAAiAQAAZHJzL2Uyb0RvYy54&#10;bWxQSwUGAAAAAAYABgBZAQAAyQUAAAAA&#10;">
                  <v:fill on="f" focussize="0,0"/>
                  <v:stroke weight="0.5pt" color="#000000" joinstyle="miter"/>
                  <v:imagedata o:title=""/>
                  <o:lock v:ext="edit" aspectratio="f"/>
                  <v:textbox inset="7.50149606299213pt,0.0520909886264217in,7.50149606299213pt,0.0520909886264217in">
                    <w:txbxContent>
                      <w:p>
                        <w:pPr>
                          <w:pStyle w:val="72"/>
                          <w:spacing w:before="0" w:beforeAutospacing="0" w:after="0" w:afterAutospacing="0" w:line="240" w:lineRule="exact"/>
                          <w:jc w:val="center"/>
                          <w:rPr>
                            <w:rFonts w:ascii="Times New Roman" w:hAnsi="Times New Roman" w:cs="Times New Roman"/>
                          </w:rPr>
                        </w:pPr>
                        <w:r>
                          <w:rPr>
                            <w:rFonts w:hint="eastAsia" w:ascii="Times New Roman" w:hAnsi="Times New Roman" w:cs="Times New Roman"/>
                            <w:kern w:val="2"/>
                          </w:rPr>
                          <w:t>高温干热</w:t>
                        </w:r>
                      </w:p>
                    </w:txbxContent>
                  </v:textbox>
                </v:shape>
                <v:shape id="文本框 18208" o:spid="_x0000_s1026" o:spt="202" type="#_x0000_t202" style="position:absolute;left:966470;top:66675;height:441325;width:765176;" filled="f" stroked="f" coordsize="21600,21600" o:gfxdata="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NxKdi9QAAAAFAQAA&#10;DwAAAAAAAAABACAAAAAiAAAAZHJzL2Rvd25yZXYueG1sUEsBAhQAFAAAAAgAh07iQOyo+y3kAQAA&#10;pgMAAA4AAAAAAAAAAQAgAAAAIwEAAGRycy9lMm9Eb2MueG1sUEsFBgAAAAAGAAYAWQEAAHkFAAAA&#10;AA==&#10;">
                  <v:fill on="f" focussize="0,0"/>
                  <v:stroke on="f" weight="0.5pt"/>
                  <v:imagedata o:title=""/>
                  <o:lock v:ext="edit" aspectratio="f"/>
                  <v:textbox inset="7.50149606299213pt,0.0520909886264217in,7.50149606299213pt,0.0520909886264217in">
                    <w:txbxContent>
                      <w:p>
                        <w:pPr>
                          <w:pStyle w:val="72"/>
                          <w:spacing w:before="0" w:beforeAutospacing="0" w:after="0" w:afterAutospacing="0" w:line="240" w:lineRule="exact"/>
                          <w:jc w:val="center"/>
                          <w:rPr>
                            <w:rFonts w:ascii="Times New Roman" w:hAnsi="Times New Roman" w:cs="Times New Roman"/>
                            <w:kern w:val="2"/>
                          </w:rPr>
                        </w:pPr>
                        <w:r>
                          <w:rPr>
                            <w:rFonts w:hint="eastAsia" w:ascii="Times New Roman" w:hAnsi="Times New Roman" w:cs="Times New Roman"/>
                            <w:kern w:val="2"/>
                          </w:rPr>
                          <w:t>蒸发消耗</w:t>
                        </w:r>
                      </w:p>
                      <w:p>
                        <w:pPr>
                          <w:pStyle w:val="72"/>
                          <w:spacing w:before="0" w:beforeAutospacing="0" w:after="0" w:afterAutospacing="0" w:line="240" w:lineRule="exact"/>
                          <w:jc w:val="center"/>
                          <w:rPr>
                            <w:rFonts w:ascii="Times New Roman" w:hAnsi="Times New Roman" w:cs="Times New Roman"/>
                          </w:rPr>
                        </w:pPr>
                        <w:r>
                          <w:rPr>
                            <w:rFonts w:ascii="Times New Roman" w:hAnsi="Times New Roman" w:cs="Times New Roman"/>
                            <w:kern w:val="2"/>
                          </w:rPr>
                          <w:t>1</w:t>
                        </w:r>
                      </w:p>
                    </w:txbxContent>
                  </v:textbox>
                </v:shape>
                <v:shape id="文本框 18208" o:spid="_x0000_s1026" o:spt="202" type="#_x0000_t202" style="position:absolute;left:734696;top:575311;height:228600;width:504825;" filled="f" stroked="f" coordsize="21600,21600" o:gfxdata="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DcSnYvUAAAABQEA&#10;AA8AAAAAAAAAAQAgAAAAIgAAAGRycy9kb3ducmV2LnhtbFBLAQIUABQAAAAIAIdO4kDl89se5QEA&#10;AKcDAAAOAAAAAAAAAAEAIAAAACMBAABkcnMvZTJvRG9jLnhtbFBLBQYAAAAABgAGAFkBAAB6BQAA&#10;AAA=&#10;">
                  <v:fill on="f" focussize="0,0"/>
                  <v:stroke on="f" weight="0.5pt"/>
                  <v:imagedata o:title=""/>
                  <o:lock v:ext="edit" aspectratio="f"/>
                  <v:textbox inset="7.50149606299213pt,0.0520909886264217in,7.50149606299213pt,0.0520909886264217in">
                    <w:txbxContent>
                      <w:p>
                        <w:pPr>
                          <w:pStyle w:val="72"/>
                          <w:spacing w:before="0" w:beforeAutospacing="0" w:after="0" w:afterAutospacing="0" w:line="240" w:lineRule="exact"/>
                          <w:jc w:val="center"/>
                          <w:rPr>
                            <w:rFonts w:ascii="Times New Roman" w:hAnsi="Times New Roman" w:cs="Times New Roman"/>
                          </w:rPr>
                        </w:pPr>
                        <w:r>
                          <w:rPr>
                            <w:rFonts w:ascii="Times New Roman" w:hAnsi="Times New Roman" w:cs="Times New Roman"/>
                            <w:kern w:val="2"/>
                          </w:rPr>
                          <w:t>5</w:t>
                        </w:r>
                      </w:p>
                    </w:txbxContent>
                  </v:textbox>
                </v:shape>
                <v:shape id="文本框 18208" o:spid="_x0000_s1026" o:spt="202" type="#_x0000_t202" style="position:absolute;left:2321561;top:588010;height:228600;width:428625;" filled="f" stroked="f" coordsize="21600,21600" o:gfxdata="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NxKdi9QAAAAFAQAA&#10;DwAAAAAAAAABACAAAAAiAAAAZHJzL2Rvd25yZXYueG1sUEsBAhQAFAAAAAgAh07iQD1ekKDkAQAA&#10;qAMAAA4AAAAAAAAAAQAgAAAAIwEAAGRycy9lMm9Eb2MueG1sUEsFBgAAAAAGAAYAWQEAAHkFAAAA&#10;AA==&#10;">
                  <v:fill on="f" focussize="0,0"/>
                  <v:stroke on="f" weight="0.5pt"/>
                  <v:imagedata o:title=""/>
                  <o:lock v:ext="edit" aspectratio="f"/>
                  <v:textbox inset="7.50149606299213pt,0.0520909886264217in,7.50149606299213pt,0.0520909886264217in">
                    <w:txbxContent>
                      <w:p>
                        <w:pPr>
                          <w:pStyle w:val="72"/>
                          <w:spacing w:before="0" w:beforeAutospacing="0" w:after="0" w:afterAutospacing="0" w:line="240" w:lineRule="exact"/>
                          <w:jc w:val="center"/>
                          <w:rPr>
                            <w:rFonts w:ascii="Times New Roman" w:hAnsi="Times New Roman" w:cs="Times New Roman"/>
                          </w:rPr>
                        </w:pPr>
                        <w:r>
                          <w:rPr>
                            <w:rFonts w:ascii="Times New Roman" w:hAnsi="Times New Roman" w:cs="Times New Roman"/>
                            <w:kern w:val="2"/>
                          </w:rPr>
                          <w:t>4</w:t>
                        </w:r>
                      </w:p>
                    </w:txbxContent>
                  </v:textbox>
                </v:shape>
                <v:shape id="自选图形 18229" o:spid="_x0000_s1026" o:spt="32" type="#_x0000_t32" style="position:absolute;left:2387601;top:789305;height:0;width:355600;" filled="f" stroked="t" coordsize="21600,21600" o:gfxdata="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H1W2YTVAAAABQEAAA8AAAAAAAAAAQAgAAAA&#10;IgAAAGRycy9kb3ducmV2LnhtbFBLAQIUABQAAAAIAIdO4kDkgNx9DgIAAPYDAAAOAAAAAAAAAAEA&#10;IAAAACQBAABkcnMvZTJvRG9jLnhtbFBLBQYAAAAABgAGAFkBAACkBQAAAAA=&#10;">
                  <v:fill on="f" focussize="0,0"/>
                  <v:stroke weight="0.5pt" color="#000000" joinstyle="round" endarrow="block"/>
                  <v:imagedata o:title=""/>
                  <o:lock v:ext="edit" aspectratio="f"/>
                </v:shape>
                <v:shape id="文本框 18181" o:spid="_x0000_s1026" o:spt="202" type="#_x0000_t202" style="position:absolute;left:2745741;top:666115;height:255270;width:1289050;" filled="f" stroked="t" coordsize="21600,21600" o:gfxdata="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N5Z+r/TAAAABQEAAA8AAAAAAAAAAQAgAAAAIgAAAGRycy9kb3ducmV2Lnht&#10;bFBLAQIUABQAAAAIAIdO4kA2yZRWNwIAAF8EAAAOAAAAAAAAAAEAIAAAACIBAABkcnMvZTJvRG9j&#10;LnhtbFBLBQYAAAAABgAGAFkBAADLBQAAAAA=&#10;">
                  <v:fill on="f" focussize="0,0"/>
                  <v:stroke weight="0.5pt" color="#000000" joinstyle="miter"/>
                  <v:imagedata o:title=""/>
                  <o:lock v:ext="edit" aspectratio="f"/>
                  <v:textbox inset="7.50149606299213pt,0.0520909886264217in,7.50149606299213pt,0.0520909886264217in">
                    <w:txbxContent>
                      <w:p>
                        <w:pPr>
                          <w:pStyle w:val="72"/>
                          <w:spacing w:before="0" w:beforeAutospacing="0" w:after="0" w:afterAutospacing="0" w:line="240" w:lineRule="exact"/>
                          <w:jc w:val="center"/>
                          <w:rPr>
                            <w:rFonts w:ascii="Times New Roman" w:hAnsi="Times New Roman" w:cs="Times New Roman"/>
                          </w:rPr>
                        </w:pPr>
                        <w:r>
                          <w:rPr>
                            <w:rFonts w:hint="eastAsia" w:ascii="Times New Roman" w:hAnsi="Times New Roman" w:cs="Times New Roman"/>
                            <w:kern w:val="2"/>
                          </w:rPr>
                          <w:t>处理后的医疗废物</w:t>
                        </w:r>
                      </w:p>
                    </w:txbxContent>
                  </v:textbox>
                </v:shape>
                <v:shape id="文本框 18181" o:spid="_x0000_s1026" o:spt="202" type="#_x0000_t202" style="position:absolute;left:23495;top:655955;height:254000;width:787401;" filled="f" stroked="t" coordsize="21600,21600" o:gfxdata="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3ln6v9MAAAAFAQAADwAAAAAAAAABACAAAAAiAAAAZHJzL2Rvd25yZXYueG1s&#10;UEsBAhQAFAAAAAgAh07iQL/76NI2AgAAXAQAAA4AAAAAAAAAAQAgAAAAIgEAAGRycy9lMm9Eb2Mu&#10;eG1sUEsFBgAAAAAGAAYAWQEAAMoFAAAAAA==&#10;">
                  <v:fill on="f" focussize="0,0"/>
                  <v:stroke weight="0.5pt" color="#000000" joinstyle="miter"/>
                  <v:imagedata o:title=""/>
                  <o:lock v:ext="edit" aspectratio="f"/>
                  <v:textbox inset="7.50149606299213pt,0.0520909886264217in,7.50149606299213pt,0.0520909886264217in">
                    <w:txbxContent>
                      <w:p>
                        <w:pPr>
                          <w:pStyle w:val="72"/>
                          <w:spacing w:before="0" w:beforeAutospacing="0" w:after="0" w:afterAutospacing="0" w:line="240" w:lineRule="exact"/>
                          <w:jc w:val="center"/>
                          <w:rPr>
                            <w:rFonts w:ascii="Times New Roman" w:hAnsi="Times New Roman" w:cs="Times New Roman"/>
                          </w:rPr>
                        </w:pPr>
                        <w:r>
                          <w:rPr>
                            <w:rFonts w:hint="eastAsia" w:ascii="Times New Roman" w:hAnsi="Times New Roman" w:cs="Times New Roman"/>
                            <w:kern w:val="2"/>
                          </w:rPr>
                          <w:t>医疗废物</w:t>
                        </w:r>
                      </w:p>
                    </w:txbxContent>
                  </v:textbox>
                </v:shape>
                <w10:wrap type="none"/>
                <w10:anchorlock/>
              </v:group>
            </w:pict>
          </mc:Fallback>
        </mc:AlternateContent>
      </w:r>
    </w:p>
    <w:p>
      <w:pPr>
        <w:jc w:val="center"/>
        <w:rPr>
          <w:rFonts w:ascii="Times New Roman" w:hAnsi="Times New Roman"/>
        </w:rPr>
      </w:pPr>
      <w:r>
        <w:rPr>
          <w:rFonts w:ascii="Times New Roman" w:hAnsi="Times New Roman"/>
          <w:b/>
        </w:rPr>
        <w:t>图3.2-1 全厂物料平衡图（t/d）</w:t>
      </w:r>
    </w:p>
    <w:p>
      <w:pPr>
        <w:pStyle w:val="4"/>
        <w:spacing w:before="120" w:beforeLines="50" w:after="120" w:afterLines="50" w:line="480" w:lineRule="exact"/>
        <w:rPr>
          <w:rFonts w:ascii="Times New Roman" w:hAnsi="Times New Roman" w:eastAsia="黑体"/>
          <w:bCs/>
          <w:sz w:val="28"/>
          <w:szCs w:val="28"/>
        </w:rPr>
      </w:pPr>
      <w:bookmarkStart w:id="578" w:name="_Toc3681"/>
      <w:r>
        <w:rPr>
          <w:rFonts w:ascii="Times New Roman" w:hAnsi="Times New Roman" w:eastAsia="黑体"/>
          <w:bCs/>
          <w:sz w:val="28"/>
          <w:szCs w:val="28"/>
        </w:rPr>
        <w:t>储运工程</w:t>
      </w:r>
      <w:bookmarkEnd w:id="561"/>
      <w:bookmarkEnd w:id="562"/>
      <w:bookmarkEnd w:id="563"/>
      <w:bookmarkEnd w:id="564"/>
      <w:bookmarkEnd w:id="565"/>
      <w:bookmarkEnd w:id="566"/>
      <w:bookmarkEnd w:id="578"/>
    </w:p>
    <w:p>
      <w:pPr>
        <w:widowControl/>
        <w:spacing w:line="480" w:lineRule="exact"/>
        <w:outlineLvl w:val="3"/>
        <w:rPr>
          <w:rFonts w:ascii="Times New Roman" w:hAnsi="Times New Roman" w:eastAsia="黑体"/>
          <w:sz w:val="24"/>
        </w:rPr>
      </w:pPr>
      <w:r>
        <w:rPr>
          <w:rFonts w:ascii="Times New Roman" w:hAnsi="Times New Roman" w:eastAsia="黑体"/>
          <w:sz w:val="24"/>
        </w:rPr>
        <w:t>3.2.6.1.医疗废物交接</w:t>
      </w:r>
    </w:p>
    <w:p>
      <w:pPr>
        <w:pStyle w:val="420"/>
        <w:spacing w:line="480" w:lineRule="exact"/>
        <w:ind w:firstLine="480"/>
        <w:rPr>
          <w:rFonts w:cs="Times New Roman"/>
          <w:szCs w:val="24"/>
        </w:rPr>
      </w:pPr>
      <w:r>
        <w:rPr>
          <w:rFonts w:cs="Times New Roman"/>
          <w:szCs w:val="24"/>
        </w:rPr>
        <w:t>（1）医疗机构与医疗废物转运车交接</w:t>
      </w:r>
    </w:p>
    <w:p>
      <w:pPr>
        <w:pStyle w:val="420"/>
        <w:spacing w:line="480" w:lineRule="exact"/>
        <w:ind w:firstLine="480"/>
        <w:rPr>
          <w:rFonts w:cs="Times New Roman"/>
          <w:szCs w:val="24"/>
        </w:rPr>
      </w:pPr>
      <w:r>
        <w:rPr>
          <w:rFonts w:cs="Times New Roman"/>
          <w:szCs w:val="24"/>
        </w:rPr>
        <w:t>本项目医疗废物交接时：夏天医疗废物做到不超过24h外运；冬天医疗废物做到不超过48h外运；对于医疗卫生机构遇到特殊情况，如医疗机构内部医疗废物暂存间无法使用、疫情发生和医疗废物量剧增等，收运系统通过调配备用医疗废物转运车上门收集，随时对特殊情况作出快速响应。</w:t>
      </w:r>
    </w:p>
    <w:p>
      <w:pPr>
        <w:pStyle w:val="420"/>
        <w:spacing w:line="480" w:lineRule="exact"/>
        <w:ind w:firstLine="480"/>
        <w:rPr>
          <w:rFonts w:cs="Times New Roman"/>
          <w:szCs w:val="24"/>
        </w:rPr>
      </w:pPr>
      <w:r>
        <w:rPr>
          <w:rFonts w:cs="Times New Roman"/>
          <w:szCs w:val="24"/>
        </w:rPr>
        <w:t>医疗废物收运人员在接收医疗废物时，应外观检查医疗卫生机构是否按规定进行包装、标识，并盛装于周转箱内，不得打开包装袋取出医疗废物。对包装破损、包装外表污染或未盛装于周转箱内的医疗废物，医疗废物收运人员应当要求医疗卫生机构重新包装、标识，并盛装于周转箱内。拒不按规定对医疗废物进行包装的，运送人员有权拒绝运送，并向当地环保部门报告。</w:t>
      </w:r>
    </w:p>
    <w:p>
      <w:pPr>
        <w:pStyle w:val="420"/>
        <w:spacing w:line="480" w:lineRule="exact"/>
        <w:ind w:firstLine="480"/>
        <w:rPr>
          <w:rFonts w:cs="Times New Roman"/>
          <w:szCs w:val="24"/>
        </w:rPr>
      </w:pPr>
      <w:r>
        <w:rPr>
          <w:rFonts w:cs="Times New Roman"/>
          <w:szCs w:val="24"/>
        </w:rPr>
        <w:t>医疗卫生机构交予处置的废物采用危险废物转移联单管理，由车载系统中条形码处理系统现场自动打印完成，交接现场产生与接受者双方签字，各留底作为备查凭证。</w:t>
      </w:r>
    </w:p>
    <w:p>
      <w:pPr>
        <w:pStyle w:val="420"/>
        <w:spacing w:line="480" w:lineRule="exact"/>
        <w:ind w:firstLine="480"/>
        <w:rPr>
          <w:rFonts w:cs="Times New Roman"/>
          <w:szCs w:val="24"/>
        </w:rPr>
      </w:pPr>
      <w:r>
        <w:rPr>
          <w:rFonts w:cs="Times New Roman"/>
          <w:szCs w:val="24"/>
        </w:rPr>
        <w:t>每车每次收运的医疗废物采用《医疗废物运送登记卡》管理，一车一卡，由医疗卫生机构医疗废物管理人员交接时填写并签字。</w:t>
      </w:r>
    </w:p>
    <w:p>
      <w:pPr>
        <w:pStyle w:val="420"/>
        <w:spacing w:line="480" w:lineRule="exact"/>
        <w:ind w:left="420" w:leftChars="200" w:firstLine="0" w:firstLineChars="0"/>
        <w:rPr>
          <w:rFonts w:cs="Times New Roman"/>
          <w:szCs w:val="24"/>
        </w:rPr>
      </w:pPr>
      <w:r>
        <w:rPr>
          <w:rFonts w:cs="Times New Roman"/>
          <w:szCs w:val="24"/>
        </w:rPr>
        <w:t>（2）医疗废物转运车与医疗废物集中处置中心交接</w:t>
      </w:r>
    </w:p>
    <w:p>
      <w:pPr>
        <w:pStyle w:val="420"/>
        <w:spacing w:line="480" w:lineRule="exact"/>
        <w:ind w:firstLine="480"/>
        <w:rPr>
          <w:rFonts w:cs="Times New Roman"/>
          <w:szCs w:val="24"/>
        </w:rPr>
      </w:pPr>
      <w:r>
        <w:rPr>
          <w:rFonts w:cs="Times New Roman"/>
          <w:szCs w:val="24"/>
        </w:rPr>
        <w:t>当医疗废物运至处置单位时，处置中心接收人员确认危险废物转移联单和医疗废物运送登记卡上填写的医疗废物信息真实、准确后方可登记签收。</w:t>
      </w:r>
    </w:p>
    <w:p>
      <w:pPr>
        <w:pStyle w:val="420"/>
        <w:spacing w:line="480" w:lineRule="exact"/>
        <w:ind w:firstLine="480"/>
        <w:rPr>
          <w:rFonts w:cs="Times New Roman"/>
          <w:szCs w:val="24"/>
        </w:rPr>
      </w:pPr>
      <w:r>
        <w:rPr>
          <w:rFonts w:cs="Times New Roman"/>
          <w:szCs w:val="24"/>
        </w:rPr>
        <w:t>医疗废物处置单位应当填报医疗废物处置月报表，报当地环保主管部门，并向当地环保主管部门报送医疗废物处置情况年报表。</w:t>
      </w:r>
    </w:p>
    <w:p>
      <w:pPr>
        <w:widowControl/>
        <w:spacing w:line="480" w:lineRule="exact"/>
        <w:outlineLvl w:val="3"/>
        <w:rPr>
          <w:rFonts w:ascii="Times New Roman" w:hAnsi="Times New Roman" w:eastAsia="黑体"/>
          <w:sz w:val="24"/>
        </w:rPr>
      </w:pPr>
      <w:r>
        <w:rPr>
          <w:rFonts w:ascii="Times New Roman" w:hAnsi="Times New Roman" w:eastAsia="黑体"/>
          <w:sz w:val="24"/>
        </w:rPr>
        <w:t>3.2.6.2.医疗废物运输</w:t>
      </w:r>
    </w:p>
    <w:p>
      <w:pPr>
        <w:pStyle w:val="420"/>
        <w:spacing w:line="480" w:lineRule="exact"/>
        <w:ind w:firstLine="480"/>
        <w:rPr>
          <w:rFonts w:cs="Times New Roman"/>
          <w:szCs w:val="24"/>
        </w:rPr>
      </w:pPr>
      <w:r>
        <w:rPr>
          <w:rFonts w:cs="Times New Roman"/>
          <w:szCs w:val="24"/>
        </w:rPr>
        <w:t>（1）周转箱</w:t>
      </w:r>
    </w:p>
    <w:p>
      <w:pPr>
        <w:pStyle w:val="420"/>
        <w:spacing w:line="480" w:lineRule="exact"/>
        <w:ind w:firstLine="480"/>
        <w:rPr>
          <w:rFonts w:cs="Times New Roman"/>
          <w:szCs w:val="24"/>
        </w:rPr>
      </w:pPr>
      <w:r>
        <w:rPr>
          <w:rFonts w:cs="Times New Roman"/>
          <w:szCs w:val="24"/>
        </w:rPr>
        <w:t>周转箱定点放置于医疗卫生机构的门诊楼和住院部等，并设置医疗废物警示标识，放置数量根据各医疗卫生机构的规模确定，各医疗卫生机构由专人将医疗废物收集倾倒于周转箱内。处置中心派医疗废物转运车用空的周转箱替换满的周转箱。</w:t>
      </w:r>
    </w:p>
    <w:p>
      <w:pPr>
        <w:pStyle w:val="420"/>
        <w:spacing w:line="480" w:lineRule="exact"/>
        <w:ind w:firstLine="480"/>
        <w:rPr>
          <w:rFonts w:cs="Times New Roman"/>
          <w:szCs w:val="24"/>
        </w:rPr>
      </w:pPr>
      <w:r>
        <w:rPr>
          <w:rFonts w:cs="Times New Roman"/>
          <w:szCs w:val="24"/>
        </w:rPr>
        <w:t>本项目设置的周转箱符合《医疗废物专用包装袋、容器和警示标志标准》（HJ421-2008）要求，具体情况如下：</w:t>
      </w:r>
    </w:p>
    <w:p>
      <w:pPr>
        <w:pStyle w:val="420"/>
        <w:spacing w:line="480" w:lineRule="exact"/>
        <w:ind w:firstLine="480"/>
        <w:rPr>
          <w:rFonts w:cs="Times New Roman"/>
          <w:szCs w:val="24"/>
        </w:rPr>
      </w:pPr>
      <w:r>
        <w:rPr>
          <w:rFonts w:hint="eastAsia" w:ascii="宋体" w:hAnsi="宋体"/>
          <w:szCs w:val="24"/>
        </w:rPr>
        <w:t>①</w:t>
      </w:r>
      <w:r>
        <w:rPr>
          <w:rFonts w:cs="Times New Roman"/>
          <w:szCs w:val="24"/>
        </w:rPr>
        <w:t>高分子高密度硬质塑料，防液体渗漏，防破裂，可多次重复使用。</w:t>
      </w:r>
    </w:p>
    <w:p>
      <w:pPr>
        <w:pStyle w:val="420"/>
        <w:spacing w:line="480" w:lineRule="exact"/>
        <w:ind w:firstLine="480"/>
        <w:rPr>
          <w:rFonts w:cs="Times New Roman"/>
          <w:szCs w:val="24"/>
        </w:rPr>
      </w:pPr>
      <w:r>
        <w:rPr>
          <w:rFonts w:hint="eastAsia" w:ascii="宋体" w:hAnsi="宋体"/>
          <w:szCs w:val="24"/>
        </w:rPr>
        <w:t>②</w:t>
      </w:r>
      <w:r>
        <w:rPr>
          <w:rFonts w:cs="Times New Roman"/>
          <w:szCs w:val="24"/>
        </w:rPr>
        <w:t>黄色，外表面印（喷）制医疗废物警示标识和文字说明。</w:t>
      </w:r>
    </w:p>
    <w:p>
      <w:pPr>
        <w:pStyle w:val="420"/>
        <w:spacing w:line="480" w:lineRule="exact"/>
        <w:ind w:firstLine="480"/>
        <w:rPr>
          <w:rFonts w:cs="Times New Roman"/>
          <w:szCs w:val="24"/>
        </w:rPr>
      </w:pPr>
      <w:r>
        <w:rPr>
          <w:rFonts w:hint="eastAsia" w:ascii="宋体" w:hAnsi="宋体"/>
          <w:szCs w:val="24"/>
        </w:rPr>
        <w:t>③</w:t>
      </w:r>
      <w:r>
        <w:rPr>
          <w:rFonts w:cs="Times New Roman"/>
          <w:szCs w:val="24"/>
        </w:rPr>
        <w:t>箱体箱盖设密封槽，整体装配密闭。箱体与箱盖能牢固扣紧，扣紧后不分离。</w:t>
      </w:r>
    </w:p>
    <w:p>
      <w:pPr>
        <w:pStyle w:val="420"/>
        <w:spacing w:line="480" w:lineRule="exact"/>
        <w:ind w:firstLine="480"/>
        <w:rPr>
          <w:rFonts w:cs="Times New Roman"/>
          <w:szCs w:val="24"/>
        </w:rPr>
      </w:pPr>
      <w:r>
        <w:rPr>
          <w:rFonts w:hint="eastAsia" w:ascii="宋体" w:hAnsi="宋体"/>
          <w:szCs w:val="24"/>
        </w:rPr>
        <w:t>④</w:t>
      </w:r>
      <w:r>
        <w:rPr>
          <w:rFonts w:cs="Times New Roman"/>
          <w:szCs w:val="24"/>
        </w:rPr>
        <w:t>表面光滑平整，无裂损，无明显凹陷，边缘及端手无毛刺。浇口处不影响箱子平置。</w:t>
      </w:r>
    </w:p>
    <w:p>
      <w:pPr>
        <w:pStyle w:val="420"/>
        <w:spacing w:line="480" w:lineRule="exact"/>
        <w:ind w:firstLine="480"/>
        <w:rPr>
          <w:rFonts w:cs="Times New Roman"/>
          <w:szCs w:val="24"/>
        </w:rPr>
      </w:pPr>
      <w:r>
        <w:rPr>
          <w:rFonts w:hint="eastAsia" w:ascii="宋体" w:hAnsi="宋体"/>
          <w:szCs w:val="24"/>
        </w:rPr>
        <w:t>⑤</w:t>
      </w:r>
      <w:r>
        <w:rPr>
          <w:rFonts w:cs="Times New Roman"/>
          <w:szCs w:val="24"/>
        </w:rPr>
        <w:t>箱底、顶部有配合牙槽，具有防滑功能。</w:t>
      </w:r>
    </w:p>
    <w:p>
      <w:pPr>
        <w:pStyle w:val="420"/>
        <w:spacing w:line="480" w:lineRule="exact"/>
        <w:ind w:firstLine="480"/>
        <w:rPr>
          <w:rFonts w:cs="Times New Roman"/>
          <w:szCs w:val="24"/>
        </w:rPr>
      </w:pPr>
      <w:r>
        <w:rPr>
          <w:rFonts w:hint="eastAsia" w:ascii="宋体" w:hAnsi="宋体"/>
          <w:szCs w:val="24"/>
        </w:rPr>
        <w:t>⑥</w:t>
      </w:r>
      <w:r>
        <w:rPr>
          <w:rFonts w:cs="Times New Roman"/>
          <w:szCs w:val="24"/>
        </w:rPr>
        <w:t>箱底承重：变形量下弯不超过10mm。</w:t>
      </w:r>
    </w:p>
    <w:p>
      <w:pPr>
        <w:pStyle w:val="420"/>
        <w:spacing w:line="480" w:lineRule="exact"/>
        <w:ind w:firstLine="480"/>
        <w:rPr>
          <w:rFonts w:cs="Times New Roman"/>
          <w:szCs w:val="24"/>
        </w:rPr>
      </w:pPr>
      <w:r>
        <w:rPr>
          <w:rFonts w:hint="eastAsia" w:ascii="宋体" w:hAnsi="宋体"/>
          <w:szCs w:val="24"/>
        </w:rPr>
        <w:t>⑦</w:t>
      </w:r>
      <w:r>
        <w:rPr>
          <w:rFonts w:cs="Times New Roman"/>
          <w:szCs w:val="24"/>
        </w:rPr>
        <w:t>收缩变形率：箱体对角线变化率不大于1.0%。</w:t>
      </w:r>
    </w:p>
    <w:p>
      <w:pPr>
        <w:pStyle w:val="420"/>
        <w:spacing w:line="480" w:lineRule="exact"/>
        <w:ind w:firstLine="480"/>
        <w:rPr>
          <w:rFonts w:cs="Times New Roman"/>
          <w:szCs w:val="24"/>
        </w:rPr>
      </w:pPr>
      <w:r>
        <w:rPr>
          <w:rFonts w:hint="eastAsia" w:ascii="宋体" w:hAnsi="宋体"/>
          <w:szCs w:val="24"/>
        </w:rPr>
        <w:t>⑧</w:t>
      </w:r>
      <w:r>
        <w:rPr>
          <w:rFonts w:cs="Times New Roman"/>
          <w:szCs w:val="24"/>
        </w:rPr>
        <w:t>跌落强度：常温下负重20kg的试样从1.5m高度垂直跌落至水泥地面，连续三次无裂纹。</w:t>
      </w:r>
    </w:p>
    <w:p>
      <w:pPr>
        <w:pStyle w:val="420"/>
        <w:spacing w:line="480" w:lineRule="exact"/>
        <w:ind w:firstLine="480"/>
        <w:rPr>
          <w:rFonts w:cs="Times New Roman"/>
          <w:szCs w:val="24"/>
        </w:rPr>
      </w:pPr>
      <w:r>
        <w:rPr>
          <w:rFonts w:hint="eastAsia" w:ascii="宋体" w:hAnsi="宋体"/>
          <w:szCs w:val="24"/>
        </w:rPr>
        <w:t>⑨</w:t>
      </w:r>
      <w:r>
        <w:rPr>
          <w:rFonts w:cs="Times New Roman"/>
          <w:szCs w:val="24"/>
        </w:rPr>
        <w:t>堆码强度：空箱口部向上平置，加载平板与重物的总质量为250kg，承压72h，箱体高度变化率不大于2.0%。</w:t>
      </w:r>
    </w:p>
    <w:p>
      <w:pPr>
        <w:pStyle w:val="420"/>
        <w:spacing w:line="480" w:lineRule="exact"/>
        <w:ind w:firstLine="480"/>
        <w:rPr>
          <w:rFonts w:cs="Times New Roman"/>
          <w:szCs w:val="24"/>
        </w:rPr>
      </w:pPr>
      <w:r>
        <w:rPr>
          <w:rFonts w:hint="eastAsia" w:ascii="宋体" w:hAnsi="宋体"/>
          <w:szCs w:val="24"/>
        </w:rPr>
        <w:t>⑩</w:t>
      </w:r>
      <w:r>
        <w:rPr>
          <w:rFonts w:cs="Times New Roman"/>
          <w:szCs w:val="24"/>
        </w:rPr>
        <w:t>悬挂强度：常温下钓钩钩住箱体端手部位，钓绳夹角为60°±30°，箱体均匀负重60kg，平稳吊起离开地面10min后放下，无裂纹。</w:t>
      </w:r>
    </w:p>
    <w:p>
      <w:pPr>
        <w:pStyle w:val="420"/>
        <w:spacing w:line="480" w:lineRule="exact"/>
        <w:ind w:firstLine="480"/>
        <w:rPr>
          <w:rFonts w:cs="Times New Roman"/>
          <w:szCs w:val="24"/>
        </w:rPr>
      </w:pPr>
      <w:r>
        <w:rPr>
          <w:rFonts w:cs="Times New Roman"/>
          <w:szCs w:val="24"/>
        </w:rPr>
        <w:t>（2）转运车</w:t>
      </w:r>
    </w:p>
    <w:p>
      <w:pPr>
        <w:pStyle w:val="420"/>
        <w:spacing w:line="480" w:lineRule="exact"/>
        <w:ind w:firstLine="480"/>
        <w:rPr>
          <w:rFonts w:cs="Times New Roman"/>
          <w:szCs w:val="24"/>
        </w:rPr>
      </w:pPr>
      <w:r>
        <w:rPr>
          <w:rFonts w:cs="Times New Roman"/>
          <w:szCs w:val="24"/>
        </w:rPr>
        <w:t>本项目现有6辆医疗废物转运车，车体外形规格为5500mm×2110mm×3000mm、箱体外形规格为4500mm×2065mm×2010mm、运输能力1t/辆。本项目设置的医疗废物转运车符合《医疗废物转运车技术要求（试行）》（GB19217-2003），并按照《保温车、冷藏车技术条件及试验方法》（QC/T449-2000）进行出厂检验，具体情况如下：</w:t>
      </w:r>
    </w:p>
    <w:p>
      <w:pPr>
        <w:pStyle w:val="420"/>
        <w:spacing w:line="480" w:lineRule="exact"/>
        <w:ind w:firstLine="480"/>
        <w:rPr>
          <w:rFonts w:cs="Times New Roman"/>
          <w:szCs w:val="24"/>
        </w:rPr>
      </w:pPr>
      <w:r>
        <w:rPr>
          <w:rFonts w:hint="eastAsia" w:ascii="宋体" w:hAnsi="宋体"/>
          <w:szCs w:val="24"/>
        </w:rPr>
        <w:t>①</w:t>
      </w:r>
      <w:r>
        <w:rPr>
          <w:rFonts w:cs="Times New Roman"/>
          <w:szCs w:val="24"/>
        </w:rPr>
        <w:t>整车：驾驶室与货厢完全隔开，保证了驾驶人员的安全，并配备了牢固的门锁。</w:t>
      </w:r>
    </w:p>
    <w:p>
      <w:pPr>
        <w:pStyle w:val="420"/>
        <w:spacing w:line="480" w:lineRule="exact"/>
        <w:ind w:firstLine="480"/>
        <w:rPr>
          <w:rFonts w:cs="Times New Roman"/>
          <w:szCs w:val="24"/>
        </w:rPr>
      </w:pPr>
      <w:r>
        <w:rPr>
          <w:rFonts w:hint="eastAsia" w:ascii="宋体" w:hAnsi="宋体"/>
          <w:szCs w:val="24"/>
        </w:rPr>
        <w:t>②</w:t>
      </w:r>
      <w:r>
        <w:rPr>
          <w:rFonts w:cs="Times New Roman"/>
          <w:szCs w:val="24"/>
        </w:rPr>
        <w:t>附属设备：车辆配备了专用的箱子，放置因意外发生事故后防止污染扩散的用品。消毒器械及消毒剂、收集工具及包装袋、人员卫生防护用品等。除此之外，还配备了专用GPS系统、收运路线图、通讯设备、医疗废物产生单位及其管理人员名单与电话号码、事故应急预案及联络单位和人员的名单与电话号码、备用的医疗废物包装袋和利器盒等。</w:t>
      </w:r>
    </w:p>
    <w:p>
      <w:pPr>
        <w:pStyle w:val="420"/>
        <w:spacing w:line="480" w:lineRule="exact"/>
        <w:ind w:firstLine="480"/>
        <w:rPr>
          <w:rFonts w:cs="Times New Roman"/>
          <w:szCs w:val="24"/>
        </w:rPr>
      </w:pPr>
      <w:r>
        <w:rPr>
          <w:rFonts w:hint="eastAsia" w:ascii="宋体" w:hAnsi="宋体"/>
          <w:szCs w:val="24"/>
        </w:rPr>
        <w:t>③</w:t>
      </w:r>
      <w:r>
        <w:rPr>
          <w:rFonts w:cs="Times New Roman"/>
          <w:szCs w:val="24"/>
        </w:rPr>
        <w:t>车厢容积：按照医疗废物装载比重160kg/m</w:t>
      </w:r>
      <w:r>
        <w:rPr>
          <w:rFonts w:cs="Times New Roman"/>
          <w:szCs w:val="24"/>
          <w:vertAlign w:val="superscript"/>
        </w:rPr>
        <w:t>3</w:t>
      </w:r>
      <w:r>
        <w:rPr>
          <w:rFonts w:cs="Times New Roman"/>
          <w:szCs w:val="24"/>
        </w:rPr>
        <w:t>设计车厢容积，满载后车厢容积留有1/4的空间不装载，以利于内部空气循环，便于消毒和冷藏降温。</w:t>
      </w:r>
    </w:p>
    <w:p>
      <w:pPr>
        <w:pStyle w:val="420"/>
        <w:spacing w:line="480" w:lineRule="exact"/>
        <w:ind w:firstLine="480"/>
        <w:rPr>
          <w:rFonts w:cs="Times New Roman"/>
          <w:szCs w:val="24"/>
        </w:rPr>
      </w:pPr>
      <w:r>
        <w:rPr>
          <w:rFonts w:hint="eastAsia" w:ascii="宋体" w:hAnsi="宋体"/>
          <w:szCs w:val="24"/>
        </w:rPr>
        <w:t>④</w:t>
      </w:r>
      <w:r>
        <w:rPr>
          <w:rFonts w:cs="Times New Roman"/>
          <w:szCs w:val="24"/>
        </w:rPr>
        <w:t>车厢内部材料：车厢内部表面，采用防水、耐腐蚀、便于消毒和清洗的材料，表面平整，具有一定强度，车厢底部周边及转角应圆滑，不留死角。</w:t>
      </w:r>
    </w:p>
    <w:p>
      <w:pPr>
        <w:pStyle w:val="420"/>
        <w:spacing w:line="480" w:lineRule="exact"/>
        <w:ind w:firstLine="480"/>
        <w:rPr>
          <w:rFonts w:cs="Times New Roman"/>
          <w:szCs w:val="24"/>
        </w:rPr>
      </w:pPr>
      <w:r>
        <w:rPr>
          <w:rFonts w:hint="eastAsia" w:ascii="宋体" w:hAnsi="宋体"/>
          <w:szCs w:val="24"/>
        </w:rPr>
        <w:t>⑤</w:t>
      </w:r>
      <w:r>
        <w:rPr>
          <w:rFonts w:cs="Times New Roman"/>
          <w:szCs w:val="24"/>
        </w:rPr>
        <w:t>车厢性能：具有良好的气密性、隔热性和防渗性，车厢底部设置有良好气密性的排水孔，能够有效收集和排出污水。</w:t>
      </w:r>
    </w:p>
    <w:p>
      <w:pPr>
        <w:pStyle w:val="420"/>
        <w:spacing w:line="480" w:lineRule="exact"/>
        <w:ind w:firstLine="480"/>
        <w:rPr>
          <w:rFonts w:cs="Times New Roman"/>
          <w:szCs w:val="24"/>
        </w:rPr>
      </w:pPr>
      <w:r>
        <w:rPr>
          <w:rFonts w:hint="eastAsia" w:ascii="宋体" w:hAnsi="宋体"/>
          <w:szCs w:val="24"/>
        </w:rPr>
        <w:t>⑥</w:t>
      </w:r>
      <w:r>
        <w:rPr>
          <w:rFonts w:cs="Times New Roman"/>
          <w:szCs w:val="24"/>
        </w:rPr>
        <w:t>固定装置：为保证在非满载运输车辆紧急启、停或事故时医疗废物周转箱不会翻转，车厢内部设置了对货物进行固定的装置。</w:t>
      </w:r>
    </w:p>
    <w:p>
      <w:pPr>
        <w:pStyle w:val="420"/>
        <w:spacing w:line="480" w:lineRule="exact"/>
        <w:ind w:firstLine="480"/>
        <w:rPr>
          <w:rFonts w:cs="Times New Roman"/>
          <w:szCs w:val="24"/>
        </w:rPr>
      </w:pPr>
      <w:r>
        <w:rPr>
          <w:rFonts w:hint="eastAsia" w:ascii="宋体" w:hAnsi="宋体"/>
          <w:szCs w:val="24"/>
        </w:rPr>
        <w:t>⑦</w:t>
      </w:r>
      <w:r>
        <w:rPr>
          <w:rFonts w:cs="Times New Roman"/>
          <w:szCs w:val="24"/>
        </w:rPr>
        <w:t>车厢颜色：白色。</w:t>
      </w:r>
    </w:p>
    <w:p>
      <w:pPr>
        <w:pStyle w:val="420"/>
        <w:spacing w:line="480" w:lineRule="exact"/>
        <w:ind w:firstLine="480"/>
        <w:rPr>
          <w:rFonts w:cs="Times New Roman"/>
          <w:szCs w:val="24"/>
        </w:rPr>
      </w:pPr>
      <w:r>
        <w:rPr>
          <w:rFonts w:hint="eastAsia" w:ascii="宋体" w:hAnsi="宋体"/>
          <w:szCs w:val="24"/>
        </w:rPr>
        <w:t>⑧</w:t>
      </w:r>
      <w:r>
        <w:rPr>
          <w:rFonts w:cs="Times New Roman"/>
          <w:szCs w:val="24"/>
        </w:rPr>
        <w:t>标志和警示说明：在明显部位固定产品标牌，标牌符合《道路车辆产品标牌》（GB/T18411-2001）的规定，在车辆的前部、后部及车厢两侧喷涂警示性标志，在驾驶室两侧标明医疗废物转运单位名称，在驾驶室明显部位标注车辆运输医疗废物的警示说明。</w:t>
      </w:r>
    </w:p>
    <w:p>
      <w:pPr>
        <w:pStyle w:val="420"/>
        <w:spacing w:line="480" w:lineRule="exact"/>
        <w:ind w:left="420" w:leftChars="200" w:firstLine="0" w:firstLineChars="0"/>
        <w:rPr>
          <w:rFonts w:cs="Times New Roman"/>
          <w:szCs w:val="24"/>
        </w:rPr>
      </w:pPr>
      <w:r>
        <w:rPr>
          <w:rFonts w:cs="Times New Roman"/>
          <w:szCs w:val="24"/>
        </w:rPr>
        <w:t>具体运输要求如下：</w:t>
      </w:r>
    </w:p>
    <w:p>
      <w:pPr>
        <w:pStyle w:val="420"/>
        <w:spacing w:line="480" w:lineRule="exact"/>
        <w:ind w:firstLine="480"/>
        <w:rPr>
          <w:rFonts w:cs="Times New Roman"/>
          <w:szCs w:val="24"/>
        </w:rPr>
      </w:pPr>
      <w:r>
        <w:rPr>
          <w:rFonts w:hint="eastAsia" w:ascii="宋体" w:hAnsi="宋体"/>
          <w:szCs w:val="24"/>
        </w:rPr>
        <w:t>①</w:t>
      </w:r>
      <w:r>
        <w:rPr>
          <w:rFonts w:cs="Times New Roman"/>
          <w:szCs w:val="24"/>
        </w:rPr>
        <w:t>处置中心应为每辆转运车指定负责人，对医疗废物收运过程负责。</w:t>
      </w:r>
    </w:p>
    <w:p>
      <w:pPr>
        <w:pStyle w:val="420"/>
        <w:spacing w:line="480" w:lineRule="exact"/>
        <w:ind w:firstLine="480"/>
        <w:rPr>
          <w:rFonts w:cs="Times New Roman"/>
          <w:szCs w:val="24"/>
        </w:rPr>
      </w:pPr>
      <w:r>
        <w:rPr>
          <w:rFonts w:hint="eastAsia" w:ascii="宋体" w:hAnsi="宋体"/>
          <w:szCs w:val="24"/>
        </w:rPr>
        <w:t>②</w:t>
      </w:r>
      <w:r>
        <w:rPr>
          <w:rFonts w:cs="Times New Roman"/>
          <w:szCs w:val="24"/>
        </w:rPr>
        <w:t>运送路线：医疗废物转运车辆在运输途中应尽量避开人口密集区域和交通拥堵道路。处置中心事先需做出周密的运输计划和行驶路线，其中应包括废物泄漏情况下的有效应急措施。</w:t>
      </w:r>
    </w:p>
    <w:p>
      <w:pPr>
        <w:pStyle w:val="420"/>
        <w:spacing w:line="480" w:lineRule="exact"/>
        <w:ind w:firstLine="480"/>
        <w:rPr>
          <w:rFonts w:cs="Times New Roman"/>
          <w:szCs w:val="24"/>
        </w:rPr>
      </w:pPr>
      <w:r>
        <w:rPr>
          <w:rFonts w:cs="Times New Roman"/>
          <w:szCs w:val="24"/>
        </w:rPr>
        <w:t>运输路线根据与企业签订处置医疗废物合同的医疗机构地址具体确定。每辆医疗废物运输频次为夏天1次/天，冬天1次/2天。</w:t>
      </w:r>
    </w:p>
    <w:p>
      <w:pPr>
        <w:pStyle w:val="420"/>
        <w:spacing w:line="480" w:lineRule="exact"/>
        <w:ind w:firstLine="480"/>
        <w:rPr>
          <w:rFonts w:cs="Times New Roman"/>
          <w:szCs w:val="24"/>
        </w:rPr>
      </w:pPr>
      <w:r>
        <w:rPr>
          <w:rFonts w:hint="eastAsia" w:ascii="宋体" w:hAnsi="宋体"/>
          <w:szCs w:val="24"/>
        </w:rPr>
        <w:t>③</w:t>
      </w:r>
      <w:r>
        <w:rPr>
          <w:rFonts w:cs="Times New Roman"/>
          <w:szCs w:val="24"/>
        </w:rPr>
        <w:t>医疗废物装卸人员应做好人员防护。医疗废物收运前，处置中心必须对每辆转运车的车况进行检查，确保车况良好后方可出车，转运车辆负责人应对每辆转运车是否配备所要求的辅助物品进行检查，确保完备。负责运输的司机必须通过培训，了解相关的安全知识。</w:t>
      </w:r>
    </w:p>
    <w:p>
      <w:pPr>
        <w:pStyle w:val="420"/>
        <w:spacing w:line="480" w:lineRule="exact"/>
        <w:ind w:firstLine="480"/>
        <w:rPr>
          <w:rFonts w:cs="Times New Roman"/>
          <w:szCs w:val="24"/>
        </w:rPr>
      </w:pPr>
      <w:r>
        <w:rPr>
          <w:rFonts w:hint="eastAsia" w:ascii="宋体" w:hAnsi="宋体"/>
          <w:szCs w:val="24"/>
        </w:rPr>
        <w:t>④</w:t>
      </w:r>
      <w:r>
        <w:rPr>
          <w:rFonts w:cs="Times New Roman"/>
          <w:szCs w:val="24"/>
        </w:rPr>
        <w:t>医疗废物转运车不得搭乘其他无关人员，不得装载或混装其他货物和动、植物。</w:t>
      </w:r>
    </w:p>
    <w:p>
      <w:pPr>
        <w:pStyle w:val="420"/>
        <w:spacing w:line="480" w:lineRule="exact"/>
        <w:ind w:firstLine="480"/>
        <w:rPr>
          <w:rFonts w:cs="Times New Roman"/>
          <w:szCs w:val="24"/>
        </w:rPr>
      </w:pPr>
      <w:r>
        <w:rPr>
          <w:rFonts w:hint="eastAsia" w:ascii="宋体" w:hAnsi="宋体"/>
          <w:szCs w:val="24"/>
        </w:rPr>
        <w:t>⑤</w:t>
      </w:r>
      <w:r>
        <w:rPr>
          <w:rFonts w:cs="Times New Roman"/>
          <w:szCs w:val="24"/>
        </w:rPr>
        <w:t>医疗废物转运车行驶时应锁闭车厢门，确保安全，不得丢失、遗撒和打开包装取出医疗废物。</w:t>
      </w:r>
    </w:p>
    <w:p>
      <w:pPr>
        <w:pStyle w:val="420"/>
        <w:spacing w:line="480" w:lineRule="exact"/>
        <w:ind w:firstLine="480"/>
        <w:rPr>
          <w:rFonts w:cs="Times New Roman"/>
          <w:szCs w:val="24"/>
        </w:rPr>
      </w:pPr>
      <w:r>
        <w:rPr>
          <w:rFonts w:cs="Times New Roman"/>
          <w:szCs w:val="24"/>
        </w:rPr>
        <w:t>改扩建后医疗废物收集运输路线及行车里程见表3.2-9。</w:t>
      </w:r>
    </w:p>
    <w:p>
      <w:pPr>
        <w:spacing w:line="480" w:lineRule="exact"/>
        <w:jc w:val="center"/>
        <w:rPr>
          <w:rFonts w:ascii="Times New Roman" w:hAnsi="Times New Roman"/>
          <w:b/>
        </w:rPr>
      </w:pPr>
      <w:r>
        <w:rPr>
          <w:rFonts w:ascii="Times New Roman" w:hAnsi="Times New Roman"/>
          <w:b/>
        </w:rPr>
        <w:t>表3.2-9 改扩建后医疗废物收集运输路线情况表</w:t>
      </w:r>
    </w:p>
    <w:tbl>
      <w:tblPr>
        <w:tblStyle w:val="7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48"/>
        <w:gridCol w:w="1342"/>
        <w:gridCol w:w="1789"/>
        <w:gridCol w:w="455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45" w:type="dxa"/>
            <w:tcBorders>
              <w:top w:val="single" w:color="auto" w:sz="12" w:space="0"/>
            </w:tcBorders>
            <w:vAlign w:val="center"/>
          </w:tcPr>
          <w:p>
            <w:pPr>
              <w:jc w:val="center"/>
              <w:rPr>
                <w:rFonts w:ascii="Times New Roman" w:hAnsi="Times New Roman"/>
                <w:b/>
                <w:szCs w:val="20"/>
              </w:rPr>
            </w:pPr>
            <w:r>
              <w:rPr>
                <w:rFonts w:ascii="Times New Roman" w:hAnsi="Times New Roman"/>
                <w:b/>
                <w:szCs w:val="20"/>
              </w:rPr>
              <w:t>序号</w:t>
            </w:r>
          </w:p>
        </w:tc>
        <w:tc>
          <w:tcPr>
            <w:tcW w:w="1339" w:type="dxa"/>
            <w:tcBorders>
              <w:top w:val="single" w:color="auto" w:sz="12" w:space="0"/>
            </w:tcBorders>
            <w:vAlign w:val="center"/>
          </w:tcPr>
          <w:p>
            <w:pPr>
              <w:jc w:val="center"/>
              <w:rPr>
                <w:rFonts w:ascii="Times New Roman" w:hAnsi="Times New Roman"/>
                <w:b/>
                <w:szCs w:val="20"/>
              </w:rPr>
            </w:pPr>
            <w:r>
              <w:rPr>
                <w:rFonts w:ascii="Times New Roman" w:hAnsi="Times New Roman"/>
                <w:b/>
                <w:szCs w:val="20"/>
              </w:rPr>
              <w:t>线路</w:t>
            </w:r>
          </w:p>
        </w:tc>
        <w:tc>
          <w:tcPr>
            <w:tcW w:w="1788" w:type="dxa"/>
            <w:tcBorders>
              <w:top w:val="single" w:color="auto" w:sz="12" w:space="0"/>
            </w:tcBorders>
            <w:vAlign w:val="center"/>
          </w:tcPr>
          <w:p>
            <w:pPr>
              <w:jc w:val="center"/>
              <w:rPr>
                <w:rFonts w:ascii="Times New Roman" w:hAnsi="Times New Roman"/>
                <w:b/>
                <w:szCs w:val="20"/>
              </w:rPr>
            </w:pPr>
            <w:r>
              <w:rPr>
                <w:rFonts w:ascii="Times New Roman" w:hAnsi="Times New Roman"/>
                <w:b/>
                <w:szCs w:val="20"/>
              </w:rPr>
              <w:t>来回里程（km）</w:t>
            </w:r>
          </w:p>
        </w:tc>
        <w:tc>
          <w:tcPr>
            <w:tcW w:w="4557" w:type="dxa"/>
            <w:tcBorders>
              <w:top w:val="single" w:color="auto" w:sz="12" w:space="0"/>
            </w:tcBorders>
            <w:vAlign w:val="center"/>
          </w:tcPr>
          <w:p>
            <w:pPr>
              <w:jc w:val="center"/>
              <w:rPr>
                <w:rFonts w:ascii="Times New Roman" w:hAnsi="Times New Roman"/>
                <w:b/>
                <w:szCs w:val="20"/>
              </w:rPr>
            </w:pPr>
            <w:r>
              <w:rPr>
                <w:rFonts w:ascii="Times New Roman" w:hAnsi="Times New Roman"/>
                <w:b/>
                <w:szCs w:val="20"/>
              </w:rPr>
              <w:t>涉及主要县区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45" w:type="dxa"/>
            <w:vAlign w:val="center"/>
          </w:tcPr>
          <w:p>
            <w:pPr>
              <w:jc w:val="center"/>
              <w:rPr>
                <w:rFonts w:ascii="Times New Roman" w:hAnsi="Times New Roman"/>
                <w:szCs w:val="20"/>
              </w:rPr>
            </w:pPr>
            <w:r>
              <w:rPr>
                <w:rFonts w:ascii="Times New Roman" w:hAnsi="Times New Roman"/>
                <w:szCs w:val="20"/>
              </w:rPr>
              <w:t>1</w:t>
            </w:r>
          </w:p>
        </w:tc>
        <w:tc>
          <w:tcPr>
            <w:tcW w:w="1339" w:type="dxa"/>
            <w:vAlign w:val="center"/>
          </w:tcPr>
          <w:p>
            <w:pPr>
              <w:jc w:val="center"/>
              <w:rPr>
                <w:rFonts w:ascii="Times New Roman" w:hAnsi="Times New Roman"/>
                <w:szCs w:val="20"/>
              </w:rPr>
            </w:pPr>
            <w:r>
              <w:rPr>
                <w:rFonts w:ascii="Times New Roman" w:hAnsi="Times New Roman"/>
                <w:szCs w:val="20"/>
              </w:rPr>
              <w:t>尖山区</w:t>
            </w:r>
          </w:p>
        </w:tc>
        <w:tc>
          <w:tcPr>
            <w:tcW w:w="1788" w:type="dxa"/>
            <w:vAlign w:val="center"/>
          </w:tcPr>
          <w:p>
            <w:pPr>
              <w:jc w:val="center"/>
              <w:rPr>
                <w:rFonts w:ascii="Times New Roman" w:hAnsi="Times New Roman"/>
                <w:szCs w:val="20"/>
              </w:rPr>
            </w:pPr>
            <w:r>
              <w:rPr>
                <w:rFonts w:ascii="Times New Roman" w:hAnsi="Times New Roman"/>
                <w:szCs w:val="20"/>
              </w:rPr>
              <w:t>26</w:t>
            </w:r>
          </w:p>
        </w:tc>
        <w:tc>
          <w:tcPr>
            <w:tcW w:w="4557" w:type="dxa"/>
            <w:vAlign w:val="center"/>
          </w:tcPr>
          <w:p>
            <w:pPr>
              <w:jc w:val="center"/>
              <w:rPr>
                <w:rFonts w:ascii="Times New Roman" w:hAnsi="Times New Roman"/>
                <w:szCs w:val="20"/>
              </w:rPr>
            </w:pPr>
            <w:r>
              <w:rPr>
                <w:rFonts w:ascii="Times New Roman" w:hAnsi="Times New Roman"/>
                <w:szCs w:val="20"/>
              </w:rPr>
              <w:t>尖山区所涉及的29家医疗机构</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45" w:type="dxa"/>
            <w:vAlign w:val="center"/>
          </w:tcPr>
          <w:p>
            <w:pPr>
              <w:jc w:val="center"/>
              <w:rPr>
                <w:rFonts w:ascii="Times New Roman" w:hAnsi="Times New Roman"/>
                <w:szCs w:val="20"/>
              </w:rPr>
            </w:pPr>
            <w:r>
              <w:rPr>
                <w:rFonts w:ascii="Times New Roman" w:hAnsi="Times New Roman"/>
                <w:szCs w:val="20"/>
              </w:rPr>
              <w:t>2</w:t>
            </w:r>
          </w:p>
        </w:tc>
        <w:tc>
          <w:tcPr>
            <w:tcW w:w="1339" w:type="dxa"/>
            <w:vAlign w:val="center"/>
          </w:tcPr>
          <w:p>
            <w:pPr>
              <w:jc w:val="center"/>
              <w:rPr>
                <w:rFonts w:ascii="Times New Roman" w:hAnsi="Times New Roman"/>
                <w:szCs w:val="20"/>
              </w:rPr>
            </w:pPr>
            <w:r>
              <w:rPr>
                <w:rFonts w:ascii="Times New Roman" w:hAnsi="Times New Roman"/>
                <w:szCs w:val="20"/>
              </w:rPr>
              <w:t>四方台区</w:t>
            </w:r>
          </w:p>
        </w:tc>
        <w:tc>
          <w:tcPr>
            <w:tcW w:w="1788" w:type="dxa"/>
            <w:vAlign w:val="center"/>
          </w:tcPr>
          <w:p>
            <w:pPr>
              <w:jc w:val="center"/>
              <w:rPr>
                <w:rFonts w:ascii="Times New Roman" w:hAnsi="Times New Roman"/>
                <w:szCs w:val="20"/>
              </w:rPr>
            </w:pPr>
            <w:r>
              <w:rPr>
                <w:rFonts w:ascii="Times New Roman" w:hAnsi="Times New Roman"/>
                <w:szCs w:val="20"/>
              </w:rPr>
              <w:t>9.5</w:t>
            </w:r>
          </w:p>
        </w:tc>
        <w:tc>
          <w:tcPr>
            <w:tcW w:w="4557" w:type="dxa"/>
            <w:vAlign w:val="center"/>
          </w:tcPr>
          <w:p>
            <w:pPr>
              <w:jc w:val="center"/>
              <w:rPr>
                <w:rFonts w:ascii="Times New Roman" w:hAnsi="Times New Roman"/>
                <w:szCs w:val="20"/>
              </w:rPr>
            </w:pPr>
            <w:r>
              <w:rPr>
                <w:rFonts w:ascii="Times New Roman" w:hAnsi="Times New Roman"/>
                <w:szCs w:val="20"/>
              </w:rPr>
              <w:t>四方台区所涉及的7家医疗机构</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45" w:type="dxa"/>
            <w:vAlign w:val="center"/>
          </w:tcPr>
          <w:p>
            <w:pPr>
              <w:jc w:val="center"/>
              <w:rPr>
                <w:rFonts w:ascii="Times New Roman" w:hAnsi="Times New Roman"/>
                <w:szCs w:val="20"/>
              </w:rPr>
            </w:pPr>
            <w:r>
              <w:rPr>
                <w:rFonts w:ascii="Times New Roman" w:hAnsi="Times New Roman"/>
                <w:szCs w:val="20"/>
              </w:rPr>
              <w:t>3</w:t>
            </w:r>
          </w:p>
        </w:tc>
        <w:tc>
          <w:tcPr>
            <w:tcW w:w="1339" w:type="dxa"/>
            <w:vAlign w:val="center"/>
          </w:tcPr>
          <w:p>
            <w:pPr>
              <w:jc w:val="center"/>
              <w:rPr>
                <w:rFonts w:ascii="Times New Roman" w:hAnsi="Times New Roman"/>
                <w:szCs w:val="20"/>
              </w:rPr>
            </w:pPr>
            <w:r>
              <w:rPr>
                <w:rFonts w:ascii="Times New Roman" w:hAnsi="Times New Roman"/>
                <w:szCs w:val="20"/>
              </w:rPr>
              <w:t>岭东区</w:t>
            </w:r>
          </w:p>
        </w:tc>
        <w:tc>
          <w:tcPr>
            <w:tcW w:w="1788" w:type="dxa"/>
            <w:vAlign w:val="center"/>
          </w:tcPr>
          <w:p>
            <w:pPr>
              <w:jc w:val="center"/>
              <w:rPr>
                <w:rFonts w:ascii="Times New Roman" w:hAnsi="Times New Roman"/>
                <w:szCs w:val="20"/>
              </w:rPr>
            </w:pPr>
            <w:r>
              <w:rPr>
                <w:rFonts w:ascii="Times New Roman" w:hAnsi="Times New Roman"/>
                <w:szCs w:val="20"/>
              </w:rPr>
              <w:t>30</w:t>
            </w:r>
          </w:p>
        </w:tc>
        <w:tc>
          <w:tcPr>
            <w:tcW w:w="4557" w:type="dxa"/>
            <w:vAlign w:val="center"/>
          </w:tcPr>
          <w:p>
            <w:pPr>
              <w:jc w:val="center"/>
              <w:rPr>
                <w:rFonts w:ascii="Times New Roman" w:hAnsi="Times New Roman"/>
                <w:szCs w:val="20"/>
              </w:rPr>
            </w:pPr>
            <w:r>
              <w:rPr>
                <w:rFonts w:ascii="Times New Roman" w:hAnsi="Times New Roman"/>
                <w:szCs w:val="20"/>
              </w:rPr>
              <w:t>岭东区所涉及的6家医疗机构</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45" w:type="dxa"/>
            <w:vAlign w:val="center"/>
          </w:tcPr>
          <w:p>
            <w:pPr>
              <w:jc w:val="center"/>
              <w:rPr>
                <w:rFonts w:ascii="Times New Roman" w:hAnsi="Times New Roman"/>
                <w:szCs w:val="20"/>
              </w:rPr>
            </w:pPr>
            <w:r>
              <w:rPr>
                <w:rFonts w:ascii="Times New Roman" w:hAnsi="Times New Roman"/>
                <w:szCs w:val="20"/>
              </w:rPr>
              <w:t>4</w:t>
            </w:r>
          </w:p>
        </w:tc>
        <w:tc>
          <w:tcPr>
            <w:tcW w:w="1339" w:type="dxa"/>
            <w:vAlign w:val="center"/>
          </w:tcPr>
          <w:p>
            <w:pPr>
              <w:jc w:val="center"/>
              <w:rPr>
                <w:rFonts w:ascii="Times New Roman" w:hAnsi="Times New Roman"/>
                <w:szCs w:val="20"/>
              </w:rPr>
            </w:pPr>
            <w:r>
              <w:rPr>
                <w:rFonts w:ascii="Times New Roman" w:hAnsi="Times New Roman"/>
                <w:szCs w:val="20"/>
              </w:rPr>
              <w:t>宝山区</w:t>
            </w:r>
          </w:p>
        </w:tc>
        <w:tc>
          <w:tcPr>
            <w:tcW w:w="1788" w:type="dxa"/>
            <w:vAlign w:val="center"/>
          </w:tcPr>
          <w:p>
            <w:pPr>
              <w:jc w:val="center"/>
              <w:rPr>
                <w:rFonts w:ascii="Times New Roman" w:hAnsi="Times New Roman"/>
                <w:szCs w:val="20"/>
              </w:rPr>
            </w:pPr>
            <w:r>
              <w:rPr>
                <w:rFonts w:ascii="Times New Roman" w:hAnsi="Times New Roman"/>
                <w:szCs w:val="20"/>
              </w:rPr>
              <w:t>20</w:t>
            </w:r>
          </w:p>
        </w:tc>
        <w:tc>
          <w:tcPr>
            <w:tcW w:w="4557" w:type="dxa"/>
            <w:vAlign w:val="center"/>
          </w:tcPr>
          <w:p>
            <w:pPr>
              <w:jc w:val="center"/>
              <w:rPr>
                <w:rFonts w:ascii="Times New Roman" w:hAnsi="Times New Roman"/>
                <w:szCs w:val="20"/>
              </w:rPr>
            </w:pPr>
            <w:r>
              <w:rPr>
                <w:rFonts w:ascii="Times New Roman" w:hAnsi="Times New Roman"/>
                <w:szCs w:val="20"/>
              </w:rPr>
              <w:t>宝山区所涉及的10家医疗机构</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45" w:type="dxa"/>
            <w:vAlign w:val="center"/>
          </w:tcPr>
          <w:p>
            <w:pPr>
              <w:jc w:val="center"/>
              <w:rPr>
                <w:rFonts w:ascii="Times New Roman" w:hAnsi="Times New Roman"/>
                <w:szCs w:val="20"/>
              </w:rPr>
            </w:pPr>
            <w:r>
              <w:rPr>
                <w:rFonts w:ascii="Times New Roman" w:hAnsi="Times New Roman"/>
                <w:szCs w:val="20"/>
              </w:rPr>
              <w:t>5</w:t>
            </w:r>
          </w:p>
        </w:tc>
        <w:tc>
          <w:tcPr>
            <w:tcW w:w="1339" w:type="dxa"/>
            <w:vAlign w:val="center"/>
          </w:tcPr>
          <w:p>
            <w:pPr>
              <w:jc w:val="center"/>
              <w:rPr>
                <w:rFonts w:ascii="Times New Roman" w:hAnsi="Times New Roman"/>
                <w:szCs w:val="20"/>
              </w:rPr>
            </w:pPr>
            <w:r>
              <w:rPr>
                <w:rFonts w:ascii="Times New Roman" w:hAnsi="Times New Roman"/>
                <w:szCs w:val="20"/>
              </w:rPr>
              <w:t>集贤县</w:t>
            </w:r>
          </w:p>
        </w:tc>
        <w:tc>
          <w:tcPr>
            <w:tcW w:w="1788" w:type="dxa"/>
            <w:vAlign w:val="center"/>
          </w:tcPr>
          <w:p>
            <w:pPr>
              <w:jc w:val="center"/>
              <w:rPr>
                <w:rFonts w:ascii="Times New Roman" w:hAnsi="Times New Roman"/>
                <w:szCs w:val="20"/>
              </w:rPr>
            </w:pPr>
            <w:r>
              <w:rPr>
                <w:rFonts w:ascii="Times New Roman" w:hAnsi="Times New Roman"/>
                <w:szCs w:val="20"/>
              </w:rPr>
              <w:t>35</w:t>
            </w:r>
          </w:p>
        </w:tc>
        <w:tc>
          <w:tcPr>
            <w:tcW w:w="4557" w:type="dxa"/>
            <w:vAlign w:val="center"/>
          </w:tcPr>
          <w:p>
            <w:pPr>
              <w:jc w:val="center"/>
              <w:rPr>
                <w:rFonts w:ascii="Times New Roman" w:hAnsi="Times New Roman"/>
                <w:szCs w:val="20"/>
              </w:rPr>
            </w:pPr>
            <w:r>
              <w:rPr>
                <w:rFonts w:ascii="Times New Roman" w:hAnsi="Times New Roman"/>
                <w:szCs w:val="20"/>
              </w:rPr>
              <w:t>集贤县所涉及的22家医疗机构</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45" w:type="dxa"/>
            <w:vAlign w:val="center"/>
          </w:tcPr>
          <w:p>
            <w:pPr>
              <w:jc w:val="center"/>
              <w:rPr>
                <w:rFonts w:ascii="Times New Roman" w:hAnsi="Times New Roman"/>
                <w:szCs w:val="20"/>
              </w:rPr>
            </w:pPr>
            <w:r>
              <w:rPr>
                <w:rFonts w:ascii="Times New Roman" w:hAnsi="Times New Roman"/>
                <w:szCs w:val="20"/>
              </w:rPr>
              <w:t>6</w:t>
            </w:r>
          </w:p>
        </w:tc>
        <w:tc>
          <w:tcPr>
            <w:tcW w:w="1339" w:type="dxa"/>
            <w:vAlign w:val="center"/>
          </w:tcPr>
          <w:p>
            <w:pPr>
              <w:jc w:val="center"/>
              <w:rPr>
                <w:rFonts w:ascii="Times New Roman" w:hAnsi="Times New Roman"/>
                <w:szCs w:val="20"/>
              </w:rPr>
            </w:pPr>
            <w:r>
              <w:rPr>
                <w:rFonts w:ascii="Times New Roman" w:hAnsi="Times New Roman"/>
                <w:szCs w:val="20"/>
              </w:rPr>
              <w:t>友谊县</w:t>
            </w:r>
          </w:p>
        </w:tc>
        <w:tc>
          <w:tcPr>
            <w:tcW w:w="1788" w:type="dxa"/>
            <w:vAlign w:val="center"/>
          </w:tcPr>
          <w:p>
            <w:pPr>
              <w:jc w:val="center"/>
              <w:rPr>
                <w:rFonts w:ascii="Times New Roman" w:hAnsi="Times New Roman"/>
                <w:szCs w:val="20"/>
              </w:rPr>
            </w:pPr>
            <w:r>
              <w:rPr>
                <w:rFonts w:ascii="Times New Roman" w:hAnsi="Times New Roman"/>
                <w:szCs w:val="20"/>
              </w:rPr>
              <w:t>90</w:t>
            </w:r>
          </w:p>
        </w:tc>
        <w:tc>
          <w:tcPr>
            <w:tcW w:w="4557" w:type="dxa"/>
            <w:vAlign w:val="center"/>
          </w:tcPr>
          <w:p>
            <w:pPr>
              <w:jc w:val="center"/>
              <w:rPr>
                <w:rFonts w:ascii="Times New Roman" w:hAnsi="Times New Roman"/>
                <w:szCs w:val="20"/>
              </w:rPr>
            </w:pPr>
            <w:r>
              <w:rPr>
                <w:rFonts w:ascii="Times New Roman" w:hAnsi="Times New Roman"/>
                <w:szCs w:val="20"/>
              </w:rPr>
              <w:t>友谊县所涉及的21家医疗机构</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45" w:type="dxa"/>
            <w:tcBorders>
              <w:bottom w:val="single" w:color="auto" w:sz="12" w:space="0"/>
            </w:tcBorders>
            <w:vAlign w:val="center"/>
          </w:tcPr>
          <w:p>
            <w:pPr>
              <w:jc w:val="center"/>
              <w:rPr>
                <w:rFonts w:ascii="Times New Roman" w:hAnsi="Times New Roman"/>
                <w:szCs w:val="20"/>
              </w:rPr>
            </w:pPr>
            <w:r>
              <w:rPr>
                <w:rFonts w:ascii="Times New Roman" w:hAnsi="Times New Roman"/>
                <w:szCs w:val="20"/>
              </w:rPr>
              <w:t>7</w:t>
            </w:r>
          </w:p>
        </w:tc>
        <w:tc>
          <w:tcPr>
            <w:tcW w:w="1339" w:type="dxa"/>
            <w:tcBorders>
              <w:bottom w:val="single" w:color="auto" w:sz="12" w:space="0"/>
            </w:tcBorders>
            <w:vAlign w:val="center"/>
          </w:tcPr>
          <w:p>
            <w:pPr>
              <w:jc w:val="center"/>
              <w:rPr>
                <w:rFonts w:ascii="Times New Roman" w:hAnsi="Times New Roman"/>
                <w:szCs w:val="20"/>
              </w:rPr>
            </w:pPr>
            <w:r>
              <w:rPr>
                <w:rFonts w:ascii="Times New Roman" w:hAnsi="Times New Roman"/>
                <w:szCs w:val="20"/>
              </w:rPr>
              <w:t>宝清县</w:t>
            </w:r>
          </w:p>
        </w:tc>
        <w:tc>
          <w:tcPr>
            <w:tcW w:w="1788" w:type="dxa"/>
            <w:tcBorders>
              <w:bottom w:val="single" w:color="auto" w:sz="12" w:space="0"/>
            </w:tcBorders>
            <w:vAlign w:val="center"/>
          </w:tcPr>
          <w:p>
            <w:pPr>
              <w:jc w:val="center"/>
              <w:rPr>
                <w:rFonts w:ascii="Times New Roman" w:hAnsi="Times New Roman"/>
                <w:szCs w:val="20"/>
              </w:rPr>
            </w:pPr>
            <w:r>
              <w:rPr>
                <w:rFonts w:ascii="Times New Roman" w:hAnsi="Times New Roman"/>
                <w:szCs w:val="20"/>
              </w:rPr>
              <w:t>150</w:t>
            </w:r>
          </w:p>
        </w:tc>
        <w:tc>
          <w:tcPr>
            <w:tcW w:w="4557" w:type="dxa"/>
            <w:tcBorders>
              <w:bottom w:val="single" w:color="auto" w:sz="12" w:space="0"/>
            </w:tcBorders>
            <w:vAlign w:val="center"/>
          </w:tcPr>
          <w:p>
            <w:pPr>
              <w:jc w:val="center"/>
              <w:rPr>
                <w:rFonts w:ascii="Times New Roman" w:hAnsi="Times New Roman"/>
                <w:szCs w:val="20"/>
              </w:rPr>
            </w:pPr>
            <w:r>
              <w:rPr>
                <w:rFonts w:ascii="Times New Roman" w:hAnsi="Times New Roman"/>
                <w:szCs w:val="20"/>
              </w:rPr>
              <w:t>宝清县所涉及的33家医疗机构</w:t>
            </w:r>
          </w:p>
        </w:tc>
      </w:tr>
    </w:tbl>
    <w:p>
      <w:pPr>
        <w:widowControl/>
        <w:spacing w:line="480" w:lineRule="exact"/>
        <w:outlineLvl w:val="3"/>
        <w:rPr>
          <w:rFonts w:ascii="Times New Roman" w:hAnsi="Times New Roman" w:eastAsia="黑体"/>
          <w:sz w:val="24"/>
        </w:rPr>
      </w:pPr>
      <w:r>
        <w:rPr>
          <w:rFonts w:ascii="Times New Roman" w:hAnsi="Times New Roman" w:eastAsia="黑体"/>
          <w:sz w:val="24"/>
        </w:rPr>
        <w:t>3.2.6.3.医疗废物暂存</w:t>
      </w:r>
    </w:p>
    <w:p>
      <w:pPr>
        <w:tabs>
          <w:tab w:val="left" w:pos="6480"/>
        </w:tabs>
        <w:spacing w:line="480" w:lineRule="exact"/>
        <w:ind w:firstLine="480" w:firstLineChars="200"/>
        <w:rPr>
          <w:rFonts w:ascii="Times New Roman" w:hAnsi="Times New Roman"/>
          <w:sz w:val="24"/>
          <w:szCs w:val="24"/>
        </w:rPr>
      </w:pPr>
      <w:r>
        <w:rPr>
          <w:rFonts w:ascii="Times New Roman" w:hAnsi="Times New Roman"/>
          <w:sz w:val="24"/>
          <w:szCs w:val="24"/>
        </w:rPr>
        <w:t>本项目医疗废物进厂后卸入医疗废物暂存间（冷库），建筑面积33m</w:t>
      </w:r>
      <w:r>
        <w:rPr>
          <w:rFonts w:ascii="Times New Roman" w:hAnsi="Times New Roman"/>
          <w:sz w:val="24"/>
          <w:szCs w:val="24"/>
          <w:vertAlign w:val="superscript"/>
        </w:rPr>
        <w:t>2</w:t>
      </w:r>
      <w:r>
        <w:rPr>
          <w:rFonts w:ascii="Times New Roman" w:hAnsi="Times New Roman"/>
          <w:sz w:val="24"/>
          <w:szCs w:val="24"/>
        </w:rPr>
        <w:t>，最大储存量20t。根据</w:t>
      </w:r>
      <w:r>
        <w:rPr>
          <w:rFonts w:hint="eastAsia" w:ascii="Times New Roman" w:hAnsi="Times New Roman"/>
          <w:sz w:val="24"/>
          <w:szCs w:val="24"/>
        </w:rPr>
        <w:t>《医疗废物高温蒸汽消毒集中处理工程技术规范》（</w:t>
      </w:r>
      <w:r>
        <w:rPr>
          <w:rFonts w:ascii="Times New Roman" w:hAnsi="Times New Roman"/>
          <w:sz w:val="24"/>
          <w:szCs w:val="24"/>
        </w:rPr>
        <w:t>HJ276-2021）和《医疗废物处理处置污染控制标准》（GB39707-2020）要求：“</w:t>
      </w:r>
      <w:r>
        <w:rPr>
          <w:rFonts w:hint="eastAsia" w:ascii="Times New Roman" w:hAnsi="Times New Roman"/>
          <w:sz w:val="24"/>
          <w:szCs w:val="24"/>
        </w:rPr>
        <w:t>医疗废物处理处置单位应设置感染性、损伤性的贮存设施；贮存设施内应设置不同类别医疗废物的贮存区；贮存设施地面防渗应满足国家和地方有关重点污染源防渗要求。墙面应做防渗处理，感染性、损伤性废物贮存设施的地面、墙面材料应易于清晰和消毒；贮存设施应设置废水收集设施，收集的废水应导入废水处理设施；感染性、损伤性废物贮存设施应设置负压及通风装置、制冷系统和设备，排放口应设置废气净化装置；医疗废物不能及时处理处置时，应置于贮存设施内贮存。感染性、损伤性、病理性废物应盛装于医疗废物周转箱</w:t>
      </w:r>
      <w:r>
        <w:rPr>
          <w:rFonts w:ascii="Times New Roman" w:hAnsi="Times New Roman"/>
          <w:sz w:val="24"/>
          <w:szCs w:val="24"/>
        </w:rPr>
        <w:t>/桶内一并置于贮存设施内暂时贮存”</w:t>
      </w:r>
      <w:r>
        <w:rPr>
          <w:rFonts w:hint="eastAsia" w:ascii="Times New Roman" w:hAnsi="Times New Roman"/>
          <w:sz w:val="24"/>
          <w:szCs w:val="24"/>
        </w:rPr>
        <w:t>；处理处置单位对感染性、损伤性废物的贮存应符合以下要求：</w:t>
      </w:r>
    </w:p>
    <w:p>
      <w:pPr>
        <w:tabs>
          <w:tab w:val="left" w:pos="6480"/>
        </w:tabs>
        <w:spacing w:line="480" w:lineRule="exact"/>
        <w:ind w:firstLine="480" w:firstLineChars="200"/>
        <w:rPr>
          <w:rFonts w:ascii="Times New Roman" w:hAnsi="Times New Roman"/>
          <w:sz w:val="24"/>
          <w:szCs w:val="24"/>
        </w:rPr>
      </w:pPr>
      <w:r>
        <w:rPr>
          <w:rFonts w:hint="eastAsia" w:ascii="Times New Roman" w:hAnsi="Times New Roman"/>
          <w:sz w:val="24"/>
          <w:szCs w:val="24"/>
        </w:rPr>
        <w:t>贮存温度≥</w:t>
      </w:r>
      <w:r>
        <w:rPr>
          <w:rFonts w:ascii="Times New Roman" w:hAnsi="Times New Roman"/>
          <w:sz w:val="24"/>
          <w:szCs w:val="24"/>
        </w:rPr>
        <w:t>5℃，贮存时间不得超过24小时；</w:t>
      </w:r>
    </w:p>
    <w:p>
      <w:pPr>
        <w:tabs>
          <w:tab w:val="left" w:pos="6480"/>
        </w:tabs>
        <w:spacing w:line="480" w:lineRule="exact"/>
        <w:ind w:firstLine="480" w:firstLineChars="200"/>
        <w:rPr>
          <w:rFonts w:ascii="Times New Roman" w:hAnsi="Times New Roman"/>
          <w:sz w:val="24"/>
          <w:szCs w:val="24"/>
        </w:rPr>
      </w:pPr>
      <w:r>
        <w:rPr>
          <w:rFonts w:hint="eastAsia" w:ascii="Times New Roman" w:hAnsi="Times New Roman"/>
          <w:sz w:val="24"/>
          <w:szCs w:val="24"/>
        </w:rPr>
        <w:t>贮存温度＜</w:t>
      </w:r>
      <w:r>
        <w:rPr>
          <w:rFonts w:ascii="Times New Roman" w:hAnsi="Times New Roman"/>
          <w:sz w:val="24"/>
          <w:szCs w:val="24"/>
        </w:rPr>
        <w:t>5℃，贮存时间不得超过72小时；</w:t>
      </w:r>
    </w:p>
    <w:p>
      <w:pPr>
        <w:tabs>
          <w:tab w:val="left" w:pos="6480"/>
        </w:tabs>
        <w:spacing w:line="480" w:lineRule="exact"/>
        <w:ind w:firstLine="480" w:firstLineChars="200"/>
        <w:rPr>
          <w:rFonts w:ascii="Times New Roman" w:hAnsi="Times New Roman"/>
          <w:sz w:val="24"/>
          <w:szCs w:val="24"/>
        </w:rPr>
      </w:pPr>
      <w:r>
        <w:rPr>
          <w:rFonts w:hint="eastAsia" w:ascii="Times New Roman" w:hAnsi="Times New Roman"/>
          <w:sz w:val="24"/>
          <w:szCs w:val="24"/>
        </w:rPr>
        <w:t>偏远地区贮存温度＜</w:t>
      </w:r>
      <w:r>
        <w:rPr>
          <w:rFonts w:ascii="Times New Roman" w:hAnsi="Times New Roman"/>
          <w:sz w:val="24"/>
          <w:szCs w:val="24"/>
        </w:rPr>
        <w:t>5℃，并采取消毒措施时，可适当延长贮存时间，但不得超过168小时。</w:t>
      </w:r>
    </w:p>
    <w:p>
      <w:pPr>
        <w:tabs>
          <w:tab w:val="left" w:pos="6480"/>
        </w:tabs>
        <w:spacing w:line="480" w:lineRule="exact"/>
        <w:ind w:firstLine="480" w:firstLineChars="200"/>
        <w:rPr>
          <w:rFonts w:ascii="Times New Roman" w:hAnsi="Times New Roman"/>
          <w:sz w:val="24"/>
          <w:szCs w:val="24"/>
        </w:rPr>
      </w:pPr>
      <w:r>
        <w:rPr>
          <w:rFonts w:hint="eastAsia" w:ascii="Times New Roman" w:hAnsi="Times New Roman"/>
          <w:sz w:val="24"/>
          <w:szCs w:val="24"/>
        </w:rPr>
        <w:t>本项目医疗废物暂存间设置了微负压收集装置，废气经过废气净化装置后有组织排放，设置了废水收集池，收集的废水直接导入污水处理站处理，本项目设置了不同医疗废物的不同分区。</w:t>
      </w:r>
    </w:p>
    <w:p>
      <w:pPr>
        <w:tabs>
          <w:tab w:val="left" w:pos="6480"/>
        </w:tabs>
        <w:spacing w:line="480" w:lineRule="exact"/>
        <w:ind w:firstLine="480" w:firstLineChars="200"/>
        <w:rPr>
          <w:rFonts w:ascii="Times New Roman" w:hAnsi="Times New Roman"/>
          <w:sz w:val="24"/>
          <w:szCs w:val="24"/>
        </w:rPr>
      </w:pPr>
      <w:r>
        <w:rPr>
          <w:rFonts w:ascii="Times New Roman" w:hAnsi="Times New Roman"/>
          <w:sz w:val="24"/>
          <w:szCs w:val="24"/>
        </w:rPr>
        <w:t>医疗废物暂存库具有冷藏功能，制冷设备采用1台4P-15.2风冷冷凝机组，保证暂存库内部温度≤5℃的。医疗废物暂存时间与制冷设备是否启动有关，若启动制冷设备，暂存时间≤72h；若未启动制冷设备，暂存时间≤24h。医疗废物暂存室（冷库）已按照《危险废物储存污染控制标准》（GB18597-2001）的要求进行防渗处理，并具备完善的排水系统，可使地面消毒和清洗废水通过暗沟排入废水处理设施。已按照“全封闭、微负压、配备事故排风扇”的原则进行设计，并保证新风量30m</w:t>
      </w:r>
      <w:r>
        <w:rPr>
          <w:rFonts w:ascii="Times New Roman" w:hAnsi="Times New Roman"/>
          <w:sz w:val="24"/>
          <w:szCs w:val="24"/>
          <w:vertAlign w:val="superscript"/>
        </w:rPr>
        <w:t>3</w:t>
      </w:r>
      <w:r>
        <w:rPr>
          <w:rFonts w:ascii="Times New Roman" w:hAnsi="Times New Roman"/>
          <w:sz w:val="24"/>
          <w:szCs w:val="24"/>
        </w:rPr>
        <w:t>/人·h，同时还要为防止小动物钻入而在窗上安装通风过滤网。周转箱的码垛留有足够的空间便于周转箱的回取和冷气的循环。</w:t>
      </w:r>
    </w:p>
    <w:p>
      <w:pPr>
        <w:spacing w:line="480" w:lineRule="exact"/>
        <w:ind w:firstLine="480" w:firstLineChars="200"/>
        <w:rPr>
          <w:rFonts w:ascii="Times New Roman" w:hAnsi="Times New Roman"/>
          <w:sz w:val="24"/>
          <w:szCs w:val="24"/>
        </w:rPr>
      </w:pPr>
      <w:r>
        <w:rPr>
          <w:rFonts w:ascii="Times New Roman" w:hAnsi="Times New Roman"/>
          <w:sz w:val="24"/>
          <w:szCs w:val="24"/>
        </w:rPr>
        <w:t>制冷剂采用R22，</w:t>
      </w:r>
      <w:r>
        <w:rPr>
          <w:rFonts w:hint="eastAsia" w:ascii="Times New Roman" w:hAnsi="Times New Roman"/>
          <w:sz w:val="24"/>
          <w:szCs w:val="24"/>
        </w:rPr>
        <w:t>制冷剂定期更换，更换周期为3年。制冷剂不在厂区暂存，更换完由厂家回收。</w:t>
      </w:r>
      <w:r>
        <w:rPr>
          <w:rFonts w:ascii="Times New Roman" w:hAnsi="Times New Roman"/>
          <w:sz w:val="24"/>
          <w:szCs w:val="24"/>
        </w:rPr>
        <w:t>即一氯二氟甲烷，分子式CHClF</w:t>
      </w:r>
      <w:r>
        <w:rPr>
          <w:rFonts w:ascii="Times New Roman" w:hAnsi="Times New Roman"/>
          <w:sz w:val="24"/>
          <w:szCs w:val="24"/>
          <w:vertAlign w:val="subscript"/>
        </w:rPr>
        <w:t>2</w:t>
      </w:r>
      <w:r>
        <w:rPr>
          <w:rFonts w:ascii="Times New Roman" w:hAnsi="Times New Roman"/>
          <w:sz w:val="24"/>
          <w:szCs w:val="24"/>
        </w:rPr>
        <w:t>，常温下为无色，近似无味的气体，不燃烧、不爆炸、无腐蚀，安全分类为A1，加压可液化为无色透明的液体，是一种低温制冷剂，可得到-80℃的制冷温度。为了保护环境，国际社会分别在1985年和1987年签署了两个保护臭氧层的国际环境公约和协定，即《关于保护臭氧层的维也纳公约》（以下简称《维也纳公约》）和《关于消耗臭氧层物质的蒙特利尔议定书》（以下简称《蒙特利尔议定书》），我国已于1989年加入《维也纳公约》、1991年加入《蒙特利尔议定书》。根据《维也纳公约》和《蒙特利尔议定书》中规定的我国应履行的义务，R22为目前氟制冷剂的过渡性替代品，其最终亦将在2030年淘汰，目前允许使用。</w:t>
      </w:r>
    </w:p>
    <w:p>
      <w:pPr>
        <w:widowControl/>
        <w:spacing w:line="480" w:lineRule="exact"/>
        <w:outlineLvl w:val="3"/>
        <w:rPr>
          <w:rFonts w:ascii="Times New Roman" w:hAnsi="Times New Roman" w:eastAsia="黑体"/>
          <w:sz w:val="24"/>
        </w:rPr>
      </w:pPr>
      <w:r>
        <w:rPr>
          <w:rFonts w:ascii="Times New Roman" w:hAnsi="Times New Roman" w:eastAsia="黑体"/>
          <w:sz w:val="24"/>
        </w:rPr>
        <w:t>3.2.6.4.危险废物暂存</w:t>
      </w:r>
    </w:p>
    <w:p>
      <w:pPr>
        <w:spacing w:line="480" w:lineRule="exact"/>
        <w:ind w:firstLine="480" w:firstLineChars="200"/>
        <w:rPr>
          <w:rFonts w:ascii="Times New Roman" w:hAnsi="Times New Roman"/>
          <w:sz w:val="24"/>
          <w:szCs w:val="24"/>
        </w:rPr>
      </w:pPr>
      <w:r>
        <w:rPr>
          <w:rFonts w:ascii="Times New Roman" w:hAnsi="Times New Roman"/>
          <w:sz w:val="24"/>
          <w:szCs w:val="24"/>
        </w:rPr>
        <w:t>本项目新建危险废物暂存间1座，占地面积10m</w:t>
      </w:r>
      <w:r>
        <w:rPr>
          <w:rFonts w:ascii="Times New Roman" w:hAnsi="Times New Roman"/>
          <w:sz w:val="24"/>
          <w:szCs w:val="24"/>
          <w:vertAlign w:val="superscript"/>
        </w:rPr>
        <w:t>2</w:t>
      </w:r>
      <w:r>
        <w:rPr>
          <w:rFonts w:ascii="Times New Roman" w:hAnsi="Times New Roman"/>
          <w:sz w:val="24"/>
          <w:szCs w:val="24"/>
        </w:rPr>
        <w:t>。参照《危险废物贮存污染控制标准》（GB18597-2001）及其修改单的相关要求，基础做防渗，采用2mm厚的高密度聚乙烯或其它人工材料，防渗系数≤10</w:t>
      </w:r>
      <w:r>
        <w:rPr>
          <w:rFonts w:ascii="Times New Roman" w:hAnsi="Times New Roman"/>
          <w:sz w:val="24"/>
          <w:szCs w:val="24"/>
          <w:vertAlign w:val="superscript"/>
        </w:rPr>
        <w:t>-10</w:t>
      </w:r>
      <w:r>
        <w:rPr>
          <w:rFonts w:ascii="Times New Roman" w:hAnsi="Times New Roman"/>
          <w:sz w:val="24"/>
          <w:szCs w:val="24"/>
        </w:rPr>
        <w:t>cm/s。废活性炭和污水处理间污泥</w:t>
      </w:r>
      <w:r>
        <w:rPr>
          <w:rFonts w:hint="eastAsia" w:ascii="Times New Roman" w:hAnsi="Times New Roman"/>
          <w:sz w:val="24"/>
          <w:szCs w:val="24"/>
        </w:rPr>
        <w:t>、栅渣</w:t>
      </w:r>
      <w:r>
        <w:rPr>
          <w:rFonts w:ascii="Times New Roman" w:hAnsi="Times New Roman"/>
          <w:sz w:val="24"/>
          <w:szCs w:val="24"/>
        </w:rPr>
        <w:t>暂存于危险废物暂存间，运送至黑龙江京盛华环保科技有限公司处置。</w:t>
      </w:r>
    </w:p>
    <w:p>
      <w:pPr>
        <w:pStyle w:val="4"/>
        <w:spacing w:before="120" w:beforeLines="50" w:after="120" w:afterLines="50" w:line="480" w:lineRule="exact"/>
        <w:rPr>
          <w:rFonts w:ascii="Times New Roman" w:hAnsi="Times New Roman"/>
          <w:szCs w:val="24"/>
        </w:rPr>
      </w:pPr>
      <w:bookmarkStart w:id="579" w:name="_Toc27134287"/>
      <w:bookmarkStart w:id="580" w:name="_Toc8157"/>
      <w:bookmarkStart w:id="581" w:name="_Toc24894"/>
      <w:bookmarkStart w:id="582" w:name="_Toc17440"/>
      <w:bookmarkStart w:id="583" w:name="_Toc26188011"/>
      <w:bookmarkStart w:id="584" w:name="_Toc32243"/>
      <w:bookmarkStart w:id="585" w:name="_Toc6724"/>
      <w:bookmarkStart w:id="586" w:name="_Toc27134289"/>
      <w:bookmarkStart w:id="587" w:name="_Toc26188013"/>
      <w:r>
        <w:rPr>
          <w:rFonts w:ascii="Times New Roman" w:hAnsi="Times New Roman" w:eastAsia="黑体"/>
          <w:bCs/>
          <w:sz w:val="28"/>
          <w:szCs w:val="28"/>
        </w:rPr>
        <w:t>公用工程</w:t>
      </w:r>
      <w:bookmarkEnd w:id="579"/>
      <w:bookmarkEnd w:id="580"/>
      <w:bookmarkEnd w:id="581"/>
      <w:bookmarkEnd w:id="582"/>
      <w:bookmarkEnd w:id="583"/>
      <w:bookmarkEnd w:id="584"/>
      <w:bookmarkEnd w:id="585"/>
    </w:p>
    <w:p>
      <w:pPr>
        <w:widowControl/>
        <w:spacing w:line="480" w:lineRule="exact"/>
        <w:outlineLvl w:val="3"/>
        <w:rPr>
          <w:rFonts w:ascii="Times New Roman" w:hAnsi="Times New Roman" w:eastAsia="黑体"/>
          <w:sz w:val="24"/>
        </w:rPr>
      </w:pPr>
      <w:r>
        <w:rPr>
          <w:rFonts w:ascii="Times New Roman" w:hAnsi="Times New Roman" w:eastAsia="黑体"/>
          <w:sz w:val="24"/>
        </w:rPr>
        <w:t>3.2.7.1.给水工程</w:t>
      </w:r>
    </w:p>
    <w:p>
      <w:pPr>
        <w:tabs>
          <w:tab w:val="left" w:pos="6480"/>
        </w:tabs>
        <w:spacing w:line="480" w:lineRule="exact"/>
        <w:ind w:firstLine="480" w:firstLineChars="200"/>
        <w:rPr>
          <w:rFonts w:ascii="Times New Roman" w:hAnsi="Times New Roman"/>
          <w:sz w:val="24"/>
          <w:szCs w:val="24"/>
        </w:rPr>
      </w:pPr>
      <w:r>
        <w:rPr>
          <w:rFonts w:ascii="Times New Roman" w:hAnsi="Times New Roman"/>
          <w:sz w:val="24"/>
          <w:szCs w:val="24"/>
        </w:rPr>
        <w:t>本项目用水由厂区内地下水井提供。本项目不新增劳动定员，不新增生活用水水量。改扩建工程用水包括转运车清洗消毒用水、周转箱清洗消毒用水、</w:t>
      </w:r>
      <w:r>
        <w:rPr>
          <w:rFonts w:hint="eastAsia" w:ascii="Times New Roman" w:hAnsi="Times New Roman"/>
          <w:sz w:val="24"/>
          <w:szCs w:val="24"/>
        </w:rPr>
        <w:t>车间地面清洗消毒用水和次氯酸钠</w:t>
      </w:r>
      <w:r>
        <w:rPr>
          <w:rFonts w:ascii="Times New Roman" w:hAnsi="Times New Roman"/>
          <w:sz w:val="24"/>
          <w:szCs w:val="24"/>
        </w:rPr>
        <w:t>消毒液配置用水。</w:t>
      </w:r>
    </w:p>
    <w:p>
      <w:pPr>
        <w:tabs>
          <w:tab w:val="left" w:pos="6480"/>
        </w:tabs>
        <w:spacing w:line="480" w:lineRule="exact"/>
        <w:ind w:firstLine="480" w:firstLineChars="200"/>
        <w:rPr>
          <w:rFonts w:ascii="Times New Roman" w:hAnsi="Times New Roman"/>
          <w:sz w:val="24"/>
          <w:szCs w:val="24"/>
        </w:rPr>
      </w:pPr>
      <w:r>
        <w:rPr>
          <w:rFonts w:ascii="Times New Roman" w:hAnsi="Times New Roman"/>
          <w:sz w:val="24"/>
          <w:szCs w:val="24"/>
        </w:rPr>
        <w:t>（1）转运车清洗用水</w:t>
      </w:r>
    </w:p>
    <w:p>
      <w:pPr>
        <w:tabs>
          <w:tab w:val="left" w:pos="6480"/>
        </w:tabs>
        <w:spacing w:line="480" w:lineRule="exact"/>
        <w:ind w:firstLine="480" w:firstLineChars="200"/>
        <w:rPr>
          <w:rFonts w:ascii="Times New Roman" w:hAnsi="Times New Roman"/>
          <w:sz w:val="24"/>
          <w:szCs w:val="24"/>
        </w:rPr>
      </w:pPr>
      <w:r>
        <w:rPr>
          <w:rFonts w:ascii="Times New Roman" w:hAnsi="Times New Roman"/>
          <w:sz w:val="24"/>
          <w:szCs w:val="24"/>
        </w:rPr>
        <w:t>本项目新增转运车4辆，每辆转运车每天清洗消毒1次，按黑龙江省地方标准《用水定额》（DB23/T727-2021）规定的100L/（辆•次）计，则转运车清洗消毒用水量约0.4t/d、146t/a。</w:t>
      </w:r>
    </w:p>
    <w:p>
      <w:pPr>
        <w:tabs>
          <w:tab w:val="left" w:pos="6480"/>
        </w:tabs>
        <w:spacing w:line="480" w:lineRule="exact"/>
        <w:ind w:firstLine="480" w:firstLineChars="200"/>
        <w:rPr>
          <w:rFonts w:ascii="Times New Roman" w:hAnsi="Times New Roman"/>
          <w:sz w:val="24"/>
          <w:szCs w:val="24"/>
        </w:rPr>
      </w:pPr>
      <w:r>
        <w:rPr>
          <w:rFonts w:ascii="Times New Roman" w:hAnsi="Times New Roman"/>
          <w:sz w:val="24"/>
          <w:szCs w:val="24"/>
        </w:rPr>
        <w:t>（2）周转箱清洗用水</w:t>
      </w:r>
    </w:p>
    <w:p>
      <w:pPr>
        <w:tabs>
          <w:tab w:val="left" w:pos="6480"/>
        </w:tabs>
        <w:spacing w:line="480" w:lineRule="exact"/>
        <w:ind w:firstLine="480" w:firstLineChars="200"/>
        <w:rPr>
          <w:rFonts w:ascii="Times New Roman" w:hAnsi="Times New Roman"/>
          <w:sz w:val="24"/>
          <w:szCs w:val="24"/>
        </w:rPr>
      </w:pPr>
      <w:r>
        <w:rPr>
          <w:rFonts w:ascii="Times New Roman" w:hAnsi="Times New Roman"/>
          <w:sz w:val="24"/>
          <w:szCs w:val="24"/>
        </w:rPr>
        <w:t>本项目新增1000个周转箱，规格为600mm×500mm×400mm，则内外两面合计面积为3m</w:t>
      </w:r>
      <w:r>
        <w:rPr>
          <w:rFonts w:ascii="Times New Roman" w:hAnsi="Times New Roman"/>
          <w:sz w:val="24"/>
          <w:szCs w:val="24"/>
          <w:vertAlign w:val="superscript"/>
        </w:rPr>
        <w:t>2</w:t>
      </w:r>
      <w:r>
        <w:rPr>
          <w:rFonts w:ascii="Times New Roman" w:hAnsi="Times New Roman"/>
          <w:sz w:val="24"/>
          <w:szCs w:val="24"/>
        </w:rPr>
        <w:t>。周转箱每天清洗消毒1次，清洗消毒用水以0.5L/m</w:t>
      </w:r>
      <w:r>
        <w:rPr>
          <w:rFonts w:ascii="Times New Roman" w:hAnsi="Times New Roman"/>
          <w:sz w:val="24"/>
          <w:szCs w:val="24"/>
          <w:vertAlign w:val="superscript"/>
        </w:rPr>
        <w:t>2</w:t>
      </w:r>
      <w:r>
        <w:rPr>
          <w:rFonts w:ascii="Times New Roman" w:hAnsi="Times New Roman"/>
          <w:sz w:val="24"/>
          <w:szCs w:val="24"/>
        </w:rPr>
        <w:t>计，则周转箱清洗消毒用水量为1.5t/d、547.5t/a。</w:t>
      </w:r>
    </w:p>
    <w:p>
      <w:pPr>
        <w:tabs>
          <w:tab w:val="left" w:pos="6480"/>
        </w:tabs>
        <w:spacing w:line="480" w:lineRule="exact"/>
        <w:ind w:firstLine="480" w:firstLineChars="200"/>
        <w:rPr>
          <w:rFonts w:ascii="Times New Roman" w:hAnsi="Times New Roman"/>
          <w:sz w:val="24"/>
          <w:szCs w:val="24"/>
        </w:rPr>
      </w:pPr>
      <w:r>
        <w:rPr>
          <w:rFonts w:ascii="Times New Roman" w:hAnsi="Times New Roman"/>
          <w:sz w:val="24"/>
          <w:szCs w:val="24"/>
        </w:rPr>
        <w:t>（3）</w:t>
      </w:r>
      <w:r>
        <w:rPr>
          <w:rFonts w:hint="eastAsia" w:ascii="Times New Roman" w:hAnsi="Times New Roman"/>
          <w:sz w:val="24"/>
          <w:szCs w:val="24"/>
        </w:rPr>
        <w:t>车间地面清洗用水</w:t>
      </w:r>
    </w:p>
    <w:p>
      <w:pPr>
        <w:tabs>
          <w:tab w:val="left" w:pos="6480"/>
        </w:tabs>
        <w:spacing w:line="480" w:lineRule="exact"/>
        <w:ind w:firstLine="480" w:firstLineChars="200"/>
        <w:rPr>
          <w:rFonts w:ascii="Times New Roman" w:hAnsi="Times New Roman"/>
          <w:sz w:val="24"/>
          <w:szCs w:val="24"/>
        </w:rPr>
      </w:pPr>
      <w:r>
        <w:rPr>
          <w:rFonts w:hint="eastAsia" w:ascii="Times New Roman" w:hAnsi="Times New Roman"/>
          <w:sz w:val="24"/>
          <w:szCs w:val="24"/>
        </w:rPr>
        <w:t>车间地面清洗用水每天清洗</w:t>
      </w:r>
      <w:r>
        <w:rPr>
          <w:rFonts w:ascii="Times New Roman" w:hAnsi="Times New Roman"/>
          <w:sz w:val="24"/>
          <w:szCs w:val="24"/>
        </w:rPr>
        <w:t xml:space="preserve"> 1 次，用水量为 2.5t/d，912.5t/a</w:t>
      </w:r>
      <w:r>
        <w:rPr>
          <w:rFonts w:hint="eastAsia" w:ascii="Times New Roman" w:hAnsi="Times New Roman"/>
          <w:sz w:val="24"/>
          <w:szCs w:val="24"/>
        </w:rPr>
        <w:t>。</w:t>
      </w:r>
    </w:p>
    <w:p>
      <w:pPr>
        <w:tabs>
          <w:tab w:val="left" w:pos="6480"/>
        </w:tabs>
        <w:spacing w:line="480" w:lineRule="exact"/>
        <w:ind w:firstLine="480" w:firstLineChars="200"/>
        <w:rPr>
          <w:rFonts w:ascii="Times New Roman" w:hAnsi="Times New Roman"/>
          <w:sz w:val="24"/>
          <w:szCs w:val="24"/>
        </w:rPr>
      </w:pPr>
      <w:r>
        <w:rPr>
          <w:rFonts w:ascii="Times New Roman" w:hAnsi="Times New Roman"/>
          <w:sz w:val="24"/>
          <w:szCs w:val="24"/>
        </w:rPr>
        <w:t>（4）消毒用水</w:t>
      </w:r>
    </w:p>
    <w:p>
      <w:pPr>
        <w:tabs>
          <w:tab w:val="left" w:pos="6480"/>
        </w:tabs>
        <w:spacing w:line="480" w:lineRule="exact"/>
        <w:ind w:firstLine="480" w:firstLineChars="200"/>
        <w:rPr>
          <w:rFonts w:ascii="Times New Roman" w:hAnsi="Times New Roman"/>
          <w:sz w:val="24"/>
          <w:szCs w:val="24"/>
        </w:rPr>
      </w:pPr>
      <w:r>
        <w:rPr>
          <w:rFonts w:hint="eastAsia" w:ascii="Times New Roman" w:hAnsi="Times New Roman"/>
          <w:sz w:val="24"/>
          <w:szCs w:val="24"/>
        </w:rPr>
        <w:t>根据《医疗废物高温蒸汽消毒集中处理工程技术规范》（H</w:t>
      </w:r>
      <w:r>
        <w:rPr>
          <w:rFonts w:ascii="Times New Roman" w:hAnsi="Times New Roman"/>
          <w:sz w:val="24"/>
          <w:szCs w:val="24"/>
        </w:rPr>
        <w:t>J276-2021</w:t>
      </w:r>
      <w:r>
        <w:rPr>
          <w:rFonts w:hint="eastAsia" w:ascii="Times New Roman" w:hAnsi="Times New Roman"/>
          <w:sz w:val="24"/>
          <w:szCs w:val="24"/>
        </w:rPr>
        <w:t>），消毒用水采用喷洒消毒的方式时，有效氯浓度应为1</w:t>
      </w:r>
      <w:r>
        <w:rPr>
          <w:rFonts w:ascii="Times New Roman" w:hAnsi="Times New Roman"/>
          <w:sz w:val="24"/>
          <w:szCs w:val="24"/>
        </w:rPr>
        <w:t>000</w:t>
      </w:r>
      <w:r>
        <w:rPr>
          <w:rFonts w:hint="eastAsia" w:ascii="Times New Roman" w:hAnsi="Times New Roman"/>
          <w:sz w:val="24"/>
          <w:szCs w:val="24"/>
        </w:rPr>
        <w:t>mg</w:t>
      </w:r>
      <w:r>
        <w:rPr>
          <w:rFonts w:ascii="Times New Roman" w:hAnsi="Times New Roman"/>
          <w:sz w:val="24"/>
          <w:szCs w:val="24"/>
        </w:rPr>
        <w:t>/L</w:t>
      </w:r>
      <w:r>
        <w:rPr>
          <w:rFonts w:hint="eastAsia" w:ascii="Times New Roman" w:hAnsi="Times New Roman"/>
          <w:sz w:val="24"/>
          <w:szCs w:val="24"/>
        </w:rPr>
        <w:t>，本项目用次氯酸钠0</w:t>
      </w:r>
      <w:r>
        <w:rPr>
          <w:rFonts w:ascii="Times New Roman" w:hAnsi="Times New Roman"/>
          <w:sz w:val="24"/>
          <w:szCs w:val="24"/>
        </w:rPr>
        <w:t>.02</w:t>
      </w:r>
      <w:r>
        <w:rPr>
          <w:rFonts w:hint="eastAsia" w:ascii="Times New Roman" w:hAnsi="Times New Roman"/>
          <w:sz w:val="24"/>
          <w:szCs w:val="24"/>
        </w:rPr>
        <w:t>t</w:t>
      </w:r>
      <w:r>
        <w:rPr>
          <w:rFonts w:ascii="Times New Roman" w:hAnsi="Times New Roman"/>
          <w:sz w:val="24"/>
          <w:szCs w:val="24"/>
        </w:rPr>
        <w:t>/</w:t>
      </w:r>
      <w:r>
        <w:rPr>
          <w:rFonts w:hint="eastAsia" w:ascii="Times New Roman" w:hAnsi="Times New Roman"/>
          <w:sz w:val="24"/>
          <w:szCs w:val="24"/>
        </w:rPr>
        <w:t>d（7</w:t>
      </w:r>
      <w:r>
        <w:rPr>
          <w:rFonts w:ascii="Times New Roman" w:hAnsi="Times New Roman"/>
          <w:sz w:val="24"/>
          <w:szCs w:val="24"/>
        </w:rPr>
        <w:t>.3</w:t>
      </w:r>
      <w:r>
        <w:rPr>
          <w:rFonts w:hint="eastAsia" w:ascii="Times New Roman" w:hAnsi="Times New Roman"/>
          <w:sz w:val="24"/>
          <w:szCs w:val="24"/>
        </w:rPr>
        <w:t>t</w:t>
      </w:r>
      <w:r>
        <w:rPr>
          <w:rFonts w:ascii="Times New Roman" w:hAnsi="Times New Roman"/>
          <w:sz w:val="24"/>
          <w:szCs w:val="24"/>
        </w:rPr>
        <w:t>/</w:t>
      </w:r>
      <w:r>
        <w:rPr>
          <w:rFonts w:hint="eastAsia" w:ascii="Times New Roman" w:hAnsi="Times New Roman"/>
          <w:sz w:val="24"/>
          <w:szCs w:val="24"/>
        </w:rPr>
        <w:t>a），配置消毒液1</w:t>
      </w:r>
      <w:r>
        <w:rPr>
          <w:rFonts w:ascii="Times New Roman" w:hAnsi="Times New Roman"/>
          <w:sz w:val="24"/>
          <w:szCs w:val="24"/>
        </w:rPr>
        <w:t>0</w:t>
      </w:r>
      <w:r>
        <w:rPr>
          <w:rFonts w:hint="eastAsia" w:ascii="Times New Roman" w:hAnsi="Times New Roman"/>
          <w:sz w:val="24"/>
          <w:szCs w:val="24"/>
        </w:rPr>
        <w:t>t</w:t>
      </w:r>
      <w:r>
        <w:rPr>
          <w:rFonts w:ascii="Times New Roman" w:hAnsi="Times New Roman"/>
          <w:sz w:val="24"/>
          <w:szCs w:val="24"/>
        </w:rPr>
        <w:t>/</w:t>
      </w:r>
      <w:r>
        <w:rPr>
          <w:rFonts w:hint="eastAsia" w:ascii="Times New Roman" w:hAnsi="Times New Roman"/>
          <w:sz w:val="24"/>
          <w:szCs w:val="24"/>
        </w:rPr>
        <w:t>d（3</w:t>
      </w:r>
      <w:r>
        <w:rPr>
          <w:rFonts w:ascii="Times New Roman" w:hAnsi="Times New Roman"/>
          <w:sz w:val="24"/>
          <w:szCs w:val="24"/>
        </w:rPr>
        <w:t>650</w:t>
      </w:r>
      <w:r>
        <w:rPr>
          <w:rFonts w:hint="eastAsia" w:ascii="Times New Roman" w:hAnsi="Times New Roman"/>
          <w:sz w:val="24"/>
          <w:szCs w:val="24"/>
        </w:rPr>
        <w:t>t</w:t>
      </w:r>
      <w:r>
        <w:rPr>
          <w:rFonts w:ascii="Times New Roman" w:hAnsi="Times New Roman"/>
          <w:sz w:val="24"/>
          <w:szCs w:val="24"/>
        </w:rPr>
        <w:t>/</w:t>
      </w:r>
      <w:r>
        <w:rPr>
          <w:rFonts w:hint="eastAsia" w:ascii="Times New Roman" w:hAnsi="Times New Roman"/>
          <w:sz w:val="24"/>
          <w:szCs w:val="24"/>
        </w:rPr>
        <w:t>a）。</w:t>
      </w:r>
      <w:r>
        <w:rPr>
          <w:rFonts w:ascii="Times New Roman" w:hAnsi="Times New Roman"/>
          <w:sz w:val="24"/>
          <w:szCs w:val="24"/>
        </w:rPr>
        <w:t>医疗废物高温干热处理设备投放消毒液用水量为4.425t/d （1615.13t/a），生产厂房车间地面消毒用水量为1.5t/d（547.5t/a）。0.6</w:t>
      </w:r>
      <w:r>
        <w:rPr>
          <w:rFonts w:hint="eastAsia" w:ascii="Times New Roman" w:hAnsi="Times New Roman"/>
          <w:sz w:val="24"/>
          <w:szCs w:val="24"/>
        </w:rPr>
        <w:t>t</w:t>
      </w:r>
      <w:r>
        <w:rPr>
          <w:rFonts w:ascii="Times New Roman" w:hAnsi="Times New Roman"/>
          <w:sz w:val="24"/>
          <w:szCs w:val="24"/>
        </w:rPr>
        <w:t>/d</w:t>
      </w:r>
      <w:r>
        <w:rPr>
          <w:rFonts w:hint="eastAsia" w:ascii="Times New Roman" w:hAnsi="Times New Roman"/>
          <w:sz w:val="24"/>
          <w:szCs w:val="24"/>
        </w:rPr>
        <w:t>（2</w:t>
      </w:r>
      <w:r>
        <w:rPr>
          <w:rFonts w:ascii="Times New Roman" w:hAnsi="Times New Roman"/>
          <w:sz w:val="24"/>
          <w:szCs w:val="24"/>
        </w:rPr>
        <w:t>19 t/a</w:t>
      </w:r>
      <w:r>
        <w:rPr>
          <w:rFonts w:hint="eastAsia" w:ascii="Times New Roman" w:hAnsi="Times New Roman"/>
          <w:sz w:val="24"/>
          <w:szCs w:val="24"/>
        </w:rPr>
        <w:t>）</w:t>
      </w:r>
      <w:r>
        <w:rPr>
          <w:rFonts w:ascii="Times New Roman" w:hAnsi="Times New Roman"/>
          <w:sz w:val="24"/>
          <w:szCs w:val="24"/>
        </w:rPr>
        <w:t>用于转运车消毒</w:t>
      </w:r>
      <w:r>
        <w:rPr>
          <w:rFonts w:hint="eastAsia" w:ascii="Times New Roman" w:hAnsi="Times New Roman"/>
          <w:sz w:val="24"/>
          <w:szCs w:val="24"/>
        </w:rPr>
        <w:t>，</w:t>
      </w:r>
      <w:r>
        <w:rPr>
          <w:rFonts w:ascii="Times New Roman" w:hAnsi="Times New Roman"/>
          <w:sz w:val="24"/>
          <w:szCs w:val="24"/>
        </w:rPr>
        <w:t>3.475</w:t>
      </w:r>
      <w:r>
        <w:rPr>
          <w:rFonts w:hint="eastAsia" w:ascii="Times New Roman" w:hAnsi="Times New Roman"/>
          <w:sz w:val="24"/>
          <w:szCs w:val="24"/>
        </w:rPr>
        <w:t>t</w:t>
      </w:r>
      <w:r>
        <w:rPr>
          <w:rFonts w:ascii="Times New Roman" w:hAnsi="Times New Roman"/>
          <w:sz w:val="24"/>
          <w:szCs w:val="24"/>
        </w:rPr>
        <w:t>/d</w:t>
      </w:r>
      <w:r>
        <w:rPr>
          <w:rFonts w:hint="eastAsia" w:ascii="Times New Roman" w:hAnsi="Times New Roman"/>
          <w:sz w:val="24"/>
          <w:szCs w:val="24"/>
        </w:rPr>
        <w:t>（1</w:t>
      </w:r>
      <w:r>
        <w:rPr>
          <w:rFonts w:ascii="Times New Roman" w:hAnsi="Times New Roman"/>
          <w:sz w:val="24"/>
          <w:szCs w:val="24"/>
        </w:rPr>
        <w:t>268.375 t/a</w:t>
      </w:r>
      <w:r>
        <w:rPr>
          <w:rFonts w:hint="eastAsia" w:ascii="Times New Roman" w:hAnsi="Times New Roman"/>
          <w:sz w:val="24"/>
          <w:szCs w:val="24"/>
        </w:rPr>
        <w:t>）</w:t>
      </w:r>
      <w:r>
        <w:rPr>
          <w:rFonts w:ascii="Times New Roman" w:hAnsi="Times New Roman"/>
          <w:sz w:val="24"/>
          <w:szCs w:val="24"/>
        </w:rPr>
        <w:t>用于周转箱消毒。</w:t>
      </w:r>
    </w:p>
    <w:p>
      <w:pPr>
        <w:widowControl/>
        <w:spacing w:line="480" w:lineRule="exact"/>
        <w:outlineLvl w:val="3"/>
        <w:rPr>
          <w:rFonts w:ascii="Times New Roman" w:hAnsi="Times New Roman" w:eastAsia="黑体"/>
          <w:sz w:val="24"/>
        </w:rPr>
      </w:pPr>
      <w:r>
        <w:rPr>
          <w:rFonts w:ascii="Times New Roman" w:hAnsi="Times New Roman" w:eastAsia="黑体"/>
          <w:sz w:val="24"/>
        </w:rPr>
        <w:t>3.2.7.2.排水工程</w:t>
      </w:r>
    </w:p>
    <w:p>
      <w:pPr>
        <w:widowControl/>
        <w:spacing w:line="480" w:lineRule="exact"/>
        <w:ind w:firstLine="480" w:firstLineChars="200"/>
        <w:rPr>
          <w:rFonts w:ascii="Times New Roman" w:hAnsi="Times New Roman"/>
          <w:sz w:val="24"/>
          <w:szCs w:val="24"/>
        </w:rPr>
      </w:pPr>
      <w:r>
        <w:rPr>
          <w:rFonts w:ascii="Times New Roman" w:hAnsi="Times New Roman"/>
          <w:sz w:val="24"/>
          <w:szCs w:val="24"/>
        </w:rPr>
        <w:t>本项目改扩建工程排水包括转运车清洗消毒废水、周转箱清洗消毒废水、灭菌车清洗消毒废水、高温干热车间消毒用水。本项目</w:t>
      </w:r>
      <w:r>
        <w:rPr>
          <w:rFonts w:hint="eastAsia" w:ascii="Times New Roman" w:hAnsi="Times New Roman"/>
          <w:sz w:val="24"/>
          <w:szCs w:val="24"/>
        </w:rPr>
        <w:t>生</w:t>
      </w:r>
      <w:r>
        <w:rPr>
          <w:rFonts w:ascii="Times New Roman" w:hAnsi="Times New Roman"/>
          <w:sz w:val="24"/>
          <w:szCs w:val="24"/>
        </w:rPr>
        <w:t>产废水经企业</w:t>
      </w:r>
      <w:r>
        <w:rPr>
          <w:rFonts w:hint="eastAsia" w:ascii="Times New Roman" w:hAnsi="Times New Roman"/>
          <w:sz w:val="24"/>
          <w:szCs w:val="24"/>
        </w:rPr>
        <w:t>现有</w:t>
      </w:r>
      <w:r>
        <w:rPr>
          <w:rFonts w:ascii="Times New Roman" w:hAnsi="Times New Roman"/>
          <w:sz w:val="24"/>
          <w:szCs w:val="24"/>
        </w:rPr>
        <w:t>污水处理站（工艺流程：格栅→调节池→一体化污水处理设备(水解酸化池→接触氧化池 →二沉池 →MBR 池) →二氧化氯发生器→回用水池）处理后满足《城市污水再生利用城市杂用水水质》（GB/T18920-2002） 中“车辆冲洗标准”，厂内全部回用 （回用于车间地面消毒清洗用水、转运车消毒清洗用水和周转箱消毒清洗用水），不外排。</w:t>
      </w:r>
      <w:r>
        <w:rPr>
          <w:rFonts w:hint="eastAsia" w:ascii="Times New Roman" w:hAnsi="Times New Roman"/>
          <w:sz w:val="24"/>
          <w:szCs w:val="24"/>
        </w:rPr>
        <w:t>生活污水通过罐车运送至双鸭山市城市污水处理厂处理后达到《城镇污水处理厂污染物排放标准》（GB18918-2002）一级A标准后排放。</w:t>
      </w:r>
    </w:p>
    <w:p>
      <w:pPr>
        <w:tabs>
          <w:tab w:val="left" w:pos="6480"/>
        </w:tabs>
        <w:spacing w:line="480" w:lineRule="exact"/>
        <w:ind w:firstLine="480" w:firstLineChars="200"/>
        <w:rPr>
          <w:rFonts w:ascii="Times New Roman" w:hAnsi="Times New Roman"/>
          <w:sz w:val="24"/>
          <w:szCs w:val="24"/>
        </w:rPr>
      </w:pPr>
      <w:bookmarkStart w:id="588" w:name="_Hlk106867202"/>
      <w:r>
        <w:rPr>
          <w:rFonts w:ascii="Times New Roman" w:hAnsi="Times New Roman"/>
          <w:sz w:val="24"/>
          <w:szCs w:val="24"/>
        </w:rPr>
        <w:t>（1）转运车清洗废水</w:t>
      </w:r>
    </w:p>
    <w:p>
      <w:pPr>
        <w:tabs>
          <w:tab w:val="left" w:pos="6480"/>
        </w:tabs>
        <w:spacing w:line="480" w:lineRule="exact"/>
        <w:ind w:firstLine="480" w:firstLineChars="200"/>
        <w:rPr>
          <w:rFonts w:ascii="Times New Roman" w:hAnsi="Times New Roman"/>
          <w:sz w:val="24"/>
          <w:szCs w:val="24"/>
        </w:rPr>
      </w:pPr>
      <w:r>
        <w:rPr>
          <w:rFonts w:ascii="Times New Roman" w:hAnsi="Times New Roman"/>
          <w:sz w:val="24"/>
          <w:szCs w:val="24"/>
        </w:rPr>
        <w:t>本项目转运车清洗消毒用水量为0.4t/d、146t/a，转运车清洗消毒废水排放量按用水量的80%计算，则项目转运车清洗消毒废水排放量为0.32t/d、116.8t/a。</w:t>
      </w:r>
    </w:p>
    <w:p>
      <w:pPr>
        <w:tabs>
          <w:tab w:val="left" w:pos="6480"/>
        </w:tabs>
        <w:spacing w:line="480" w:lineRule="exact"/>
        <w:ind w:firstLine="480" w:firstLineChars="200"/>
        <w:rPr>
          <w:rFonts w:ascii="Times New Roman" w:hAnsi="Times New Roman"/>
          <w:sz w:val="24"/>
          <w:szCs w:val="24"/>
        </w:rPr>
      </w:pPr>
      <w:r>
        <w:rPr>
          <w:rFonts w:ascii="Times New Roman" w:hAnsi="Times New Roman"/>
          <w:sz w:val="24"/>
          <w:szCs w:val="24"/>
        </w:rPr>
        <w:t>（2）周转箱清洗废水</w:t>
      </w:r>
    </w:p>
    <w:p>
      <w:pPr>
        <w:tabs>
          <w:tab w:val="left" w:pos="6480"/>
        </w:tabs>
        <w:spacing w:line="480" w:lineRule="exact"/>
        <w:ind w:firstLine="480" w:firstLineChars="200"/>
        <w:rPr>
          <w:rFonts w:ascii="Times New Roman" w:hAnsi="Times New Roman"/>
          <w:sz w:val="24"/>
          <w:szCs w:val="24"/>
        </w:rPr>
      </w:pPr>
      <w:r>
        <w:rPr>
          <w:rFonts w:ascii="Times New Roman" w:hAnsi="Times New Roman"/>
          <w:sz w:val="24"/>
          <w:szCs w:val="24"/>
        </w:rPr>
        <w:t>根据周转箱清洗消毒用水量为1.5t/d、547.5t/a，周转箱清洗消毒废水排放量按用水量的80%计算，则项目周转箱清洗消毒废水排放量为1.2t/d、438t/a。</w:t>
      </w:r>
    </w:p>
    <w:p>
      <w:pPr>
        <w:tabs>
          <w:tab w:val="left" w:pos="6480"/>
        </w:tabs>
        <w:spacing w:line="480" w:lineRule="exact"/>
        <w:ind w:firstLine="480" w:firstLineChars="200"/>
        <w:rPr>
          <w:rFonts w:ascii="Times New Roman" w:hAnsi="Times New Roman"/>
          <w:sz w:val="24"/>
          <w:szCs w:val="24"/>
        </w:rPr>
      </w:pPr>
      <w:r>
        <w:rPr>
          <w:rFonts w:ascii="Times New Roman" w:hAnsi="Times New Roman"/>
          <w:sz w:val="24"/>
          <w:szCs w:val="24"/>
        </w:rPr>
        <w:t>（3）</w:t>
      </w:r>
      <w:r>
        <w:rPr>
          <w:rFonts w:hint="eastAsia" w:ascii="Times New Roman" w:hAnsi="Times New Roman"/>
          <w:sz w:val="24"/>
          <w:szCs w:val="24"/>
        </w:rPr>
        <w:t>车间地面清洗废水</w:t>
      </w:r>
    </w:p>
    <w:p>
      <w:pPr>
        <w:tabs>
          <w:tab w:val="left" w:pos="6480"/>
        </w:tabs>
        <w:spacing w:line="480" w:lineRule="exact"/>
        <w:ind w:firstLine="480" w:firstLineChars="200"/>
        <w:rPr>
          <w:rFonts w:ascii="Times New Roman" w:hAnsi="Times New Roman"/>
          <w:sz w:val="24"/>
          <w:szCs w:val="24"/>
        </w:rPr>
      </w:pPr>
      <w:r>
        <w:rPr>
          <w:rFonts w:ascii="Times New Roman" w:hAnsi="Times New Roman"/>
          <w:sz w:val="24"/>
          <w:szCs w:val="24"/>
        </w:rPr>
        <w:t>本项目</w:t>
      </w:r>
      <w:r>
        <w:rPr>
          <w:rFonts w:hint="eastAsia" w:ascii="Times New Roman" w:hAnsi="Times New Roman"/>
          <w:sz w:val="24"/>
          <w:szCs w:val="24"/>
        </w:rPr>
        <w:t>车间地面清洗用水量为</w:t>
      </w:r>
      <w:r>
        <w:rPr>
          <w:rFonts w:ascii="Times New Roman" w:hAnsi="Times New Roman"/>
          <w:sz w:val="24"/>
          <w:szCs w:val="24"/>
        </w:rPr>
        <w:t xml:space="preserve"> 2.5t/d，912.5t/a。</w:t>
      </w:r>
      <w:r>
        <w:rPr>
          <w:rFonts w:hint="eastAsia" w:ascii="Times New Roman" w:hAnsi="Times New Roman"/>
          <w:sz w:val="24"/>
          <w:szCs w:val="24"/>
        </w:rPr>
        <w:t>车间地面清洗</w:t>
      </w:r>
      <w:r>
        <w:rPr>
          <w:rFonts w:ascii="Times New Roman" w:hAnsi="Times New Roman"/>
          <w:sz w:val="24"/>
          <w:szCs w:val="24"/>
        </w:rPr>
        <w:t>废水排放量按用水量的80%计算，则项目</w:t>
      </w:r>
      <w:r>
        <w:rPr>
          <w:rFonts w:hint="eastAsia" w:ascii="Times New Roman" w:hAnsi="Times New Roman"/>
          <w:sz w:val="24"/>
          <w:szCs w:val="24"/>
        </w:rPr>
        <w:t>车间地面清洗</w:t>
      </w:r>
      <w:r>
        <w:rPr>
          <w:rFonts w:ascii="Times New Roman" w:hAnsi="Times New Roman"/>
          <w:sz w:val="24"/>
          <w:szCs w:val="24"/>
        </w:rPr>
        <w:t>废水排放量为2</w:t>
      </w:r>
      <w:r>
        <w:rPr>
          <w:rFonts w:hint="eastAsia" w:ascii="Times New Roman" w:hAnsi="Times New Roman"/>
          <w:sz w:val="24"/>
          <w:szCs w:val="24"/>
        </w:rPr>
        <w:t>t</w:t>
      </w:r>
      <w:r>
        <w:rPr>
          <w:rFonts w:ascii="Times New Roman" w:hAnsi="Times New Roman"/>
          <w:sz w:val="24"/>
          <w:szCs w:val="24"/>
        </w:rPr>
        <w:t>/</w:t>
      </w:r>
      <w:r>
        <w:rPr>
          <w:rFonts w:hint="eastAsia" w:ascii="Times New Roman" w:hAnsi="Times New Roman"/>
          <w:sz w:val="24"/>
          <w:szCs w:val="24"/>
        </w:rPr>
        <w:t>d</w:t>
      </w:r>
      <w:r>
        <w:rPr>
          <w:rFonts w:ascii="Times New Roman" w:hAnsi="Times New Roman"/>
          <w:sz w:val="24"/>
          <w:szCs w:val="24"/>
        </w:rPr>
        <w:t>、730t/a。</w:t>
      </w:r>
    </w:p>
    <w:p>
      <w:pPr>
        <w:tabs>
          <w:tab w:val="left" w:pos="6480"/>
        </w:tabs>
        <w:spacing w:line="480" w:lineRule="exact"/>
        <w:ind w:firstLine="480" w:firstLineChars="200"/>
        <w:rPr>
          <w:rFonts w:ascii="Times New Roman" w:hAnsi="Times New Roman"/>
          <w:sz w:val="24"/>
          <w:szCs w:val="24"/>
        </w:rPr>
      </w:pPr>
      <w:r>
        <w:rPr>
          <w:rFonts w:ascii="Times New Roman" w:hAnsi="Times New Roman"/>
          <w:sz w:val="24"/>
          <w:szCs w:val="24"/>
        </w:rPr>
        <w:t>（4）消毒废水</w:t>
      </w:r>
    </w:p>
    <w:p>
      <w:pPr>
        <w:tabs>
          <w:tab w:val="left" w:pos="6480"/>
        </w:tabs>
        <w:spacing w:line="480" w:lineRule="exact"/>
        <w:ind w:firstLine="480" w:firstLineChars="200"/>
        <w:rPr>
          <w:rFonts w:ascii="Times New Roman" w:hAnsi="Times New Roman"/>
          <w:sz w:val="24"/>
          <w:szCs w:val="24"/>
        </w:rPr>
      </w:pPr>
      <w:r>
        <w:rPr>
          <w:rFonts w:ascii="Times New Roman" w:hAnsi="Times New Roman"/>
          <w:sz w:val="24"/>
          <w:szCs w:val="24"/>
        </w:rPr>
        <w:t>医疗废物高温干热处理设备投放消毒液用水量为4.425t/d （1615.13t/a），此部分用水不产生废水，全部在高温干热设备中以水蒸气的形式挥发。</w:t>
      </w:r>
      <w:r>
        <w:rPr>
          <w:rFonts w:hint="eastAsia" w:ascii="Times New Roman" w:hAnsi="Times New Roman"/>
          <w:sz w:val="24"/>
          <w:szCs w:val="24"/>
        </w:rPr>
        <w:t>其余消毒</w:t>
      </w:r>
      <w:r>
        <w:rPr>
          <w:rFonts w:ascii="Times New Roman" w:hAnsi="Times New Roman"/>
          <w:sz w:val="24"/>
          <w:szCs w:val="24"/>
        </w:rPr>
        <w:t>废水排放量按80%计算，则消毒废水为4.46t/d（1627.9t/a）</w:t>
      </w:r>
      <w:r>
        <w:rPr>
          <w:rFonts w:hint="eastAsia" w:ascii="Times New Roman" w:hAnsi="Times New Roman"/>
          <w:sz w:val="24"/>
          <w:szCs w:val="24"/>
        </w:rPr>
        <w:t>，其中包括了车间消毒废水、转运车消毒废水和周转箱消毒废水</w:t>
      </w:r>
      <w:r>
        <w:rPr>
          <w:rFonts w:ascii="Times New Roman" w:hAnsi="Times New Roman"/>
          <w:sz w:val="24"/>
          <w:szCs w:val="24"/>
        </w:rPr>
        <w:t>。</w:t>
      </w:r>
    </w:p>
    <w:p>
      <w:pPr>
        <w:numPr>
          <w:ilvl w:val="0"/>
          <w:numId w:val="5"/>
        </w:numPr>
        <w:tabs>
          <w:tab w:val="left" w:pos="6480"/>
        </w:tabs>
        <w:spacing w:line="480" w:lineRule="exact"/>
        <w:ind w:firstLine="480"/>
        <w:rPr>
          <w:rFonts w:ascii="Times New Roman" w:hAnsi="Times New Roman"/>
          <w:sz w:val="24"/>
          <w:szCs w:val="24"/>
        </w:rPr>
      </w:pPr>
      <w:r>
        <w:rPr>
          <w:rFonts w:ascii="Times New Roman" w:hAnsi="Times New Roman"/>
          <w:sz w:val="24"/>
          <w:szCs w:val="24"/>
        </w:rPr>
        <w:t>医疗废物</w:t>
      </w:r>
      <w:r>
        <w:rPr>
          <w:rFonts w:hint="eastAsia" w:ascii="Times New Roman" w:hAnsi="Times New Roman"/>
          <w:sz w:val="24"/>
          <w:szCs w:val="24"/>
        </w:rPr>
        <w:t>残液</w:t>
      </w:r>
    </w:p>
    <w:p>
      <w:pPr>
        <w:tabs>
          <w:tab w:val="left" w:pos="6480"/>
        </w:tabs>
        <w:spacing w:line="480" w:lineRule="exact"/>
        <w:ind w:firstLine="480" w:firstLineChars="200"/>
        <w:rPr>
          <w:rFonts w:ascii="Times New Roman" w:hAnsi="Times New Roman"/>
          <w:sz w:val="24"/>
          <w:szCs w:val="24"/>
        </w:rPr>
      </w:pPr>
      <w:r>
        <w:rPr>
          <w:rFonts w:ascii="Times New Roman" w:hAnsi="Times New Roman"/>
          <w:sz w:val="24"/>
          <w:szCs w:val="24"/>
        </w:rPr>
        <w:t>医疗废物带入水量为1t/d，</w:t>
      </w:r>
      <w:r>
        <w:rPr>
          <w:rFonts w:hint="eastAsia" w:ascii="Times New Roman" w:hAnsi="Times New Roman"/>
          <w:sz w:val="24"/>
          <w:szCs w:val="24"/>
        </w:rPr>
        <w:t>根据建设单位已有经验类比，残液</w:t>
      </w:r>
      <w:r>
        <w:rPr>
          <w:rFonts w:ascii="Times New Roman" w:hAnsi="Times New Roman"/>
          <w:sz w:val="24"/>
          <w:szCs w:val="24"/>
        </w:rPr>
        <w:t>为其25%，</w:t>
      </w:r>
      <w:r>
        <w:rPr>
          <w:rFonts w:hint="eastAsia" w:ascii="Times New Roman" w:hAnsi="Times New Roman"/>
          <w:sz w:val="24"/>
          <w:szCs w:val="24"/>
        </w:rPr>
        <w:t>残液</w:t>
      </w:r>
      <w:r>
        <w:rPr>
          <w:rFonts w:ascii="Times New Roman" w:hAnsi="Times New Roman"/>
          <w:sz w:val="24"/>
          <w:szCs w:val="24"/>
        </w:rPr>
        <w:t>量为0.25t/d。</w:t>
      </w:r>
    </w:p>
    <w:bookmarkEnd w:id="588"/>
    <w:p>
      <w:pPr>
        <w:pStyle w:val="155"/>
        <w:ind w:firstLine="480"/>
      </w:pPr>
      <w:r>
        <w:t>本项目改扩建后水平衡情况见表3.2-10、图3.2-2所示。</w:t>
      </w:r>
    </w:p>
    <w:p>
      <w:pPr>
        <w:spacing w:line="480" w:lineRule="exact"/>
        <w:jc w:val="center"/>
        <w:rPr>
          <w:rFonts w:ascii="Times New Roman" w:hAnsi="Times New Roman"/>
          <w:b/>
        </w:rPr>
      </w:pPr>
      <w:r>
        <w:rPr>
          <w:rFonts w:ascii="Times New Roman" w:hAnsi="Times New Roman"/>
          <w:b/>
        </w:rPr>
        <w:t xml:space="preserve">表3.2-10 </w:t>
      </w:r>
      <w:r>
        <w:rPr>
          <w:rFonts w:hint="eastAsia" w:ascii="Times New Roman" w:hAnsi="Times New Roman"/>
          <w:b/>
        </w:rPr>
        <w:t>本项目</w:t>
      </w:r>
      <w:r>
        <w:rPr>
          <w:rFonts w:ascii="Times New Roman" w:hAnsi="Times New Roman"/>
          <w:b/>
        </w:rPr>
        <w:t>水平衡情况表一览表</w:t>
      </w:r>
    </w:p>
    <w:tbl>
      <w:tblPr>
        <w:tblStyle w:val="7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45"/>
        <w:gridCol w:w="2520"/>
        <w:gridCol w:w="1844"/>
        <w:gridCol w:w="242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157" w:type="dxa"/>
            <w:gridSpan w:val="2"/>
            <w:vAlign w:val="center"/>
          </w:tcPr>
          <w:p>
            <w:pPr>
              <w:jc w:val="center"/>
              <w:rPr>
                <w:rFonts w:ascii="Times New Roman" w:hAnsi="Times New Roman"/>
                <w:b/>
                <w:szCs w:val="20"/>
              </w:rPr>
            </w:pPr>
            <w:r>
              <w:rPr>
                <w:rFonts w:ascii="Times New Roman" w:hAnsi="Times New Roman"/>
                <w:b/>
                <w:szCs w:val="20"/>
              </w:rPr>
              <w:t>投入（t/d或t/次）</w:t>
            </w:r>
          </w:p>
        </w:tc>
        <w:tc>
          <w:tcPr>
            <w:tcW w:w="4156" w:type="dxa"/>
            <w:gridSpan w:val="2"/>
            <w:vAlign w:val="center"/>
          </w:tcPr>
          <w:p>
            <w:pPr>
              <w:jc w:val="center"/>
              <w:rPr>
                <w:rFonts w:ascii="Times New Roman" w:hAnsi="Times New Roman"/>
                <w:b/>
                <w:szCs w:val="20"/>
              </w:rPr>
            </w:pPr>
            <w:r>
              <w:rPr>
                <w:rFonts w:ascii="Times New Roman" w:hAnsi="Times New Roman"/>
                <w:b/>
                <w:szCs w:val="20"/>
              </w:rPr>
              <w:t>产出（t/d或t/次）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701" w:type="dxa"/>
            <w:vAlign w:val="center"/>
          </w:tcPr>
          <w:p>
            <w:pPr>
              <w:jc w:val="center"/>
              <w:rPr>
                <w:rFonts w:ascii="Times New Roman" w:hAnsi="Times New Roman"/>
                <w:b/>
                <w:szCs w:val="20"/>
              </w:rPr>
            </w:pPr>
            <w:r>
              <w:rPr>
                <w:rFonts w:ascii="Times New Roman" w:hAnsi="Times New Roman"/>
                <w:b/>
                <w:szCs w:val="20"/>
              </w:rPr>
              <w:t>名称</w:t>
            </w:r>
          </w:p>
        </w:tc>
        <w:tc>
          <w:tcPr>
            <w:tcW w:w="2456" w:type="dxa"/>
            <w:vAlign w:val="center"/>
          </w:tcPr>
          <w:p>
            <w:pPr>
              <w:jc w:val="center"/>
              <w:rPr>
                <w:rFonts w:ascii="Times New Roman" w:hAnsi="Times New Roman"/>
                <w:b/>
                <w:szCs w:val="20"/>
              </w:rPr>
            </w:pPr>
            <w:r>
              <w:rPr>
                <w:rFonts w:ascii="Times New Roman" w:hAnsi="Times New Roman"/>
                <w:b/>
                <w:szCs w:val="20"/>
              </w:rPr>
              <w:t>改扩建工程</w:t>
            </w:r>
          </w:p>
        </w:tc>
        <w:tc>
          <w:tcPr>
            <w:tcW w:w="1797" w:type="dxa"/>
            <w:vAlign w:val="center"/>
          </w:tcPr>
          <w:p>
            <w:pPr>
              <w:jc w:val="center"/>
              <w:rPr>
                <w:rFonts w:ascii="Times New Roman" w:hAnsi="Times New Roman"/>
                <w:b/>
                <w:szCs w:val="20"/>
              </w:rPr>
            </w:pPr>
            <w:r>
              <w:rPr>
                <w:rFonts w:ascii="Times New Roman" w:hAnsi="Times New Roman"/>
                <w:b/>
                <w:szCs w:val="20"/>
              </w:rPr>
              <w:t>名称</w:t>
            </w:r>
          </w:p>
        </w:tc>
        <w:tc>
          <w:tcPr>
            <w:tcW w:w="2359" w:type="dxa"/>
            <w:vAlign w:val="center"/>
          </w:tcPr>
          <w:p>
            <w:pPr>
              <w:jc w:val="center"/>
              <w:rPr>
                <w:rFonts w:ascii="Times New Roman" w:hAnsi="Times New Roman"/>
                <w:b/>
                <w:szCs w:val="20"/>
              </w:rPr>
            </w:pPr>
            <w:r>
              <w:rPr>
                <w:rFonts w:ascii="Times New Roman" w:hAnsi="Times New Roman"/>
                <w:b/>
                <w:szCs w:val="20"/>
              </w:rPr>
              <w:t>改扩建工程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701" w:type="dxa"/>
            <w:vAlign w:val="center"/>
          </w:tcPr>
          <w:p>
            <w:pPr>
              <w:jc w:val="center"/>
              <w:rPr>
                <w:rFonts w:ascii="Times New Roman" w:hAnsi="Times New Roman"/>
                <w:bCs/>
                <w:szCs w:val="20"/>
              </w:rPr>
            </w:pPr>
            <w:r>
              <w:rPr>
                <w:rFonts w:ascii="Times New Roman" w:hAnsi="Times New Roman"/>
                <w:bCs/>
                <w:szCs w:val="20"/>
              </w:rPr>
              <w:t>转运车清洗</w:t>
            </w:r>
          </w:p>
        </w:tc>
        <w:tc>
          <w:tcPr>
            <w:tcW w:w="2456" w:type="dxa"/>
            <w:vAlign w:val="center"/>
          </w:tcPr>
          <w:p>
            <w:pPr>
              <w:jc w:val="center"/>
              <w:rPr>
                <w:rFonts w:ascii="Times New Roman" w:hAnsi="Times New Roman"/>
                <w:bCs/>
                <w:szCs w:val="20"/>
              </w:rPr>
            </w:pPr>
            <w:r>
              <w:rPr>
                <w:rFonts w:ascii="Times New Roman" w:hAnsi="Times New Roman"/>
                <w:bCs/>
                <w:szCs w:val="20"/>
              </w:rPr>
              <w:t>0.40</w:t>
            </w:r>
          </w:p>
        </w:tc>
        <w:tc>
          <w:tcPr>
            <w:tcW w:w="1797" w:type="dxa"/>
            <w:vAlign w:val="center"/>
          </w:tcPr>
          <w:p>
            <w:pPr>
              <w:jc w:val="center"/>
              <w:rPr>
                <w:rFonts w:ascii="Times New Roman" w:hAnsi="Times New Roman"/>
                <w:bCs/>
                <w:szCs w:val="20"/>
              </w:rPr>
            </w:pPr>
            <w:r>
              <w:rPr>
                <w:rFonts w:ascii="Times New Roman" w:hAnsi="Times New Roman"/>
                <w:bCs/>
                <w:szCs w:val="20"/>
              </w:rPr>
              <w:t>转运车清洗</w:t>
            </w:r>
          </w:p>
        </w:tc>
        <w:tc>
          <w:tcPr>
            <w:tcW w:w="2359" w:type="dxa"/>
            <w:vAlign w:val="center"/>
          </w:tcPr>
          <w:p>
            <w:pPr>
              <w:jc w:val="center"/>
              <w:rPr>
                <w:rFonts w:ascii="Times New Roman" w:hAnsi="Times New Roman"/>
                <w:bCs/>
                <w:szCs w:val="20"/>
              </w:rPr>
            </w:pPr>
            <w:r>
              <w:rPr>
                <w:rFonts w:ascii="Times New Roman" w:hAnsi="Times New Roman"/>
                <w:bCs/>
                <w:szCs w:val="20"/>
              </w:rPr>
              <w:t>0.32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701" w:type="dxa"/>
            <w:vAlign w:val="center"/>
          </w:tcPr>
          <w:p>
            <w:pPr>
              <w:jc w:val="center"/>
              <w:rPr>
                <w:rFonts w:ascii="Times New Roman" w:hAnsi="Times New Roman"/>
                <w:bCs/>
                <w:szCs w:val="20"/>
              </w:rPr>
            </w:pPr>
            <w:r>
              <w:rPr>
                <w:rFonts w:ascii="Times New Roman" w:hAnsi="Times New Roman"/>
                <w:bCs/>
                <w:szCs w:val="20"/>
              </w:rPr>
              <w:t>周转箱清洗</w:t>
            </w:r>
          </w:p>
        </w:tc>
        <w:tc>
          <w:tcPr>
            <w:tcW w:w="2456" w:type="dxa"/>
            <w:vAlign w:val="center"/>
          </w:tcPr>
          <w:p>
            <w:pPr>
              <w:jc w:val="center"/>
              <w:rPr>
                <w:rFonts w:ascii="Times New Roman" w:hAnsi="Times New Roman"/>
                <w:bCs/>
                <w:szCs w:val="20"/>
              </w:rPr>
            </w:pPr>
            <w:r>
              <w:rPr>
                <w:rFonts w:ascii="Times New Roman" w:hAnsi="Times New Roman"/>
                <w:bCs/>
                <w:szCs w:val="20"/>
              </w:rPr>
              <w:t>1.50</w:t>
            </w:r>
          </w:p>
        </w:tc>
        <w:tc>
          <w:tcPr>
            <w:tcW w:w="1797" w:type="dxa"/>
            <w:vAlign w:val="center"/>
          </w:tcPr>
          <w:p>
            <w:pPr>
              <w:jc w:val="center"/>
              <w:rPr>
                <w:rFonts w:ascii="Times New Roman" w:hAnsi="Times New Roman"/>
                <w:bCs/>
                <w:szCs w:val="20"/>
              </w:rPr>
            </w:pPr>
            <w:r>
              <w:rPr>
                <w:rFonts w:ascii="Times New Roman" w:hAnsi="Times New Roman"/>
                <w:bCs/>
                <w:szCs w:val="20"/>
              </w:rPr>
              <w:t>周转箱清洗</w:t>
            </w:r>
          </w:p>
        </w:tc>
        <w:tc>
          <w:tcPr>
            <w:tcW w:w="2359" w:type="dxa"/>
            <w:vAlign w:val="center"/>
          </w:tcPr>
          <w:p>
            <w:pPr>
              <w:jc w:val="center"/>
              <w:rPr>
                <w:rFonts w:ascii="Times New Roman" w:hAnsi="Times New Roman"/>
                <w:bCs/>
                <w:szCs w:val="20"/>
              </w:rPr>
            </w:pPr>
            <w:r>
              <w:rPr>
                <w:rFonts w:ascii="Times New Roman" w:hAnsi="Times New Roman"/>
                <w:bCs/>
                <w:szCs w:val="20"/>
              </w:rPr>
              <w:t>1.20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1701" w:type="dxa"/>
            <w:vAlign w:val="center"/>
          </w:tcPr>
          <w:p>
            <w:pPr>
              <w:jc w:val="center"/>
              <w:rPr>
                <w:rFonts w:ascii="Times New Roman" w:hAnsi="Times New Roman"/>
                <w:bCs/>
                <w:szCs w:val="20"/>
              </w:rPr>
            </w:pPr>
            <w:r>
              <w:rPr>
                <w:rFonts w:hint="eastAsia" w:ascii="Times New Roman" w:hAnsi="Times New Roman"/>
                <w:bCs/>
                <w:szCs w:val="20"/>
              </w:rPr>
              <w:t>车间地面</w:t>
            </w:r>
            <w:r>
              <w:rPr>
                <w:rFonts w:ascii="Times New Roman" w:hAnsi="Times New Roman"/>
                <w:bCs/>
                <w:szCs w:val="20"/>
              </w:rPr>
              <w:t>清洗</w:t>
            </w:r>
          </w:p>
        </w:tc>
        <w:tc>
          <w:tcPr>
            <w:tcW w:w="2456" w:type="dxa"/>
            <w:vAlign w:val="center"/>
          </w:tcPr>
          <w:p>
            <w:pPr>
              <w:jc w:val="center"/>
              <w:rPr>
                <w:rFonts w:ascii="Times New Roman" w:hAnsi="Times New Roman"/>
                <w:bCs/>
                <w:szCs w:val="20"/>
              </w:rPr>
            </w:pPr>
            <w:r>
              <w:rPr>
                <w:rFonts w:ascii="Times New Roman" w:hAnsi="Times New Roman"/>
                <w:bCs/>
                <w:szCs w:val="20"/>
              </w:rPr>
              <w:t>2.5</w:t>
            </w:r>
          </w:p>
        </w:tc>
        <w:tc>
          <w:tcPr>
            <w:tcW w:w="1797" w:type="dxa"/>
            <w:vAlign w:val="center"/>
          </w:tcPr>
          <w:p>
            <w:pPr>
              <w:jc w:val="center"/>
              <w:rPr>
                <w:rFonts w:ascii="Times New Roman" w:hAnsi="Times New Roman"/>
                <w:bCs/>
                <w:szCs w:val="20"/>
              </w:rPr>
            </w:pPr>
            <w:r>
              <w:rPr>
                <w:rFonts w:hint="eastAsia" w:ascii="Times New Roman" w:hAnsi="Times New Roman"/>
                <w:bCs/>
                <w:szCs w:val="20"/>
              </w:rPr>
              <w:t>车间地面</w:t>
            </w:r>
            <w:r>
              <w:rPr>
                <w:rFonts w:ascii="Times New Roman" w:hAnsi="Times New Roman"/>
                <w:bCs/>
                <w:szCs w:val="20"/>
              </w:rPr>
              <w:t>清洗</w:t>
            </w:r>
          </w:p>
        </w:tc>
        <w:tc>
          <w:tcPr>
            <w:tcW w:w="2359" w:type="dxa"/>
            <w:vAlign w:val="center"/>
          </w:tcPr>
          <w:p>
            <w:pPr>
              <w:jc w:val="center"/>
              <w:rPr>
                <w:rFonts w:ascii="Times New Roman" w:hAnsi="Times New Roman"/>
                <w:bCs/>
                <w:szCs w:val="20"/>
              </w:rPr>
            </w:pPr>
            <w:r>
              <w:rPr>
                <w:rFonts w:ascii="Times New Roman" w:hAnsi="Times New Roman"/>
                <w:bCs/>
                <w:szCs w:val="20"/>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1701" w:type="dxa"/>
            <w:vAlign w:val="center"/>
          </w:tcPr>
          <w:p>
            <w:pPr>
              <w:jc w:val="center"/>
              <w:rPr>
                <w:rFonts w:ascii="Times New Roman" w:hAnsi="Times New Roman"/>
                <w:bCs/>
                <w:szCs w:val="20"/>
              </w:rPr>
            </w:pPr>
            <w:r>
              <w:rPr>
                <w:rFonts w:hint="eastAsia" w:ascii="Times New Roman" w:hAnsi="Times New Roman"/>
                <w:bCs/>
                <w:szCs w:val="20"/>
              </w:rPr>
              <w:t>消毒液配置用水</w:t>
            </w:r>
          </w:p>
        </w:tc>
        <w:tc>
          <w:tcPr>
            <w:tcW w:w="2456" w:type="dxa"/>
            <w:vAlign w:val="center"/>
          </w:tcPr>
          <w:p>
            <w:pPr>
              <w:jc w:val="center"/>
              <w:rPr>
                <w:rFonts w:ascii="Times New Roman" w:hAnsi="Times New Roman"/>
                <w:bCs/>
                <w:szCs w:val="20"/>
              </w:rPr>
            </w:pPr>
            <w:r>
              <w:rPr>
                <w:rFonts w:ascii="Times New Roman" w:hAnsi="Times New Roman"/>
                <w:bCs/>
                <w:szCs w:val="20"/>
              </w:rPr>
              <w:t>10</w:t>
            </w:r>
          </w:p>
        </w:tc>
        <w:tc>
          <w:tcPr>
            <w:tcW w:w="1797" w:type="dxa"/>
            <w:vAlign w:val="center"/>
          </w:tcPr>
          <w:p>
            <w:pPr>
              <w:jc w:val="center"/>
              <w:rPr>
                <w:rFonts w:ascii="Times New Roman" w:hAnsi="Times New Roman"/>
                <w:bCs/>
                <w:szCs w:val="20"/>
              </w:rPr>
            </w:pPr>
            <w:r>
              <w:rPr>
                <w:rFonts w:hint="eastAsia" w:ascii="Times New Roman" w:hAnsi="Times New Roman"/>
                <w:bCs/>
                <w:szCs w:val="20"/>
              </w:rPr>
              <w:t>消毒废水</w:t>
            </w:r>
          </w:p>
        </w:tc>
        <w:tc>
          <w:tcPr>
            <w:tcW w:w="2359" w:type="dxa"/>
            <w:vAlign w:val="center"/>
          </w:tcPr>
          <w:p>
            <w:pPr>
              <w:jc w:val="center"/>
              <w:rPr>
                <w:rFonts w:ascii="Times New Roman" w:hAnsi="Times New Roman"/>
                <w:bCs/>
                <w:szCs w:val="20"/>
              </w:rPr>
            </w:pPr>
            <w:r>
              <w:rPr>
                <w:rFonts w:ascii="Times New Roman" w:hAnsi="Times New Roman"/>
                <w:bCs/>
                <w:szCs w:val="20"/>
              </w:rPr>
              <w:t>4.46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1701" w:type="dxa"/>
            <w:vAlign w:val="center"/>
          </w:tcPr>
          <w:p>
            <w:pPr>
              <w:jc w:val="center"/>
              <w:rPr>
                <w:rFonts w:ascii="Times New Roman" w:hAnsi="Times New Roman"/>
                <w:bCs/>
                <w:szCs w:val="20"/>
              </w:rPr>
            </w:pPr>
            <w:r>
              <w:rPr>
                <w:rFonts w:ascii="Times New Roman" w:hAnsi="Times New Roman"/>
                <w:bCs/>
                <w:szCs w:val="20"/>
              </w:rPr>
              <w:t>医疗废物带入</w:t>
            </w:r>
          </w:p>
        </w:tc>
        <w:tc>
          <w:tcPr>
            <w:tcW w:w="2456" w:type="dxa"/>
            <w:vAlign w:val="center"/>
          </w:tcPr>
          <w:p>
            <w:pPr>
              <w:jc w:val="center"/>
              <w:rPr>
                <w:rFonts w:ascii="Times New Roman" w:hAnsi="Times New Roman"/>
                <w:bCs/>
                <w:szCs w:val="20"/>
              </w:rPr>
            </w:pPr>
            <w:r>
              <w:rPr>
                <w:rFonts w:ascii="Times New Roman" w:hAnsi="Times New Roman"/>
                <w:bCs/>
                <w:szCs w:val="20"/>
              </w:rPr>
              <w:t>1</w:t>
            </w:r>
          </w:p>
        </w:tc>
        <w:tc>
          <w:tcPr>
            <w:tcW w:w="1797" w:type="dxa"/>
            <w:vAlign w:val="center"/>
          </w:tcPr>
          <w:p>
            <w:pPr>
              <w:jc w:val="center"/>
              <w:rPr>
                <w:rFonts w:ascii="Times New Roman" w:hAnsi="Times New Roman"/>
                <w:bCs/>
                <w:szCs w:val="20"/>
              </w:rPr>
            </w:pPr>
            <w:r>
              <w:rPr>
                <w:rFonts w:hint="eastAsia" w:ascii="Times New Roman" w:hAnsi="Times New Roman"/>
                <w:bCs/>
                <w:szCs w:val="20"/>
              </w:rPr>
              <w:t>残液</w:t>
            </w:r>
          </w:p>
        </w:tc>
        <w:tc>
          <w:tcPr>
            <w:tcW w:w="2359" w:type="dxa"/>
            <w:vAlign w:val="center"/>
          </w:tcPr>
          <w:p>
            <w:pPr>
              <w:jc w:val="center"/>
              <w:rPr>
                <w:rFonts w:ascii="Times New Roman" w:hAnsi="Times New Roman"/>
                <w:bCs/>
                <w:szCs w:val="20"/>
              </w:rPr>
            </w:pPr>
            <w:r>
              <w:rPr>
                <w:rFonts w:ascii="Times New Roman" w:hAnsi="Times New Roman"/>
                <w:bCs/>
                <w:szCs w:val="20"/>
              </w:rPr>
              <w:t>0.25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701" w:type="dxa"/>
            <w:vAlign w:val="center"/>
          </w:tcPr>
          <w:p>
            <w:pPr>
              <w:jc w:val="center"/>
              <w:rPr>
                <w:rFonts w:ascii="Times New Roman" w:hAnsi="Times New Roman"/>
                <w:bCs/>
                <w:szCs w:val="20"/>
              </w:rPr>
            </w:pPr>
            <w:r>
              <w:rPr>
                <w:rFonts w:ascii="Times New Roman" w:hAnsi="Times New Roman"/>
                <w:bCs/>
                <w:szCs w:val="20"/>
              </w:rPr>
              <w:t>合计</w:t>
            </w:r>
          </w:p>
        </w:tc>
        <w:tc>
          <w:tcPr>
            <w:tcW w:w="2456" w:type="dxa"/>
            <w:vAlign w:val="center"/>
          </w:tcPr>
          <w:p>
            <w:pPr>
              <w:jc w:val="center"/>
              <w:rPr>
                <w:rFonts w:ascii="Times New Roman" w:hAnsi="Times New Roman"/>
                <w:bCs/>
                <w:szCs w:val="20"/>
              </w:rPr>
            </w:pPr>
            <w:r>
              <w:rPr>
                <w:rFonts w:ascii="Times New Roman" w:hAnsi="Times New Roman"/>
                <w:bCs/>
                <w:szCs w:val="20"/>
              </w:rPr>
              <w:t>15.4</w:t>
            </w:r>
          </w:p>
        </w:tc>
        <w:tc>
          <w:tcPr>
            <w:tcW w:w="1797" w:type="dxa"/>
            <w:vAlign w:val="center"/>
          </w:tcPr>
          <w:p>
            <w:pPr>
              <w:jc w:val="center"/>
              <w:rPr>
                <w:rFonts w:ascii="Times New Roman" w:hAnsi="Times New Roman"/>
                <w:bCs/>
                <w:szCs w:val="20"/>
              </w:rPr>
            </w:pPr>
            <w:r>
              <w:rPr>
                <w:rFonts w:ascii="Times New Roman" w:hAnsi="Times New Roman"/>
                <w:bCs/>
                <w:szCs w:val="20"/>
              </w:rPr>
              <w:t>合计</w:t>
            </w:r>
          </w:p>
        </w:tc>
        <w:tc>
          <w:tcPr>
            <w:tcW w:w="2359" w:type="dxa"/>
            <w:vAlign w:val="center"/>
          </w:tcPr>
          <w:p>
            <w:pPr>
              <w:jc w:val="center"/>
              <w:rPr>
                <w:rFonts w:ascii="Times New Roman" w:hAnsi="Times New Roman"/>
                <w:bCs/>
                <w:szCs w:val="20"/>
              </w:rPr>
            </w:pPr>
            <w:r>
              <w:rPr>
                <w:rFonts w:ascii="Times New Roman" w:hAnsi="Times New Roman"/>
                <w:bCs/>
                <w:szCs w:val="20"/>
              </w:rPr>
              <w:t>8.23</w:t>
            </w:r>
          </w:p>
        </w:tc>
      </w:tr>
    </w:tbl>
    <w:p>
      <w:pPr>
        <w:rPr>
          <w:rFonts w:ascii="Times New Roman" w:hAnsi="Times New Roman"/>
        </w:rPr>
      </w:pPr>
    </w:p>
    <w:p>
      <w:pPr>
        <w:spacing w:line="360" w:lineRule="auto"/>
        <w:jc w:val="center"/>
        <w:rPr>
          <w:rFonts w:ascii="Times New Roman" w:hAnsi="Times New Roman"/>
          <w:kern w:val="2"/>
          <w:sz w:val="24"/>
          <w:szCs w:val="24"/>
        </w:rPr>
      </w:pPr>
      <w:r>
        <w:rPr>
          <w:rFonts w:ascii="Times New Roman" w:hAnsi="Times New Roman"/>
          <w:kern w:val="2"/>
          <w:sz w:val="24"/>
          <w:szCs w:val="24"/>
        </w:rPr>
        <w:drawing>
          <wp:inline distT="0" distB="0" distL="0" distR="0">
            <wp:extent cx="4359910" cy="3557270"/>
            <wp:effectExtent l="0" t="0" r="2540" b="508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4367422" cy="3563435"/>
                    </a:xfrm>
                    <a:prstGeom prst="rect">
                      <a:avLst/>
                    </a:prstGeom>
                    <a:noFill/>
                  </pic:spPr>
                </pic:pic>
              </a:graphicData>
            </a:graphic>
          </wp:inline>
        </w:drawing>
      </w:r>
    </w:p>
    <w:p>
      <w:pPr>
        <w:spacing w:line="480" w:lineRule="auto"/>
        <w:jc w:val="center"/>
        <w:rPr>
          <w:rFonts w:ascii="Times New Roman" w:hAnsi="Times New Roman"/>
          <w:b/>
        </w:rPr>
      </w:pPr>
      <w:r>
        <w:rPr>
          <w:rFonts w:ascii="Times New Roman" w:hAnsi="Times New Roman"/>
          <w:b/>
        </w:rPr>
        <w:t xml:space="preserve">图3.2-2 </w:t>
      </w:r>
      <w:r>
        <w:rPr>
          <w:rFonts w:hint="eastAsia" w:ascii="Times New Roman" w:hAnsi="Times New Roman"/>
          <w:b/>
        </w:rPr>
        <w:t>本项目</w:t>
      </w:r>
      <w:r>
        <w:rPr>
          <w:rFonts w:ascii="Times New Roman" w:hAnsi="Times New Roman"/>
          <w:b/>
        </w:rPr>
        <w:t>平衡图（单位：</w:t>
      </w:r>
      <w:r>
        <w:rPr>
          <w:rFonts w:ascii="Times New Roman" w:hAnsi="Times New Roman"/>
          <w:b/>
          <w:szCs w:val="20"/>
        </w:rPr>
        <w:t>t/d或t/次</w:t>
      </w:r>
      <w:r>
        <w:rPr>
          <w:rFonts w:ascii="Times New Roman" w:hAnsi="Times New Roman"/>
          <w:b/>
        </w:rPr>
        <w:t>）</w:t>
      </w:r>
    </w:p>
    <w:p>
      <w:pPr>
        <w:widowControl/>
        <w:spacing w:line="480" w:lineRule="exact"/>
        <w:outlineLvl w:val="3"/>
        <w:rPr>
          <w:rFonts w:ascii="Times New Roman" w:hAnsi="Times New Roman" w:eastAsia="黑体"/>
          <w:sz w:val="24"/>
        </w:rPr>
      </w:pPr>
      <w:r>
        <w:rPr>
          <w:rFonts w:ascii="Times New Roman" w:hAnsi="Times New Roman" w:eastAsia="黑体"/>
          <w:sz w:val="24"/>
        </w:rPr>
        <w:t>3.2.7.3.消防工程</w:t>
      </w:r>
    </w:p>
    <w:p>
      <w:pPr>
        <w:spacing w:line="480" w:lineRule="exact"/>
        <w:ind w:firstLine="480" w:firstLineChars="200"/>
        <w:rPr>
          <w:rFonts w:ascii="Times New Roman" w:hAnsi="Times New Roman"/>
          <w:kern w:val="2"/>
          <w:sz w:val="24"/>
          <w:szCs w:val="24"/>
        </w:rPr>
      </w:pPr>
      <w:r>
        <w:rPr>
          <w:rFonts w:ascii="Times New Roman" w:hAnsi="Times New Roman"/>
          <w:kern w:val="2"/>
          <w:sz w:val="24"/>
          <w:szCs w:val="24"/>
        </w:rPr>
        <w:t>厂区内的生产、生活辅助设施均按《建筑设计防火规范》（GB50016-2014）要求配备消防设备。厂区室外消防管网成环状布置。同一时间内的火灾次数按一次考虑，室外消火栓用水量为5L/s，室内消火栓用水量10L/s，火灾延续时间2h，合计108m</w:t>
      </w:r>
      <w:r>
        <w:rPr>
          <w:rFonts w:ascii="Times New Roman" w:hAnsi="Times New Roman"/>
          <w:kern w:val="2"/>
          <w:sz w:val="24"/>
          <w:szCs w:val="24"/>
          <w:vertAlign w:val="superscript"/>
        </w:rPr>
        <w:t>3</w:t>
      </w:r>
      <w:r>
        <w:rPr>
          <w:rFonts w:ascii="Times New Roman" w:hAnsi="Times New Roman"/>
          <w:kern w:val="2"/>
          <w:sz w:val="24"/>
          <w:szCs w:val="24"/>
        </w:rPr>
        <w:t>。本项目设现有事故应急池1座，容积为115m</w:t>
      </w:r>
      <w:r>
        <w:rPr>
          <w:rFonts w:ascii="Times New Roman" w:hAnsi="Times New Roman"/>
          <w:kern w:val="2"/>
          <w:sz w:val="24"/>
          <w:szCs w:val="24"/>
          <w:vertAlign w:val="superscript"/>
        </w:rPr>
        <w:t>3</w:t>
      </w:r>
      <w:r>
        <w:rPr>
          <w:rFonts w:ascii="Times New Roman" w:hAnsi="Times New Roman"/>
          <w:kern w:val="2"/>
          <w:sz w:val="24"/>
          <w:szCs w:val="24"/>
        </w:rPr>
        <w:t>，满足改扩建后消防废水的储存要求。</w:t>
      </w:r>
    </w:p>
    <w:p>
      <w:pPr>
        <w:widowControl/>
        <w:spacing w:line="480" w:lineRule="exact"/>
        <w:outlineLvl w:val="3"/>
        <w:rPr>
          <w:rFonts w:ascii="Times New Roman" w:hAnsi="Times New Roman" w:eastAsia="黑体"/>
          <w:sz w:val="24"/>
        </w:rPr>
      </w:pPr>
      <w:r>
        <w:rPr>
          <w:rFonts w:ascii="Times New Roman" w:hAnsi="Times New Roman" w:eastAsia="黑体"/>
          <w:sz w:val="24"/>
        </w:rPr>
        <w:t>3.2.7.4.供热工程</w:t>
      </w:r>
    </w:p>
    <w:p>
      <w:pPr>
        <w:spacing w:line="480" w:lineRule="exact"/>
        <w:ind w:firstLine="480" w:firstLineChars="200"/>
        <w:rPr>
          <w:rFonts w:ascii="Times New Roman" w:hAnsi="Times New Roman"/>
          <w:kern w:val="2"/>
          <w:sz w:val="24"/>
          <w:szCs w:val="24"/>
        </w:rPr>
      </w:pPr>
      <w:r>
        <w:rPr>
          <w:rFonts w:hint="eastAsia" w:ascii="Times New Roman" w:hAnsi="Times New Roman"/>
          <w:kern w:val="2"/>
          <w:sz w:val="24"/>
          <w:szCs w:val="24"/>
        </w:rPr>
        <w:t>现有员工</w:t>
      </w:r>
      <w:r>
        <w:rPr>
          <w:rFonts w:ascii="Times New Roman" w:hAnsi="Times New Roman"/>
          <w:kern w:val="2"/>
          <w:sz w:val="24"/>
          <w:szCs w:val="24"/>
        </w:rPr>
        <w:t>冬季生活供暖由</w:t>
      </w:r>
      <w:r>
        <w:rPr>
          <w:rFonts w:hint="eastAsia" w:ascii="Times New Roman" w:hAnsi="Times New Roman"/>
          <w:kern w:val="2"/>
          <w:sz w:val="24"/>
          <w:szCs w:val="24"/>
        </w:rPr>
        <w:t>现有</w:t>
      </w:r>
      <w:r>
        <w:rPr>
          <w:rFonts w:ascii="Times New Roman" w:hAnsi="Times New Roman"/>
          <w:kern w:val="2"/>
          <w:sz w:val="24"/>
          <w:szCs w:val="24"/>
        </w:rPr>
        <w:t>电锅炉</w:t>
      </w:r>
      <w:r>
        <w:rPr>
          <w:rFonts w:hint="eastAsia" w:ascii="Times New Roman" w:hAnsi="Times New Roman"/>
          <w:kern w:val="2"/>
          <w:sz w:val="24"/>
          <w:szCs w:val="24"/>
        </w:rPr>
        <w:t>（1</w:t>
      </w:r>
      <w:r>
        <w:rPr>
          <w:rFonts w:ascii="Times New Roman" w:hAnsi="Times New Roman"/>
          <w:kern w:val="2"/>
          <w:sz w:val="24"/>
          <w:szCs w:val="24"/>
        </w:rPr>
        <w:t>20</w:t>
      </w:r>
      <w:r>
        <w:rPr>
          <w:rFonts w:hint="eastAsia" w:ascii="Times New Roman" w:hAnsi="Times New Roman"/>
          <w:kern w:val="2"/>
          <w:sz w:val="24"/>
          <w:szCs w:val="24"/>
        </w:rPr>
        <w:t>kw）供应</w:t>
      </w:r>
      <w:r>
        <w:rPr>
          <w:rFonts w:ascii="Times New Roman" w:hAnsi="Times New Roman"/>
          <w:kern w:val="2"/>
          <w:sz w:val="24"/>
          <w:szCs w:val="24"/>
        </w:rPr>
        <w:t>；现有设备</w:t>
      </w:r>
      <w:r>
        <w:rPr>
          <w:rFonts w:hint="eastAsia" w:ascii="Times New Roman" w:hAnsi="Times New Roman"/>
          <w:kern w:val="2"/>
          <w:sz w:val="24"/>
          <w:szCs w:val="24"/>
        </w:rPr>
        <w:t>生产</w:t>
      </w:r>
      <w:r>
        <w:rPr>
          <w:rFonts w:ascii="Times New Roman" w:hAnsi="Times New Roman"/>
          <w:kern w:val="2"/>
          <w:sz w:val="24"/>
          <w:szCs w:val="24"/>
        </w:rPr>
        <w:t>热源同为电锅炉，</w:t>
      </w:r>
      <w:r>
        <w:rPr>
          <w:rFonts w:hint="eastAsia" w:ascii="Times New Roman" w:hAnsi="Times New Roman"/>
          <w:kern w:val="2"/>
          <w:sz w:val="24"/>
          <w:szCs w:val="24"/>
        </w:rPr>
        <w:t>本</w:t>
      </w:r>
      <w:r>
        <w:rPr>
          <w:rFonts w:ascii="Times New Roman" w:hAnsi="Times New Roman"/>
          <w:kern w:val="2"/>
          <w:sz w:val="24"/>
          <w:szCs w:val="24"/>
        </w:rPr>
        <w:t>改扩建工程</w:t>
      </w:r>
      <w:r>
        <w:rPr>
          <w:rFonts w:hint="eastAsia" w:ascii="Times New Roman" w:hAnsi="Times New Roman"/>
          <w:kern w:val="2"/>
          <w:sz w:val="24"/>
          <w:szCs w:val="24"/>
        </w:rPr>
        <w:t>生产</w:t>
      </w:r>
      <w:r>
        <w:rPr>
          <w:rFonts w:ascii="Times New Roman" w:hAnsi="Times New Roman"/>
          <w:kern w:val="2"/>
          <w:sz w:val="24"/>
          <w:szCs w:val="24"/>
        </w:rPr>
        <w:t>热源为</w:t>
      </w:r>
      <w:r>
        <w:rPr>
          <w:rFonts w:hint="eastAsia" w:ascii="Times New Roman" w:hAnsi="Times New Roman"/>
          <w:kern w:val="2"/>
          <w:sz w:val="24"/>
          <w:szCs w:val="24"/>
        </w:rPr>
        <w:t>6万kcal/h的</w:t>
      </w:r>
      <w:r>
        <w:rPr>
          <w:rFonts w:ascii="Times New Roman" w:hAnsi="Times New Roman"/>
          <w:kern w:val="2"/>
          <w:sz w:val="24"/>
          <w:szCs w:val="24"/>
        </w:rPr>
        <w:t>导热油炉。</w:t>
      </w:r>
      <w:r>
        <w:rPr>
          <w:rFonts w:hint="eastAsia" w:ascii="Times New Roman" w:hAnsi="Times New Roman"/>
          <w:kern w:val="2"/>
          <w:sz w:val="24"/>
          <w:szCs w:val="24"/>
        </w:rPr>
        <w:t>燃料为轻质柴油，年用量为</w:t>
      </w:r>
      <w:r>
        <w:rPr>
          <w:rFonts w:ascii="Times New Roman" w:hAnsi="Times New Roman"/>
          <w:sz w:val="24"/>
          <w:szCs w:val="24"/>
        </w:rPr>
        <w:t>29.2t</w:t>
      </w:r>
      <w:r>
        <w:rPr>
          <w:rFonts w:hint="eastAsia" w:ascii="Times New Roman" w:hAnsi="Times New Roman"/>
          <w:sz w:val="24"/>
          <w:szCs w:val="24"/>
        </w:rPr>
        <w:t>，含硫量为</w:t>
      </w:r>
      <w:r>
        <w:rPr>
          <w:rFonts w:ascii="Times New Roman" w:hAnsi="Times New Roman"/>
          <w:sz w:val="24"/>
          <w:szCs w:val="24"/>
        </w:rPr>
        <w:t>硫含量0.001%</w:t>
      </w:r>
      <w:r>
        <w:rPr>
          <w:rFonts w:hint="eastAsia" w:ascii="Times New Roman" w:hAnsi="Times New Roman"/>
          <w:sz w:val="24"/>
          <w:szCs w:val="24"/>
        </w:rPr>
        <w:t>。</w:t>
      </w:r>
    </w:p>
    <w:p>
      <w:pPr>
        <w:widowControl/>
        <w:spacing w:line="480" w:lineRule="exact"/>
        <w:outlineLvl w:val="3"/>
        <w:rPr>
          <w:rFonts w:ascii="Times New Roman" w:hAnsi="Times New Roman" w:eastAsia="黑体"/>
          <w:sz w:val="24"/>
        </w:rPr>
      </w:pPr>
      <w:r>
        <w:rPr>
          <w:rFonts w:ascii="Times New Roman" w:hAnsi="Times New Roman" w:eastAsia="黑体"/>
          <w:sz w:val="24"/>
        </w:rPr>
        <w:t>3.2.7.5.供电工程</w:t>
      </w:r>
    </w:p>
    <w:p>
      <w:pPr>
        <w:pStyle w:val="420"/>
        <w:spacing w:line="480" w:lineRule="exact"/>
        <w:ind w:firstLine="480"/>
        <w:rPr>
          <w:rFonts w:cs="Times New Roman"/>
          <w:szCs w:val="24"/>
        </w:rPr>
      </w:pPr>
      <w:r>
        <w:rPr>
          <w:rFonts w:cs="Times New Roman"/>
          <w:szCs w:val="24"/>
        </w:rPr>
        <w:t>本项目用电由双鸭山市供电局电力变电所供应。</w:t>
      </w:r>
    </w:p>
    <w:bookmarkEnd w:id="586"/>
    <w:bookmarkEnd w:id="587"/>
    <w:p>
      <w:pPr>
        <w:pStyle w:val="4"/>
        <w:spacing w:before="120" w:beforeLines="50" w:after="120" w:afterLines="50" w:line="480" w:lineRule="exact"/>
        <w:rPr>
          <w:rFonts w:ascii="Times New Roman" w:hAnsi="Times New Roman" w:eastAsia="黑体"/>
          <w:bCs/>
          <w:sz w:val="28"/>
          <w:szCs w:val="28"/>
        </w:rPr>
      </w:pPr>
      <w:bookmarkStart w:id="589" w:name="_Toc24522"/>
      <w:bookmarkStart w:id="590" w:name="_Toc8693"/>
      <w:bookmarkStart w:id="591" w:name="_Toc26188014"/>
      <w:bookmarkStart w:id="592" w:name="_Toc6662"/>
      <w:bookmarkStart w:id="593" w:name="_Toc27134290"/>
      <w:bookmarkStart w:id="594" w:name="_Toc11372"/>
      <w:bookmarkStart w:id="595" w:name="_Toc25590"/>
      <w:r>
        <w:rPr>
          <w:rFonts w:ascii="Times New Roman" w:hAnsi="Times New Roman" w:eastAsia="黑体"/>
          <w:bCs/>
          <w:sz w:val="28"/>
          <w:szCs w:val="28"/>
        </w:rPr>
        <w:t>总图布置</w:t>
      </w:r>
      <w:bookmarkEnd w:id="589"/>
      <w:bookmarkEnd w:id="590"/>
      <w:bookmarkEnd w:id="591"/>
      <w:bookmarkEnd w:id="592"/>
      <w:bookmarkEnd w:id="593"/>
      <w:bookmarkEnd w:id="594"/>
      <w:bookmarkEnd w:id="595"/>
    </w:p>
    <w:p>
      <w:pPr>
        <w:pStyle w:val="420"/>
        <w:spacing w:line="480" w:lineRule="exact"/>
        <w:ind w:firstLine="480"/>
        <w:rPr>
          <w:rFonts w:cs="Times New Roman"/>
          <w:szCs w:val="24"/>
        </w:rPr>
      </w:pPr>
      <w:r>
        <w:rPr>
          <w:rFonts w:cs="Times New Roman"/>
          <w:szCs w:val="24"/>
        </w:rPr>
        <w:t>本项目平面布置是根据医疗废物处置工艺流程、防火、安全、卫生、检修等要求，充分考虑到各种设施的功能特点，并按照净污分区、人员防护、单向流程、节约占地的原则进行设计。厂区</w:t>
      </w:r>
      <w:r>
        <w:rPr>
          <w:rFonts w:hint="eastAsia" w:cs="Times New Roman"/>
          <w:szCs w:val="24"/>
        </w:rPr>
        <w:t>北侧为生产车间，南侧为办公区，在生产车间的下风向，西南侧为停车场</w:t>
      </w:r>
      <w:r>
        <w:rPr>
          <w:rFonts w:cs="Times New Roman"/>
          <w:szCs w:val="24"/>
        </w:rPr>
        <w:t>，其总平面布置满足工艺、环保等要求，使得各生产装置布置紧凑、管理方便。本项目选址位于现有工程的蒸汽灭菌车间内，现有厂区的道路和各个设施的布局可以充分的利用，满足本项目生产和运输需要，其物流、人流、车流通畅，各个车间之间布局较为合理。平面布置图见附图。</w:t>
      </w:r>
    </w:p>
    <w:p>
      <w:pPr>
        <w:pStyle w:val="3"/>
        <w:spacing w:before="120" w:beforeLines="50" w:after="120" w:afterLines="50" w:line="480" w:lineRule="exact"/>
        <w:rPr>
          <w:rFonts w:ascii="Times New Roman" w:hAnsi="Times New Roman" w:eastAsia="黑体"/>
          <w:sz w:val="30"/>
          <w:szCs w:val="30"/>
        </w:rPr>
      </w:pPr>
      <w:bookmarkStart w:id="596" w:name="_Toc116379705"/>
      <w:r>
        <w:rPr>
          <w:rFonts w:ascii="Times New Roman" w:hAnsi="Times New Roman" w:eastAsia="黑体"/>
          <w:sz w:val="30"/>
          <w:szCs w:val="30"/>
        </w:rPr>
        <w:t>工艺流程分析</w:t>
      </w:r>
      <w:bookmarkEnd w:id="596"/>
    </w:p>
    <w:p>
      <w:pPr>
        <w:pStyle w:val="4"/>
        <w:spacing w:before="120" w:beforeLines="50" w:after="120" w:afterLines="50" w:line="480" w:lineRule="exact"/>
        <w:rPr>
          <w:rFonts w:ascii="Times New Roman" w:hAnsi="Times New Roman" w:eastAsia="黑体"/>
          <w:bCs/>
          <w:sz w:val="28"/>
          <w:szCs w:val="28"/>
        </w:rPr>
      </w:pPr>
      <w:bookmarkStart w:id="597" w:name="_Toc26188016"/>
      <w:bookmarkStart w:id="598" w:name="_Toc11967"/>
      <w:bookmarkStart w:id="599" w:name="_Toc4805"/>
      <w:bookmarkStart w:id="600" w:name="_Toc8974"/>
      <w:bookmarkStart w:id="601" w:name="_Toc5722"/>
      <w:bookmarkStart w:id="602" w:name="_Toc24431"/>
      <w:bookmarkStart w:id="603" w:name="_Toc9843800"/>
      <w:bookmarkStart w:id="604" w:name="_Toc27134292"/>
      <w:r>
        <w:rPr>
          <w:rFonts w:ascii="Times New Roman" w:hAnsi="Times New Roman" w:eastAsia="黑体"/>
          <w:bCs/>
          <w:sz w:val="28"/>
          <w:szCs w:val="28"/>
        </w:rPr>
        <w:t>施工期工艺流程分析</w:t>
      </w:r>
      <w:bookmarkEnd w:id="597"/>
      <w:bookmarkEnd w:id="598"/>
      <w:bookmarkEnd w:id="599"/>
      <w:bookmarkEnd w:id="600"/>
      <w:bookmarkEnd w:id="601"/>
      <w:bookmarkEnd w:id="602"/>
      <w:bookmarkEnd w:id="603"/>
      <w:bookmarkEnd w:id="604"/>
    </w:p>
    <w:p>
      <w:pPr>
        <w:pStyle w:val="155"/>
        <w:ind w:firstLine="480"/>
      </w:pPr>
      <w:r>
        <w:rPr>
          <w:szCs w:val="24"/>
        </w:rPr>
        <w:t>本项目位于双鸭山市医疗废物集中处置中心院内，施工期主要进行设备安装，无土建内容，</w:t>
      </w:r>
      <w:r>
        <w:t>施工期对周围环境影响较小。</w:t>
      </w:r>
    </w:p>
    <w:p>
      <w:pPr>
        <w:pStyle w:val="4"/>
        <w:spacing w:before="120" w:beforeLines="50" w:after="120" w:afterLines="50" w:line="480" w:lineRule="exact"/>
        <w:rPr>
          <w:rFonts w:ascii="Times New Roman" w:hAnsi="Times New Roman" w:eastAsia="黑体"/>
          <w:bCs/>
          <w:sz w:val="28"/>
          <w:szCs w:val="28"/>
        </w:rPr>
      </w:pPr>
      <w:bookmarkStart w:id="605" w:name="_Toc5362"/>
      <w:bookmarkStart w:id="606" w:name="_Toc31151"/>
      <w:bookmarkStart w:id="607" w:name="_Toc13141"/>
      <w:bookmarkStart w:id="608" w:name="_Toc9843801"/>
      <w:bookmarkStart w:id="609" w:name="_Toc1560"/>
      <w:bookmarkStart w:id="610" w:name="_Toc27134293"/>
      <w:bookmarkStart w:id="611" w:name="_Toc10533"/>
      <w:bookmarkStart w:id="612" w:name="_Toc26188017"/>
      <w:r>
        <w:rPr>
          <w:rFonts w:ascii="Times New Roman" w:hAnsi="Times New Roman" w:eastAsia="黑体"/>
          <w:bCs/>
          <w:sz w:val="28"/>
          <w:szCs w:val="28"/>
        </w:rPr>
        <w:t>运营期工艺流程分析</w:t>
      </w:r>
      <w:bookmarkEnd w:id="605"/>
      <w:bookmarkEnd w:id="606"/>
      <w:bookmarkEnd w:id="607"/>
      <w:bookmarkEnd w:id="608"/>
      <w:bookmarkEnd w:id="609"/>
      <w:bookmarkEnd w:id="610"/>
      <w:bookmarkEnd w:id="611"/>
      <w:bookmarkEnd w:id="612"/>
    </w:p>
    <w:p>
      <w:pPr>
        <w:pStyle w:val="155"/>
        <w:spacing w:line="480" w:lineRule="exact"/>
        <w:ind w:firstLine="480"/>
      </w:pPr>
      <w:r>
        <w:t>本项目改扩建工程采用的高温干热处理工艺。高温</w:t>
      </w:r>
      <w:r>
        <w:rPr>
          <w:rFonts w:hint="eastAsia"/>
        </w:rPr>
        <w:t>干热</w:t>
      </w:r>
      <w:r>
        <w:t>处理工艺主要包括进料单元、高温</w:t>
      </w:r>
      <w:r>
        <w:rPr>
          <w:rFonts w:hint="eastAsia"/>
        </w:rPr>
        <w:t>干热</w:t>
      </w:r>
      <w:r>
        <w:t>处理单元、破碎单元、控制单元等。具体工艺流程如下：</w:t>
      </w:r>
    </w:p>
    <w:p>
      <w:pPr>
        <w:pStyle w:val="155"/>
        <w:spacing w:line="240" w:lineRule="auto"/>
        <w:ind w:firstLine="0" w:firstLineChars="0"/>
      </w:pPr>
      <w:r>
        <w:drawing>
          <wp:inline distT="0" distB="0" distL="0" distR="0">
            <wp:extent cx="4925695" cy="3599180"/>
            <wp:effectExtent l="0" t="0" r="8255" b="127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4928942" cy="3601825"/>
                    </a:xfrm>
                    <a:prstGeom prst="rect">
                      <a:avLst/>
                    </a:prstGeom>
                    <a:noFill/>
                  </pic:spPr>
                </pic:pic>
              </a:graphicData>
            </a:graphic>
          </wp:inline>
        </w:drawing>
      </w:r>
    </w:p>
    <w:p>
      <w:pPr>
        <w:jc w:val="center"/>
        <w:rPr>
          <w:rFonts w:ascii="Times New Roman" w:hAnsi="Times New Roman"/>
          <w:b/>
        </w:rPr>
      </w:pPr>
      <w:r>
        <w:rPr>
          <w:rFonts w:ascii="Times New Roman" w:hAnsi="Times New Roman"/>
          <w:b/>
        </w:rPr>
        <w:t>图3.3-1 运营期工艺流程及产污节点示意图</w:t>
      </w:r>
    </w:p>
    <w:p>
      <w:pPr>
        <w:pStyle w:val="155"/>
        <w:spacing w:line="480" w:lineRule="exact"/>
        <w:ind w:firstLine="444"/>
        <w:rPr>
          <w:snapToGrid w:val="0"/>
          <w:spacing w:val="-9"/>
          <w:szCs w:val="24"/>
        </w:rPr>
      </w:pPr>
      <w:r>
        <w:rPr>
          <w:snapToGrid w:val="0"/>
          <w:spacing w:val="-9"/>
          <w:szCs w:val="24"/>
        </w:rPr>
        <w:t>（1）工艺简介</w:t>
      </w:r>
    </w:p>
    <w:p>
      <w:pPr>
        <w:pStyle w:val="155"/>
        <w:spacing w:line="480" w:lineRule="exact"/>
        <w:ind w:firstLine="444"/>
        <w:rPr>
          <w:snapToGrid w:val="0"/>
          <w:spacing w:val="-9"/>
          <w:szCs w:val="24"/>
        </w:rPr>
      </w:pPr>
      <w:r>
        <w:rPr>
          <w:snapToGrid w:val="0"/>
          <w:spacing w:val="-9"/>
          <w:szCs w:val="24"/>
        </w:rPr>
        <w:t>项目引进意大利 GFD 公司生产 simplex 500 医疗废物处理成套设备。该技术享有专利保护，目前已广泛应用于美国、意大利、西班牙、波兰、南非、埃及、沙特阿拉伯等多个国家。</w:t>
      </w:r>
    </w:p>
    <w:p>
      <w:pPr>
        <w:pStyle w:val="155"/>
        <w:spacing w:line="480" w:lineRule="exact"/>
        <w:ind w:firstLine="444"/>
        <w:rPr>
          <w:snapToGrid w:val="0"/>
          <w:spacing w:val="-9"/>
          <w:szCs w:val="24"/>
        </w:rPr>
      </w:pPr>
      <w:r>
        <w:rPr>
          <w:snapToGrid w:val="0"/>
          <w:spacing w:val="-9"/>
          <w:szCs w:val="24"/>
        </w:rPr>
        <w:t>该医疗废物处理系统具有高效、环保、低成本的特点，符合世界卫生组织生物医学废物处理技术标准。其以独到的技术优势、成本优势及环保性能等方面的特点，在医疗废物处理方面已显示出其明显的优势。</w:t>
      </w:r>
    </w:p>
    <w:p>
      <w:pPr>
        <w:widowControl/>
        <w:kinsoku w:val="0"/>
        <w:autoSpaceDE w:val="0"/>
        <w:autoSpaceDN w:val="0"/>
        <w:adjustRightInd w:val="0"/>
        <w:snapToGrid w:val="0"/>
        <w:spacing w:line="480" w:lineRule="exact"/>
        <w:ind w:left="40" w:right="62" w:firstLine="444" w:firstLineChars="200"/>
        <w:textAlignment w:val="baseline"/>
        <w:rPr>
          <w:rFonts w:ascii="Times New Roman" w:hAnsi="Times New Roman"/>
          <w:snapToGrid w:val="0"/>
          <w:spacing w:val="-9"/>
          <w:kern w:val="2"/>
          <w:sz w:val="24"/>
          <w:szCs w:val="24"/>
        </w:rPr>
      </w:pPr>
      <w:r>
        <w:rPr>
          <w:rFonts w:ascii="Times New Roman" w:hAnsi="Times New Roman"/>
          <w:snapToGrid w:val="0"/>
          <w:spacing w:val="-9"/>
          <w:kern w:val="2"/>
          <w:sz w:val="24"/>
          <w:szCs w:val="24"/>
        </w:rPr>
        <w:t>simplex 500 医疗废物处理系统核心工艺为高温干热灭菌。为了保证灭菌效果，一般规定：135-140摄氏度灭菌3-5h；160-170摄氏度灭菌2-4h；180-200摄氏度灭菌0.5-1h。该设备运行温度180-200摄氏度，灭菌时间 0.5-1h，可根据处置效果编程控制，确保医废的无害化。</w:t>
      </w:r>
    </w:p>
    <w:p>
      <w:pPr>
        <w:widowControl/>
        <w:kinsoku w:val="0"/>
        <w:autoSpaceDE w:val="0"/>
        <w:autoSpaceDN w:val="0"/>
        <w:adjustRightInd w:val="0"/>
        <w:snapToGrid w:val="0"/>
        <w:spacing w:before="4" w:line="480" w:lineRule="exact"/>
        <w:ind w:left="40" w:right="62" w:firstLine="444" w:firstLineChars="200"/>
        <w:textAlignment w:val="baseline"/>
        <w:rPr>
          <w:rFonts w:ascii="Times New Roman" w:hAnsi="Times New Roman"/>
          <w:snapToGrid w:val="0"/>
          <w:spacing w:val="-9"/>
          <w:kern w:val="2"/>
          <w:sz w:val="24"/>
          <w:szCs w:val="24"/>
        </w:rPr>
      </w:pPr>
      <w:r>
        <w:rPr>
          <w:rFonts w:ascii="Times New Roman" w:hAnsi="Times New Roman"/>
          <w:snapToGrid w:val="0"/>
          <w:spacing w:val="-9"/>
          <w:kern w:val="2"/>
          <w:sz w:val="24"/>
          <w:szCs w:val="24"/>
        </w:rPr>
        <w:t>该设备将医疗废物的毁形、灭菌置于一套封闭的、处于负压状态下的设备内进行，设备灭菌效率可达到99.9999%以上，用于保持系统负压状态的排气泵抽出的尾气经用废气净化器处理后排放。</w:t>
      </w:r>
    </w:p>
    <w:p>
      <w:pPr>
        <w:pStyle w:val="155"/>
        <w:spacing w:line="480" w:lineRule="exact"/>
        <w:ind w:firstLine="444"/>
        <w:rPr>
          <w:snapToGrid w:val="0"/>
          <w:spacing w:val="-9"/>
          <w:szCs w:val="24"/>
        </w:rPr>
      </w:pPr>
      <w:r>
        <w:rPr>
          <w:snapToGrid w:val="0"/>
          <w:spacing w:val="-9"/>
          <w:szCs w:val="24"/>
        </w:rPr>
        <w:t>（2）处置工艺比选</w:t>
      </w:r>
    </w:p>
    <w:p>
      <w:pPr>
        <w:pStyle w:val="155"/>
        <w:spacing w:line="480" w:lineRule="exact"/>
        <w:ind w:firstLine="444"/>
        <w:rPr>
          <w:snapToGrid w:val="0"/>
          <w:spacing w:val="-9"/>
          <w:szCs w:val="24"/>
        </w:rPr>
      </w:pPr>
      <w:r>
        <w:rPr>
          <w:snapToGrid w:val="0"/>
          <w:spacing w:val="-9"/>
          <w:szCs w:val="24"/>
        </w:rPr>
        <w:t>目前，医废处置主要包括高温高压蒸气消毒法、机械-化学消毒法、电磁波灭菌法以及高温焚烧法等几种工艺，主要从环境可行性方面对上述工艺进行进一步的比选，具体见表 3.3-1。</w:t>
      </w:r>
    </w:p>
    <w:p>
      <w:pPr>
        <w:jc w:val="center"/>
        <w:rPr>
          <w:rFonts w:ascii="Times New Roman" w:hAnsi="Times New Roman"/>
          <w:b/>
        </w:rPr>
      </w:pPr>
      <w:r>
        <w:rPr>
          <w:rFonts w:ascii="Times New Roman" w:hAnsi="Times New Roman"/>
          <w:b/>
        </w:rPr>
        <w:t>表 3.3-1  各处置工艺环境指标一览表</w:t>
      </w:r>
    </w:p>
    <w:tbl>
      <w:tblPr>
        <w:tblStyle w:val="77"/>
        <w:tblW w:w="5000" w:type="pct"/>
        <w:jc w:val="center"/>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Layout w:type="autofit"/>
        <w:tblCellMar>
          <w:top w:w="0" w:type="dxa"/>
          <w:left w:w="0" w:type="dxa"/>
          <w:bottom w:w="0" w:type="dxa"/>
          <w:right w:w="0" w:type="dxa"/>
        </w:tblCellMar>
      </w:tblPr>
      <w:tblGrid>
        <w:gridCol w:w="1840"/>
        <w:gridCol w:w="1420"/>
        <w:gridCol w:w="1275"/>
        <w:gridCol w:w="994"/>
        <w:gridCol w:w="1275"/>
        <w:gridCol w:w="1509"/>
      </w:tblGrid>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02" w:hRule="atLeast"/>
          <w:jc w:val="center"/>
        </w:trPr>
        <w:tc>
          <w:tcPr>
            <w:tcW w:w="1107" w:type="pct"/>
            <w:vAlign w:val="center"/>
          </w:tcPr>
          <w:p>
            <w:pPr>
              <w:widowControl/>
              <w:kinsoku w:val="0"/>
              <w:autoSpaceDE w:val="0"/>
              <w:autoSpaceDN w:val="0"/>
              <w:adjustRightInd w:val="0"/>
              <w:snapToGrid w:val="0"/>
              <w:spacing w:before="68"/>
              <w:jc w:val="center"/>
              <w:textAlignment w:val="baseline"/>
              <w:rPr>
                <w:rFonts w:ascii="Times New Roman" w:hAnsi="Times New Roman" w:eastAsiaTheme="minorEastAsia"/>
                <w:snapToGrid w:val="0"/>
                <w:spacing w:val="-3"/>
              </w:rPr>
            </w:pPr>
            <w:r>
              <w:rPr>
                <w:rFonts w:ascii="Times New Roman" w:hAnsi="Times New Roman" w:eastAsiaTheme="minorEastAsia"/>
                <w:snapToGrid w:val="0"/>
                <w:spacing w:val="-3"/>
              </w:rPr>
              <w:t>工艺</w:t>
            </w:r>
          </w:p>
        </w:tc>
        <w:tc>
          <w:tcPr>
            <w:tcW w:w="854" w:type="pct"/>
            <w:vAlign w:val="center"/>
          </w:tcPr>
          <w:p>
            <w:pPr>
              <w:widowControl/>
              <w:kinsoku w:val="0"/>
              <w:autoSpaceDE w:val="0"/>
              <w:autoSpaceDN w:val="0"/>
              <w:adjustRightInd w:val="0"/>
              <w:snapToGrid w:val="0"/>
              <w:spacing w:before="68"/>
              <w:jc w:val="center"/>
              <w:textAlignment w:val="baseline"/>
              <w:rPr>
                <w:rFonts w:ascii="Times New Roman" w:hAnsi="Times New Roman" w:eastAsiaTheme="minorEastAsia"/>
                <w:snapToGrid w:val="0"/>
                <w:spacing w:val="-3"/>
              </w:rPr>
            </w:pPr>
            <w:r>
              <w:rPr>
                <w:rFonts w:ascii="Times New Roman" w:hAnsi="Times New Roman" w:eastAsiaTheme="minorEastAsia"/>
                <w:snapToGrid w:val="0"/>
                <w:spacing w:val="-3"/>
              </w:rPr>
              <w:t>减容率(%)</w:t>
            </w:r>
          </w:p>
        </w:tc>
        <w:tc>
          <w:tcPr>
            <w:tcW w:w="767" w:type="pct"/>
            <w:vAlign w:val="center"/>
          </w:tcPr>
          <w:p>
            <w:pPr>
              <w:widowControl/>
              <w:kinsoku w:val="0"/>
              <w:autoSpaceDE w:val="0"/>
              <w:autoSpaceDN w:val="0"/>
              <w:adjustRightInd w:val="0"/>
              <w:snapToGrid w:val="0"/>
              <w:spacing w:before="68"/>
              <w:jc w:val="center"/>
              <w:textAlignment w:val="baseline"/>
              <w:rPr>
                <w:rFonts w:ascii="Times New Roman" w:hAnsi="Times New Roman" w:eastAsiaTheme="minorEastAsia"/>
                <w:snapToGrid w:val="0"/>
                <w:spacing w:val="-3"/>
              </w:rPr>
            </w:pPr>
            <w:r>
              <w:rPr>
                <w:rFonts w:ascii="Times New Roman" w:hAnsi="Times New Roman" w:eastAsiaTheme="minorEastAsia"/>
                <w:snapToGrid w:val="0"/>
                <w:spacing w:val="-3"/>
              </w:rPr>
              <w:t>减量画(%)</w:t>
            </w:r>
          </w:p>
        </w:tc>
        <w:tc>
          <w:tcPr>
            <w:tcW w:w="598" w:type="pct"/>
            <w:vAlign w:val="center"/>
          </w:tcPr>
          <w:p>
            <w:pPr>
              <w:widowControl/>
              <w:kinsoku w:val="0"/>
              <w:autoSpaceDE w:val="0"/>
              <w:autoSpaceDN w:val="0"/>
              <w:adjustRightInd w:val="0"/>
              <w:snapToGrid w:val="0"/>
              <w:spacing w:before="68"/>
              <w:jc w:val="center"/>
              <w:textAlignment w:val="baseline"/>
              <w:rPr>
                <w:rFonts w:ascii="Times New Roman" w:hAnsi="Times New Roman" w:eastAsiaTheme="minorEastAsia"/>
                <w:snapToGrid w:val="0"/>
                <w:spacing w:val="-3"/>
              </w:rPr>
            </w:pPr>
            <w:r>
              <w:rPr>
                <w:rFonts w:ascii="Times New Roman" w:hAnsi="Times New Roman" w:eastAsiaTheme="minorEastAsia"/>
                <w:snapToGrid w:val="0"/>
                <w:spacing w:val="-3"/>
              </w:rPr>
              <w:t>排污量</w:t>
            </w:r>
          </w:p>
        </w:tc>
        <w:tc>
          <w:tcPr>
            <w:tcW w:w="767" w:type="pct"/>
            <w:vAlign w:val="center"/>
          </w:tcPr>
          <w:p>
            <w:pPr>
              <w:widowControl/>
              <w:kinsoku w:val="0"/>
              <w:autoSpaceDE w:val="0"/>
              <w:autoSpaceDN w:val="0"/>
              <w:adjustRightInd w:val="0"/>
              <w:snapToGrid w:val="0"/>
              <w:spacing w:before="68"/>
              <w:jc w:val="center"/>
              <w:textAlignment w:val="baseline"/>
              <w:rPr>
                <w:rFonts w:ascii="Times New Roman" w:hAnsi="Times New Roman" w:eastAsiaTheme="minorEastAsia"/>
                <w:snapToGrid w:val="0"/>
                <w:spacing w:val="-3"/>
              </w:rPr>
            </w:pPr>
            <w:r>
              <w:rPr>
                <w:rFonts w:ascii="Times New Roman" w:hAnsi="Times New Roman" w:eastAsiaTheme="minorEastAsia"/>
                <w:snapToGrid w:val="0"/>
                <w:spacing w:val="-3"/>
              </w:rPr>
              <w:t>残渣/飞灰</w:t>
            </w:r>
          </w:p>
        </w:tc>
        <w:tc>
          <w:tcPr>
            <w:tcW w:w="907" w:type="pct"/>
            <w:vAlign w:val="center"/>
          </w:tcPr>
          <w:p>
            <w:pPr>
              <w:widowControl/>
              <w:kinsoku w:val="0"/>
              <w:autoSpaceDE w:val="0"/>
              <w:autoSpaceDN w:val="0"/>
              <w:adjustRightInd w:val="0"/>
              <w:snapToGrid w:val="0"/>
              <w:spacing w:before="68"/>
              <w:jc w:val="center"/>
              <w:textAlignment w:val="baseline"/>
              <w:rPr>
                <w:rFonts w:ascii="Times New Roman" w:hAnsi="Times New Roman" w:eastAsiaTheme="minorEastAsia"/>
                <w:snapToGrid w:val="0"/>
                <w:spacing w:val="-3"/>
              </w:rPr>
            </w:pPr>
            <w:r>
              <w:rPr>
                <w:rFonts w:ascii="Times New Roman" w:hAnsi="Times New Roman" w:eastAsiaTheme="minorEastAsia"/>
                <w:snapToGrid w:val="0"/>
                <w:spacing w:val="-3"/>
              </w:rPr>
              <w:t>二次污染风险</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72" w:hRule="atLeast"/>
          <w:jc w:val="center"/>
        </w:trPr>
        <w:tc>
          <w:tcPr>
            <w:tcW w:w="1107" w:type="pct"/>
            <w:vAlign w:val="center"/>
          </w:tcPr>
          <w:p>
            <w:pPr>
              <w:widowControl/>
              <w:kinsoku w:val="0"/>
              <w:autoSpaceDE w:val="0"/>
              <w:autoSpaceDN w:val="0"/>
              <w:adjustRightInd w:val="0"/>
              <w:snapToGrid w:val="0"/>
              <w:spacing w:before="68"/>
              <w:jc w:val="center"/>
              <w:textAlignment w:val="baseline"/>
              <w:rPr>
                <w:rFonts w:ascii="Times New Roman" w:hAnsi="Times New Roman" w:eastAsiaTheme="minorEastAsia"/>
                <w:snapToGrid w:val="0"/>
                <w:spacing w:val="-3"/>
              </w:rPr>
            </w:pPr>
            <w:r>
              <w:rPr>
                <w:rFonts w:ascii="Times New Roman" w:hAnsi="Times New Roman" w:eastAsiaTheme="minorEastAsia"/>
                <w:snapToGrid w:val="0"/>
                <w:spacing w:val="-3"/>
              </w:rPr>
              <w:t>高温高压消毒</w:t>
            </w:r>
          </w:p>
        </w:tc>
        <w:tc>
          <w:tcPr>
            <w:tcW w:w="854" w:type="pct"/>
            <w:vAlign w:val="center"/>
          </w:tcPr>
          <w:p>
            <w:pPr>
              <w:widowControl/>
              <w:kinsoku w:val="0"/>
              <w:autoSpaceDE w:val="0"/>
              <w:autoSpaceDN w:val="0"/>
              <w:adjustRightInd w:val="0"/>
              <w:snapToGrid w:val="0"/>
              <w:spacing w:before="68"/>
              <w:jc w:val="center"/>
              <w:textAlignment w:val="baseline"/>
              <w:rPr>
                <w:rFonts w:ascii="Times New Roman" w:hAnsi="Times New Roman" w:eastAsiaTheme="minorEastAsia"/>
                <w:snapToGrid w:val="0"/>
                <w:spacing w:val="-3"/>
              </w:rPr>
            </w:pPr>
            <w:r>
              <w:rPr>
                <w:rFonts w:ascii="Times New Roman" w:hAnsi="Times New Roman" w:eastAsiaTheme="minorEastAsia"/>
                <w:snapToGrid w:val="0"/>
                <w:spacing w:val="-3"/>
              </w:rPr>
              <w:t>80</w:t>
            </w:r>
          </w:p>
        </w:tc>
        <w:tc>
          <w:tcPr>
            <w:tcW w:w="767" w:type="pct"/>
            <w:vAlign w:val="center"/>
          </w:tcPr>
          <w:p>
            <w:pPr>
              <w:widowControl/>
              <w:kinsoku w:val="0"/>
              <w:autoSpaceDE w:val="0"/>
              <w:autoSpaceDN w:val="0"/>
              <w:adjustRightInd w:val="0"/>
              <w:snapToGrid w:val="0"/>
              <w:spacing w:before="68"/>
              <w:jc w:val="center"/>
              <w:textAlignment w:val="baseline"/>
              <w:rPr>
                <w:rFonts w:ascii="Times New Roman" w:hAnsi="Times New Roman" w:eastAsiaTheme="minorEastAsia"/>
                <w:snapToGrid w:val="0"/>
                <w:spacing w:val="-3"/>
              </w:rPr>
            </w:pPr>
            <w:r>
              <w:rPr>
                <w:rFonts w:ascii="Times New Roman" w:hAnsi="Times New Roman" w:eastAsiaTheme="minorEastAsia"/>
                <w:snapToGrid w:val="0"/>
                <w:spacing w:val="-3"/>
              </w:rPr>
              <w:t>--</w:t>
            </w:r>
          </w:p>
        </w:tc>
        <w:tc>
          <w:tcPr>
            <w:tcW w:w="598" w:type="pct"/>
            <w:vAlign w:val="center"/>
          </w:tcPr>
          <w:p>
            <w:pPr>
              <w:widowControl/>
              <w:kinsoku w:val="0"/>
              <w:autoSpaceDE w:val="0"/>
              <w:autoSpaceDN w:val="0"/>
              <w:adjustRightInd w:val="0"/>
              <w:snapToGrid w:val="0"/>
              <w:spacing w:before="68"/>
              <w:jc w:val="center"/>
              <w:textAlignment w:val="baseline"/>
              <w:rPr>
                <w:rFonts w:ascii="Times New Roman" w:hAnsi="Times New Roman" w:eastAsiaTheme="minorEastAsia"/>
                <w:snapToGrid w:val="0"/>
                <w:spacing w:val="-3"/>
              </w:rPr>
            </w:pPr>
            <w:r>
              <w:rPr>
                <w:rFonts w:ascii="Times New Roman" w:hAnsi="Times New Roman" w:eastAsiaTheme="minorEastAsia"/>
                <w:snapToGrid w:val="0"/>
                <w:spacing w:val="-3"/>
              </w:rPr>
              <w:t>低</w:t>
            </w:r>
          </w:p>
        </w:tc>
        <w:tc>
          <w:tcPr>
            <w:tcW w:w="767" w:type="pct"/>
            <w:vAlign w:val="center"/>
          </w:tcPr>
          <w:p>
            <w:pPr>
              <w:widowControl/>
              <w:kinsoku w:val="0"/>
              <w:autoSpaceDE w:val="0"/>
              <w:autoSpaceDN w:val="0"/>
              <w:adjustRightInd w:val="0"/>
              <w:snapToGrid w:val="0"/>
              <w:spacing w:before="68"/>
              <w:jc w:val="center"/>
              <w:textAlignment w:val="baseline"/>
              <w:rPr>
                <w:rFonts w:ascii="Times New Roman" w:hAnsi="Times New Roman" w:eastAsiaTheme="minorEastAsia"/>
                <w:snapToGrid w:val="0"/>
                <w:spacing w:val="-3"/>
              </w:rPr>
            </w:pPr>
            <w:r>
              <w:rPr>
                <w:rFonts w:ascii="Times New Roman" w:hAnsi="Times New Roman" w:eastAsiaTheme="minorEastAsia"/>
                <w:snapToGrid w:val="0"/>
                <w:spacing w:val="-3"/>
              </w:rPr>
              <w:t>一般固废</w:t>
            </w:r>
          </w:p>
        </w:tc>
        <w:tc>
          <w:tcPr>
            <w:tcW w:w="907" w:type="pct"/>
            <w:vAlign w:val="center"/>
          </w:tcPr>
          <w:p>
            <w:pPr>
              <w:widowControl/>
              <w:kinsoku w:val="0"/>
              <w:autoSpaceDE w:val="0"/>
              <w:autoSpaceDN w:val="0"/>
              <w:adjustRightInd w:val="0"/>
              <w:snapToGrid w:val="0"/>
              <w:spacing w:before="68"/>
              <w:jc w:val="center"/>
              <w:textAlignment w:val="baseline"/>
              <w:rPr>
                <w:rFonts w:ascii="Times New Roman" w:hAnsi="Times New Roman" w:eastAsiaTheme="minorEastAsia"/>
                <w:snapToGrid w:val="0"/>
                <w:spacing w:val="-3"/>
              </w:rPr>
            </w:pPr>
            <w:r>
              <w:rPr>
                <w:rFonts w:ascii="Times New Roman" w:hAnsi="Times New Roman" w:eastAsiaTheme="minorEastAsia"/>
                <w:snapToGrid w:val="0"/>
                <w:spacing w:val="-3"/>
              </w:rPr>
              <w:t>低</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72" w:hRule="atLeast"/>
          <w:jc w:val="center"/>
        </w:trPr>
        <w:tc>
          <w:tcPr>
            <w:tcW w:w="1107" w:type="pct"/>
            <w:vAlign w:val="center"/>
          </w:tcPr>
          <w:p>
            <w:pPr>
              <w:widowControl/>
              <w:kinsoku w:val="0"/>
              <w:autoSpaceDE w:val="0"/>
              <w:autoSpaceDN w:val="0"/>
              <w:adjustRightInd w:val="0"/>
              <w:snapToGrid w:val="0"/>
              <w:spacing w:before="68"/>
              <w:jc w:val="center"/>
              <w:textAlignment w:val="baseline"/>
              <w:rPr>
                <w:rFonts w:ascii="Times New Roman" w:hAnsi="Times New Roman" w:eastAsiaTheme="minorEastAsia"/>
                <w:snapToGrid w:val="0"/>
                <w:spacing w:val="-3"/>
              </w:rPr>
            </w:pPr>
            <w:r>
              <w:rPr>
                <w:rFonts w:ascii="Times New Roman" w:hAnsi="Times New Roman" w:eastAsiaTheme="minorEastAsia"/>
                <w:snapToGrid w:val="0"/>
                <w:spacing w:val="-3"/>
              </w:rPr>
              <w:t>机械/化学消毒</w:t>
            </w:r>
          </w:p>
        </w:tc>
        <w:tc>
          <w:tcPr>
            <w:tcW w:w="854" w:type="pct"/>
            <w:vAlign w:val="center"/>
          </w:tcPr>
          <w:p>
            <w:pPr>
              <w:widowControl/>
              <w:kinsoku w:val="0"/>
              <w:autoSpaceDE w:val="0"/>
              <w:autoSpaceDN w:val="0"/>
              <w:adjustRightInd w:val="0"/>
              <w:snapToGrid w:val="0"/>
              <w:spacing w:before="68"/>
              <w:jc w:val="center"/>
              <w:textAlignment w:val="baseline"/>
              <w:rPr>
                <w:rFonts w:ascii="Times New Roman" w:hAnsi="Times New Roman" w:eastAsiaTheme="minorEastAsia"/>
                <w:snapToGrid w:val="0"/>
                <w:spacing w:val="-3"/>
              </w:rPr>
            </w:pPr>
            <w:r>
              <w:rPr>
                <w:rFonts w:ascii="Times New Roman" w:hAnsi="Times New Roman" w:eastAsiaTheme="minorEastAsia"/>
                <w:snapToGrid w:val="0"/>
                <w:spacing w:val="-3"/>
              </w:rPr>
              <w:t>80</w:t>
            </w:r>
          </w:p>
        </w:tc>
        <w:tc>
          <w:tcPr>
            <w:tcW w:w="767" w:type="pct"/>
            <w:vAlign w:val="center"/>
          </w:tcPr>
          <w:p>
            <w:pPr>
              <w:widowControl/>
              <w:kinsoku w:val="0"/>
              <w:autoSpaceDE w:val="0"/>
              <w:autoSpaceDN w:val="0"/>
              <w:adjustRightInd w:val="0"/>
              <w:snapToGrid w:val="0"/>
              <w:spacing w:before="68"/>
              <w:jc w:val="center"/>
              <w:textAlignment w:val="baseline"/>
              <w:rPr>
                <w:rFonts w:ascii="Times New Roman" w:hAnsi="Times New Roman" w:eastAsiaTheme="minorEastAsia"/>
                <w:snapToGrid w:val="0"/>
                <w:spacing w:val="-3"/>
              </w:rPr>
            </w:pPr>
            <w:r>
              <w:rPr>
                <w:rFonts w:ascii="Times New Roman" w:hAnsi="Times New Roman" w:eastAsiaTheme="minorEastAsia"/>
                <w:snapToGrid w:val="0"/>
                <w:spacing w:val="-3"/>
              </w:rPr>
              <w:t>--</w:t>
            </w:r>
          </w:p>
        </w:tc>
        <w:tc>
          <w:tcPr>
            <w:tcW w:w="598" w:type="pct"/>
            <w:vAlign w:val="center"/>
          </w:tcPr>
          <w:p>
            <w:pPr>
              <w:widowControl/>
              <w:kinsoku w:val="0"/>
              <w:autoSpaceDE w:val="0"/>
              <w:autoSpaceDN w:val="0"/>
              <w:adjustRightInd w:val="0"/>
              <w:snapToGrid w:val="0"/>
              <w:spacing w:before="68"/>
              <w:jc w:val="center"/>
              <w:textAlignment w:val="baseline"/>
              <w:rPr>
                <w:rFonts w:ascii="Times New Roman" w:hAnsi="Times New Roman" w:eastAsiaTheme="minorEastAsia"/>
                <w:snapToGrid w:val="0"/>
                <w:spacing w:val="-3"/>
              </w:rPr>
            </w:pPr>
            <w:r>
              <w:rPr>
                <w:rFonts w:ascii="Times New Roman" w:hAnsi="Times New Roman" w:eastAsiaTheme="minorEastAsia"/>
                <w:snapToGrid w:val="0"/>
                <w:spacing w:val="-3"/>
              </w:rPr>
              <w:t>中</w:t>
            </w:r>
          </w:p>
        </w:tc>
        <w:tc>
          <w:tcPr>
            <w:tcW w:w="767" w:type="pct"/>
            <w:vAlign w:val="center"/>
          </w:tcPr>
          <w:p>
            <w:pPr>
              <w:widowControl/>
              <w:kinsoku w:val="0"/>
              <w:autoSpaceDE w:val="0"/>
              <w:autoSpaceDN w:val="0"/>
              <w:adjustRightInd w:val="0"/>
              <w:snapToGrid w:val="0"/>
              <w:spacing w:before="68"/>
              <w:jc w:val="center"/>
              <w:textAlignment w:val="baseline"/>
              <w:rPr>
                <w:rFonts w:ascii="Times New Roman" w:hAnsi="Times New Roman" w:eastAsiaTheme="minorEastAsia"/>
                <w:snapToGrid w:val="0"/>
                <w:spacing w:val="-3"/>
              </w:rPr>
            </w:pPr>
            <w:r>
              <w:rPr>
                <w:rFonts w:ascii="Times New Roman" w:hAnsi="Times New Roman" w:eastAsiaTheme="minorEastAsia"/>
                <w:snapToGrid w:val="0"/>
                <w:spacing w:val="-3"/>
              </w:rPr>
              <w:t>一般固废</w:t>
            </w:r>
          </w:p>
        </w:tc>
        <w:tc>
          <w:tcPr>
            <w:tcW w:w="907" w:type="pct"/>
            <w:vAlign w:val="center"/>
          </w:tcPr>
          <w:p>
            <w:pPr>
              <w:widowControl/>
              <w:kinsoku w:val="0"/>
              <w:autoSpaceDE w:val="0"/>
              <w:autoSpaceDN w:val="0"/>
              <w:adjustRightInd w:val="0"/>
              <w:snapToGrid w:val="0"/>
              <w:spacing w:before="68"/>
              <w:jc w:val="center"/>
              <w:textAlignment w:val="baseline"/>
              <w:rPr>
                <w:rFonts w:ascii="Times New Roman" w:hAnsi="Times New Roman" w:eastAsiaTheme="minorEastAsia"/>
                <w:snapToGrid w:val="0"/>
                <w:spacing w:val="-3"/>
              </w:rPr>
            </w:pPr>
            <w:r>
              <w:rPr>
                <w:rFonts w:ascii="Times New Roman" w:hAnsi="Times New Roman" w:eastAsiaTheme="minorEastAsia"/>
                <w:snapToGrid w:val="0"/>
                <w:spacing w:val="-3"/>
              </w:rPr>
              <w:t>中</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72" w:hRule="atLeast"/>
          <w:jc w:val="center"/>
        </w:trPr>
        <w:tc>
          <w:tcPr>
            <w:tcW w:w="1107" w:type="pct"/>
            <w:vAlign w:val="center"/>
          </w:tcPr>
          <w:p>
            <w:pPr>
              <w:widowControl/>
              <w:kinsoku w:val="0"/>
              <w:autoSpaceDE w:val="0"/>
              <w:autoSpaceDN w:val="0"/>
              <w:adjustRightInd w:val="0"/>
              <w:snapToGrid w:val="0"/>
              <w:spacing w:before="68"/>
              <w:jc w:val="center"/>
              <w:textAlignment w:val="baseline"/>
              <w:rPr>
                <w:rFonts w:ascii="Times New Roman" w:hAnsi="Times New Roman" w:eastAsiaTheme="minorEastAsia"/>
                <w:snapToGrid w:val="0"/>
                <w:spacing w:val="-3"/>
              </w:rPr>
            </w:pPr>
            <w:r>
              <w:rPr>
                <w:rFonts w:ascii="Times New Roman" w:hAnsi="Times New Roman" w:eastAsiaTheme="minorEastAsia"/>
                <w:snapToGrid w:val="0"/>
                <w:spacing w:val="-3"/>
              </w:rPr>
              <w:t>电磁灭菌</w:t>
            </w:r>
          </w:p>
        </w:tc>
        <w:tc>
          <w:tcPr>
            <w:tcW w:w="854" w:type="pct"/>
            <w:vAlign w:val="center"/>
          </w:tcPr>
          <w:p>
            <w:pPr>
              <w:widowControl/>
              <w:kinsoku w:val="0"/>
              <w:autoSpaceDE w:val="0"/>
              <w:autoSpaceDN w:val="0"/>
              <w:adjustRightInd w:val="0"/>
              <w:snapToGrid w:val="0"/>
              <w:spacing w:before="68"/>
              <w:jc w:val="center"/>
              <w:textAlignment w:val="baseline"/>
              <w:rPr>
                <w:rFonts w:ascii="Times New Roman" w:hAnsi="Times New Roman" w:eastAsiaTheme="minorEastAsia"/>
                <w:snapToGrid w:val="0"/>
                <w:spacing w:val="-3"/>
              </w:rPr>
            </w:pPr>
            <w:r>
              <w:rPr>
                <w:rFonts w:ascii="Times New Roman" w:hAnsi="Times New Roman" w:eastAsiaTheme="minorEastAsia"/>
                <w:snapToGrid w:val="0"/>
                <w:spacing w:val="-3"/>
              </w:rPr>
              <w:t>80</w:t>
            </w:r>
          </w:p>
        </w:tc>
        <w:tc>
          <w:tcPr>
            <w:tcW w:w="767" w:type="pct"/>
            <w:vAlign w:val="center"/>
          </w:tcPr>
          <w:p>
            <w:pPr>
              <w:widowControl/>
              <w:kinsoku w:val="0"/>
              <w:autoSpaceDE w:val="0"/>
              <w:autoSpaceDN w:val="0"/>
              <w:adjustRightInd w:val="0"/>
              <w:snapToGrid w:val="0"/>
              <w:spacing w:before="68"/>
              <w:jc w:val="center"/>
              <w:textAlignment w:val="baseline"/>
              <w:rPr>
                <w:rFonts w:ascii="Times New Roman" w:hAnsi="Times New Roman" w:eastAsiaTheme="minorEastAsia"/>
                <w:snapToGrid w:val="0"/>
                <w:spacing w:val="-3"/>
              </w:rPr>
            </w:pPr>
            <w:r>
              <w:rPr>
                <w:rFonts w:ascii="Times New Roman" w:hAnsi="Times New Roman" w:eastAsiaTheme="minorEastAsia"/>
                <w:snapToGrid w:val="0"/>
                <w:spacing w:val="-3"/>
              </w:rPr>
              <w:t>--</w:t>
            </w:r>
          </w:p>
        </w:tc>
        <w:tc>
          <w:tcPr>
            <w:tcW w:w="598" w:type="pct"/>
            <w:vAlign w:val="center"/>
          </w:tcPr>
          <w:p>
            <w:pPr>
              <w:widowControl/>
              <w:kinsoku w:val="0"/>
              <w:autoSpaceDE w:val="0"/>
              <w:autoSpaceDN w:val="0"/>
              <w:adjustRightInd w:val="0"/>
              <w:snapToGrid w:val="0"/>
              <w:spacing w:before="68"/>
              <w:jc w:val="center"/>
              <w:textAlignment w:val="baseline"/>
              <w:rPr>
                <w:rFonts w:ascii="Times New Roman" w:hAnsi="Times New Roman" w:eastAsiaTheme="minorEastAsia"/>
                <w:snapToGrid w:val="0"/>
                <w:spacing w:val="-3"/>
              </w:rPr>
            </w:pPr>
            <w:r>
              <w:rPr>
                <w:rFonts w:ascii="Times New Roman" w:hAnsi="Times New Roman" w:eastAsiaTheme="minorEastAsia"/>
                <w:snapToGrid w:val="0"/>
                <w:spacing w:val="-3"/>
              </w:rPr>
              <w:t>低</w:t>
            </w:r>
          </w:p>
        </w:tc>
        <w:tc>
          <w:tcPr>
            <w:tcW w:w="767" w:type="pct"/>
            <w:vAlign w:val="center"/>
          </w:tcPr>
          <w:p>
            <w:pPr>
              <w:widowControl/>
              <w:kinsoku w:val="0"/>
              <w:autoSpaceDE w:val="0"/>
              <w:autoSpaceDN w:val="0"/>
              <w:adjustRightInd w:val="0"/>
              <w:snapToGrid w:val="0"/>
              <w:spacing w:before="68"/>
              <w:jc w:val="center"/>
              <w:textAlignment w:val="baseline"/>
              <w:rPr>
                <w:rFonts w:ascii="Times New Roman" w:hAnsi="Times New Roman" w:eastAsiaTheme="minorEastAsia"/>
                <w:snapToGrid w:val="0"/>
                <w:spacing w:val="-3"/>
              </w:rPr>
            </w:pPr>
            <w:r>
              <w:rPr>
                <w:rFonts w:ascii="Times New Roman" w:hAnsi="Times New Roman" w:eastAsiaTheme="minorEastAsia"/>
                <w:snapToGrid w:val="0"/>
                <w:spacing w:val="-3"/>
              </w:rPr>
              <w:t>一般固废</w:t>
            </w:r>
          </w:p>
        </w:tc>
        <w:tc>
          <w:tcPr>
            <w:tcW w:w="907" w:type="pct"/>
            <w:vAlign w:val="center"/>
          </w:tcPr>
          <w:p>
            <w:pPr>
              <w:widowControl/>
              <w:kinsoku w:val="0"/>
              <w:autoSpaceDE w:val="0"/>
              <w:autoSpaceDN w:val="0"/>
              <w:adjustRightInd w:val="0"/>
              <w:snapToGrid w:val="0"/>
              <w:spacing w:before="68"/>
              <w:jc w:val="center"/>
              <w:textAlignment w:val="baseline"/>
              <w:rPr>
                <w:rFonts w:ascii="Times New Roman" w:hAnsi="Times New Roman" w:eastAsiaTheme="minorEastAsia"/>
                <w:snapToGrid w:val="0"/>
                <w:spacing w:val="-3"/>
              </w:rPr>
            </w:pPr>
            <w:r>
              <w:rPr>
                <w:rFonts w:ascii="Times New Roman" w:hAnsi="Times New Roman" w:eastAsiaTheme="minorEastAsia"/>
                <w:snapToGrid w:val="0"/>
                <w:spacing w:val="-3"/>
              </w:rPr>
              <w:t>低</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74" w:hRule="atLeast"/>
          <w:jc w:val="center"/>
        </w:trPr>
        <w:tc>
          <w:tcPr>
            <w:tcW w:w="1107" w:type="pct"/>
            <w:vAlign w:val="center"/>
          </w:tcPr>
          <w:p>
            <w:pPr>
              <w:widowControl/>
              <w:kinsoku w:val="0"/>
              <w:autoSpaceDE w:val="0"/>
              <w:autoSpaceDN w:val="0"/>
              <w:adjustRightInd w:val="0"/>
              <w:snapToGrid w:val="0"/>
              <w:spacing w:before="68"/>
              <w:jc w:val="center"/>
              <w:textAlignment w:val="baseline"/>
              <w:rPr>
                <w:rFonts w:ascii="Times New Roman" w:hAnsi="Times New Roman" w:eastAsiaTheme="minorEastAsia"/>
                <w:snapToGrid w:val="0"/>
                <w:spacing w:val="-3"/>
              </w:rPr>
            </w:pPr>
            <w:r>
              <w:rPr>
                <w:rFonts w:ascii="Times New Roman" w:hAnsi="Times New Roman" w:eastAsiaTheme="minorEastAsia"/>
                <w:snapToGrid w:val="0"/>
                <w:spacing w:val="-3"/>
              </w:rPr>
              <w:t>焚烧</w:t>
            </w:r>
          </w:p>
        </w:tc>
        <w:tc>
          <w:tcPr>
            <w:tcW w:w="854" w:type="pct"/>
            <w:vAlign w:val="center"/>
          </w:tcPr>
          <w:p>
            <w:pPr>
              <w:widowControl/>
              <w:kinsoku w:val="0"/>
              <w:autoSpaceDE w:val="0"/>
              <w:autoSpaceDN w:val="0"/>
              <w:adjustRightInd w:val="0"/>
              <w:snapToGrid w:val="0"/>
              <w:spacing w:before="68"/>
              <w:jc w:val="center"/>
              <w:textAlignment w:val="baseline"/>
              <w:rPr>
                <w:rFonts w:ascii="Times New Roman" w:hAnsi="Times New Roman" w:eastAsiaTheme="minorEastAsia"/>
                <w:snapToGrid w:val="0"/>
                <w:spacing w:val="-3"/>
              </w:rPr>
            </w:pPr>
            <w:r>
              <w:rPr>
                <w:rFonts w:ascii="Times New Roman" w:hAnsi="Times New Roman" w:eastAsiaTheme="minorEastAsia"/>
                <w:snapToGrid w:val="0"/>
                <w:spacing w:val="-3"/>
              </w:rPr>
              <w:t>95</w:t>
            </w:r>
          </w:p>
        </w:tc>
        <w:tc>
          <w:tcPr>
            <w:tcW w:w="767" w:type="pct"/>
            <w:vAlign w:val="center"/>
          </w:tcPr>
          <w:p>
            <w:pPr>
              <w:widowControl/>
              <w:kinsoku w:val="0"/>
              <w:autoSpaceDE w:val="0"/>
              <w:autoSpaceDN w:val="0"/>
              <w:adjustRightInd w:val="0"/>
              <w:snapToGrid w:val="0"/>
              <w:spacing w:before="68"/>
              <w:jc w:val="center"/>
              <w:textAlignment w:val="baseline"/>
              <w:rPr>
                <w:rFonts w:ascii="Times New Roman" w:hAnsi="Times New Roman" w:eastAsiaTheme="minorEastAsia"/>
                <w:snapToGrid w:val="0"/>
                <w:spacing w:val="-3"/>
              </w:rPr>
            </w:pPr>
            <w:r>
              <w:rPr>
                <w:rFonts w:ascii="Times New Roman" w:hAnsi="Times New Roman" w:eastAsiaTheme="minorEastAsia"/>
                <w:snapToGrid w:val="0"/>
                <w:spacing w:val="-3"/>
              </w:rPr>
              <w:t>90</w:t>
            </w:r>
          </w:p>
        </w:tc>
        <w:tc>
          <w:tcPr>
            <w:tcW w:w="598" w:type="pct"/>
            <w:vAlign w:val="center"/>
          </w:tcPr>
          <w:p>
            <w:pPr>
              <w:widowControl/>
              <w:kinsoku w:val="0"/>
              <w:autoSpaceDE w:val="0"/>
              <w:autoSpaceDN w:val="0"/>
              <w:adjustRightInd w:val="0"/>
              <w:snapToGrid w:val="0"/>
              <w:spacing w:before="68"/>
              <w:jc w:val="center"/>
              <w:textAlignment w:val="baseline"/>
              <w:rPr>
                <w:rFonts w:ascii="Times New Roman" w:hAnsi="Times New Roman" w:eastAsiaTheme="minorEastAsia"/>
                <w:snapToGrid w:val="0"/>
                <w:spacing w:val="-3"/>
              </w:rPr>
            </w:pPr>
            <w:r>
              <w:rPr>
                <w:rFonts w:ascii="Times New Roman" w:hAnsi="Times New Roman" w:eastAsiaTheme="minorEastAsia"/>
                <w:snapToGrid w:val="0"/>
                <w:spacing w:val="-3"/>
              </w:rPr>
              <w:t>高</w:t>
            </w:r>
          </w:p>
        </w:tc>
        <w:tc>
          <w:tcPr>
            <w:tcW w:w="767" w:type="pct"/>
            <w:vAlign w:val="center"/>
          </w:tcPr>
          <w:p>
            <w:pPr>
              <w:widowControl/>
              <w:kinsoku w:val="0"/>
              <w:autoSpaceDE w:val="0"/>
              <w:autoSpaceDN w:val="0"/>
              <w:adjustRightInd w:val="0"/>
              <w:snapToGrid w:val="0"/>
              <w:spacing w:before="68"/>
              <w:jc w:val="center"/>
              <w:textAlignment w:val="baseline"/>
              <w:rPr>
                <w:rFonts w:ascii="Times New Roman" w:hAnsi="Times New Roman" w:eastAsiaTheme="minorEastAsia"/>
                <w:snapToGrid w:val="0"/>
                <w:spacing w:val="-3"/>
              </w:rPr>
            </w:pPr>
            <w:r>
              <w:rPr>
                <w:rFonts w:ascii="Times New Roman" w:hAnsi="Times New Roman" w:eastAsiaTheme="minorEastAsia"/>
                <w:snapToGrid w:val="0"/>
                <w:spacing w:val="-3"/>
              </w:rPr>
              <w:t>危废(飞灰)</w:t>
            </w:r>
          </w:p>
        </w:tc>
        <w:tc>
          <w:tcPr>
            <w:tcW w:w="907" w:type="pct"/>
            <w:vAlign w:val="center"/>
          </w:tcPr>
          <w:p>
            <w:pPr>
              <w:widowControl/>
              <w:kinsoku w:val="0"/>
              <w:autoSpaceDE w:val="0"/>
              <w:autoSpaceDN w:val="0"/>
              <w:adjustRightInd w:val="0"/>
              <w:snapToGrid w:val="0"/>
              <w:spacing w:before="68"/>
              <w:jc w:val="center"/>
              <w:textAlignment w:val="baseline"/>
              <w:rPr>
                <w:rFonts w:ascii="Times New Roman" w:hAnsi="Times New Roman" w:eastAsiaTheme="minorEastAsia"/>
                <w:snapToGrid w:val="0"/>
                <w:spacing w:val="-3"/>
              </w:rPr>
            </w:pPr>
            <w:r>
              <w:rPr>
                <w:rFonts w:ascii="Times New Roman" w:hAnsi="Times New Roman" w:eastAsiaTheme="minorEastAsia"/>
                <w:snapToGrid w:val="0"/>
                <w:spacing w:val="-3"/>
              </w:rPr>
              <w:t>高</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77" w:hRule="atLeast"/>
          <w:jc w:val="center"/>
        </w:trPr>
        <w:tc>
          <w:tcPr>
            <w:tcW w:w="1107" w:type="pct"/>
            <w:vAlign w:val="center"/>
          </w:tcPr>
          <w:p>
            <w:pPr>
              <w:widowControl/>
              <w:kinsoku w:val="0"/>
              <w:autoSpaceDE w:val="0"/>
              <w:autoSpaceDN w:val="0"/>
              <w:adjustRightInd w:val="0"/>
              <w:snapToGrid w:val="0"/>
              <w:spacing w:before="68"/>
              <w:jc w:val="center"/>
              <w:textAlignment w:val="baseline"/>
              <w:rPr>
                <w:rFonts w:ascii="Times New Roman" w:hAnsi="Times New Roman" w:eastAsiaTheme="minorEastAsia"/>
                <w:snapToGrid w:val="0"/>
                <w:spacing w:val="-3"/>
              </w:rPr>
            </w:pPr>
            <w:r>
              <w:rPr>
                <w:rFonts w:hint="eastAsia" w:ascii="Times New Roman" w:hAnsi="Times New Roman" w:eastAsiaTheme="minorEastAsia"/>
                <w:snapToGrid w:val="0"/>
                <w:spacing w:val="-3"/>
              </w:rPr>
              <w:t>高温干热灭菌</w:t>
            </w:r>
          </w:p>
        </w:tc>
        <w:tc>
          <w:tcPr>
            <w:tcW w:w="854" w:type="pct"/>
            <w:vAlign w:val="center"/>
          </w:tcPr>
          <w:p>
            <w:pPr>
              <w:widowControl/>
              <w:kinsoku w:val="0"/>
              <w:autoSpaceDE w:val="0"/>
              <w:autoSpaceDN w:val="0"/>
              <w:adjustRightInd w:val="0"/>
              <w:snapToGrid w:val="0"/>
              <w:spacing w:before="68"/>
              <w:jc w:val="center"/>
              <w:textAlignment w:val="baseline"/>
              <w:rPr>
                <w:rFonts w:ascii="Times New Roman" w:hAnsi="Times New Roman" w:eastAsiaTheme="minorEastAsia"/>
                <w:snapToGrid w:val="0"/>
                <w:spacing w:val="-3"/>
              </w:rPr>
            </w:pPr>
            <w:r>
              <w:rPr>
                <w:rFonts w:ascii="Times New Roman" w:hAnsi="Times New Roman" w:eastAsiaTheme="minorEastAsia"/>
                <w:snapToGrid w:val="0"/>
                <w:spacing w:val="-3"/>
              </w:rPr>
              <w:t>80</w:t>
            </w:r>
          </w:p>
        </w:tc>
        <w:tc>
          <w:tcPr>
            <w:tcW w:w="767" w:type="pct"/>
            <w:vAlign w:val="center"/>
          </w:tcPr>
          <w:p>
            <w:pPr>
              <w:widowControl/>
              <w:kinsoku w:val="0"/>
              <w:autoSpaceDE w:val="0"/>
              <w:autoSpaceDN w:val="0"/>
              <w:adjustRightInd w:val="0"/>
              <w:snapToGrid w:val="0"/>
              <w:spacing w:before="68"/>
              <w:jc w:val="center"/>
              <w:textAlignment w:val="baseline"/>
              <w:rPr>
                <w:rFonts w:ascii="Times New Roman" w:hAnsi="Times New Roman" w:eastAsiaTheme="minorEastAsia"/>
                <w:snapToGrid w:val="0"/>
                <w:spacing w:val="-3"/>
              </w:rPr>
            </w:pPr>
            <w:r>
              <w:rPr>
                <w:rFonts w:ascii="Times New Roman" w:hAnsi="Times New Roman" w:eastAsiaTheme="minorEastAsia"/>
                <w:snapToGrid w:val="0"/>
                <w:spacing w:val="-3"/>
              </w:rPr>
              <w:t>20</w:t>
            </w:r>
          </w:p>
        </w:tc>
        <w:tc>
          <w:tcPr>
            <w:tcW w:w="598" w:type="pct"/>
            <w:vAlign w:val="center"/>
          </w:tcPr>
          <w:p>
            <w:pPr>
              <w:widowControl/>
              <w:kinsoku w:val="0"/>
              <w:autoSpaceDE w:val="0"/>
              <w:autoSpaceDN w:val="0"/>
              <w:adjustRightInd w:val="0"/>
              <w:snapToGrid w:val="0"/>
              <w:spacing w:before="68"/>
              <w:jc w:val="center"/>
              <w:textAlignment w:val="baseline"/>
              <w:rPr>
                <w:rFonts w:ascii="Times New Roman" w:hAnsi="Times New Roman" w:eastAsiaTheme="minorEastAsia"/>
                <w:snapToGrid w:val="0"/>
                <w:spacing w:val="-3"/>
              </w:rPr>
            </w:pPr>
            <w:r>
              <w:rPr>
                <w:rFonts w:ascii="Times New Roman" w:hAnsi="Times New Roman" w:eastAsiaTheme="minorEastAsia"/>
                <w:snapToGrid w:val="0"/>
                <w:spacing w:val="-3"/>
              </w:rPr>
              <w:t>低</w:t>
            </w:r>
          </w:p>
        </w:tc>
        <w:tc>
          <w:tcPr>
            <w:tcW w:w="767" w:type="pct"/>
            <w:vAlign w:val="center"/>
          </w:tcPr>
          <w:p>
            <w:pPr>
              <w:widowControl/>
              <w:kinsoku w:val="0"/>
              <w:autoSpaceDE w:val="0"/>
              <w:autoSpaceDN w:val="0"/>
              <w:adjustRightInd w:val="0"/>
              <w:snapToGrid w:val="0"/>
              <w:spacing w:before="68"/>
              <w:jc w:val="center"/>
              <w:textAlignment w:val="baseline"/>
              <w:rPr>
                <w:rFonts w:ascii="Times New Roman" w:hAnsi="Times New Roman" w:eastAsiaTheme="minorEastAsia"/>
                <w:snapToGrid w:val="0"/>
                <w:spacing w:val="-3"/>
              </w:rPr>
            </w:pPr>
            <w:r>
              <w:rPr>
                <w:rFonts w:ascii="Times New Roman" w:hAnsi="Times New Roman" w:eastAsiaTheme="minorEastAsia"/>
                <w:snapToGrid w:val="0"/>
                <w:spacing w:val="-3"/>
              </w:rPr>
              <w:t>一般固废</w:t>
            </w:r>
          </w:p>
        </w:tc>
        <w:tc>
          <w:tcPr>
            <w:tcW w:w="907" w:type="pct"/>
            <w:vAlign w:val="center"/>
          </w:tcPr>
          <w:p>
            <w:pPr>
              <w:widowControl/>
              <w:kinsoku w:val="0"/>
              <w:autoSpaceDE w:val="0"/>
              <w:autoSpaceDN w:val="0"/>
              <w:adjustRightInd w:val="0"/>
              <w:snapToGrid w:val="0"/>
              <w:spacing w:before="68"/>
              <w:jc w:val="center"/>
              <w:textAlignment w:val="baseline"/>
              <w:rPr>
                <w:rFonts w:ascii="Times New Roman" w:hAnsi="Times New Roman" w:eastAsiaTheme="minorEastAsia"/>
                <w:snapToGrid w:val="0"/>
                <w:spacing w:val="-3"/>
              </w:rPr>
            </w:pPr>
            <w:r>
              <w:rPr>
                <w:rFonts w:ascii="Times New Roman" w:hAnsi="Times New Roman" w:eastAsiaTheme="minorEastAsia"/>
                <w:snapToGrid w:val="0"/>
                <w:spacing w:val="-3"/>
              </w:rPr>
              <w:t>低</w:t>
            </w:r>
          </w:p>
        </w:tc>
      </w:tr>
    </w:tbl>
    <w:p>
      <w:pPr>
        <w:pStyle w:val="155"/>
        <w:spacing w:line="480" w:lineRule="exact"/>
        <w:ind w:firstLine="444"/>
        <w:rPr>
          <w:snapToGrid w:val="0"/>
          <w:spacing w:val="-9"/>
          <w:szCs w:val="24"/>
        </w:rPr>
      </w:pPr>
      <w:r>
        <w:rPr>
          <w:snapToGrid w:val="0"/>
          <w:spacing w:val="-9"/>
          <w:szCs w:val="24"/>
        </w:rPr>
        <w:t>由上表可知：</w:t>
      </w:r>
    </w:p>
    <w:p>
      <w:pPr>
        <w:pStyle w:val="155"/>
        <w:spacing w:line="480" w:lineRule="exact"/>
        <w:ind w:firstLine="444"/>
        <w:rPr>
          <w:snapToGrid w:val="0"/>
          <w:spacing w:val="-9"/>
          <w:szCs w:val="24"/>
        </w:rPr>
      </w:pPr>
      <w:r>
        <w:rPr>
          <w:rFonts w:hint="eastAsia" w:ascii="宋体" w:hAnsi="宋体" w:cs="宋体"/>
          <w:snapToGrid w:val="0"/>
          <w:spacing w:val="-9"/>
          <w:szCs w:val="24"/>
        </w:rPr>
        <w:t>◆</w:t>
      </w:r>
      <w:r>
        <w:rPr>
          <w:snapToGrid w:val="0"/>
          <w:spacing w:val="-9"/>
          <w:szCs w:val="24"/>
        </w:rPr>
        <w:t>从减容、减量指标来看，焚烧效果最佳，本项目工艺次之；</w:t>
      </w:r>
    </w:p>
    <w:p>
      <w:pPr>
        <w:pStyle w:val="155"/>
        <w:spacing w:line="480" w:lineRule="exact"/>
        <w:ind w:firstLine="444"/>
        <w:rPr>
          <w:snapToGrid w:val="0"/>
          <w:spacing w:val="-9"/>
          <w:szCs w:val="24"/>
        </w:rPr>
      </w:pPr>
      <w:r>
        <w:rPr>
          <w:rFonts w:hint="eastAsia" w:ascii="宋体" w:hAnsi="宋体" w:cs="宋体"/>
          <w:snapToGrid w:val="0"/>
          <w:spacing w:val="-9"/>
          <w:szCs w:val="24"/>
        </w:rPr>
        <w:t>◆</w:t>
      </w:r>
      <w:r>
        <w:rPr>
          <w:snapToGrid w:val="0"/>
          <w:spacing w:val="-9"/>
          <w:szCs w:val="24"/>
        </w:rPr>
        <w:t>从排污量方面而言，焚烧工艺最高，且包含二噁英类物质。本项目工艺排污量低，且不产生二噁英类物质；</w:t>
      </w:r>
    </w:p>
    <w:p>
      <w:pPr>
        <w:pStyle w:val="155"/>
        <w:spacing w:line="480" w:lineRule="exact"/>
        <w:ind w:firstLine="444"/>
        <w:rPr>
          <w:snapToGrid w:val="0"/>
          <w:spacing w:val="-9"/>
          <w:szCs w:val="24"/>
        </w:rPr>
      </w:pPr>
      <w:r>
        <w:rPr>
          <w:rFonts w:hint="eastAsia" w:ascii="宋体" w:hAnsi="宋体" w:cs="宋体"/>
          <w:snapToGrid w:val="0"/>
          <w:spacing w:val="-9"/>
          <w:szCs w:val="24"/>
        </w:rPr>
        <w:t>◆</w:t>
      </w:r>
      <w:r>
        <w:rPr>
          <w:snapToGrid w:val="0"/>
          <w:spacing w:val="-9"/>
          <w:szCs w:val="24"/>
        </w:rPr>
        <w:t>在残渣处置方面，焚烧飞灰属危废，环境危害较高且处置要求较高。本项目工艺不产生飞灰，环境危害较低；</w:t>
      </w:r>
    </w:p>
    <w:p>
      <w:pPr>
        <w:pStyle w:val="155"/>
        <w:spacing w:line="480" w:lineRule="exact"/>
        <w:ind w:firstLine="444"/>
        <w:rPr>
          <w:snapToGrid w:val="0"/>
          <w:spacing w:val="-9"/>
          <w:szCs w:val="24"/>
        </w:rPr>
      </w:pPr>
      <w:r>
        <w:rPr>
          <w:rFonts w:hint="eastAsia" w:ascii="宋体" w:hAnsi="宋体" w:cs="宋体"/>
          <w:snapToGrid w:val="0"/>
          <w:spacing w:val="-9"/>
          <w:szCs w:val="24"/>
        </w:rPr>
        <w:t>◆</w:t>
      </w:r>
      <w:r>
        <w:rPr>
          <w:snapToGrid w:val="0"/>
          <w:spacing w:val="-9"/>
          <w:szCs w:val="24"/>
        </w:rPr>
        <w:t>二次污染方面，焚烧工艺尾气、飞灰均存在风险；本项目工艺二次污染风险较低；</w:t>
      </w:r>
    </w:p>
    <w:p>
      <w:pPr>
        <w:pStyle w:val="155"/>
        <w:spacing w:line="480" w:lineRule="exact"/>
        <w:ind w:firstLine="444"/>
        <w:rPr>
          <w:snapToGrid w:val="0"/>
          <w:szCs w:val="24"/>
        </w:rPr>
      </w:pPr>
      <w:r>
        <w:rPr>
          <w:snapToGrid w:val="0"/>
          <w:spacing w:val="-9"/>
          <w:szCs w:val="24"/>
        </w:rPr>
        <w:t>综上所述</w:t>
      </w:r>
      <w:r>
        <w:rPr>
          <w:snapToGrid w:val="0"/>
          <w:spacing w:val="-2"/>
          <w:szCs w:val="24"/>
        </w:rPr>
        <w:t>，本项目工</w:t>
      </w:r>
      <w:r>
        <w:rPr>
          <w:snapToGrid w:val="0"/>
          <w:spacing w:val="-1"/>
          <w:szCs w:val="24"/>
        </w:rPr>
        <w:t>艺在总体上具备一定的优势，适用于中小规模的医废集中处置。</w:t>
      </w:r>
    </w:p>
    <w:p>
      <w:pPr>
        <w:widowControl/>
        <w:kinsoku w:val="0"/>
        <w:autoSpaceDE w:val="0"/>
        <w:autoSpaceDN w:val="0"/>
        <w:adjustRightInd w:val="0"/>
        <w:snapToGrid w:val="0"/>
        <w:spacing w:before="235" w:line="480" w:lineRule="exact"/>
        <w:ind w:left="501"/>
        <w:textAlignment w:val="baseline"/>
        <w:rPr>
          <w:rFonts w:ascii="Times New Roman" w:hAnsi="Times New Roman"/>
          <w:snapToGrid w:val="0"/>
          <w:sz w:val="24"/>
          <w:szCs w:val="24"/>
        </w:rPr>
      </w:pPr>
      <w:r>
        <w:rPr>
          <w:rFonts w:ascii="Times New Roman" w:hAnsi="Times New Roman"/>
          <w:snapToGrid w:val="0"/>
          <w:sz w:val="24"/>
          <w:szCs w:val="24"/>
        </w:rPr>
        <w:t>（3）</w:t>
      </w:r>
      <w:r>
        <w:rPr>
          <w:rFonts w:ascii="Times New Roman" w:hAnsi="Times New Roman"/>
          <w:snapToGrid w:val="0"/>
          <w:spacing w:val="10"/>
          <w:sz w:val="24"/>
          <w:szCs w:val="24"/>
        </w:rPr>
        <w:t>工艺可行性论证</w:t>
      </w:r>
    </w:p>
    <w:p>
      <w:pPr>
        <w:widowControl/>
        <w:kinsoku w:val="0"/>
        <w:autoSpaceDE w:val="0"/>
        <w:autoSpaceDN w:val="0"/>
        <w:adjustRightInd w:val="0"/>
        <w:snapToGrid w:val="0"/>
        <w:spacing w:line="480" w:lineRule="exact"/>
        <w:ind w:firstLine="452" w:firstLineChars="200"/>
        <w:textAlignment w:val="baseline"/>
        <w:rPr>
          <w:rFonts w:ascii="Times New Roman" w:hAnsi="Times New Roman"/>
          <w:snapToGrid w:val="0"/>
          <w:spacing w:val="-7"/>
          <w:sz w:val="24"/>
          <w:szCs w:val="24"/>
        </w:rPr>
      </w:pPr>
      <w:r>
        <w:rPr>
          <w:rFonts w:ascii="Times New Roman" w:hAnsi="Times New Roman"/>
          <w:snapToGrid w:val="0"/>
          <w:spacing w:val="-7"/>
          <w:sz w:val="24"/>
          <w:szCs w:val="24"/>
        </w:rPr>
        <w:t>本项目主体工艺采用高温干热灭菌技术，与朝阳市医疗废物集中处置工程项目所用处 理工艺相同，该工艺最先引进于意大利，由于在国内的运行经验尚欠丰富， 2012 年 10 月 28 日辽宁省环保厅针对于 《朝阳市医疗废物集中处置工程环境影响报告书项目》在朝阳主持召开了《医疗废物高温干热灭菌工艺可行性论证会》，与会单位及人员包括环保部污防司固废处、省卫生厅、省疾控中心、省环保厅固废处及环评处等相关单位及专家，经论证，专家组肯定了该工艺对医疗废物无害化处置的可行性。《朝阳市医疗废物处 置工程项目环境影响报告书》于 2013 年 9 月 5 日已获得辽宁省环境保护厅以辽环函【2013】 323 号文件给与批复，目前朝阳市医疗废物处置工程运行稳定，处理效果较好，采用各污染防治措施后，污染物排放均满足相关标准要求， 并于 2015 年 11 月 10 日辽宁省环境保护厅以辽环函【2015】318 号文件对该项目工程竣工环境保护给与验收(验收意见函件附件)。</w:t>
      </w:r>
    </w:p>
    <w:p>
      <w:pPr>
        <w:widowControl/>
        <w:kinsoku w:val="0"/>
        <w:autoSpaceDE w:val="0"/>
        <w:autoSpaceDN w:val="0"/>
        <w:adjustRightInd w:val="0"/>
        <w:snapToGrid w:val="0"/>
        <w:spacing w:line="480" w:lineRule="exact"/>
        <w:ind w:firstLine="452" w:firstLineChars="200"/>
        <w:textAlignment w:val="baseline"/>
        <w:rPr>
          <w:rFonts w:ascii="Times New Roman" w:hAnsi="Times New Roman"/>
          <w:snapToGrid w:val="0"/>
          <w:spacing w:val="-7"/>
          <w:sz w:val="24"/>
          <w:szCs w:val="24"/>
        </w:rPr>
      </w:pPr>
      <w:r>
        <w:rPr>
          <w:rFonts w:ascii="Times New Roman" w:hAnsi="Times New Roman"/>
          <w:snapToGrid w:val="0"/>
          <w:spacing w:val="-7"/>
          <w:sz w:val="24"/>
          <w:szCs w:val="24"/>
        </w:rPr>
        <w:t>（4）工艺流程</w:t>
      </w:r>
    </w:p>
    <w:p>
      <w:pPr>
        <w:widowControl/>
        <w:kinsoku w:val="0"/>
        <w:autoSpaceDE w:val="0"/>
        <w:autoSpaceDN w:val="0"/>
        <w:adjustRightInd w:val="0"/>
        <w:snapToGrid w:val="0"/>
        <w:spacing w:line="480" w:lineRule="exact"/>
        <w:ind w:firstLine="452" w:firstLineChars="200"/>
        <w:textAlignment w:val="baseline"/>
        <w:rPr>
          <w:rFonts w:ascii="Times New Roman" w:hAnsi="Times New Roman"/>
          <w:snapToGrid w:val="0"/>
          <w:spacing w:val="-7"/>
          <w:sz w:val="24"/>
          <w:szCs w:val="24"/>
        </w:rPr>
      </w:pPr>
      <w:r>
        <w:rPr>
          <w:rFonts w:ascii="Times New Roman" w:hAnsi="Times New Roman"/>
          <w:snapToGrid w:val="0"/>
          <w:spacing w:val="-7"/>
          <w:sz w:val="24"/>
          <w:szCs w:val="24"/>
        </w:rPr>
        <w:t>本项目医疗费物处置主要在主车间内进行， 由供料、破碎、消毒、卸料几个工段组成。</w:t>
      </w:r>
    </w:p>
    <w:p>
      <w:pPr>
        <w:widowControl/>
        <w:kinsoku w:val="0"/>
        <w:autoSpaceDE w:val="0"/>
        <w:autoSpaceDN w:val="0"/>
        <w:adjustRightInd w:val="0"/>
        <w:snapToGrid w:val="0"/>
        <w:spacing w:line="480" w:lineRule="exact"/>
        <w:ind w:firstLine="452" w:firstLineChars="200"/>
        <w:textAlignment w:val="baseline"/>
        <w:rPr>
          <w:rFonts w:ascii="Times New Roman" w:hAnsi="Times New Roman"/>
          <w:snapToGrid w:val="0"/>
          <w:spacing w:val="-7"/>
          <w:sz w:val="24"/>
          <w:szCs w:val="24"/>
        </w:rPr>
      </w:pPr>
      <w:r>
        <w:rPr>
          <w:rFonts w:hint="eastAsia" w:cs="宋体"/>
          <w:snapToGrid w:val="0"/>
          <w:spacing w:val="-7"/>
          <w:sz w:val="24"/>
          <w:szCs w:val="24"/>
        </w:rPr>
        <w:t>①</w:t>
      </w:r>
      <w:r>
        <w:rPr>
          <w:rFonts w:ascii="Times New Roman" w:hAnsi="Times New Roman"/>
          <w:snapToGrid w:val="0"/>
          <w:spacing w:val="-7"/>
          <w:sz w:val="24"/>
          <w:szCs w:val="24"/>
        </w:rPr>
        <w:t>供料</w:t>
      </w:r>
    </w:p>
    <w:p>
      <w:pPr>
        <w:widowControl/>
        <w:kinsoku w:val="0"/>
        <w:autoSpaceDE w:val="0"/>
        <w:autoSpaceDN w:val="0"/>
        <w:adjustRightInd w:val="0"/>
        <w:snapToGrid w:val="0"/>
        <w:spacing w:line="480" w:lineRule="exact"/>
        <w:ind w:firstLine="452" w:firstLineChars="200"/>
        <w:textAlignment w:val="baseline"/>
        <w:rPr>
          <w:rFonts w:ascii="Times New Roman" w:hAnsi="Times New Roman"/>
          <w:snapToGrid w:val="0"/>
          <w:spacing w:val="-7"/>
          <w:sz w:val="24"/>
          <w:szCs w:val="24"/>
        </w:rPr>
      </w:pPr>
      <w:r>
        <w:rPr>
          <w:rFonts w:ascii="Times New Roman" w:hAnsi="Times New Roman"/>
          <w:snapToGrid w:val="0"/>
          <w:spacing w:val="-7"/>
          <w:sz w:val="24"/>
          <w:szCs w:val="24"/>
        </w:rPr>
        <w:t>首先医疗废物转运车经称量后，人工将医疗废物(包装完好)放在通往碾磨机的升降 机上。进料管道与碾磨机入口配置随动控制挡板，防止废气外逸。</w:t>
      </w:r>
    </w:p>
    <w:p>
      <w:pPr>
        <w:widowControl/>
        <w:kinsoku w:val="0"/>
        <w:autoSpaceDE w:val="0"/>
        <w:autoSpaceDN w:val="0"/>
        <w:adjustRightInd w:val="0"/>
        <w:snapToGrid w:val="0"/>
        <w:spacing w:line="480" w:lineRule="exact"/>
        <w:ind w:firstLine="452" w:firstLineChars="200"/>
        <w:textAlignment w:val="baseline"/>
        <w:rPr>
          <w:rFonts w:ascii="Times New Roman" w:hAnsi="Times New Roman"/>
          <w:snapToGrid w:val="0"/>
          <w:spacing w:val="-7"/>
          <w:sz w:val="24"/>
          <w:szCs w:val="24"/>
        </w:rPr>
      </w:pPr>
      <w:r>
        <w:rPr>
          <w:rFonts w:hint="eastAsia" w:cs="宋体"/>
          <w:snapToGrid w:val="0"/>
          <w:spacing w:val="-7"/>
          <w:sz w:val="24"/>
          <w:szCs w:val="24"/>
        </w:rPr>
        <w:t>②</w:t>
      </w:r>
      <w:r>
        <w:rPr>
          <w:rFonts w:ascii="Times New Roman" w:hAnsi="Times New Roman"/>
          <w:snapToGrid w:val="0"/>
          <w:spacing w:val="-7"/>
          <w:sz w:val="24"/>
          <w:szCs w:val="24"/>
        </w:rPr>
        <w:t>破碎</w:t>
      </w:r>
    </w:p>
    <w:p>
      <w:pPr>
        <w:widowControl/>
        <w:kinsoku w:val="0"/>
        <w:autoSpaceDE w:val="0"/>
        <w:autoSpaceDN w:val="0"/>
        <w:adjustRightInd w:val="0"/>
        <w:snapToGrid w:val="0"/>
        <w:spacing w:line="480" w:lineRule="exact"/>
        <w:ind w:firstLine="452" w:firstLineChars="200"/>
        <w:textAlignment w:val="baseline"/>
        <w:rPr>
          <w:rFonts w:ascii="Times New Roman" w:hAnsi="Times New Roman"/>
          <w:snapToGrid w:val="0"/>
          <w:spacing w:val="-7"/>
          <w:sz w:val="24"/>
          <w:szCs w:val="24"/>
        </w:rPr>
      </w:pPr>
      <w:r>
        <w:rPr>
          <w:rFonts w:ascii="Times New Roman" w:hAnsi="Times New Roman"/>
          <w:snapToGrid w:val="0"/>
          <w:spacing w:val="-7"/>
          <w:sz w:val="24"/>
          <w:szCs w:val="24"/>
        </w:rPr>
        <w:t>医疗废物通过升降机落入碾磨机上，碾磨机把废物碾成碎片。该过程是在一个真空条 件下的密封管道中进行， 这个管道在每次加料后都要用杀菌剂进行消毒处理， 使之一直处 于无菌状态。</w:t>
      </w:r>
    </w:p>
    <w:p>
      <w:pPr>
        <w:widowControl/>
        <w:kinsoku w:val="0"/>
        <w:autoSpaceDE w:val="0"/>
        <w:autoSpaceDN w:val="0"/>
        <w:adjustRightInd w:val="0"/>
        <w:snapToGrid w:val="0"/>
        <w:spacing w:line="480" w:lineRule="exact"/>
        <w:ind w:firstLine="452" w:firstLineChars="200"/>
        <w:textAlignment w:val="baseline"/>
        <w:rPr>
          <w:rFonts w:ascii="Times New Roman" w:hAnsi="Times New Roman"/>
          <w:snapToGrid w:val="0"/>
          <w:spacing w:val="-7"/>
          <w:sz w:val="24"/>
          <w:szCs w:val="24"/>
        </w:rPr>
      </w:pPr>
      <w:r>
        <w:rPr>
          <w:rFonts w:hint="eastAsia" w:cs="宋体"/>
          <w:snapToGrid w:val="0"/>
          <w:spacing w:val="-7"/>
          <w:sz w:val="24"/>
          <w:szCs w:val="24"/>
        </w:rPr>
        <w:t>③</w:t>
      </w:r>
      <w:r>
        <w:rPr>
          <w:rFonts w:ascii="Times New Roman" w:hAnsi="Times New Roman"/>
          <w:snapToGrid w:val="0"/>
          <w:spacing w:val="-7"/>
          <w:sz w:val="24"/>
          <w:szCs w:val="24"/>
        </w:rPr>
        <w:t>消毒</w:t>
      </w:r>
    </w:p>
    <w:p>
      <w:pPr>
        <w:widowControl/>
        <w:kinsoku w:val="0"/>
        <w:autoSpaceDE w:val="0"/>
        <w:autoSpaceDN w:val="0"/>
        <w:adjustRightInd w:val="0"/>
        <w:snapToGrid w:val="0"/>
        <w:spacing w:line="480" w:lineRule="exact"/>
        <w:ind w:firstLine="452" w:firstLineChars="200"/>
        <w:textAlignment w:val="baseline"/>
        <w:rPr>
          <w:rFonts w:ascii="Times New Roman" w:hAnsi="Times New Roman"/>
          <w:snapToGrid w:val="0"/>
          <w:spacing w:val="-7"/>
          <w:sz w:val="24"/>
          <w:szCs w:val="24"/>
        </w:rPr>
      </w:pPr>
      <w:r>
        <w:rPr>
          <w:rFonts w:ascii="Times New Roman" w:hAnsi="Times New Roman"/>
          <w:snapToGrid w:val="0"/>
          <w:spacing w:val="-7"/>
          <w:sz w:val="24"/>
          <w:szCs w:val="24"/>
        </w:rPr>
        <w:t>碾磨后的产物直接输送到一个预设好重量的杀菌消毒器中。将高温导热油中释放的热 量通过消毒器的内壁传送到之前被碾碎的废物之上，将医废加热至180-200℃，并保持0.5h，完成高温消毒过程。</w:t>
      </w:r>
    </w:p>
    <w:p>
      <w:pPr>
        <w:widowControl/>
        <w:kinsoku w:val="0"/>
        <w:autoSpaceDE w:val="0"/>
        <w:autoSpaceDN w:val="0"/>
        <w:adjustRightInd w:val="0"/>
        <w:snapToGrid w:val="0"/>
        <w:spacing w:line="480" w:lineRule="exact"/>
        <w:ind w:firstLine="452" w:firstLineChars="200"/>
        <w:textAlignment w:val="baseline"/>
        <w:rPr>
          <w:rFonts w:ascii="Times New Roman" w:hAnsi="Times New Roman"/>
          <w:snapToGrid w:val="0"/>
          <w:spacing w:val="-7"/>
          <w:sz w:val="24"/>
          <w:szCs w:val="24"/>
        </w:rPr>
      </w:pPr>
      <w:r>
        <w:rPr>
          <w:rFonts w:hint="eastAsia" w:cs="宋体"/>
          <w:snapToGrid w:val="0"/>
          <w:spacing w:val="-7"/>
          <w:sz w:val="24"/>
          <w:szCs w:val="24"/>
        </w:rPr>
        <w:t>④</w:t>
      </w:r>
      <w:r>
        <w:rPr>
          <w:rFonts w:ascii="Times New Roman" w:hAnsi="Times New Roman"/>
          <w:snapToGrid w:val="0"/>
          <w:spacing w:val="-7"/>
          <w:sz w:val="24"/>
          <w:szCs w:val="24"/>
        </w:rPr>
        <w:t>卸料</w:t>
      </w:r>
    </w:p>
    <w:p>
      <w:pPr>
        <w:widowControl/>
        <w:kinsoku w:val="0"/>
        <w:autoSpaceDE w:val="0"/>
        <w:autoSpaceDN w:val="0"/>
        <w:adjustRightInd w:val="0"/>
        <w:snapToGrid w:val="0"/>
        <w:spacing w:line="480" w:lineRule="exact"/>
        <w:ind w:firstLine="452" w:firstLineChars="200"/>
        <w:textAlignment w:val="baseline"/>
        <w:rPr>
          <w:rFonts w:ascii="Times New Roman" w:hAnsi="Times New Roman"/>
          <w:snapToGrid w:val="0"/>
          <w:spacing w:val="-7"/>
          <w:sz w:val="24"/>
          <w:szCs w:val="24"/>
        </w:rPr>
      </w:pPr>
      <w:r>
        <w:rPr>
          <w:rFonts w:ascii="Times New Roman" w:hAnsi="Times New Roman"/>
          <w:snapToGrid w:val="0"/>
          <w:spacing w:val="-7"/>
          <w:sz w:val="24"/>
          <w:szCs w:val="24"/>
        </w:rPr>
        <w:t>完成消毒废物由输送带输送到容器或袋子中收集，送往</w:t>
      </w:r>
      <w:r>
        <w:rPr>
          <w:rFonts w:hint="eastAsia" w:ascii="Times New Roman" w:hAnsi="Times New Roman"/>
          <w:snapToGrid w:val="0"/>
          <w:spacing w:val="-7"/>
          <w:sz w:val="24"/>
          <w:szCs w:val="24"/>
        </w:rPr>
        <w:t>双鸭山市生活垃圾填埋场处理</w:t>
      </w:r>
      <w:r>
        <w:rPr>
          <w:rFonts w:ascii="Times New Roman" w:hAnsi="Times New Roman"/>
          <w:snapToGrid w:val="0"/>
          <w:spacing w:val="-7"/>
          <w:sz w:val="24"/>
          <w:szCs w:val="24"/>
        </w:rPr>
        <w:t>。</w:t>
      </w:r>
    </w:p>
    <w:p>
      <w:pPr>
        <w:widowControl/>
        <w:kinsoku w:val="0"/>
        <w:autoSpaceDE w:val="0"/>
        <w:autoSpaceDN w:val="0"/>
        <w:adjustRightInd w:val="0"/>
        <w:snapToGrid w:val="0"/>
        <w:spacing w:line="480" w:lineRule="exact"/>
        <w:ind w:firstLine="452" w:firstLineChars="200"/>
        <w:textAlignment w:val="baseline"/>
        <w:rPr>
          <w:rFonts w:ascii="Times New Roman" w:hAnsi="Times New Roman"/>
          <w:snapToGrid w:val="0"/>
          <w:spacing w:val="-7"/>
          <w:sz w:val="24"/>
          <w:szCs w:val="24"/>
        </w:rPr>
      </w:pPr>
      <w:r>
        <w:rPr>
          <w:rFonts w:hint="eastAsia" w:cs="宋体"/>
          <w:snapToGrid w:val="0"/>
          <w:spacing w:val="-7"/>
          <w:sz w:val="24"/>
          <w:szCs w:val="24"/>
        </w:rPr>
        <w:t>⑤</w:t>
      </w:r>
      <w:r>
        <w:rPr>
          <w:rFonts w:ascii="Times New Roman" w:hAnsi="Times New Roman"/>
          <w:snapToGrid w:val="0"/>
          <w:spacing w:val="-7"/>
          <w:sz w:val="24"/>
          <w:szCs w:val="24"/>
        </w:rPr>
        <w:t>自动控制</w:t>
      </w:r>
    </w:p>
    <w:p>
      <w:pPr>
        <w:widowControl/>
        <w:kinsoku w:val="0"/>
        <w:autoSpaceDE w:val="0"/>
        <w:autoSpaceDN w:val="0"/>
        <w:adjustRightInd w:val="0"/>
        <w:snapToGrid w:val="0"/>
        <w:spacing w:line="480" w:lineRule="exact"/>
        <w:ind w:firstLine="452" w:firstLineChars="200"/>
        <w:textAlignment w:val="baseline"/>
        <w:rPr>
          <w:rFonts w:ascii="Times New Roman" w:hAnsi="Times New Roman"/>
          <w:snapToGrid w:val="0"/>
          <w:spacing w:val="-7"/>
          <w:sz w:val="24"/>
          <w:szCs w:val="24"/>
        </w:rPr>
      </w:pPr>
      <w:r>
        <w:rPr>
          <w:rFonts w:ascii="Times New Roman" w:hAnsi="Times New Roman"/>
          <w:snapToGrid w:val="0"/>
          <w:spacing w:val="-7"/>
          <w:sz w:val="24"/>
          <w:szCs w:val="24"/>
        </w:rPr>
        <w:t>自控装置可实现基于消毒时间和温度的编程控制，并配有 1 个记录控制仪，它可以存 储多达 5 年的关于消毒时间和温度的数据。</w:t>
      </w:r>
    </w:p>
    <w:p>
      <w:pPr>
        <w:widowControl/>
        <w:kinsoku w:val="0"/>
        <w:autoSpaceDE w:val="0"/>
        <w:autoSpaceDN w:val="0"/>
        <w:adjustRightInd w:val="0"/>
        <w:snapToGrid w:val="0"/>
        <w:spacing w:line="480" w:lineRule="exact"/>
        <w:ind w:firstLine="452" w:firstLineChars="200"/>
        <w:textAlignment w:val="baseline"/>
        <w:rPr>
          <w:rFonts w:ascii="Times New Roman" w:hAnsi="Times New Roman"/>
          <w:snapToGrid w:val="0"/>
          <w:spacing w:val="-7"/>
          <w:sz w:val="24"/>
          <w:szCs w:val="24"/>
        </w:rPr>
      </w:pPr>
      <w:r>
        <w:rPr>
          <w:rFonts w:ascii="Times New Roman" w:hAnsi="Times New Roman"/>
          <w:snapToGrid w:val="0"/>
          <w:spacing w:val="-7"/>
          <w:sz w:val="24"/>
          <w:szCs w:val="24"/>
        </w:rPr>
        <w:t>在医疗废物处置过程还伴随着</w:t>
      </w:r>
      <w:r>
        <w:rPr>
          <w:rFonts w:hint="eastAsia" w:ascii="Times New Roman" w:hAnsi="Times New Roman"/>
          <w:snapToGrid w:val="0"/>
          <w:spacing w:val="-7"/>
          <w:sz w:val="24"/>
          <w:szCs w:val="24"/>
        </w:rPr>
        <w:t>废气</w:t>
      </w:r>
      <w:r>
        <w:rPr>
          <w:rFonts w:ascii="Times New Roman" w:hAnsi="Times New Roman"/>
          <w:snapToGrid w:val="0"/>
          <w:spacing w:val="-7"/>
          <w:sz w:val="24"/>
          <w:szCs w:val="24"/>
        </w:rPr>
        <w:t>净化、污水处理、清洗消毒、检测化验等措施，分述如下：</w:t>
      </w:r>
    </w:p>
    <w:p>
      <w:pPr>
        <w:pStyle w:val="538"/>
        <w:widowControl/>
        <w:numPr>
          <w:ilvl w:val="0"/>
          <w:numId w:val="8"/>
        </w:numPr>
        <w:kinsoku w:val="0"/>
        <w:autoSpaceDE w:val="0"/>
        <w:autoSpaceDN w:val="0"/>
        <w:adjustRightInd w:val="0"/>
        <w:snapToGrid w:val="0"/>
        <w:spacing w:line="480" w:lineRule="exact"/>
        <w:ind w:firstLineChars="0"/>
        <w:textAlignment w:val="baseline"/>
        <w:rPr>
          <w:rFonts w:ascii="Times New Roman" w:hAnsi="Times New Roman"/>
          <w:snapToGrid w:val="0"/>
          <w:spacing w:val="-7"/>
          <w:sz w:val="24"/>
          <w:szCs w:val="24"/>
        </w:rPr>
      </w:pPr>
      <w:r>
        <w:rPr>
          <w:rFonts w:hint="eastAsia" w:ascii="Times New Roman" w:hAnsi="Times New Roman"/>
          <w:snapToGrid w:val="0"/>
          <w:spacing w:val="-7"/>
          <w:sz w:val="24"/>
          <w:szCs w:val="24"/>
        </w:rPr>
        <w:t>废气</w:t>
      </w:r>
      <w:r>
        <w:rPr>
          <w:rFonts w:ascii="Times New Roman" w:hAnsi="Times New Roman"/>
          <w:snapToGrid w:val="0"/>
          <w:spacing w:val="-7"/>
          <w:sz w:val="24"/>
          <w:szCs w:val="24"/>
        </w:rPr>
        <w:t>净化</w:t>
      </w:r>
    </w:p>
    <w:p>
      <w:pPr>
        <w:widowControl/>
        <w:kinsoku w:val="0"/>
        <w:autoSpaceDE w:val="0"/>
        <w:autoSpaceDN w:val="0"/>
        <w:adjustRightInd w:val="0"/>
        <w:snapToGrid w:val="0"/>
        <w:spacing w:line="480" w:lineRule="exact"/>
        <w:ind w:firstLine="452" w:firstLineChars="200"/>
        <w:textAlignment w:val="baseline"/>
        <w:rPr>
          <w:rFonts w:ascii="Times New Roman" w:hAnsi="Times New Roman"/>
          <w:snapToGrid w:val="0"/>
          <w:spacing w:val="-7"/>
          <w:sz w:val="24"/>
          <w:szCs w:val="24"/>
        </w:rPr>
      </w:pPr>
      <w:r>
        <w:rPr>
          <w:rFonts w:ascii="Times New Roman" w:hAnsi="Times New Roman"/>
          <w:snapToGrid w:val="0"/>
          <w:spacing w:val="-7"/>
          <w:sz w:val="24"/>
          <w:szCs w:val="24"/>
        </w:rPr>
        <w:t>为防止病菌扩散，进料、碾磨和灭菌过程均在负压状态下进行，通过真空排气泵保持 系统维持 300Pa 负压。抽出的气体进入废气净化器 (净化效率 99.999%)，废气最终通过 15m 排气筒排空。</w:t>
      </w:r>
    </w:p>
    <w:p>
      <w:pPr>
        <w:widowControl/>
        <w:kinsoku w:val="0"/>
        <w:autoSpaceDE w:val="0"/>
        <w:autoSpaceDN w:val="0"/>
        <w:adjustRightInd w:val="0"/>
        <w:snapToGrid w:val="0"/>
        <w:spacing w:line="480" w:lineRule="exact"/>
        <w:ind w:firstLine="452" w:firstLineChars="200"/>
        <w:textAlignment w:val="baseline"/>
        <w:rPr>
          <w:rFonts w:ascii="Times New Roman" w:hAnsi="Times New Roman"/>
          <w:snapToGrid w:val="0"/>
          <w:spacing w:val="-7"/>
          <w:sz w:val="24"/>
          <w:szCs w:val="24"/>
        </w:rPr>
      </w:pPr>
      <w:r>
        <w:rPr>
          <w:rFonts w:hint="eastAsia" w:cs="宋体"/>
          <w:snapToGrid w:val="0"/>
          <w:spacing w:val="-7"/>
          <w:sz w:val="24"/>
          <w:szCs w:val="24"/>
        </w:rPr>
        <w:t>②</w:t>
      </w:r>
      <w:r>
        <w:rPr>
          <w:rFonts w:ascii="Times New Roman" w:hAnsi="Times New Roman"/>
          <w:snapToGrid w:val="0"/>
          <w:spacing w:val="-7"/>
          <w:sz w:val="24"/>
          <w:szCs w:val="24"/>
        </w:rPr>
        <w:t xml:space="preserve"> 污水处理</w:t>
      </w:r>
    </w:p>
    <w:p>
      <w:pPr>
        <w:widowControl/>
        <w:kinsoku w:val="0"/>
        <w:autoSpaceDE w:val="0"/>
        <w:autoSpaceDN w:val="0"/>
        <w:adjustRightInd w:val="0"/>
        <w:snapToGrid w:val="0"/>
        <w:spacing w:line="480" w:lineRule="exact"/>
        <w:ind w:firstLine="452" w:firstLineChars="200"/>
        <w:textAlignment w:val="baseline"/>
        <w:rPr>
          <w:rFonts w:ascii="Times New Roman" w:hAnsi="Times New Roman"/>
          <w:snapToGrid w:val="0"/>
          <w:spacing w:val="-7"/>
          <w:sz w:val="24"/>
          <w:szCs w:val="24"/>
        </w:rPr>
      </w:pPr>
      <w:r>
        <w:rPr>
          <w:rFonts w:ascii="Times New Roman" w:hAnsi="Times New Roman"/>
          <w:snapToGrid w:val="0"/>
          <w:spacing w:val="-7"/>
          <w:sz w:val="24"/>
          <w:szCs w:val="24"/>
        </w:rPr>
        <w:t>生产废水经厂区污水站处理后全部回用；厂区污水站采用一体化污水处理（水解酸化+生物接触氧化+MBR 膜分离+消毒） 工艺，出水指标满足《城市杂用水水质标准》（GB/T18920-2002）中的车辆冲洗限值标准后回用。</w:t>
      </w:r>
    </w:p>
    <w:p>
      <w:pPr>
        <w:widowControl/>
        <w:kinsoku w:val="0"/>
        <w:autoSpaceDE w:val="0"/>
        <w:autoSpaceDN w:val="0"/>
        <w:adjustRightInd w:val="0"/>
        <w:snapToGrid w:val="0"/>
        <w:spacing w:line="480" w:lineRule="exact"/>
        <w:ind w:firstLine="452" w:firstLineChars="200"/>
        <w:textAlignment w:val="baseline"/>
        <w:rPr>
          <w:rFonts w:ascii="Times New Roman" w:hAnsi="Times New Roman"/>
          <w:snapToGrid w:val="0"/>
          <w:spacing w:val="-7"/>
          <w:sz w:val="24"/>
          <w:szCs w:val="24"/>
        </w:rPr>
      </w:pPr>
      <w:r>
        <w:rPr>
          <w:rFonts w:hint="eastAsia" w:cs="宋体"/>
          <w:snapToGrid w:val="0"/>
          <w:spacing w:val="-7"/>
          <w:sz w:val="24"/>
          <w:szCs w:val="24"/>
        </w:rPr>
        <w:t>③</w:t>
      </w:r>
      <w:r>
        <w:rPr>
          <w:rFonts w:ascii="Times New Roman" w:hAnsi="Times New Roman"/>
          <w:snapToGrid w:val="0"/>
          <w:spacing w:val="-7"/>
          <w:sz w:val="24"/>
          <w:szCs w:val="24"/>
        </w:rPr>
        <w:t>清洗消毒</w:t>
      </w:r>
    </w:p>
    <w:p>
      <w:pPr>
        <w:widowControl/>
        <w:kinsoku w:val="0"/>
        <w:autoSpaceDE w:val="0"/>
        <w:autoSpaceDN w:val="0"/>
        <w:adjustRightInd w:val="0"/>
        <w:snapToGrid w:val="0"/>
        <w:spacing w:line="480" w:lineRule="exact"/>
        <w:ind w:firstLine="452" w:firstLineChars="200"/>
        <w:textAlignment w:val="baseline"/>
        <w:rPr>
          <w:rFonts w:ascii="Times New Roman" w:hAnsi="Times New Roman"/>
          <w:snapToGrid w:val="0"/>
          <w:spacing w:val="-7"/>
          <w:sz w:val="24"/>
          <w:szCs w:val="24"/>
        </w:rPr>
      </w:pPr>
      <w:r>
        <w:rPr>
          <w:rFonts w:ascii="Times New Roman" w:hAnsi="Times New Roman"/>
          <w:snapToGrid w:val="0"/>
          <w:spacing w:val="-7"/>
          <w:sz w:val="24"/>
          <w:szCs w:val="24"/>
        </w:rPr>
        <w:t>卸载后车辆直接进入消毒区。消毒区设消毒水槽、水龙头、软管、卷缆架以及清扫工具等，由人工对车厢、车体进行清洗、消毒。</w:t>
      </w:r>
    </w:p>
    <w:p>
      <w:pPr>
        <w:widowControl/>
        <w:kinsoku w:val="0"/>
        <w:autoSpaceDE w:val="0"/>
        <w:autoSpaceDN w:val="0"/>
        <w:adjustRightInd w:val="0"/>
        <w:snapToGrid w:val="0"/>
        <w:spacing w:line="480" w:lineRule="exact"/>
        <w:ind w:firstLine="452" w:firstLineChars="200"/>
        <w:textAlignment w:val="baseline"/>
        <w:rPr>
          <w:rFonts w:ascii="Times New Roman" w:hAnsi="Times New Roman"/>
          <w:snapToGrid w:val="0"/>
          <w:spacing w:val="-7"/>
          <w:sz w:val="24"/>
          <w:szCs w:val="24"/>
        </w:rPr>
      </w:pPr>
      <w:r>
        <w:rPr>
          <w:rFonts w:ascii="Times New Roman" w:hAnsi="Times New Roman"/>
          <w:snapToGrid w:val="0"/>
          <w:spacing w:val="-7"/>
          <w:sz w:val="24"/>
          <w:szCs w:val="24"/>
        </w:rPr>
        <w:t>周转箱首先用酶制剂溶液浸泡，去除血污等污渍，继而用清水浸泡，然后用浓度约 15-30mg/L 的 ClO</w:t>
      </w:r>
      <w:r>
        <w:rPr>
          <w:rFonts w:ascii="Times New Roman" w:hAnsi="Times New Roman"/>
          <w:snapToGrid w:val="0"/>
          <w:spacing w:val="-7"/>
          <w:sz w:val="24"/>
          <w:szCs w:val="24"/>
          <w:vertAlign w:val="subscript"/>
        </w:rPr>
        <w:t xml:space="preserve">2 </w:t>
      </w:r>
      <w:r>
        <w:rPr>
          <w:rFonts w:ascii="Times New Roman" w:hAnsi="Times New Roman"/>
          <w:snapToGrid w:val="0"/>
          <w:spacing w:val="-7"/>
          <w:sz w:val="24"/>
          <w:szCs w:val="24"/>
        </w:rPr>
        <w:t>溶液浸泡消毒，最后经清水浸泡后完成清洗消毒工序。</w:t>
      </w:r>
    </w:p>
    <w:p>
      <w:pPr>
        <w:widowControl/>
        <w:kinsoku w:val="0"/>
        <w:autoSpaceDE w:val="0"/>
        <w:autoSpaceDN w:val="0"/>
        <w:adjustRightInd w:val="0"/>
        <w:snapToGrid w:val="0"/>
        <w:spacing w:line="480" w:lineRule="exact"/>
        <w:ind w:firstLine="452" w:firstLineChars="200"/>
        <w:textAlignment w:val="baseline"/>
        <w:rPr>
          <w:rFonts w:ascii="Times New Roman" w:hAnsi="Times New Roman"/>
          <w:snapToGrid w:val="0"/>
          <w:spacing w:val="-7"/>
          <w:sz w:val="24"/>
          <w:szCs w:val="24"/>
        </w:rPr>
      </w:pPr>
      <w:r>
        <w:rPr>
          <w:rFonts w:ascii="Times New Roman" w:hAnsi="Times New Roman"/>
          <w:snapToGrid w:val="0"/>
          <w:spacing w:val="-7"/>
          <w:sz w:val="24"/>
          <w:szCs w:val="24"/>
        </w:rPr>
        <w:t>消毒后的转运箱进行每批次的化学指示剂检测，每周用生物指示剂抽查灭菌效果，同时每季度由疾控中心采用细菌培养法检测消毒灭菌效果。</w:t>
      </w:r>
    </w:p>
    <w:p>
      <w:pPr>
        <w:widowControl/>
        <w:kinsoku w:val="0"/>
        <w:autoSpaceDE w:val="0"/>
        <w:autoSpaceDN w:val="0"/>
        <w:adjustRightInd w:val="0"/>
        <w:snapToGrid w:val="0"/>
        <w:spacing w:line="480" w:lineRule="exact"/>
        <w:ind w:firstLine="452" w:firstLineChars="200"/>
        <w:textAlignment w:val="baseline"/>
        <w:rPr>
          <w:rFonts w:ascii="Times New Roman" w:hAnsi="Times New Roman"/>
          <w:snapToGrid w:val="0"/>
          <w:spacing w:val="-7"/>
          <w:sz w:val="24"/>
          <w:szCs w:val="24"/>
        </w:rPr>
      </w:pPr>
      <w:r>
        <w:rPr>
          <w:rFonts w:hint="eastAsia" w:cs="宋体"/>
          <w:snapToGrid w:val="0"/>
          <w:spacing w:val="-7"/>
          <w:sz w:val="24"/>
          <w:szCs w:val="24"/>
        </w:rPr>
        <w:t>④</w:t>
      </w:r>
      <w:r>
        <w:rPr>
          <w:rFonts w:ascii="Times New Roman" w:hAnsi="Times New Roman"/>
          <w:snapToGrid w:val="0"/>
          <w:spacing w:val="-7"/>
          <w:sz w:val="24"/>
          <w:szCs w:val="24"/>
        </w:rPr>
        <w:t>检测化验</w:t>
      </w:r>
    </w:p>
    <w:p>
      <w:pPr>
        <w:widowControl/>
        <w:kinsoku w:val="0"/>
        <w:autoSpaceDE w:val="0"/>
        <w:autoSpaceDN w:val="0"/>
        <w:adjustRightInd w:val="0"/>
        <w:snapToGrid w:val="0"/>
        <w:spacing w:line="480" w:lineRule="exact"/>
        <w:ind w:firstLine="452" w:firstLineChars="200"/>
        <w:textAlignment w:val="baseline"/>
        <w:rPr>
          <w:rFonts w:ascii="Times New Roman" w:hAnsi="Times New Roman"/>
          <w:snapToGrid w:val="0"/>
          <w:spacing w:val="-7"/>
          <w:sz w:val="24"/>
          <w:szCs w:val="24"/>
        </w:rPr>
      </w:pPr>
      <w:r>
        <w:rPr>
          <w:rFonts w:ascii="Times New Roman" w:hAnsi="Times New Roman"/>
          <w:snapToGrid w:val="0"/>
          <w:spacing w:val="-7"/>
          <w:sz w:val="24"/>
          <w:szCs w:val="24"/>
        </w:rPr>
        <w:t>每批医疗废物进行高温干热碾磨分解灭菌消毒处置后需对灭菌效果进行检测， 处置后 医疗废物按 3M 化学指示卡的使用要求对灭菌效果进行检测，对达不到灭菌要求的医疗废 物需重复灭菌程序。指示卡须配合指针生物指示法每周核验一次确定其准确度。每月或在 设备检修后， 需采用生物检测法对设备做一次例行检测。检测方法参考《消毒与灭菌效果 的评价方法与标准》 (GB15981-1995)执行。</w:t>
      </w:r>
    </w:p>
    <w:p>
      <w:pPr>
        <w:widowControl/>
        <w:kinsoku w:val="0"/>
        <w:autoSpaceDE w:val="0"/>
        <w:autoSpaceDN w:val="0"/>
        <w:adjustRightInd w:val="0"/>
        <w:snapToGrid w:val="0"/>
        <w:spacing w:before="182" w:line="480" w:lineRule="exact"/>
        <w:ind w:left="36" w:firstLine="480" w:firstLineChars="200"/>
        <w:textAlignment w:val="baseline"/>
        <w:rPr>
          <w:rFonts w:ascii="Times New Roman" w:hAnsi="Times New Roman"/>
          <w:snapToGrid w:val="0"/>
          <w:sz w:val="24"/>
          <w:szCs w:val="24"/>
        </w:rPr>
      </w:pPr>
    </w:p>
    <w:p>
      <w:pPr>
        <w:pStyle w:val="136"/>
        <w:ind w:firstLine="199" w:firstLineChars="83"/>
        <w:rPr>
          <w:rFonts w:ascii="Times New Roman" w:hAnsi="Times New Roman" w:cs="Times New Roman"/>
        </w:rPr>
        <w:sectPr>
          <w:footerReference r:id="rId12" w:type="default"/>
          <w:pgSz w:w="11907" w:h="16839"/>
          <w:pgMar w:top="1440" w:right="1797" w:bottom="1440" w:left="1797" w:header="879" w:footer="988" w:gutter="0"/>
          <w:cols w:space="720" w:num="1"/>
        </w:sectPr>
      </w:pPr>
    </w:p>
    <w:p>
      <w:pPr>
        <w:pStyle w:val="3"/>
        <w:spacing w:before="120" w:beforeLines="50" w:after="120" w:afterLines="50" w:line="480" w:lineRule="exact"/>
        <w:rPr>
          <w:rFonts w:ascii="Times New Roman" w:hAnsi="Times New Roman" w:eastAsia="黑体"/>
          <w:sz w:val="30"/>
          <w:szCs w:val="30"/>
        </w:rPr>
      </w:pPr>
      <w:bookmarkStart w:id="613" w:name="_Toc116379706"/>
      <w:r>
        <w:rPr>
          <w:rFonts w:ascii="Times New Roman" w:hAnsi="Times New Roman" w:eastAsia="黑体"/>
          <w:sz w:val="30"/>
          <w:szCs w:val="30"/>
        </w:rPr>
        <w:t>污染影响因素分析</w:t>
      </w:r>
      <w:bookmarkEnd w:id="613"/>
    </w:p>
    <w:p>
      <w:pPr>
        <w:pStyle w:val="4"/>
        <w:spacing w:before="120" w:beforeLines="50" w:after="120" w:afterLines="50" w:line="480" w:lineRule="exact"/>
        <w:rPr>
          <w:rFonts w:ascii="Times New Roman" w:hAnsi="Times New Roman" w:eastAsia="黑体"/>
          <w:bCs/>
          <w:sz w:val="28"/>
          <w:szCs w:val="28"/>
        </w:rPr>
      </w:pPr>
      <w:bookmarkStart w:id="614" w:name="_Toc9843803"/>
      <w:bookmarkStart w:id="615" w:name="_Toc28889"/>
      <w:bookmarkStart w:id="616" w:name="_Toc22442"/>
      <w:bookmarkStart w:id="617" w:name="_Toc527205727"/>
      <w:bookmarkStart w:id="618" w:name="_Toc534537616"/>
      <w:bookmarkStart w:id="619" w:name="_Toc497228823"/>
      <w:bookmarkStart w:id="620" w:name="_Toc487111493"/>
      <w:bookmarkStart w:id="621" w:name="_Toc530655961"/>
      <w:bookmarkStart w:id="622" w:name="_Toc18140"/>
      <w:bookmarkStart w:id="623" w:name="_Toc535348455"/>
      <w:bookmarkStart w:id="624" w:name="_Toc532556601"/>
      <w:bookmarkStart w:id="625" w:name="_Toc2828"/>
      <w:bookmarkStart w:id="626" w:name="_Toc26188019"/>
      <w:bookmarkStart w:id="627" w:name="_Toc535168901"/>
      <w:bookmarkStart w:id="628" w:name="_Toc27134295"/>
      <w:bookmarkStart w:id="629" w:name="_Toc2229"/>
      <w:r>
        <w:rPr>
          <w:rFonts w:ascii="Times New Roman" w:hAnsi="Times New Roman" w:eastAsia="黑体"/>
          <w:bCs/>
          <w:sz w:val="28"/>
          <w:szCs w:val="28"/>
        </w:rPr>
        <w:t>施工期</w:t>
      </w:r>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p>
    <w:p>
      <w:pPr>
        <w:spacing w:line="480" w:lineRule="exact"/>
        <w:ind w:firstLine="480" w:firstLineChars="200"/>
        <w:rPr>
          <w:rFonts w:ascii="Times New Roman" w:hAnsi="Times New Roman"/>
          <w:b/>
        </w:rPr>
      </w:pPr>
      <w:r>
        <w:rPr>
          <w:rFonts w:ascii="Times New Roman" w:hAnsi="Times New Roman"/>
          <w:sz w:val="24"/>
          <w:szCs w:val="24"/>
        </w:rPr>
        <w:t>本项目位于黑龙江省双鸭山市医疗废物集中处置中心厂区内，施工期主要进行设备安装，无土建内容，对环境的影响主要表现在以下方面：施工人员产生的生活污水和生活垃圾、运输车辆产生的尾气和扬尘、设备安装产生的废气、施工机械和运输车辆产生的噪声。伴随着施工结束，施工期的对外界环境的影响也将消失。</w:t>
      </w:r>
    </w:p>
    <w:p>
      <w:pPr>
        <w:pStyle w:val="4"/>
        <w:spacing w:before="120" w:beforeLines="50" w:after="120" w:afterLines="50" w:line="480" w:lineRule="exact"/>
        <w:rPr>
          <w:rFonts w:ascii="Times New Roman" w:hAnsi="Times New Roman" w:eastAsia="黑体"/>
          <w:bCs/>
          <w:sz w:val="28"/>
          <w:szCs w:val="28"/>
        </w:rPr>
      </w:pPr>
      <w:bookmarkStart w:id="630" w:name="_Toc497228824"/>
      <w:bookmarkStart w:id="631" w:name="_Toc535168902"/>
      <w:bookmarkStart w:id="632" w:name="_Toc527205728"/>
      <w:bookmarkStart w:id="633" w:name="_Toc532556602"/>
      <w:bookmarkStart w:id="634" w:name="_Toc16669"/>
      <w:bookmarkStart w:id="635" w:name="_Toc9843804"/>
      <w:bookmarkStart w:id="636" w:name="_Toc534537617"/>
      <w:bookmarkStart w:id="637" w:name="_Toc9652"/>
      <w:bookmarkStart w:id="638" w:name="_Toc27836"/>
      <w:bookmarkStart w:id="639" w:name="_Toc26188020"/>
      <w:bookmarkStart w:id="640" w:name="_Toc530655962"/>
      <w:bookmarkStart w:id="641" w:name="_Toc487111494"/>
      <w:bookmarkStart w:id="642" w:name="_Toc27134296"/>
      <w:bookmarkStart w:id="643" w:name="_Toc7915"/>
      <w:bookmarkStart w:id="644" w:name="_Toc535348456"/>
      <w:bookmarkStart w:id="645" w:name="_Toc29562"/>
      <w:r>
        <w:rPr>
          <w:rFonts w:ascii="Times New Roman" w:hAnsi="Times New Roman" w:eastAsia="黑体"/>
          <w:bCs/>
          <w:sz w:val="28"/>
          <w:szCs w:val="28"/>
        </w:rPr>
        <w:t>运营期</w:t>
      </w:r>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p>
    <w:p>
      <w:pPr>
        <w:spacing w:line="480" w:lineRule="exact"/>
        <w:ind w:firstLine="480" w:firstLineChars="200"/>
        <w:rPr>
          <w:rFonts w:ascii="Times New Roman" w:hAnsi="Times New Roman"/>
          <w:sz w:val="24"/>
          <w:szCs w:val="24"/>
        </w:rPr>
      </w:pPr>
      <w:r>
        <w:rPr>
          <w:rFonts w:ascii="Times New Roman" w:hAnsi="Times New Roman"/>
          <w:sz w:val="24"/>
          <w:szCs w:val="24"/>
        </w:rPr>
        <w:t>本项目改扩建工程生产废水包括转运车清洗废水、周转箱清洗废水、</w:t>
      </w:r>
      <w:r>
        <w:rPr>
          <w:rFonts w:hint="eastAsia" w:ascii="Times New Roman" w:hAnsi="Times New Roman"/>
          <w:sz w:val="24"/>
          <w:szCs w:val="24"/>
        </w:rPr>
        <w:t>车间地面</w:t>
      </w:r>
      <w:r>
        <w:rPr>
          <w:rFonts w:ascii="Times New Roman" w:hAnsi="Times New Roman"/>
          <w:sz w:val="24"/>
          <w:szCs w:val="24"/>
        </w:rPr>
        <w:t>清洗废水、</w:t>
      </w:r>
      <w:r>
        <w:rPr>
          <w:rFonts w:hint="eastAsia" w:ascii="Times New Roman" w:hAnsi="Times New Roman"/>
          <w:sz w:val="24"/>
          <w:szCs w:val="24"/>
        </w:rPr>
        <w:t>消毒废水</w:t>
      </w:r>
      <w:r>
        <w:rPr>
          <w:rFonts w:ascii="Times New Roman" w:hAnsi="Times New Roman"/>
          <w:sz w:val="24"/>
          <w:szCs w:val="24"/>
        </w:rPr>
        <w:t>和</w:t>
      </w:r>
      <w:r>
        <w:rPr>
          <w:rFonts w:hint="eastAsia" w:ascii="Times New Roman" w:hAnsi="Times New Roman"/>
          <w:sz w:val="24"/>
          <w:szCs w:val="24"/>
        </w:rPr>
        <w:t>残液</w:t>
      </w:r>
      <w:r>
        <w:rPr>
          <w:rFonts w:ascii="Times New Roman" w:hAnsi="Times New Roman"/>
          <w:sz w:val="24"/>
          <w:szCs w:val="24"/>
        </w:rPr>
        <w:t>等。</w:t>
      </w:r>
    </w:p>
    <w:p>
      <w:pPr>
        <w:spacing w:line="480" w:lineRule="exact"/>
        <w:ind w:firstLine="480" w:firstLineChars="200"/>
        <w:rPr>
          <w:rFonts w:ascii="Times New Roman" w:hAnsi="Times New Roman"/>
          <w:sz w:val="24"/>
          <w:szCs w:val="24"/>
        </w:rPr>
      </w:pPr>
      <w:r>
        <w:rPr>
          <w:rFonts w:ascii="Times New Roman" w:hAnsi="Times New Roman"/>
          <w:sz w:val="24"/>
          <w:szCs w:val="24"/>
        </w:rPr>
        <w:t>本项目改扩建工程大气污染物主要来源于高温干热系统产生的废气</w:t>
      </w:r>
      <w:r>
        <w:rPr>
          <w:rFonts w:hint="eastAsia" w:ascii="Times New Roman" w:hAnsi="Times New Roman"/>
          <w:sz w:val="24"/>
          <w:szCs w:val="24"/>
        </w:rPr>
        <w:t>、</w:t>
      </w:r>
      <w:r>
        <w:rPr>
          <w:rFonts w:ascii="Times New Roman" w:hAnsi="Times New Roman"/>
          <w:sz w:val="24"/>
          <w:szCs w:val="24"/>
        </w:rPr>
        <w:t>医疗废物暂存库恶臭气体、污水处理间恶臭。</w:t>
      </w:r>
    </w:p>
    <w:p>
      <w:pPr>
        <w:spacing w:line="480" w:lineRule="exact"/>
        <w:ind w:firstLine="480" w:firstLineChars="200"/>
        <w:rPr>
          <w:rFonts w:ascii="Times New Roman" w:hAnsi="Times New Roman"/>
          <w:sz w:val="24"/>
          <w:szCs w:val="24"/>
        </w:rPr>
      </w:pPr>
      <w:r>
        <w:rPr>
          <w:rFonts w:ascii="Times New Roman" w:hAnsi="Times New Roman"/>
          <w:sz w:val="24"/>
          <w:szCs w:val="24"/>
        </w:rPr>
        <w:t>本项目改扩建工程噪声影响</w:t>
      </w:r>
      <w:r>
        <w:rPr>
          <w:rFonts w:ascii="Times New Roman" w:hAnsi="Times New Roman"/>
          <w:sz w:val="24"/>
        </w:rPr>
        <w:t>主要来源</w:t>
      </w:r>
      <w:r>
        <w:rPr>
          <w:rFonts w:ascii="Times New Roman" w:hAnsi="Times New Roman"/>
          <w:sz w:val="24"/>
          <w:szCs w:val="24"/>
        </w:rPr>
        <w:t>于高温干热灭菌设备、水泵、风机等设备。</w:t>
      </w:r>
    </w:p>
    <w:p>
      <w:pPr>
        <w:spacing w:line="480" w:lineRule="exact"/>
        <w:ind w:firstLine="480" w:firstLineChars="200"/>
        <w:rPr>
          <w:rFonts w:ascii="Times New Roman" w:hAnsi="Times New Roman"/>
          <w:sz w:val="24"/>
          <w:szCs w:val="24"/>
        </w:rPr>
      </w:pPr>
      <w:r>
        <w:rPr>
          <w:rFonts w:ascii="Times New Roman" w:hAnsi="Times New Roman"/>
          <w:sz w:val="24"/>
          <w:szCs w:val="24"/>
        </w:rPr>
        <w:t>本项目改扩建工程固体废物包括生活垃圾、医疗废物消毒破碎处理后的破碎废渣、废活性炭、废导热油和污水处理间污泥</w:t>
      </w:r>
      <w:r>
        <w:rPr>
          <w:rFonts w:hint="eastAsia" w:ascii="Times New Roman" w:hAnsi="Times New Roman"/>
          <w:sz w:val="24"/>
          <w:szCs w:val="24"/>
        </w:rPr>
        <w:t>、栅渣</w:t>
      </w:r>
      <w:r>
        <w:rPr>
          <w:rFonts w:ascii="Times New Roman" w:hAnsi="Times New Roman"/>
          <w:sz w:val="24"/>
          <w:szCs w:val="24"/>
        </w:rPr>
        <w:t>。</w:t>
      </w:r>
    </w:p>
    <w:p>
      <w:pPr>
        <w:pStyle w:val="3"/>
        <w:spacing w:before="120" w:beforeLines="50" w:after="120" w:afterLines="50" w:line="480" w:lineRule="exact"/>
        <w:rPr>
          <w:rFonts w:ascii="Times New Roman" w:hAnsi="Times New Roman" w:eastAsia="黑体"/>
          <w:sz w:val="30"/>
          <w:szCs w:val="30"/>
        </w:rPr>
      </w:pPr>
      <w:bookmarkStart w:id="646" w:name="_Toc116379707"/>
      <w:r>
        <w:rPr>
          <w:rFonts w:ascii="Times New Roman" w:hAnsi="Times New Roman" w:eastAsia="黑体"/>
          <w:sz w:val="30"/>
          <w:szCs w:val="30"/>
        </w:rPr>
        <w:t>污染源源强核算</w:t>
      </w:r>
      <w:bookmarkEnd w:id="646"/>
    </w:p>
    <w:bookmarkEnd w:id="567"/>
    <w:bookmarkEnd w:id="568"/>
    <w:bookmarkEnd w:id="569"/>
    <w:bookmarkEnd w:id="570"/>
    <w:bookmarkEnd w:id="571"/>
    <w:bookmarkEnd w:id="572"/>
    <w:bookmarkEnd w:id="573"/>
    <w:bookmarkEnd w:id="574"/>
    <w:bookmarkEnd w:id="575"/>
    <w:bookmarkEnd w:id="576"/>
    <w:p>
      <w:pPr>
        <w:pStyle w:val="4"/>
        <w:spacing w:before="120" w:beforeLines="50" w:after="120" w:afterLines="50" w:line="480" w:lineRule="exact"/>
        <w:rPr>
          <w:rFonts w:ascii="Times New Roman" w:hAnsi="Times New Roman" w:eastAsia="黑体"/>
          <w:bCs/>
          <w:sz w:val="28"/>
          <w:szCs w:val="28"/>
        </w:rPr>
      </w:pPr>
      <w:bookmarkStart w:id="647" w:name="_Toc487111496"/>
      <w:bookmarkStart w:id="648" w:name="_Toc530655964"/>
      <w:bookmarkStart w:id="649" w:name="_Toc486970376"/>
      <w:bookmarkStart w:id="650" w:name="_Toc532556604"/>
      <w:bookmarkStart w:id="651" w:name="_Toc535348459"/>
      <w:bookmarkStart w:id="652" w:name="_Toc535168905"/>
      <w:bookmarkStart w:id="653" w:name="_Toc497228826"/>
      <w:bookmarkStart w:id="654" w:name="_Toc534537619"/>
      <w:bookmarkStart w:id="655" w:name="_Toc527205731"/>
      <w:bookmarkStart w:id="656" w:name="_Toc27134298"/>
      <w:bookmarkStart w:id="657" w:name="_Toc9843806"/>
      <w:bookmarkStart w:id="658" w:name="_Toc17811"/>
      <w:bookmarkStart w:id="659" w:name="_Toc17173"/>
      <w:bookmarkStart w:id="660" w:name="_Toc26188022"/>
      <w:bookmarkStart w:id="661" w:name="_Toc19579"/>
      <w:bookmarkStart w:id="662" w:name="_Toc19000"/>
      <w:bookmarkStart w:id="663" w:name="_Toc8050"/>
      <w:r>
        <w:rPr>
          <w:rFonts w:ascii="Times New Roman" w:hAnsi="Times New Roman" w:eastAsia="黑体"/>
          <w:bCs/>
          <w:sz w:val="28"/>
          <w:szCs w:val="28"/>
        </w:rPr>
        <w:t>施工期污染</w:t>
      </w:r>
      <w:bookmarkEnd w:id="647"/>
      <w:bookmarkEnd w:id="648"/>
      <w:bookmarkEnd w:id="649"/>
      <w:bookmarkEnd w:id="650"/>
      <w:bookmarkEnd w:id="651"/>
      <w:bookmarkEnd w:id="652"/>
      <w:bookmarkEnd w:id="653"/>
      <w:bookmarkEnd w:id="654"/>
      <w:bookmarkEnd w:id="655"/>
      <w:r>
        <w:rPr>
          <w:rFonts w:ascii="Times New Roman" w:hAnsi="Times New Roman" w:eastAsia="黑体"/>
          <w:bCs/>
          <w:sz w:val="28"/>
          <w:szCs w:val="28"/>
        </w:rPr>
        <w:t>分析</w:t>
      </w:r>
      <w:bookmarkEnd w:id="656"/>
      <w:bookmarkEnd w:id="657"/>
      <w:bookmarkEnd w:id="658"/>
      <w:bookmarkEnd w:id="659"/>
      <w:bookmarkEnd w:id="660"/>
      <w:bookmarkEnd w:id="661"/>
      <w:bookmarkEnd w:id="662"/>
      <w:bookmarkEnd w:id="663"/>
    </w:p>
    <w:p>
      <w:pPr>
        <w:widowControl/>
        <w:spacing w:line="480" w:lineRule="exact"/>
        <w:outlineLvl w:val="3"/>
        <w:rPr>
          <w:rFonts w:ascii="Times New Roman" w:hAnsi="Times New Roman" w:eastAsia="黑体"/>
          <w:sz w:val="24"/>
        </w:rPr>
      </w:pPr>
      <w:bookmarkStart w:id="664" w:name="_Toc453708958"/>
      <w:bookmarkStart w:id="665" w:name="_Toc458063858"/>
      <w:bookmarkStart w:id="666" w:name="_Toc464036711"/>
      <w:bookmarkStart w:id="667" w:name="_Toc480983860"/>
      <w:bookmarkStart w:id="668" w:name="_Toc482020642"/>
      <w:bookmarkStart w:id="669" w:name="_Toc480190479"/>
      <w:bookmarkStart w:id="670" w:name="_Toc466271410"/>
      <w:r>
        <w:rPr>
          <w:rFonts w:ascii="Times New Roman" w:hAnsi="Times New Roman" w:eastAsia="黑体"/>
          <w:sz w:val="24"/>
        </w:rPr>
        <w:t>3.5.1.1.废水</w:t>
      </w:r>
      <w:bookmarkEnd w:id="664"/>
      <w:bookmarkEnd w:id="665"/>
      <w:bookmarkEnd w:id="666"/>
      <w:bookmarkEnd w:id="667"/>
      <w:bookmarkEnd w:id="668"/>
      <w:bookmarkEnd w:id="669"/>
      <w:bookmarkEnd w:id="670"/>
    </w:p>
    <w:p>
      <w:pPr>
        <w:spacing w:line="480" w:lineRule="exact"/>
        <w:ind w:firstLine="480" w:firstLineChars="200"/>
        <w:rPr>
          <w:rFonts w:ascii="Times New Roman" w:hAnsi="Times New Roman"/>
          <w:sz w:val="24"/>
          <w:szCs w:val="24"/>
        </w:rPr>
      </w:pPr>
      <w:r>
        <w:rPr>
          <w:rFonts w:ascii="Times New Roman" w:hAnsi="Times New Roman"/>
          <w:sz w:val="24"/>
        </w:rPr>
        <w:t>本项目施工期废水主要为施工人员的生活污水，</w:t>
      </w:r>
      <w:r>
        <w:rPr>
          <w:rFonts w:ascii="Times New Roman" w:hAnsi="Times New Roman"/>
          <w:sz w:val="24"/>
          <w:szCs w:val="24"/>
        </w:rPr>
        <w:t>施工期人数30人，用水量以每人每天80L计，日用水量2.4m</w:t>
      </w:r>
      <w:r>
        <w:rPr>
          <w:rFonts w:ascii="Times New Roman" w:hAnsi="Times New Roman"/>
          <w:sz w:val="24"/>
          <w:szCs w:val="24"/>
          <w:vertAlign w:val="superscript"/>
        </w:rPr>
        <w:t>3</w:t>
      </w:r>
      <w:r>
        <w:rPr>
          <w:rFonts w:ascii="Times New Roman" w:hAnsi="Times New Roman"/>
          <w:sz w:val="24"/>
          <w:szCs w:val="24"/>
        </w:rPr>
        <w:t>，排水量以用水量的80%计算，每天排污量为1.92m</w:t>
      </w:r>
      <w:r>
        <w:rPr>
          <w:rFonts w:ascii="Times New Roman" w:hAnsi="Times New Roman"/>
          <w:sz w:val="24"/>
          <w:szCs w:val="24"/>
          <w:vertAlign w:val="superscript"/>
        </w:rPr>
        <w:t>3</w:t>
      </w:r>
      <w:r>
        <w:rPr>
          <w:rFonts w:ascii="Times New Roman" w:hAnsi="Times New Roman"/>
          <w:sz w:val="24"/>
          <w:szCs w:val="24"/>
        </w:rPr>
        <w:t>，施工期以30天计，施工期总生活污水57.6m</w:t>
      </w:r>
      <w:r>
        <w:rPr>
          <w:rFonts w:ascii="Times New Roman" w:hAnsi="Times New Roman"/>
          <w:sz w:val="24"/>
          <w:szCs w:val="24"/>
          <w:vertAlign w:val="superscript"/>
        </w:rPr>
        <w:t>3</w:t>
      </w:r>
      <w:r>
        <w:rPr>
          <w:rFonts w:ascii="Times New Roman" w:hAnsi="Times New Roman"/>
          <w:sz w:val="24"/>
          <w:szCs w:val="24"/>
        </w:rPr>
        <w:t>，污染物产生情况见下表3.5-1。</w:t>
      </w:r>
    </w:p>
    <w:p>
      <w:pPr>
        <w:pStyle w:val="140"/>
        <w:autoSpaceDE w:val="0"/>
        <w:autoSpaceDN w:val="0"/>
        <w:snapToGrid w:val="0"/>
        <w:spacing w:line="480" w:lineRule="exact"/>
        <w:jc w:val="center"/>
        <w:textAlignment w:val="bottom"/>
        <w:rPr>
          <w:b/>
          <w:sz w:val="21"/>
          <w:szCs w:val="21"/>
        </w:rPr>
      </w:pPr>
      <w:r>
        <w:rPr>
          <w:b/>
          <w:sz w:val="21"/>
          <w:szCs w:val="21"/>
        </w:rPr>
        <w:t>表3.5-1 施工期生活污水污染物的产生情况</w:t>
      </w:r>
    </w:p>
    <w:tbl>
      <w:tblPr>
        <w:tblStyle w:val="77"/>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384"/>
        <w:gridCol w:w="1986"/>
        <w:gridCol w:w="1416"/>
        <w:gridCol w:w="1276"/>
        <w:gridCol w:w="1276"/>
        <w:gridCol w:w="119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384" w:type="dxa"/>
            <w:vAlign w:val="center"/>
          </w:tcPr>
          <w:p>
            <w:pPr>
              <w:widowControl/>
              <w:spacing w:line="280" w:lineRule="exact"/>
              <w:jc w:val="center"/>
              <w:rPr>
                <w:rFonts w:ascii="Times New Roman" w:hAnsi="Times New Roman"/>
                <w:b/>
              </w:rPr>
            </w:pPr>
            <w:r>
              <w:rPr>
                <w:rFonts w:ascii="Times New Roman" w:hAnsi="Times New Roman"/>
                <w:b/>
              </w:rPr>
              <w:t>废水量（t）</w:t>
            </w:r>
          </w:p>
        </w:tc>
        <w:tc>
          <w:tcPr>
            <w:tcW w:w="1986" w:type="dxa"/>
            <w:vAlign w:val="center"/>
          </w:tcPr>
          <w:p>
            <w:pPr>
              <w:widowControl/>
              <w:spacing w:line="280" w:lineRule="exact"/>
              <w:jc w:val="center"/>
              <w:rPr>
                <w:rFonts w:ascii="Times New Roman" w:hAnsi="Times New Roman"/>
                <w:b/>
              </w:rPr>
            </w:pPr>
            <w:r>
              <w:rPr>
                <w:rFonts w:ascii="Times New Roman" w:hAnsi="Times New Roman"/>
                <w:b/>
              </w:rPr>
              <w:t>水质</w:t>
            </w:r>
          </w:p>
        </w:tc>
        <w:tc>
          <w:tcPr>
            <w:tcW w:w="1416" w:type="dxa"/>
            <w:vAlign w:val="center"/>
          </w:tcPr>
          <w:p>
            <w:pPr>
              <w:widowControl/>
              <w:spacing w:line="280" w:lineRule="exact"/>
              <w:jc w:val="center"/>
              <w:rPr>
                <w:rFonts w:ascii="Times New Roman" w:hAnsi="Times New Roman"/>
                <w:b/>
              </w:rPr>
            </w:pPr>
            <w:r>
              <w:rPr>
                <w:rFonts w:ascii="Times New Roman" w:hAnsi="Times New Roman"/>
                <w:b/>
              </w:rPr>
              <w:t>COD</w:t>
            </w:r>
          </w:p>
        </w:tc>
        <w:tc>
          <w:tcPr>
            <w:tcW w:w="1276" w:type="dxa"/>
            <w:vAlign w:val="center"/>
          </w:tcPr>
          <w:p>
            <w:pPr>
              <w:widowControl/>
              <w:spacing w:line="280" w:lineRule="exact"/>
              <w:jc w:val="center"/>
              <w:rPr>
                <w:rFonts w:ascii="Times New Roman" w:hAnsi="Times New Roman"/>
                <w:b/>
              </w:rPr>
            </w:pPr>
            <w:r>
              <w:rPr>
                <w:rFonts w:ascii="Times New Roman" w:hAnsi="Times New Roman"/>
                <w:b/>
              </w:rPr>
              <w:t>BOD</w:t>
            </w:r>
            <w:r>
              <w:rPr>
                <w:rFonts w:ascii="Times New Roman" w:hAnsi="Times New Roman"/>
                <w:b/>
                <w:vertAlign w:val="subscript"/>
              </w:rPr>
              <w:t>5</w:t>
            </w:r>
          </w:p>
        </w:tc>
        <w:tc>
          <w:tcPr>
            <w:tcW w:w="1276" w:type="dxa"/>
            <w:vAlign w:val="center"/>
          </w:tcPr>
          <w:p>
            <w:pPr>
              <w:widowControl/>
              <w:spacing w:line="280" w:lineRule="exact"/>
              <w:jc w:val="center"/>
              <w:rPr>
                <w:rFonts w:ascii="Times New Roman" w:hAnsi="Times New Roman"/>
                <w:b/>
              </w:rPr>
            </w:pPr>
            <w:r>
              <w:rPr>
                <w:rFonts w:ascii="Times New Roman" w:hAnsi="Times New Roman"/>
                <w:b/>
              </w:rPr>
              <w:t>SS</w:t>
            </w:r>
          </w:p>
        </w:tc>
        <w:tc>
          <w:tcPr>
            <w:tcW w:w="1191" w:type="dxa"/>
          </w:tcPr>
          <w:p>
            <w:pPr>
              <w:widowControl/>
              <w:spacing w:line="280" w:lineRule="exact"/>
              <w:jc w:val="center"/>
              <w:rPr>
                <w:rFonts w:ascii="Times New Roman" w:hAnsi="Times New Roman"/>
                <w:b/>
              </w:rPr>
            </w:pPr>
            <w:r>
              <w:rPr>
                <w:rFonts w:ascii="Times New Roman" w:hAnsi="Times New Roman"/>
                <w:b/>
              </w:rPr>
              <w:t>NH</w:t>
            </w:r>
            <w:r>
              <w:rPr>
                <w:rFonts w:ascii="Times New Roman" w:hAnsi="Times New Roman"/>
                <w:b/>
                <w:vertAlign w:val="subscript"/>
              </w:rPr>
              <w:t>3</w:t>
            </w:r>
            <w:r>
              <w:rPr>
                <w:rFonts w:ascii="Times New Roman" w:hAnsi="Times New Roman"/>
                <w:b/>
              </w:rPr>
              <w:t>-N</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384" w:type="dxa"/>
            <w:vMerge w:val="restart"/>
            <w:vAlign w:val="center"/>
          </w:tcPr>
          <w:p>
            <w:pPr>
              <w:widowControl/>
              <w:spacing w:line="280" w:lineRule="exact"/>
              <w:jc w:val="center"/>
              <w:rPr>
                <w:rFonts w:ascii="Times New Roman" w:hAnsi="Times New Roman"/>
              </w:rPr>
            </w:pPr>
            <w:r>
              <w:rPr>
                <w:rFonts w:ascii="Times New Roman" w:hAnsi="Times New Roman"/>
              </w:rPr>
              <w:t>57.6</w:t>
            </w:r>
          </w:p>
        </w:tc>
        <w:tc>
          <w:tcPr>
            <w:tcW w:w="1986" w:type="dxa"/>
            <w:vAlign w:val="center"/>
          </w:tcPr>
          <w:p>
            <w:pPr>
              <w:widowControl/>
              <w:spacing w:line="280" w:lineRule="exact"/>
              <w:jc w:val="center"/>
              <w:rPr>
                <w:rFonts w:ascii="Times New Roman" w:hAnsi="Times New Roman"/>
              </w:rPr>
            </w:pPr>
            <w:r>
              <w:rPr>
                <w:rFonts w:ascii="Times New Roman" w:hAnsi="Times New Roman"/>
              </w:rPr>
              <w:t>产生浓度（mg/L）</w:t>
            </w:r>
          </w:p>
        </w:tc>
        <w:tc>
          <w:tcPr>
            <w:tcW w:w="1416" w:type="dxa"/>
            <w:vAlign w:val="center"/>
          </w:tcPr>
          <w:p>
            <w:pPr>
              <w:widowControl/>
              <w:spacing w:line="280" w:lineRule="exact"/>
              <w:jc w:val="center"/>
              <w:rPr>
                <w:rFonts w:ascii="Times New Roman" w:hAnsi="Times New Roman"/>
              </w:rPr>
            </w:pPr>
            <w:r>
              <w:rPr>
                <w:rFonts w:ascii="Times New Roman" w:hAnsi="Times New Roman"/>
              </w:rPr>
              <w:t>300</w:t>
            </w:r>
          </w:p>
        </w:tc>
        <w:tc>
          <w:tcPr>
            <w:tcW w:w="1276" w:type="dxa"/>
            <w:vAlign w:val="center"/>
          </w:tcPr>
          <w:p>
            <w:pPr>
              <w:widowControl/>
              <w:spacing w:line="280" w:lineRule="exact"/>
              <w:jc w:val="center"/>
              <w:rPr>
                <w:rFonts w:ascii="Times New Roman" w:hAnsi="Times New Roman"/>
              </w:rPr>
            </w:pPr>
            <w:r>
              <w:rPr>
                <w:rFonts w:ascii="Times New Roman" w:hAnsi="Times New Roman"/>
              </w:rPr>
              <w:t>200</w:t>
            </w:r>
          </w:p>
        </w:tc>
        <w:tc>
          <w:tcPr>
            <w:tcW w:w="1276" w:type="dxa"/>
            <w:vAlign w:val="center"/>
          </w:tcPr>
          <w:p>
            <w:pPr>
              <w:widowControl/>
              <w:spacing w:line="280" w:lineRule="exact"/>
              <w:jc w:val="center"/>
              <w:rPr>
                <w:rFonts w:ascii="Times New Roman" w:hAnsi="Times New Roman"/>
              </w:rPr>
            </w:pPr>
            <w:r>
              <w:rPr>
                <w:rFonts w:ascii="Times New Roman" w:hAnsi="Times New Roman"/>
              </w:rPr>
              <w:t>200</w:t>
            </w:r>
          </w:p>
        </w:tc>
        <w:tc>
          <w:tcPr>
            <w:tcW w:w="1191" w:type="dxa"/>
          </w:tcPr>
          <w:p>
            <w:pPr>
              <w:widowControl/>
              <w:spacing w:line="280" w:lineRule="exact"/>
              <w:jc w:val="center"/>
              <w:rPr>
                <w:rFonts w:ascii="Times New Roman" w:hAnsi="Times New Roman"/>
              </w:rPr>
            </w:pPr>
            <w:r>
              <w:rPr>
                <w:rFonts w:ascii="Times New Roman" w:hAnsi="Times New Roman"/>
              </w:rPr>
              <w:t>30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384" w:type="dxa"/>
            <w:vMerge w:val="continue"/>
            <w:vAlign w:val="center"/>
          </w:tcPr>
          <w:p>
            <w:pPr>
              <w:widowControl/>
              <w:spacing w:line="280" w:lineRule="exact"/>
              <w:jc w:val="center"/>
              <w:rPr>
                <w:rFonts w:ascii="Times New Roman" w:hAnsi="Times New Roman"/>
              </w:rPr>
            </w:pPr>
          </w:p>
        </w:tc>
        <w:tc>
          <w:tcPr>
            <w:tcW w:w="1986" w:type="dxa"/>
            <w:vAlign w:val="center"/>
          </w:tcPr>
          <w:p>
            <w:pPr>
              <w:widowControl/>
              <w:spacing w:line="280" w:lineRule="exact"/>
              <w:jc w:val="center"/>
              <w:rPr>
                <w:rFonts w:ascii="Times New Roman" w:hAnsi="Times New Roman"/>
              </w:rPr>
            </w:pPr>
            <w:r>
              <w:rPr>
                <w:rFonts w:ascii="Times New Roman" w:hAnsi="Times New Roman"/>
              </w:rPr>
              <w:t>产生量（t）</w:t>
            </w:r>
          </w:p>
        </w:tc>
        <w:tc>
          <w:tcPr>
            <w:tcW w:w="1416" w:type="dxa"/>
            <w:vAlign w:val="center"/>
          </w:tcPr>
          <w:p>
            <w:pPr>
              <w:widowControl/>
              <w:spacing w:line="280" w:lineRule="exact"/>
              <w:jc w:val="center"/>
              <w:rPr>
                <w:rFonts w:ascii="Times New Roman" w:hAnsi="Times New Roman"/>
              </w:rPr>
            </w:pPr>
            <w:r>
              <w:rPr>
                <w:rFonts w:ascii="Times New Roman" w:hAnsi="Times New Roman"/>
              </w:rPr>
              <w:t>0.017</w:t>
            </w:r>
          </w:p>
        </w:tc>
        <w:tc>
          <w:tcPr>
            <w:tcW w:w="1276" w:type="dxa"/>
            <w:vAlign w:val="center"/>
          </w:tcPr>
          <w:p>
            <w:pPr>
              <w:widowControl/>
              <w:spacing w:line="280" w:lineRule="exact"/>
              <w:jc w:val="center"/>
              <w:rPr>
                <w:rFonts w:ascii="Times New Roman" w:hAnsi="Times New Roman"/>
              </w:rPr>
            </w:pPr>
            <w:r>
              <w:rPr>
                <w:rFonts w:ascii="Times New Roman" w:hAnsi="Times New Roman"/>
              </w:rPr>
              <w:t>0.011</w:t>
            </w:r>
          </w:p>
        </w:tc>
        <w:tc>
          <w:tcPr>
            <w:tcW w:w="1276" w:type="dxa"/>
            <w:vAlign w:val="center"/>
          </w:tcPr>
          <w:p>
            <w:pPr>
              <w:widowControl/>
              <w:spacing w:line="280" w:lineRule="exact"/>
              <w:jc w:val="center"/>
              <w:rPr>
                <w:rFonts w:ascii="Times New Roman" w:hAnsi="Times New Roman"/>
              </w:rPr>
            </w:pPr>
            <w:r>
              <w:rPr>
                <w:rFonts w:ascii="Times New Roman" w:hAnsi="Times New Roman"/>
              </w:rPr>
              <w:t>0.011</w:t>
            </w:r>
          </w:p>
        </w:tc>
        <w:tc>
          <w:tcPr>
            <w:tcW w:w="1191" w:type="dxa"/>
          </w:tcPr>
          <w:p>
            <w:pPr>
              <w:widowControl/>
              <w:spacing w:line="280" w:lineRule="exact"/>
              <w:jc w:val="center"/>
              <w:rPr>
                <w:rFonts w:ascii="Times New Roman" w:hAnsi="Times New Roman"/>
              </w:rPr>
            </w:pPr>
            <w:r>
              <w:rPr>
                <w:rFonts w:ascii="Times New Roman" w:hAnsi="Times New Roman"/>
              </w:rPr>
              <w:t>0.002</w:t>
            </w:r>
          </w:p>
        </w:tc>
      </w:tr>
    </w:tbl>
    <w:p>
      <w:pPr>
        <w:widowControl/>
        <w:spacing w:line="480" w:lineRule="exact"/>
        <w:outlineLvl w:val="3"/>
        <w:rPr>
          <w:rFonts w:ascii="Times New Roman" w:hAnsi="Times New Roman" w:eastAsia="黑体"/>
          <w:sz w:val="24"/>
        </w:rPr>
      </w:pPr>
      <w:bookmarkStart w:id="671" w:name="_Toc458063859"/>
      <w:bookmarkStart w:id="672" w:name="_Toc453708959"/>
      <w:bookmarkStart w:id="673" w:name="_Toc482020643"/>
      <w:bookmarkStart w:id="674" w:name="_Toc480190480"/>
      <w:bookmarkStart w:id="675" w:name="_Toc464036712"/>
      <w:bookmarkStart w:id="676" w:name="_Toc480983861"/>
      <w:bookmarkStart w:id="677" w:name="_Toc466271411"/>
      <w:r>
        <w:rPr>
          <w:rFonts w:ascii="Times New Roman" w:hAnsi="Times New Roman" w:eastAsia="黑体"/>
          <w:sz w:val="24"/>
        </w:rPr>
        <w:t>3.5.1.2.废气</w:t>
      </w:r>
      <w:bookmarkEnd w:id="671"/>
      <w:bookmarkEnd w:id="672"/>
      <w:bookmarkEnd w:id="673"/>
      <w:bookmarkEnd w:id="674"/>
      <w:bookmarkEnd w:id="675"/>
      <w:bookmarkEnd w:id="676"/>
      <w:bookmarkEnd w:id="677"/>
    </w:p>
    <w:p>
      <w:pPr>
        <w:spacing w:line="480" w:lineRule="exact"/>
        <w:ind w:firstLine="480" w:firstLineChars="200"/>
        <w:rPr>
          <w:rFonts w:ascii="Times New Roman" w:hAnsi="Times New Roman"/>
          <w:sz w:val="24"/>
          <w:szCs w:val="24"/>
        </w:rPr>
      </w:pPr>
      <w:r>
        <w:rPr>
          <w:rFonts w:ascii="Times New Roman" w:hAnsi="Times New Roman"/>
          <w:sz w:val="24"/>
          <w:szCs w:val="24"/>
        </w:rPr>
        <w:t>本项目施工期废气主要包括运输车辆产生的尾气和扬尘、设备安装产生的废气。</w:t>
      </w:r>
    </w:p>
    <w:p>
      <w:pPr>
        <w:spacing w:line="480" w:lineRule="exact"/>
        <w:ind w:firstLine="480" w:firstLineChars="200"/>
        <w:rPr>
          <w:rFonts w:ascii="Times New Roman" w:hAnsi="Times New Roman"/>
          <w:sz w:val="24"/>
          <w:szCs w:val="24"/>
        </w:rPr>
      </w:pPr>
      <w:r>
        <w:rPr>
          <w:rFonts w:hint="eastAsia" w:cs="宋体"/>
          <w:sz w:val="24"/>
          <w:szCs w:val="24"/>
        </w:rPr>
        <w:t>①</w:t>
      </w:r>
      <w:r>
        <w:rPr>
          <w:rFonts w:ascii="Times New Roman" w:hAnsi="Times New Roman"/>
          <w:sz w:val="24"/>
          <w:szCs w:val="24"/>
        </w:rPr>
        <w:t>运输车辆尾气和扬尘</w:t>
      </w:r>
    </w:p>
    <w:p>
      <w:pPr>
        <w:spacing w:line="480" w:lineRule="exact"/>
        <w:ind w:firstLine="480" w:firstLineChars="200"/>
        <w:rPr>
          <w:rFonts w:ascii="Times New Roman" w:hAnsi="Times New Roman"/>
          <w:sz w:val="24"/>
          <w:szCs w:val="24"/>
        </w:rPr>
      </w:pPr>
      <w:r>
        <w:rPr>
          <w:rFonts w:ascii="Times New Roman" w:hAnsi="Times New Roman"/>
          <w:sz w:val="24"/>
          <w:szCs w:val="24"/>
        </w:rPr>
        <w:t>本项目施工期运输车辆将排放一定量的尾气，排放的主要污染物是CO、NO</w:t>
      </w:r>
      <w:r>
        <w:rPr>
          <w:rFonts w:ascii="Times New Roman" w:hAnsi="Times New Roman"/>
          <w:sz w:val="24"/>
          <w:szCs w:val="24"/>
          <w:vertAlign w:val="subscript"/>
        </w:rPr>
        <w:t>X</w:t>
      </w:r>
      <w:r>
        <w:rPr>
          <w:rFonts w:ascii="Times New Roman" w:hAnsi="Times New Roman"/>
          <w:sz w:val="24"/>
          <w:szCs w:val="24"/>
        </w:rPr>
        <w:t>、总烃等。由于运输车辆较为分散，对环境空气的污染程度相对较轻。根据类比相关资料，行车道路两侧扬尘浓度可达8～10mg/m</w:t>
      </w:r>
      <w:r>
        <w:rPr>
          <w:rFonts w:ascii="Times New Roman" w:hAnsi="Times New Roman"/>
          <w:sz w:val="24"/>
          <w:szCs w:val="24"/>
          <w:vertAlign w:val="superscript"/>
        </w:rPr>
        <w:t>3</w:t>
      </w:r>
      <w:r>
        <w:rPr>
          <w:rFonts w:ascii="Times New Roman" w:hAnsi="Times New Roman"/>
          <w:sz w:val="24"/>
          <w:szCs w:val="24"/>
        </w:rPr>
        <w:t>，扬尘浓度随距离增加而迅速下降，影响范围一般为道路两侧各约50m内，对环境空气的影响范围相对较小。</w:t>
      </w:r>
    </w:p>
    <w:p>
      <w:pPr>
        <w:spacing w:line="480" w:lineRule="exact"/>
        <w:ind w:firstLine="480" w:firstLineChars="200"/>
        <w:rPr>
          <w:rFonts w:ascii="Times New Roman" w:hAnsi="Times New Roman"/>
          <w:sz w:val="24"/>
          <w:szCs w:val="24"/>
        </w:rPr>
      </w:pPr>
      <w:r>
        <w:rPr>
          <w:rFonts w:hint="eastAsia" w:cs="宋体"/>
          <w:sz w:val="24"/>
          <w:szCs w:val="24"/>
        </w:rPr>
        <w:t>③</w:t>
      </w:r>
      <w:r>
        <w:rPr>
          <w:rFonts w:ascii="Times New Roman" w:hAnsi="Times New Roman"/>
          <w:sz w:val="24"/>
          <w:szCs w:val="24"/>
        </w:rPr>
        <w:t>设备安装产生的废气</w:t>
      </w:r>
    </w:p>
    <w:p>
      <w:pPr>
        <w:spacing w:line="480" w:lineRule="exact"/>
        <w:ind w:firstLine="480" w:firstLineChars="200"/>
        <w:rPr>
          <w:rFonts w:ascii="Times New Roman" w:hAnsi="Times New Roman"/>
          <w:sz w:val="24"/>
          <w:szCs w:val="24"/>
        </w:rPr>
      </w:pPr>
      <w:r>
        <w:rPr>
          <w:rFonts w:ascii="Times New Roman" w:hAnsi="Times New Roman"/>
          <w:sz w:val="24"/>
          <w:szCs w:val="24"/>
        </w:rPr>
        <w:t>本项目施工期设备安装产生的废气在空气紊动力的作用下能够较长时间在空气中飘浮，或者由于重力的作用产生降尘作用。扬尘扩散到附近空气中，增加空气中总悬浮颗粒物的含量。</w:t>
      </w:r>
    </w:p>
    <w:p>
      <w:pPr>
        <w:widowControl/>
        <w:spacing w:line="480" w:lineRule="exact"/>
        <w:outlineLvl w:val="3"/>
        <w:rPr>
          <w:rFonts w:ascii="Times New Roman" w:hAnsi="Times New Roman" w:eastAsia="黑体"/>
          <w:sz w:val="24"/>
        </w:rPr>
      </w:pPr>
      <w:bookmarkStart w:id="678" w:name="_Toc482020644"/>
      <w:bookmarkStart w:id="679" w:name="_Toc458063860"/>
      <w:bookmarkStart w:id="680" w:name="_Toc480190481"/>
      <w:bookmarkStart w:id="681" w:name="_Toc480983862"/>
      <w:bookmarkStart w:id="682" w:name="_Toc464036713"/>
      <w:bookmarkStart w:id="683" w:name="_Toc453708960"/>
      <w:bookmarkStart w:id="684" w:name="_Toc466271412"/>
      <w:r>
        <w:rPr>
          <w:rFonts w:ascii="Times New Roman" w:hAnsi="Times New Roman" w:eastAsia="黑体"/>
          <w:sz w:val="24"/>
        </w:rPr>
        <w:t>3.5.1.3.噪声</w:t>
      </w:r>
      <w:bookmarkEnd w:id="678"/>
      <w:bookmarkEnd w:id="679"/>
      <w:bookmarkEnd w:id="680"/>
      <w:bookmarkEnd w:id="681"/>
      <w:bookmarkEnd w:id="682"/>
      <w:bookmarkEnd w:id="683"/>
      <w:bookmarkEnd w:id="684"/>
    </w:p>
    <w:p>
      <w:pPr>
        <w:spacing w:line="480" w:lineRule="exact"/>
        <w:ind w:firstLine="480" w:firstLineChars="200"/>
        <w:rPr>
          <w:rFonts w:ascii="Times New Roman" w:hAnsi="Times New Roman"/>
          <w:sz w:val="24"/>
          <w:szCs w:val="24"/>
        </w:rPr>
      </w:pPr>
      <w:r>
        <w:rPr>
          <w:rFonts w:ascii="Times New Roman" w:hAnsi="Times New Roman"/>
          <w:sz w:val="24"/>
          <w:szCs w:val="24"/>
        </w:rPr>
        <w:t>本项目施工期噪声主要来源于施工机械噪声和运输车辆噪声。施工期噪声具有阶段性、临时性和不固定性的特征，不同的施工设备产生的机械噪声声级各不相同。本项目施工期主要噪声源如下表3.5-2。</w:t>
      </w:r>
    </w:p>
    <w:p>
      <w:pPr>
        <w:pStyle w:val="140"/>
        <w:autoSpaceDE w:val="0"/>
        <w:autoSpaceDN w:val="0"/>
        <w:snapToGrid w:val="0"/>
        <w:spacing w:line="480" w:lineRule="exact"/>
        <w:jc w:val="center"/>
        <w:textAlignment w:val="bottom"/>
        <w:rPr>
          <w:b/>
          <w:sz w:val="21"/>
          <w:szCs w:val="21"/>
        </w:rPr>
      </w:pPr>
      <w:r>
        <w:rPr>
          <w:b/>
          <w:sz w:val="21"/>
          <w:szCs w:val="21"/>
        </w:rPr>
        <w:t>表3.5-2 施工期噪声源情况</w:t>
      </w:r>
    </w:p>
    <w:tbl>
      <w:tblPr>
        <w:tblStyle w:val="77"/>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630"/>
        <w:gridCol w:w="2866"/>
        <w:gridCol w:w="303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629" w:type="dxa"/>
            <w:vAlign w:val="center"/>
          </w:tcPr>
          <w:p>
            <w:pPr>
              <w:widowControl/>
              <w:spacing w:line="280" w:lineRule="exact"/>
              <w:jc w:val="center"/>
              <w:rPr>
                <w:rFonts w:ascii="Times New Roman" w:hAnsi="Times New Roman"/>
                <w:b/>
              </w:rPr>
            </w:pPr>
            <w:r>
              <w:rPr>
                <w:rFonts w:ascii="Times New Roman" w:hAnsi="Times New Roman"/>
                <w:b/>
              </w:rPr>
              <w:t>设备名称</w:t>
            </w:r>
          </w:p>
        </w:tc>
        <w:tc>
          <w:tcPr>
            <w:tcW w:w="2866" w:type="dxa"/>
            <w:vAlign w:val="center"/>
          </w:tcPr>
          <w:p>
            <w:pPr>
              <w:widowControl/>
              <w:spacing w:line="280" w:lineRule="exact"/>
              <w:jc w:val="center"/>
              <w:rPr>
                <w:rFonts w:ascii="Times New Roman" w:hAnsi="Times New Roman"/>
                <w:b/>
              </w:rPr>
            </w:pPr>
            <w:r>
              <w:rPr>
                <w:rFonts w:ascii="Times New Roman" w:hAnsi="Times New Roman"/>
                <w:b/>
              </w:rPr>
              <w:t>测点距离</w:t>
            </w:r>
          </w:p>
        </w:tc>
        <w:tc>
          <w:tcPr>
            <w:tcW w:w="3034" w:type="dxa"/>
            <w:vAlign w:val="center"/>
          </w:tcPr>
          <w:p>
            <w:pPr>
              <w:widowControl/>
              <w:spacing w:line="280" w:lineRule="exact"/>
              <w:jc w:val="center"/>
              <w:rPr>
                <w:rFonts w:ascii="Times New Roman" w:hAnsi="Times New Roman"/>
                <w:b/>
              </w:rPr>
            </w:pPr>
            <w:r>
              <w:rPr>
                <w:rFonts w:ascii="Times New Roman" w:hAnsi="Times New Roman"/>
                <w:b/>
              </w:rPr>
              <w:t>声级值dB(A)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629" w:type="dxa"/>
            <w:vAlign w:val="center"/>
          </w:tcPr>
          <w:p>
            <w:pPr>
              <w:jc w:val="center"/>
              <w:rPr>
                <w:rFonts w:ascii="Times New Roman" w:hAnsi="Times New Roman"/>
              </w:rPr>
            </w:pPr>
            <w:r>
              <w:rPr>
                <w:rFonts w:ascii="Times New Roman" w:hAnsi="Times New Roman"/>
              </w:rPr>
              <w:t>电钻</w:t>
            </w:r>
          </w:p>
        </w:tc>
        <w:tc>
          <w:tcPr>
            <w:tcW w:w="2866" w:type="dxa"/>
            <w:vAlign w:val="center"/>
          </w:tcPr>
          <w:p>
            <w:pPr>
              <w:widowControl/>
              <w:spacing w:line="280" w:lineRule="exact"/>
              <w:jc w:val="center"/>
              <w:rPr>
                <w:rFonts w:ascii="Times New Roman" w:hAnsi="Times New Roman"/>
              </w:rPr>
            </w:pPr>
            <w:r>
              <w:rPr>
                <w:rFonts w:ascii="Times New Roman" w:hAnsi="Times New Roman"/>
              </w:rPr>
              <w:t>5m</w:t>
            </w:r>
          </w:p>
        </w:tc>
        <w:tc>
          <w:tcPr>
            <w:tcW w:w="3034" w:type="dxa"/>
            <w:vAlign w:val="center"/>
          </w:tcPr>
          <w:p>
            <w:pPr>
              <w:widowControl/>
              <w:spacing w:line="280" w:lineRule="exact"/>
              <w:jc w:val="center"/>
              <w:rPr>
                <w:rFonts w:ascii="Times New Roman" w:hAnsi="Times New Roman"/>
              </w:rPr>
            </w:pPr>
            <w:r>
              <w:rPr>
                <w:rFonts w:ascii="Times New Roman" w:hAnsi="Times New Roman"/>
              </w:rPr>
              <w:t>85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629" w:type="dxa"/>
            <w:vAlign w:val="center"/>
          </w:tcPr>
          <w:p>
            <w:pPr>
              <w:jc w:val="center"/>
              <w:rPr>
                <w:rFonts w:ascii="Times New Roman" w:hAnsi="Times New Roman"/>
              </w:rPr>
            </w:pPr>
            <w:r>
              <w:rPr>
                <w:rFonts w:ascii="Times New Roman" w:hAnsi="Times New Roman"/>
              </w:rPr>
              <w:t>电锤</w:t>
            </w:r>
          </w:p>
        </w:tc>
        <w:tc>
          <w:tcPr>
            <w:tcW w:w="2866" w:type="dxa"/>
          </w:tcPr>
          <w:p>
            <w:pPr>
              <w:spacing w:line="280" w:lineRule="exact"/>
              <w:jc w:val="center"/>
              <w:rPr>
                <w:rFonts w:ascii="Times New Roman" w:hAnsi="Times New Roman"/>
              </w:rPr>
            </w:pPr>
            <w:r>
              <w:rPr>
                <w:rFonts w:ascii="Times New Roman" w:hAnsi="Times New Roman"/>
              </w:rPr>
              <w:t>5m</w:t>
            </w:r>
          </w:p>
        </w:tc>
        <w:tc>
          <w:tcPr>
            <w:tcW w:w="3034" w:type="dxa"/>
            <w:vAlign w:val="center"/>
          </w:tcPr>
          <w:p>
            <w:pPr>
              <w:widowControl/>
              <w:spacing w:line="280" w:lineRule="exact"/>
              <w:jc w:val="center"/>
              <w:rPr>
                <w:rFonts w:ascii="Times New Roman" w:hAnsi="Times New Roman"/>
              </w:rPr>
            </w:pPr>
            <w:r>
              <w:rPr>
                <w:rFonts w:ascii="Times New Roman" w:hAnsi="Times New Roman"/>
              </w:rPr>
              <w:t>90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629" w:type="dxa"/>
            <w:vAlign w:val="center"/>
          </w:tcPr>
          <w:p>
            <w:pPr>
              <w:jc w:val="center"/>
              <w:rPr>
                <w:rFonts w:ascii="Times New Roman" w:hAnsi="Times New Roman"/>
              </w:rPr>
            </w:pPr>
            <w:r>
              <w:rPr>
                <w:rFonts w:ascii="Times New Roman" w:hAnsi="Times New Roman"/>
              </w:rPr>
              <w:t>手工钻</w:t>
            </w:r>
          </w:p>
        </w:tc>
        <w:tc>
          <w:tcPr>
            <w:tcW w:w="2866" w:type="dxa"/>
          </w:tcPr>
          <w:p>
            <w:pPr>
              <w:spacing w:line="280" w:lineRule="exact"/>
              <w:jc w:val="center"/>
              <w:rPr>
                <w:rFonts w:ascii="Times New Roman" w:hAnsi="Times New Roman"/>
              </w:rPr>
            </w:pPr>
            <w:r>
              <w:rPr>
                <w:rFonts w:ascii="Times New Roman" w:hAnsi="Times New Roman"/>
              </w:rPr>
              <w:t>5m</w:t>
            </w:r>
          </w:p>
        </w:tc>
        <w:tc>
          <w:tcPr>
            <w:tcW w:w="3034" w:type="dxa"/>
            <w:vAlign w:val="center"/>
          </w:tcPr>
          <w:p>
            <w:pPr>
              <w:widowControl/>
              <w:spacing w:line="280" w:lineRule="exact"/>
              <w:jc w:val="center"/>
              <w:rPr>
                <w:rFonts w:ascii="Times New Roman" w:hAnsi="Times New Roman"/>
              </w:rPr>
            </w:pPr>
            <w:r>
              <w:rPr>
                <w:rFonts w:ascii="Times New Roman" w:hAnsi="Times New Roman"/>
              </w:rPr>
              <w:t>95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629" w:type="dxa"/>
            <w:vAlign w:val="center"/>
          </w:tcPr>
          <w:p>
            <w:pPr>
              <w:jc w:val="center"/>
              <w:rPr>
                <w:rFonts w:ascii="Times New Roman" w:hAnsi="Times New Roman"/>
              </w:rPr>
            </w:pPr>
            <w:r>
              <w:rPr>
                <w:rFonts w:ascii="Times New Roman" w:hAnsi="Times New Roman"/>
              </w:rPr>
              <w:t>风镐</w:t>
            </w:r>
          </w:p>
        </w:tc>
        <w:tc>
          <w:tcPr>
            <w:tcW w:w="2866" w:type="dxa"/>
          </w:tcPr>
          <w:p>
            <w:pPr>
              <w:spacing w:line="280" w:lineRule="exact"/>
              <w:jc w:val="center"/>
              <w:rPr>
                <w:rFonts w:ascii="Times New Roman" w:hAnsi="Times New Roman"/>
              </w:rPr>
            </w:pPr>
            <w:r>
              <w:rPr>
                <w:rFonts w:ascii="Times New Roman" w:hAnsi="Times New Roman"/>
              </w:rPr>
              <w:t>5m</w:t>
            </w:r>
          </w:p>
        </w:tc>
        <w:tc>
          <w:tcPr>
            <w:tcW w:w="3034" w:type="dxa"/>
            <w:vAlign w:val="center"/>
          </w:tcPr>
          <w:p>
            <w:pPr>
              <w:widowControl/>
              <w:spacing w:line="280" w:lineRule="exact"/>
              <w:jc w:val="center"/>
              <w:rPr>
                <w:rFonts w:ascii="Times New Roman" w:hAnsi="Times New Roman"/>
              </w:rPr>
            </w:pPr>
            <w:r>
              <w:rPr>
                <w:rFonts w:ascii="Times New Roman" w:hAnsi="Times New Roman"/>
              </w:rPr>
              <w:t>85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629" w:type="dxa"/>
            <w:vAlign w:val="center"/>
          </w:tcPr>
          <w:p>
            <w:pPr>
              <w:jc w:val="center"/>
              <w:rPr>
                <w:rFonts w:ascii="Times New Roman" w:hAnsi="Times New Roman"/>
              </w:rPr>
            </w:pPr>
            <w:r>
              <w:rPr>
                <w:rFonts w:ascii="Times New Roman" w:hAnsi="Times New Roman"/>
              </w:rPr>
              <w:t>切割机</w:t>
            </w:r>
          </w:p>
        </w:tc>
        <w:tc>
          <w:tcPr>
            <w:tcW w:w="2866" w:type="dxa"/>
          </w:tcPr>
          <w:p>
            <w:pPr>
              <w:spacing w:line="280" w:lineRule="exact"/>
              <w:jc w:val="center"/>
              <w:rPr>
                <w:rFonts w:ascii="Times New Roman" w:hAnsi="Times New Roman"/>
              </w:rPr>
            </w:pPr>
            <w:r>
              <w:rPr>
                <w:rFonts w:ascii="Times New Roman" w:hAnsi="Times New Roman"/>
              </w:rPr>
              <w:t>5m</w:t>
            </w:r>
          </w:p>
        </w:tc>
        <w:tc>
          <w:tcPr>
            <w:tcW w:w="3034" w:type="dxa"/>
            <w:vAlign w:val="center"/>
          </w:tcPr>
          <w:p>
            <w:pPr>
              <w:widowControl/>
              <w:spacing w:line="280" w:lineRule="exact"/>
              <w:jc w:val="center"/>
              <w:rPr>
                <w:rFonts w:ascii="Times New Roman" w:hAnsi="Times New Roman"/>
              </w:rPr>
            </w:pPr>
            <w:r>
              <w:rPr>
                <w:rFonts w:ascii="Times New Roman" w:hAnsi="Times New Roman"/>
              </w:rPr>
              <w:t>90</w:t>
            </w:r>
          </w:p>
        </w:tc>
      </w:tr>
    </w:tbl>
    <w:p>
      <w:pPr>
        <w:widowControl/>
        <w:spacing w:line="480" w:lineRule="exact"/>
        <w:outlineLvl w:val="3"/>
        <w:rPr>
          <w:rFonts w:ascii="Times New Roman" w:hAnsi="Times New Roman" w:eastAsia="黑体"/>
          <w:sz w:val="24"/>
        </w:rPr>
      </w:pPr>
      <w:bookmarkStart w:id="685" w:name="_Toc453708961"/>
      <w:bookmarkStart w:id="686" w:name="_Toc466271413"/>
      <w:bookmarkStart w:id="687" w:name="_Toc458063861"/>
      <w:bookmarkStart w:id="688" w:name="_Toc480190482"/>
      <w:bookmarkStart w:id="689" w:name="_Toc482020645"/>
      <w:bookmarkStart w:id="690" w:name="_Toc464036714"/>
      <w:bookmarkStart w:id="691" w:name="_Toc480983863"/>
      <w:r>
        <w:rPr>
          <w:rFonts w:ascii="Times New Roman" w:hAnsi="Times New Roman" w:eastAsia="黑体"/>
          <w:sz w:val="24"/>
        </w:rPr>
        <w:t>3.5.1.4.固体废物</w:t>
      </w:r>
      <w:bookmarkEnd w:id="685"/>
      <w:bookmarkEnd w:id="686"/>
      <w:bookmarkEnd w:id="687"/>
      <w:bookmarkEnd w:id="688"/>
      <w:bookmarkEnd w:id="689"/>
      <w:bookmarkEnd w:id="690"/>
      <w:bookmarkEnd w:id="691"/>
    </w:p>
    <w:p>
      <w:pPr>
        <w:spacing w:line="480" w:lineRule="exact"/>
        <w:ind w:firstLine="480" w:firstLineChars="200"/>
        <w:rPr>
          <w:rFonts w:ascii="Times New Roman" w:hAnsi="Times New Roman"/>
          <w:sz w:val="24"/>
          <w:szCs w:val="24"/>
        </w:rPr>
      </w:pPr>
      <w:r>
        <w:rPr>
          <w:rFonts w:ascii="Times New Roman" w:hAnsi="Times New Roman"/>
          <w:sz w:val="24"/>
          <w:szCs w:val="24"/>
        </w:rPr>
        <w:t>本项目施工期固体废物主要为施工人员产生的生活垃圾，施工期人数30人，施工人员日常生活中产生的生活垃圾按每人0.5kg/d，项目施工期约为30天计算，施工期间产生的生活垃圾为0.45t。</w:t>
      </w:r>
    </w:p>
    <w:p>
      <w:pPr>
        <w:pStyle w:val="4"/>
        <w:spacing w:before="120" w:beforeLines="50" w:after="120" w:afterLines="50" w:line="480" w:lineRule="exact"/>
        <w:rPr>
          <w:rFonts w:ascii="Times New Roman" w:hAnsi="Times New Roman" w:eastAsia="黑体"/>
          <w:bCs/>
          <w:sz w:val="28"/>
          <w:szCs w:val="28"/>
        </w:rPr>
      </w:pPr>
      <w:bookmarkStart w:id="692" w:name="_Toc535348460"/>
      <w:bookmarkStart w:id="693" w:name="_Toc534537620"/>
      <w:bookmarkStart w:id="694" w:name="_Toc530655965"/>
      <w:bookmarkStart w:id="695" w:name="_Toc487111497"/>
      <w:bookmarkStart w:id="696" w:name="_Toc527205732"/>
      <w:bookmarkStart w:id="697" w:name="_Toc497228827"/>
      <w:bookmarkStart w:id="698" w:name="_Toc535168906"/>
      <w:bookmarkStart w:id="699" w:name="_Toc486970379"/>
      <w:bookmarkStart w:id="700" w:name="_Toc532556605"/>
      <w:bookmarkStart w:id="701" w:name="_Toc27134299"/>
      <w:bookmarkStart w:id="702" w:name="_Toc26188023"/>
      <w:bookmarkStart w:id="703" w:name="_Toc12056"/>
      <w:bookmarkStart w:id="704" w:name="_Toc19733"/>
      <w:bookmarkStart w:id="705" w:name="_Toc16512"/>
      <w:bookmarkStart w:id="706" w:name="_Toc9843807"/>
      <w:bookmarkStart w:id="707" w:name="_Toc11444"/>
      <w:bookmarkStart w:id="708" w:name="_Toc32164"/>
      <w:r>
        <w:rPr>
          <w:rFonts w:ascii="Times New Roman" w:hAnsi="Times New Roman" w:eastAsia="黑体"/>
          <w:bCs/>
          <w:sz w:val="28"/>
          <w:szCs w:val="28"/>
        </w:rPr>
        <w:t>运营期污染</w:t>
      </w:r>
      <w:bookmarkEnd w:id="692"/>
      <w:bookmarkEnd w:id="693"/>
      <w:bookmarkEnd w:id="694"/>
      <w:bookmarkEnd w:id="695"/>
      <w:bookmarkEnd w:id="696"/>
      <w:bookmarkEnd w:id="697"/>
      <w:bookmarkEnd w:id="698"/>
      <w:bookmarkEnd w:id="699"/>
      <w:bookmarkEnd w:id="700"/>
      <w:r>
        <w:rPr>
          <w:rFonts w:ascii="Times New Roman" w:hAnsi="Times New Roman" w:eastAsia="黑体"/>
          <w:bCs/>
          <w:sz w:val="28"/>
          <w:szCs w:val="28"/>
        </w:rPr>
        <w:t>分析</w:t>
      </w:r>
      <w:bookmarkEnd w:id="701"/>
      <w:bookmarkEnd w:id="702"/>
      <w:bookmarkEnd w:id="703"/>
      <w:bookmarkEnd w:id="704"/>
      <w:bookmarkEnd w:id="705"/>
      <w:bookmarkEnd w:id="706"/>
      <w:bookmarkEnd w:id="707"/>
      <w:bookmarkEnd w:id="708"/>
    </w:p>
    <w:p>
      <w:pPr>
        <w:widowControl/>
        <w:spacing w:line="480" w:lineRule="exact"/>
        <w:outlineLvl w:val="3"/>
        <w:rPr>
          <w:rFonts w:ascii="Times New Roman" w:hAnsi="Times New Roman" w:eastAsia="黑体"/>
          <w:sz w:val="24"/>
        </w:rPr>
      </w:pPr>
      <w:bookmarkStart w:id="709" w:name="_Toc464036719"/>
      <w:bookmarkStart w:id="710" w:name="_Toc453708964"/>
      <w:bookmarkStart w:id="711" w:name="_Toc458063864"/>
      <w:bookmarkStart w:id="712" w:name="_Toc480983868"/>
      <w:bookmarkStart w:id="713" w:name="_Toc407350257"/>
      <w:bookmarkStart w:id="714" w:name="_Toc466271418"/>
      <w:bookmarkStart w:id="715" w:name="_Toc480190487"/>
      <w:bookmarkStart w:id="716" w:name="_Toc416966910"/>
      <w:bookmarkStart w:id="717" w:name="_Toc347495273"/>
      <w:bookmarkStart w:id="718" w:name="_Toc482020650"/>
      <w:bookmarkStart w:id="719" w:name="_Toc347586146"/>
      <w:bookmarkStart w:id="720" w:name="_Toc409529955"/>
      <w:bookmarkStart w:id="721" w:name="_Toc406772022"/>
      <w:bookmarkStart w:id="722" w:name="_Toc406572480"/>
      <w:bookmarkStart w:id="723" w:name="_Toc416966911"/>
      <w:bookmarkStart w:id="724" w:name="_Toc407350258"/>
      <w:bookmarkStart w:id="725" w:name="_Toc482020651"/>
      <w:bookmarkStart w:id="726" w:name="_Toc464036720"/>
      <w:bookmarkStart w:id="727" w:name="_Toc406772023"/>
      <w:bookmarkStart w:id="728" w:name="_Toc453708965"/>
      <w:bookmarkStart w:id="729" w:name="_Toc466271419"/>
      <w:bookmarkStart w:id="730" w:name="_Toc409529956"/>
      <w:bookmarkStart w:id="731" w:name="_Toc458063865"/>
      <w:bookmarkStart w:id="732" w:name="_Toc480190488"/>
      <w:bookmarkStart w:id="733" w:name="_Toc406572481"/>
      <w:bookmarkStart w:id="734" w:name="_Toc480983869"/>
      <w:bookmarkStart w:id="735" w:name="_Toc294597968"/>
      <w:r>
        <w:rPr>
          <w:rFonts w:ascii="Times New Roman" w:hAnsi="Times New Roman" w:eastAsia="黑体"/>
          <w:sz w:val="24"/>
        </w:rPr>
        <w:t>3.5.2.1.废水</w:t>
      </w:r>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p>
    <w:p>
      <w:pPr>
        <w:widowControl/>
        <w:spacing w:line="480" w:lineRule="exact"/>
        <w:ind w:firstLine="480" w:firstLineChars="200"/>
        <w:rPr>
          <w:rFonts w:ascii="Times New Roman" w:hAnsi="Times New Roman"/>
          <w:sz w:val="24"/>
          <w:szCs w:val="24"/>
        </w:rPr>
      </w:pPr>
      <w:r>
        <w:rPr>
          <w:rFonts w:ascii="Times New Roman" w:hAnsi="Times New Roman"/>
          <w:sz w:val="24"/>
          <w:szCs w:val="24"/>
        </w:rPr>
        <w:t>（1）正常工况</w:t>
      </w:r>
    </w:p>
    <w:p>
      <w:pPr>
        <w:spacing w:line="480" w:lineRule="exact"/>
        <w:ind w:firstLine="480" w:firstLineChars="200"/>
        <w:rPr>
          <w:rFonts w:ascii="Times New Roman" w:hAnsi="Times New Roman"/>
          <w:sz w:val="24"/>
          <w:szCs w:val="24"/>
        </w:rPr>
      </w:pPr>
      <w:r>
        <w:rPr>
          <w:rFonts w:ascii="Times New Roman" w:hAnsi="Times New Roman"/>
          <w:sz w:val="24"/>
          <w:szCs w:val="24"/>
        </w:rPr>
        <w:t>本项目改扩建工程生产废水包括转运车清洗废水、周转箱清洗废水、</w:t>
      </w:r>
      <w:r>
        <w:rPr>
          <w:rFonts w:hint="eastAsia" w:ascii="Times New Roman" w:hAnsi="Times New Roman"/>
          <w:sz w:val="24"/>
          <w:szCs w:val="24"/>
        </w:rPr>
        <w:t>车间地面</w:t>
      </w:r>
      <w:r>
        <w:rPr>
          <w:rFonts w:ascii="Times New Roman" w:hAnsi="Times New Roman"/>
          <w:sz w:val="24"/>
          <w:szCs w:val="24"/>
        </w:rPr>
        <w:t>清洗废水、</w:t>
      </w:r>
      <w:r>
        <w:rPr>
          <w:rFonts w:hint="eastAsia" w:ascii="Times New Roman" w:hAnsi="Times New Roman"/>
          <w:sz w:val="24"/>
          <w:szCs w:val="24"/>
        </w:rPr>
        <w:t>消毒废水</w:t>
      </w:r>
      <w:r>
        <w:rPr>
          <w:rFonts w:ascii="Times New Roman" w:hAnsi="Times New Roman"/>
          <w:sz w:val="24"/>
          <w:szCs w:val="24"/>
        </w:rPr>
        <w:t>和</w:t>
      </w:r>
      <w:r>
        <w:rPr>
          <w:rFonts w:hint="eastAsia" w:ascii="Times New Roman" w:hAnsi="Times New Roman"/>
          <w:sz w:val="24"/>
          <w:szCs w:val="24"/>
        </w:rPr>
        <w:t>残液</w:t>
      </w:r>
      <w:r>
        <w:rPr>
          <w:rFonts w:ascii="Times New Roman" w:hAnsi="Times New Roman"/>
          <w:sz w:val="24"/>
          <w:szCs w:val="24"/>
        </w:rPr>
        <w:t>等。</w:t>
      </w:r>
    </w:p>
    <w:p>
      <w:pPr>
        <w:pStyle w:val="155"/>
        <w:spacing w:line="480" w:lineRule="exact"/>
        <w:ind w:firstLine="480"/>
        <w:rPr>
          <w:kern w:val="0"/>
          <w:szCs w:val="24"/>
        </w:rPr>
      </w:pPr>
      <w:r>
        <w:rPr>
          <w:rFonts w:hint="eastAsia"/>
          <w:kern w:val="0"/>
          <w:szCs w:val="24"/>
        </w:rPr>
        <w:t>（</w:t>
      </w:r>
      <w:r>
        <w:rPr>
          <w:kern w:val="0"/>
          <w:szCs w:val="24"/>
        </w:rPr>
        <w:t>1）转运车清洗废水</w:t>
      </w:r>
    </w:p>
    <w:p>
      <w:pPr>
        <w:pStyle w:val="155"/>
        <w:spacing w:line="480" w:lineRule="exact"/>
        <w:ind w:firstLine="480"/>
        <w:rPr>
          <w:kern w:val="0"/>
          <w:szCs w:val="24"/>
        </w:rPr>
      </w:pPr>
      <w:r>
        <w:rPr>
          <w:rFonts w:hint="eastAsia"/>
          <w:kern w:val="0"/>
          <w:szCs w:val="24"/>
        </w:rPr>
        <w:t>本项目转运车清洗消毒用水量为</w:t>
      </w:r>
      <w:r>
        <w:rPr>
          <w:kern w:val="0"/>
          <w:szCs w:val="24"/>
        </w:rPr>
        <w:t>0.4t/d、146t/a，转运车清洗消毒废水排放量按用水量的80%计算，则项目转运车清洗消毒废水排放量为0.32t/d、116.8t/a。</w:t>
      </w:r>
    </w:p>
    <w:p>
      <w:pPr>
        <w:pStyle w:val="155"/>
        <w:spacing w:line="480" w:lineRule="exact"/>
        <w:ind w:firstLine="480"/>
        <w:rPr>
          <w:kern w:val="0"/>
          <w:szCs w:val="24"/>
        </w:rPr>
      </w:pPr>
      <w:r>
        <w:rPr>
          <w:rFonts w:hint="eastAsia"/>
          <w:kern w:val="0"/>
          <w:szCs w:val="24"/>
        </w:rPr>
        <w:t>（</w:t>
      </w:r>
      <w:r>
        <w:rPr>
          <w:kern w:val="0"/>
          <w:szCs w:val="24"/>
        </w:rPr>
        <w:t>2）周转箱清洗废水</w:t>
      </w:r>
    </w:p>
    <w:p>
      <w:pPr>
        <w:pStyle w:val="155"/>
        <w:spacing w:line="480" w:lineRule="exact"/>
        <w:ind w:firstLine="480"/>
        <w:rPr>
          <w:kern w:val="0"/>
          <w:szCs w:val="24"/>
        </w:rPr>
      </w:pPr>
      <w:r>
        <w:rPr>
          <w:rFonts w:hint="eastAsia"/>
          <w:kern w:val="0"/>
          <w:szCs w:val="24"/>
        </w:rPr>
        <w:t>根据周转箱清洗消毒用水量为</w:t>
      </w:r>
      <w:r>
        <w:rPr>
          <w:kern w:val="0"/>
          <w:szCs w:val="24"/>
        </w:rPr>
        <w:t>1.5t/d、547.5t/a，周转箱清洗消毒废水排放量按用水量的80%计算，则项目周转箱清洗消毒废水排放量为1.2t/d、438t/a。</w:t>
      </w:r>
    </w:p>
    <w:p>
      <w:pPr>
        <w:pStyle w:val="155"/>
        <w:spacing w:line="480" w:lineRule="exact"/>
        <w:ind w:firstLine="480"/>
        <w:rPr>
          <w:kern w:val="0"/>
          <w:szCs w:val="24"/>
        </w:rPr>
      </w:pPr>
      <w:r>
        <w:rPr>
          <w:rFonts w:hint="eastAsia"/>
          <w:kern w:val="0"/>
          <w:szCs w:val="24"/>
        </w:rPr>
        <w:t>（</w:t>
      </w:r>
      <w:r>
        <w:rPr>
          <w:kern w:val="0"/>
          <w:szCs w:val="24"/>
        </w:rPr>
        <w:t>3）车间地面清洗废水</w:t>
      </w:r>
    </w:p>
    <w:p>
      <w:pPr>
        <w:pStyle w:val="155"/>
        <w:spacing w:line="480" w:lineRule="exact"/>
        <w:ind w:firstLine="480"/>
        <w:rPr>
          <w:kern w:val="0"/>
          <w:szCs w:val="24"/>
        </w:rPr>
      </w:pPr>
      <w:r>
        <w:rPr>
          <w:rFonts w:hint="eastAsia"/>
          <w:kern w:val="0"/>
          <w:szCs w:val="24"/>
        </w:rPr>
        <w:t>本项目车间地面清洗用水量为</w:t>
      </w:r>
      <w:r>
        <w:rPr>
          <w:kern w:val="0"/>
          <w:szCs w:val="24"/>
        </w:rPr>
        <w:t xml:space="preserve"> 2.5t/d，912.5t/a。车间地面清洗废水排放量按用水量的80%计算，则项目车间地面清洗废水排放量为2t/d、730t/a。</w:t>
      </w:r>
    </w:p>
    <w:p>
      <w:pPr>
        <w:pStyle w:val="155"/>
        <w:spacing w:line="480" w:lineRule="exact"/>
        <w:ind w:firstLine="480"/>
        <w:rPr>
          <w:kern w:val="0"/>
          <w:szCs w:val="24"/>
        </w:rPr>
      </w:pPr>
      <w:r>
        <w:rPr>
          <w:rFonts w:hint="eastAsia"/>
          <w:kern w:val="0"/>
          <w:szCs w:val="24"/>
        </w:rPr>
        <w:t>（</w:t>
      </w:r>
      <w:r>
        <w:rPr>
          <w:kern w:val="0"/>
          <w:szCs w:val="24"/>
        </w:rPr>
        <w:t>4）消毒废水</w:t>
      </w:r>
    </w:p>
    <w:p>
      <w:pPr>
        <w:pStyle w:val="155"/>
        <w:spacing w:line="480" w:lineRule="exact"/>
        <w:ind w:firstLine="480"/>
        <w:rPr>
          <w:kern w:val="0"/>
          <w:szCs w:val="24"/>
        </w:rPr>
      </w:pPr>
      <w:r>
        <w:rPr>
          <w:rFonts w:hint="eastAsia"/>
          <w:kern w:val="0"/>
          <w:szCs w:val="24"/>
        </w:rPr>
        <w:t>医疗废物高温干热处理设备投放消毒液用水量为</w:t>
      </w:r>
      <w:r>
        <w:rPr>
          <w:kern w:val="0"/>
          <w:szCs w:val="24"/>
        </w:rPr>
        <w:t>4.425t/d （1615.13t/a），此部分用水不产生废水，全部在高温干热设备中以水蒸气的形式挥发。其余消毒废水排放量按80%计算，则消毒废水为4.46t/d（1627.9t/a），其中包括了车间消毒废水、转运车消毒废水和周转箱消毒废水。</w:t>
      </w:r>
    </w:p>
    <w:p>
      <w:pPr>
        <w:pStyle w:val="155"/>
        <w:spacing w:line="480" w:lineRule="exact"/>
        <w:ind w:firstLine="480"/>
        <w:rPr>
          <w:kern w:val="0"/>
          <w:szCs w:val="24"/>
        </w:rPr>
      </w:pPr>
      <w:r>
        <w:rPr>
          <w:rFonts w:hint="eastAsia"/>
          <w:kern w:val="0"/>
          <w:szCs w:val="24"/>
        </w:rPr>
        <w:t>（5）医疗废物残液</w:t>
      </w:r>
    </w:p>
    <w:p>
      <w:pPr>
        <w:pStyle w:val="155"/>
        <w:spacing w:line="480" w:lineRule="exact"/>
        <w:ind w:firstLine="480"/>
        <w:rPr>
          <w:kern w:val="0"/>
          <w:szCs w:val="24"/>
        </w:rPr>
      </w:pPr>
      <w:r>
        <w:rPr>
          <w:rFonts w:hint="eastAsia"/>
          <w:kern w:val="0"/>
          <w:szCs w:val="24"/>
        </w:rPr>
        <w:t>医疗废物带入水量为</w:t>
      </w:r>
      <w:r>
        <w:rPr>
          <w:kern w:val="0"/>
          <w:szCs w:val="24"/>
        </w:rPr>
        <w:t>1t/d，根据建设单位已有经验类比，残液为其25%，残液量为0.25t/d。</w:t>
      </w:r>
    </w:p>
    <w:p>
      <w:pPr>
        <w:pStyle w:val="155"/>
        <w:spacing w:line="480" w:lineRule="exact"/>
        <w:ind w:firstLine="480"/>
        <w:rPr>
          <w:szCs w:val="24"/>
        </w:rPr>
      </w:pPr>
      <w:r>
        <w:rPr>
          <w:szCs w:val="24"/>
        </w:rPr>
        <w:t>（2）非正常工况</w:t>
      </w:r>
    </w:p>
    <w:p>
      <w:pPr>
        <w:pStyle w:val="155"/>
        <w:spacing w:line="480" w:lineRule="exact"/>
        <w:ind w:firstLine="480"/>
        <w:rPr>
          <w:kern w:val="0"/>
          <w:szCs w:val="24"/>
        </w:rPr>
      </w:pPr>
      <w:r>
        <w:rPr>
          <w:kern w:val="0"/>
          <w:szCs w:val="24"/>
        </w:rPr>
        <w:t>《污染源源强核算技术指南 准则》（HJ884-2018）中指出：生产设施非正常工况是指开停炉（机）、设备检修、工艺设备运转异常等工况，污染防治（控制）设施非正常状况指达不到应有治理效率或同步运转率等情况。</w:t>
      </w:r>
    </w:p>
    <w:p>
      <w:pPr>
        <w:pStyle w:val="155"/>
        <w:spacing w:line="480" w:lineRule="exact"/>
        <w:ind w:firstLine="480"/>
        <w:rPr>
          <w:kern w:val="0"/>
          <w:szCs w:val="24"/>
        </w:rPr>
      </w:pPr>
      <w:r>
        <w:rPr>
          <w:kern w:val="0"/>
          <w:szCs w:val="24"/>
        </w:rPr>
        <w:t>根据本项目实际情况，本项目废水排放的非正常工况主要发生在污染防治（控制）设施非正常状况，即污水处理站达不到应有治理效率或同步运转率等情况。本项目设施事故应急池1座（115m</w:t>
      </w:r>
      <w:r>
        <w:rPr>
          <w:kern w:val="0"/>
          <w:szCs w:val="24"/>
          <w:vertAlign w:val="superscript"/>
        </w:rPr>
        <w:t>3</w:t>
      </w:r>
      <w:r>
        <w:rPr>
          <w:kern w:val="0"/>
          <w:szCs w:val="24"/>
        </w:rPr>
        <w:t>），当污水处理站发生故障时，可暂存生产废水，不外排。因此，本项目不存在废水非正常工况排放对外环境造成影响。</w:t>
      </w:r>
    </w:p>
    <w:p>
      <w:pPr>
        <w:pStyle w:val="155"/>
        <w:spacing w:line="480" w:lineRule="exact"/>
        <w:ind w:firstLine="0" w:firstLineChars="0"/>
        <w:rPr>
          <w:kern w:val="0"/>
          <w:szCs w:val="24"/>
        </w:rPr>
        <w:sectPr>
          <w:headerReference r:id="rId13" w:type="default"/>
          <w:footerReference r:id="rId14" w:type="default"/>
          <w:pgSz w:w="11907" w:h="16839"/>
          <w:pgMar w:top="1440" w:right="1797" w:bottom="1440" w:left="1797" w:header="879" w:footer="986" w:gutter="0"/>
          <w:cols w:space="720" w:num="1"/>
          <w:docGrid w:linePitch="312" w:charSpace="0"/>
        </w:sectPr>
      </w:pPr>
    </w:p>
    <w:p>
      <w:pPr>
        <w:spacing w:line="480" w:lineRule="exact"/>
        <w:jc w:val="center"/>
        <w:rPr>
          <w:rFonts w:ascii="Times New Roman" w:hAnsi="Times New Roman"/>
          <w:b/>
          <w:snapToGrid w:val="0"/>
        </w:rPr>
      </w:pPr>
      <w:r>
        <w:rPr>
          <w:rFonts w:ascii="Times New Roman" w:hAnsi="Times New Roman"/>
          <w:b/>
          <w:snapToGrid w:val="0"/>
        </w:rPr>
        <w:t>表3.5-3 废水污染源源强核算结果及相关参数一览表</w:t>
      </w:r>
    </w:p>
    <w:tbl>
      <w:tblPr>
        <w:tblStyle w:val="77"/>
        <w:tblW w:w="530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702"/>
        <w:gridCol w:w="705"/>
        <w:gridCol w:w="913"/>
        <w:gridCol w:w="1002"/>
        <w:gridCol w:w="743"/>
        <w:gridCol w:w="1209"/>
        <w:gridCol w:w="941"/>
        <w:gridCol w:w="941"/>
        <w:gridCol w:w="1481"/>
        <w:gridCol w:w="808"/>
        <w:gridCol w:w="808"/>
        <w:gridCol w:w="1076"/>
        <w:gridCol w:w="941"/>
        <w:gridCol w:w="941"/>
        <w:gridCol w:w="89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0" w:hRule="atLeast"/>
          <w:jc w:val="center"/>
        </w:trPr>
        <w:tc>
          <w:tcPr>
            <w:tcW w:w="699" w:type="dxa"/>
            <w:vMerge w:val="restart"/>
            <w:tcBorders>
              <w:top w:val="single" w:color="auto" w:sz="12" w:space="0"/>
            </w:tcBorders>
            <w:vAlign w:val="center"/>
          </w:tcPr>
          <w:p>
            <w:pPr>
              <w:spacing w:line="280" w:lineRule="exact"/>
              <w:jc w:val="center"/>
              <w:rPr>
                <w:rFonts w:ascii="Times New Roman" w:hAnsi="Times New Roman"/>
                <w:b/>
                <w:kern w:val="2"/>
                <w:szCs w:val="20"/>
              </w:rPr>
            </w:pPr>
            <w:r>
              <w:rPr>
                <w:rFonts w:ascii="Times New Roman" w:hAnsi="Times New Roman"/>
                <w:b/>
                <w:kern w:val="2"/>
                <w:szCs w:val="20"/>
              </w:rPr>
              <w:t>工序/生产线</w:t>
            </w:r>
          </w:p>
        </w:tc>
        <w:tc>
          <w:tcPr>
            <w:tcW w:w="702" w:type="dxa"/>
            <w:vMerge w:val="restart"/>
            <w:tcBorders>
              <w:top w:val="single" w:color="auto" w:sz="12" w:space="0"/>
            </w:tcBorders>
            <w:vAlign w:val="center"/>
          </w:tcPr>
          <w:p>
            <w:pPr>
              <w:spacing w:line="280" w:lineRule="exact"/>
              <w:jc w:val="center"/>
              <w:rPr>
                <w:rFonts w:ascii="Times New Roman" w:hAnsi="Times New Roman"/>
                <w:b/>
                <w:kern w:val="2"/>
                <w:szCs w:val="20"/>
              </w:rPr>
            </w:pPr>
            <w:r>
              <w:rPr>
                <w:rFonts w:ascii="Times New Roman" w:hAnsi="Times New Roman"/>
                <w:b/>
                <w:kern w:val="2"/>
                <w:szCs w:val="20"/>
              </w:rPr>
              <w:t>装置</w:t>
            </w:r>
          </w:p>
        </w:tc>
        <w:tc>
          <w:tcPr>
            <w:tcW w:w="909" w:type="dxa"/>
            <w:vMerge w:val="restart"/>
            <w:tcBorders>
              <w:top w:val="single" w:color="auto" w:sz="12" w:space="0"/>
            </w:tcBorders>
            <w:vAlign w:val="center"/>
          </w:tcPr>
          <w:p>
            <w:pPr>
              <w:spacing w:line="280" w:lineRule="exact"/>
              <w:jc w:val="center"/>
              <w:rPr>
                <w:rFonts w:ascii="Times New Roman" w:hAnsi="Times New Roman"/>
                <w:b/>
                <w:kern w:val="2"/>
                <w:szCs w:val="20"/>
              </w:rPr>
            </w:pPr>
            <w:r>
              <w:rPr>
                <w:rFonts w:ascii="Times New Roman" w:hAnsi="Times New Roman"/>
                <w:b/>
                <w:kern w:val="2"/>
                <w:szCs w:val="20"/>
              </w:rPr>
              <w:t>污染源</w:t>
            </w:r>
          </w:p>
        </w:tc>
        <w:tc>
          <w:tcPr>
            <w:tcW w:w="998" w:type="dxa"/>
            <w:vMerge w:val="restart"/>
            <w:tcBorders>
              <w:top w:val="single" w:color="auto" w:sz="12" w:space="0"/>
            </w:tcBorders>
            <w:vAlign w:val="center"/>
          </w:tcPr>
          <w:p>
            <w:pPr>
              <w:spacing w:line="280" w:lineRule="exact"/>
              <w:jc w:val="center"/>
              <w:rPr>
                <w:rFonts w:ascii="Times New Roman" w:hAnsi="Times New Roman"/>
                <w:b/>
                <w:kern w:val="2"/>
                <w:szCs w:val="20"/>
              </w:rPr>
            </w:pPr>
            <w:r>
              <w:rPr>
                <w:rFonts w:ascii="Times New Roman" w:hAnsi="Times New Roman"/>
                <w:b/>
                <w:kern w:val="2"/>
                <w:szCs w:val="20"/>
              </w:rPr>
              <w:t>污染物</w:t>
            </w:r>
          </w:p>
        </w:tc>
        <w:tc>
          <w:tcPr>
            <w:tcW w:w="3818" w:type="dxa"/>
            <w:gridSpan w:val="4"/>
            <w:tcBorders>
              <w:top w:val="single" w:color="auto" w:sz="12" w:space="0"/>
            </w:tcBorders>
            <w:vAlign w:val="center"/>
          </w:tcPr>
          <w:p>
            <w:pPr>
              <w:spacing w:line="280" w:lineRule="exact"/>
              <w:jc w:val="center"/>
              <w:rPr>
                <w:rFonts w:ascii="Times New Roman" w:hAnsi="Times New Roman"/>
                <w:b/>
                <w:kern w:val="2"/>
                <w:szCs w:val="20"/>
              </w:rPr>
            </w:pPr>
            <w:r>
              <w:rPr>
                <w:rFonts w:ascii="Times New Roman" w:hAnsi="Times New Roman"/>
                <w:b/>
                <w:kern w:val="2"/>
                <w:szCs w:val="20"/>
              </w:rPr>
              <w:t>污染物产生</w:t>
            </w:r>
          </w:p>
        </w:tc>
        <w:tc>
          <w:tcPr>
            <w:tcW w:w="2280" w:type="dxa"/>
            <w:gridSpan w:val="2"/>
            <w:tcBorders>
              <w:top w:val="single" w:color="auto" w:sz="12" w:space="0"/>
            </w:tcBorders>
            <w:vAlign w:val="center"/>
          </w:tcPr>
          <w:p>
            <w:pPr>
              <w:spacing w:line="280" w:lineRule="exact"/>
              <w:jc w:val="center"/>
              <w:rPr>
                <w:rFonts w:ascii="Times New Roman" w:hAnsi="Times New Roman"/>
                <w:b/>
                <w:kern w:val="2"/>
                <w:szCs w:val="20"/>
              </w:rPr>
            </w:pPr>
            <w:r>
              <w:rPr>
                <w:rFonts w:ascii="Times New Roman" w:hAnsi="Times New Roman"/>
                <w:b/>
                <w:kern w:val="2"/>
                <w:szCs w:val="20"/>
              </w:rPr>
              <w:t>治理措施</w:t>
            </w:r>
          </w:p>
        </w:tc>
        <w:tc>
          <w:tcPr>
            <w:tcW w:w="4644" w:type="dxa"/>
            <w:gridSpan w:val="5"/>
            <w:tcBorders>
              <w:top w:val="single" w:color="auto" w:sz="12" w:space="0"/>
            </w:tcBorders>
            <w:vAlign w:val="center"/>
          </w:tcPr>
          <w:p>
            <w:pPr>
              <w:spacing w:line="280" w:lineRule="exact"/>
              <w:jc w:val="center"/>
              <w:rPr>
                <w:rFonts w:ascii="Times New Roman" w:hAnsi="Times New Roman"/>
                <w:b/>
                <w:kern w:val="2"/>
                <w:szCs w:val="20"/>
              </w:rPr>
            </w:pPr>
            <w:r>
              <w:rPr>
                <w:rFonts w:ascii="Times New Roman" w:hAnsi="Times New Roman"/>
                <w:b/>
                <w:kern w:val="2"/>
                <w:szCs w:val="20"/>
              </w:rPr>
              <w:t>污染物排放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0" w:hRule="atLeast"/>
          <w:jc w:val="center"/>
        </w:trPr>
        <w:tc>
          <w:tcPr>
            <w:tcW w:w="699" w:type="dxa"/>
            <w:vMerge w:val="continue"/>
            <w:vAlign w:val="center"/>
          </w:tcPr>
          <w:p>
            <w:pPr>
              <w:spacing w:line="280" w:lineRule="exact"/>
              <w:jc w:val="center"/>
              <w:rPr>
                <w:rFonts w:ascii="Times New Roman" w:hAnsi="Times New Roman"/>
                <w:b/>
                <w:kern w:val="2"/>
                <w:szCs w:val="20"/>
              </w:rPr>
            </w:pPr>
          </w:p>
        </w:tc>
        <w:tc>
          <w:tcPr>
            <w:tcW w:w="702" w:type="dxa"/>
            <w:vMerge w:val="continue"/>
            <w:vAlign w:val="center"/>
          </w:tcPr>
          <w:p>
            <w:pPr>
              <w:spacing w:line="280" w:lineRule="exact"/>
              <w:jc w:val="center"/>
              <w:rPr>
                <w:rFonts w:ascii="Times New Roman" w:hAnsi="Times New Roman"/>
                <w:b/>
                <w:kern w:val="2"/>
                <w:szCs w:val="20"/>
              </w:rPr>
            </w:pPr>
          </w:p>
        </w:tc>
        <w:tc>
          <w:tcPr>
            <w:tcW w:w="909" w:type="dxa"/>
            <w:vMerge w:val="continue"/>
            <w:vAlign w:val="center"/>
          </w:tcPr>
          <w:p>
            <w:pPr>
              <w:spacing w:line="280" w:lineRule="exact"/>
              <w:jc w:val="center"/>
              <w:rPr>
                <w:rFonts w:ascii="Times New Roman" w:hAnsi="Times New Roman"/>
                <w:b/>
                <w:kern w:val="2"/>
                <w:szCs w:val="20"/>
              </w:rPr>
            </w:pPr>
          </w:p>
        </w:tc>
        <w:tc>
          <w:tcPr>
            <w:tcW w:w="998" w:type="dxa"/>
            <w:vMerge w:val="continue"/>
            <w:vAlign w:val="center"/>
          </w:tcPr>
          <w:p>
            <w:pPr>
              <w:spacing w:line="280" w:lineRule="exact"/>
              <w:jc w:val="center"/>
              <w:rPr>
                <w:rFonts w:ascii="Times New Roman" w:hAnsi="Times New Roman"/>
                <w:b/>
                <w:kern w:val="2"/>
                <w:szCs w:val="20"/>
              </w:rPr>
            </w:pPr>
          </w:p>
        </w:tc>
        <w:tc>
          <w:tcPr>
            <w:tcW w:w="740" w:type="dxa"/>
            <w:vAlign w:val="center"/>
          </w:tcPr>
          <w:p>
            <w:pPr>
              <w:spacing w:line="280" w:lineRule="exact"/>
              <w:jc w:val="center"/>
              <w:rPr>
                <w:rFonts w:ascii="Times New Roman" w:hAnsi="Times New Roman"/>
                <w:b/>
                <w:kern w:val="2"/>
                <w:szCs w:val="20"/>
              </w:rPr>
            </w:pPr>
            <w:r>
              <w:rPr>
                <w:rFonts w:ascii="Times New Roman" w:hAnsi="Times New Roman"/>
                <w:b/>
                <w:kern w:val="2"/>
                <w:szCs w:val="20"/>
              </w:rPr>
              <w:t>核算</w:t>
            </w:r>
          </w:p>
          <w:p>
            <w:pPr>
              <w:spacing w:line="280" w:lineRule="exact"/>
              <w:jc w:val="center"/>
              <w:rPr>
                <w:rFonts w:ascii="Times New Roman" w:hAnsi="Times New Roman"/>
                <w:b/>
                <w:kern w:val="2"/>
                <w:szCs w:val="20"/>
              </w:rPr>
            </w:pPr>
            <w:r>
              <w:rPr>
                <w:rFonts w:ascii="Times New Roman" w:hAnsi="Times New Roman"/>
                <w:b/>
                <w:kern w:val="2"/>
                <w:szCs w:val="20"/>
              </w:rPr>
              <w:t>方法</w:t>
            </w:r>
          </w:p>
        </w:tc>
        <w:tc>
          <w:tcPr>
            <w:tcW w:w="1204" w:type="dxa"/>
            <w:vAlign w:val="center"/>
          </w:tcPr>
          <w:p>
            <w:pPr>
              <w:spacing w:line="280" w:lineRule="exact"/>
              <w:jc w:val="center"/>
              <w:rPr>
                <w:rFonts w:ascii="Times New Roman" w:hAnsi="Times New Roman"/>
                <w:b/>
                <w:kern w:val="2"/>
                <w:szCs w:val="20"/>
              </w:rPr>
            </w:pPr>
            <w:r>
              <w:rPr>
                <w:rFonts w:ascii="Times New Roman" w:hAnsi="Times New Roman"/>
                <w:b/>
                <w:kern w:val="2"/>
                <w:szCs w:val="20"/>
              </w:rPr>
              <w:t>产生废水量（t/a）</w:t>
            </w:r>
          </w:p>
        </w:tc>
        <w:tc>
          <w:tcPr>
            <w:tcW w:w="937" w:type="dxa"/>
            <w:vAlign w:val="center"/>
          </w:tcPr>
          <w:p>
            <w:pPr>
              <w:spacing w:line="280" w:lineRule="exact"/>
              <w:jc w:val="center"/>
              <w:rPr>
                <w:rFonts w:ascii="Times New Roman" w:hAnsi="Times New Roman"/>
                <w:b/>
                <w:kern w:val="2"/>
                <w:szCs w:val="20"/>
              </w:rPr>
            </w:pPr>
            <w:r>
              <w:rPr>
                <w:rFonts w:ascii="Times New Roman" w:hAnsi="Times New Roman"/>
                <w:b/>
                <w:kern w:val="2"/>
                <w:szCs w:val="20"/>
              </w:rPr>
              <w:t>产生浓度（mg/L）</w:t>
            </w:r>
          </w:p>
        </w:tc>
        <w:tc>
          <w:tcPr>
            <w:tcW w:w="937" w:type="dxa"/>
            <w:vAlign w:val="center"/>
          </w:tcPr>
          <w:p>
            <w:pPr>
              <w:spacing w:line="280" w:lineRule="exact"/>
              <w:jc w:val="center"/>
              <w:rPr>
                <w:rFonts w:ascii="Times New Roman" w:hAnsi="Times New Roman"/>
                <w:b/>
                <w:kern w:val="2"/>
                <w:szCs w:val="20"/>
              </w:rPr>
            </w:pPr>
            <w:r>
              <w:rPr>
                <w:rFonts w:ascii="Times New Roman" w:hAnsi="Times New Roman"/>
                <w:b/>
                <w:kern w:val="2"/>
                <w:szCs w:val="20"/>
              </w:rPr>
              <w:t>产生量（t/a）</w:t>
            </w:r>
          </w:p>
        </w:tc>
        <w:tc>
          <w:tcPr>
            <w:tcW w:w="1475" w:type="dxa"/>
            <w:vAlign w:val="center"/>
          </w:tcPr>
          <w:p>
            <w:pPr>
              <w:spacing w:line="280" w:lineRule="exact"/>
              <w:jc w:val="center"/>
              <w:rPr>
                <w:rFonts w:ascii="Times New Roman" w:hAnsi="Times New Roman"/>
                <w:b/>
                <w:kern w:val="2"/>
                <w:szCs w:val="20"/>
              </w:rPr>
            </w:pPr>
            <w:r>
              <w:rPr>
                <w:rFonts w:ascii="Times New Roman" w:hAnsi="Times New Roman"/>
                <w:b/>
                <w:kern w:val="2"/>
                <w:szCs w:val="20"/>
              </w:rPr>
              <w:t>工艺</w:t>
            </w:r>
          </w:p>
        </w:tc>
        <w:tc>
          <w:tcPr>
            <w:tcW w:w="805" w:type="dxa"/>
            <w:vAlign w:val="center"/>
          </w:tcPr>
          <w:p>
            <w:pPr>
              <w:spacing w:line="280" w:lineRule="exact"/>
              <w:jc w:val="center"/>
              <w:rPr>
                <w:rFonts w:ascii="Times New Roman" w:hAnsi="Times New Roman"/>
                <w:b/>
                <w:kern w:val="2"/>
                <w:szCs w:val="20"/>
              </w:rPr>
            </w:pPr>
            <w:r>
              <w:rPr>
                <w:rFonts w:ascii="Times New Roman" w:hAnsi="Times New Roman"/>
                <w:b/>
                <w:kern w:val="2"/>
                <w:szCs w:val="20"/>
              </w:rPr>
              <w:t>效率%</w:t>
            </w:r>
          </w:p>
        </w:tc>
        <w:tc>
          <w:tcPr>
            <w:tcW w:w="805" w:type="dxa"/>
            <w:vAlign w:val="center"/>
          </w:tcPr>
          <w:p>
            <w:pPr>
              <w:spacing w:line="280" w:lineRule="exact"/>
              <w:jc w:val="center"/>
              <w:rPr>
                <w:rFonts w:ascii="Times New Roman" w:hAnsi="Times New Roman"/>
                <w:b/>
                <w:kern w:val="2"/>
                <w:szCs w:val="20"/>
              </w:rPr>
            </w:pPr>
            <w:r>
              <w:rPr>
                <w:rFonts w:ascii="Times New Roman" w:hAnsi="Times New Roman"/>
                <w:b/>
                <w:kern w:val="2"/>
                <w:szCs w:val="20"/>
              </w:rPr>
              <w:t>核算</w:t>
            </w:r>
          </w:p>
          <w:p>
            <w:pPr>
              <w:spacing w:line="280" w:lineRule="exact"/>
              <w:jc w:val="center"/>
              <w:rPr>
                <w:rFonts w:ascii="Times New Roman" w:hAnsi="Times New Roman"/>
                <w:b/>
                <w:kern w:val="2"/>
                <w:szCs w:val="20"/>
              </w:rPr>
            </w:pPr>
            <w:r>
              <w:rPr>
                <w:rFonts w:ascii="Times New Roman" w:hAnsi="Times New Roman"/>
                <w:b/>
                <w:kern w:val="2"/>
                <w:szCs w:val="20"/>
              </w:rPr>
              <w:t>方法</w:t>
            </w:r>
          </w:p>
        </w:tc>
        <w:tc>
          <w:tcPr>
            <w:tcW w:w="1071" w:type="dxa"/>
            <w:vAlign w:val="center"/>
          </w:tcPr>
          <w:p>
            <w:pPr>
              <w:spacing w:line="280" w:lineRule="exact"/>
              <w:jc w:val="center"/>
              <w:rPr>
                <w:rFonts w:ascii="Times New Roman" w:hAnsi="Times New Roman"/>
                <w:b/>
                <w:kern w:val="2"/>
                <w:szCs w:val="20"/>
              </w:rPr>
            </w:pPr>
            <w:r>
              <w:rPr>
                <w:rFonts w:ascii="Times New Roman" w:hAnsi="Times New Roman"/>
                <w:b/>
                <w:kern w:val="2"/>
                <w:szCs w:val="20"/>
              </w:rPr>
              <w:t>排放废水量（t/a）</w:t>
            </w:r>
          </w:p>
        </w:tc>
        <w:tc>
          <w:tcPr>
            <w:tcW w:w="937" w:type="dxa"/>
            <w:vAlign w:val="center"/>
          </w:tcPr>
          <w:p>
            <w:pPr>
              <w:spacing w:line="280" w:lineRule="exact"/>
              <w:jc w:val="center"/>
              <w:rPr>
                <w:rFonts w:ascii="Times New Roman" w:hAnsi="Times New Roman"/>
                <w:b/>
                <w:kern w:val="2"/>
                <w:szCs w:val="20"/>
              </w:rPr>
            </w:pPr>
            <w:r>
              <w:rPr>
                <w:rFonts w:ascii="Times New Roman" w:hAnsi="Times New Roman"/>
                <w:b/>
                <w:kern w:val="2"/>
                <w:szCs w:val="20"/>
              </w:rPr>
              <w:t>排放浓度（mg/L）</w:t>
            </w:r>
          </w:p>
        </w:tc>
        <w:tc>
          <w:tcPr>
            <w:tcW w:w="937" w:type="dxa"/>
            <w:vAlign w:val="center"/>
          </w:tcPr>
          <w:p>
            <w:pPr>
              <w:spacing w:line="280" w:lineRule="exact"/>
              <w:jc w:val="center"/>
              <w:rPr>
                <w:rFonts w:ascii="Times New Roman" w:hAnsi="Times New Roman"/>
                <w:b/>
                <w:kern w:val="2"/>
                <w:szCs w:val="20"/>
              </w:rPr>
            </w:pPr>
            <w:r>
              <w:rPr>
                <w:rFonts w:ascii="Times New Roman" w:hAnsi="Times New Roman"/>
                <w:b/>
                <w:kern w:val="2"/>
                <w:szCs w:val="20"/>
              </w:rPr>
              <w:t>排放量（t/a）</w:t>
            </w:r>
          </w:p>
        </w:tc>
        <w:tc>
          <w:tcPr>
            <w:tcW w:w="894" w:type="dxa"/>
            <w:vAlign w:val="center"/>
          </w:tcPr>
          <w:p>
            <w:pPr>
              <w:spacing w:line="280" w:lineRule="exact"/>
              <w:jc w:val="center"/>
              <w:rPr>
                <w:rFonts w:ascii="Times New Roman" w:hAnsi="Times New Roman"/>
                <w:b/>
                <w:kern w:val="2"/>
                <w:szCs w:val="20"/>
              </w:rPr>
            </w:pPr>
            <w:r>
              <w:rPr>
                <w:rFonts w:ascii="Times New Roman" w:hAnsi="Times New Roman"/>
                <w:b/>
                <w:kern w:val="2"/>
                <w:szCs w:val="20"/>
              </w:rPr>
              <w:t>排放时间（h）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25" w:hRule="atLeast"/>
          <w:jc w:val="center"/>
        </w:trPr>
        <w:tc>
          <w:tcPr>
            <w:tcW w:w="699" w:type="dxa"/>
            <w:vMerge w:val="restart"/>
            <w:vAlign w:val="center"/>
          </w:tcPr>
          <w:p>
            <w:pPr>
              <w:spacing w:line="280" w:lineRule="exact"/>
              <w:jc w:val="center"/>
              <w:rPr>
                <w:rFonts w:ascii="Times New Roman" w:hAnsi="Times New Roman"/>
                <w:kern w:val="2"/>
                <w:szCs w:val="24"/>
              </w:rPr>
            </w:pPr>
            <w:r>
              <w:rPr>
                <w:rFonts w:ascii="Times New Roman" w:hAnsi="Times New Roman"/>
                <w:kern w:val="2"/>
                <w:szCs w:val="24"/>
              </w:rPr>
              <w:t>高温干热灭菌线</w:t>
            </w:r>
          </w:p>
        </w:tc>
        <w:tc>
          <w:tcPr>
            <w:tcW w:w="702" w:type="dxa"/>
            <w:vMerge w:val="restart"/>
            <w:vAlign w:val="center"/>
          </w:tcPr>
          <w:p>
            <w:pPr>
              <w:spacing w:line="280" w:lineRule="exact"/>
              <w:jc w:val="center"/>
              <w:rPr>
                <w:rFonts w:ascii="Times New Roman" w:hAnsi="Times New Roman"/>
                <w:kern w:val="2"/>
                <w:szCs w:val="20"/>
              </w:rPr>
            </w:pPr>
            <w:r>
              <w:rPr>
                <w:rFonts w:ascii="Times New Roman" w:hAnsi="Times New Roman"/>
                <w:kern w:val="2"/>
                <w:szCs w:val="24"/>
              </w:rPr>
              <w:t>高温干热灭菌线</w:t>
            </w:r>
          </w:p>
        </w:tc>
        <w:tc>
          <w:tcPr>
            <w:tcW w:w="909" w:type="dxa"/>
            <w:vMerge w:val="restart"/>
            <w:vAlign w:val="center"/>
          </w:tcPr>
          <w:p>
            <w:pPr>
              <w:spacing w:line="280" w:lineRule="exact"/>
              <w:jc w:val="center"/>
              <w:rPr>
                <w:rFonts w:ascii="Times New Roman" w:hAnsi="Times New Roman"/>
                <w:kern w:val="2"/>
                <w:szCs w:val="24"/>
              </w:rPr>
            </w:pPr>
            <w:r>
              <w:rPr>
                <w:rFonts w:ascii="Times New Roman" w:hAnsi="Times New Roman"/>
                <w:kern w:val="2"/>
                <w:szCs w:val="20"/>
              </w:rPr>
              <w:t>生产废水</w:t>
            </w:r>
          </w:p>
        </w:tc>
        <w:tc>
          <w:tcPr>
            <w:tcW w:w="998" w:type="dxa"/>
            <w:vAlign w:val="center"/>
          </w:tcPr>
          <w:p>
            <w:pPr>
              <w:spacing w:line="280" w:lineRule="exact"/>
              <w:jc w:val="center"/>
              <w:rPr>
                <w:rFonts w:ascii="Times New Roman" w:hAnsi="Times New Roman"/>
                <w:kern w:val="2"/>
                <w:szCs w:val="20"/>
              </w:rPr>
            </w:pPr>
            <w:r>
              <w:rPr>
                <w:rFonts w:ascii="Times New Roman" w:hAnsi="Times New Roman"/>
                <w:kern w:val="2"/>
                <w:szCs w:val="20"/>
              </w:rPr>
              <w:t>COD</w:t>
            </w:r>
          </w:p>
        </w:tc>
        <w:tc>
          <w:tcPr>
            <w:tcW w:w="740" w:type="dxa"/>
            <w:vMerge w:val="restart"/>
            <w:vAlign w:val="center"/>
          </w:tcPr>
          <w:p>
            <w:pPr>
              <w:spacing w:line="280" w:lineRule="exact"/>
              <w:jc w:val="center"/>
              <w:rPr>
                <w:rFonts w:ascii="Times New Roman" w:hAnsi="Times New Roman"/>
                <w:kern w:val="2"/>
                <w:szCs w:val="20"/>
              </w:rPr>
            </w:pPr>
            <w:r>
              <w:rPr>
                <w:rFonts w:ascii="Times New Roman" w:hAnsi="Times New Roman"/>
                <w:kern w:val="2"/>
                <w:szCs w:val="20"/>
              </w:rPr>
              <w:t>类比法</w:t>
            </w:r>
          </w:p>
        </w:tc>
        <w:tc>
          <w:tcPr>
            <w:tcW w:w="1204" w:type="dxa"/>
            <w:vMerge w:val="restart"/>
            <w:vAlign w:val="center"/>
          </w:tcPr>
          <w:p>
            <w:pPr>
              <w:spacing w:line="280" w:lineRule="exact"/>
              <w:jc w:val="center"/>
              <w:rPr>
                <w:rFonts w:ascii="Times New Roman" w:hAnsi="Times New Roman"/>
                <w:kern w:val="2"/>
                <w:szCs w:val="20"/>
              </w:rPr>
            </w:pPr>
            <w:r>
              <w:rPr>
                <w:rFonts w:ascii="Times New Roman" w:hAnsi="Times New Roman"/>
                <w:kern w:val="2"/>
                <w:szCs w:val="20"/>
              </w:rPr>
              <w:t>1094.78</w:t>
            </w:r>
          </w:p>
        </w:tc>
        <w:tc>
          <w:tcPr>
            <w:tcW w:w="937" w:type="dxa"/>
            <w:vAlign w:val="center"/>
          </w:tcPr>
          <w:p>
            <w:pPr>
              <w:spacing w:line="280" w:lineRule="exact"/>
              <w:jc w:val="center"/>
              <w:rPr>
                <w:rFonts w:ascii="Times New Roman" w:hAnsi="Times New Roman"/>
                <w:kern w:val="2"/>
                <w:szCs w:val="20"/>
              </w:rPr>
            </w:pPr>
            <w:r>
              <w:rPr>
                <w:rFonts w:ascii="Times New Roman" w:hAnsi="Times New Roman"/>
                <w:kern w:val="2"/>
                <w:szCs w:val="20"/>
              </w:rPr>
              <w:t>450</w:t>
            </w:r>
          </w:p>
        </w:tc>
        <w:tc>
          <w:tcPr>
            <w:tcW w:w="937" w:type="dxa"/>
            <w:vAlign w:val="center"/>
          </w:tcPr>
          <w:p>
            <w:pPr>
              <w:spacing w:line="280" w:lineRule="exact"/>
              <w:jc w:val="center"/>
              <w:rPr>
                <w:rFonts w:ascii="Times New Roman" w:hAnsi="Times New Roman"/>
                <w:kern w:val="2"/>
                <w:szCs w:val="20"/>
              </w:rPr>
            </w:pPr>
            <w:r>
              <w:rPr>
                <w:rFonts w:ascii="Times New Roman" w:hAnsi="Times New Roman"/>
                <w:kern w:val="2"/>
                <w:szCs w:val="20"/>
              </w:rPr>
              <w:t>0.493</w:t>
            </w:r>
          </w:p>
        </w:tc>
        <w:tc>
          <w:tcPr>
            <w:tcW w:w="1475" w:type="dxa"/>
            <w:vMerge w:val="restart"/>
            <w:vAlign w:val="center"/>
          </w:tcPr>
          <w:p>
            <w:pPr>
              <w:spacing w:line="280" w:lineRule="exact"/>
              <w:jc w:val="center"/>
              <w:rPr>
                <w:rFonts w:ascii="Times New Roman" w:hAnsi="Times New Roman"/>
                <w:kern w:val="2"/>
                <w:szCs w:val="20"/>
              </w:rPr>
            </w:pPr>
            <w:r>
              <w:rPr>
                <w:rFonts w:ascii="Times New Roman" w:hAnsi="Times New Roman"/>
                <w:kern w:val="2"/>
                <w:szCs w:val="20"/>
              </w:rPr>
              <w:t>渗滤液消毒后与其他生产废水经企业原有污水处理站(工艺流程：格栅→调节池→一体化污水处理设备(水解酸化池→接触氧化池 →二沉池 →MBR池) →二氧化氯发生器→回用水池) 处理后满足《城市污水再生利用城市杂用水水质》( GB/T18920-2002 ) 中“车辆冲洗标准”，厂内全部回用不外排。</w:t>
            </w:r>
          </w:p>
        </w:tc>
        <w:tc>
          <w:tcPr>
            <w:tcW w:w="805" w:type="dxa"/>
            <w:vAlign w:val="center"/>
          </w:tcPr>
          <w:p>
            <w:pPr>
              <w:spacing w:line="280" w:lineRule="exact"/>
              <w:jc w:val="center"/>
              <w:rPr>
                <w:rFonts w:ascii="Times New Roman" w:hAnsi="Times New Roman"/>
                <w:kern w:val="2"/>
                <w:szCs w:val="20"/>
              </w:rPr>
            </w:pPr>
            <w:r>
              <w:rPr>
                <w:rFonts w:hint="eastAsia" w:ascii="Times New Roman" w:hAnsi="Times New Roman"/>
                <w:kern w:val="2"/>
                <w:szCs w:val="20"/>
              </w:rPr>
              <w:t>9</w:t>
            </w:r>
            <w:r>
              <w:rPr>
                <w:rFonts w:ascii="Times New Roman" w:hAnsi="Times New Roman"/>
                <w:kern w:val="2"/>
                <w:szCs w:val="20"/>
              </w:rPr>
              <w:t>0</w:t>
            </w:r>
          </w:p>
        </w:tc>
        <w:tc>
          <w:tcPr>
            <w:tcW w:w="805" w:type="dxa"/>
            <w:vMerge w:val="restart"/>
            <w:vAlign w:val="center"/>
          </w:tcPr>
          <w:p>
            <w:pPr>
              <w:spacing w:line="280" w:lineRule="exact"/>
              <w:jc w:val="center"/>
              <w:rPr>
                <w:rFonts w:ascii="Times New Roman" w:hAnsi="Times New Roman"/>
                <w:kern w:val="2"/>
                <w:szCs w:val="20"/>
              </w:rPr>
            </w:pPr>
            <w:r>
              <w:rPr>
                <w:rFonts w:hint="eastAsia" w:ascii="Times New Roman" w:hAnsi="Times New Roman"/>
                <w:kern w:val="2"/>
                <w:szCs w:val="20"/>
              </w:rPr>
              <w:t>物料衡算</w:t>
            </w:r>
          </w:p>
        </w:tc>
        <w:tc>
          <w:tcPr>
            <w:tcW w:w="1071" w:type="dxa"/>
            <w:vMerge w:val="restart"/>
            <w:vAlign w:val="center"/>
          </w:tcPr>
          <w:p>
            <w:pPr>
              <w:spacing w:line="280" w:lineRule="exact"/>
              <w:jc w:val="center"/>
              <w:rPr>
                <w:rFonts w:ascii="Times New Roman" w:hAnsi="Times New Roman"/>
                <w:kern w:val="2"/>
                <w:szCs w:val="20"/>
              </w:rPr>
            </w:pPr>
            <w:r>
              <w:rPr>
                <w:rFonts w:ascii="Times New Roman" w:hAnsi="Times New Roman"/>
                <w:kern w:val="2"/>
                <w:szCs w:val="20"/>
              </w:rPr>
              <w:t>1094.78</w:t>
            </w:r>
          </w:p>
        </w:tc>
        <w:tc>
          <w:tcPr>
            <w:tcW w:w="937" w:type="dxa"/>
            <w:vAlign w:val="center"/>
          </w:tcPr>
          <w:p>
            <w:pPr>
              <w:spacing w:line="280" w:lineRule="exact"/>
              <w:jc w:val="center"/>
              <w:rPr>
                <w:rFonts w:ascii="Times New Roman" w:hAnsi="Times New Roman"/>
                <w:kern w:val="2"/>
                <w:szCs w:val="20"/>
              </w:rPr>
            </w:pPr>
            <w:r>
              <w:rPr>
                <w:rFonts w:ascii="Times New Roman" w:hAnsi="Times New Roman"/>
                <w:kern w:val="2"/>
                <w:szCs w:val="20"/>
              </w:rPr>
              <w:t>45</w:t>
            </w:r>
          </w:p>
        </w:tc>
        <w:tc>
          <w:tcPr>
            <w:tcW w:w="937" w:type="dxa"/>
            <w:vAlign w:val="center"/>
          </w:tcPr>
          <w:p>
            <w:pPr>
              <w:spacing w:line="280" w:lineRule="exact"/>
              <w:jc w:val="center"/>
              <w:rPr>
                <w:rFonts w:ascii="Times New Roman" w:hAnsi="Times New Roman"/>
                <w:kern w:val="2"/>
                <w:szCs w:val="20"/>
              </w:rPr>
            </w:pPr>
            <w:r>
              <w:rPr>
                <w:rFonts w:ascii="Times New Roman" w:hAnsi="Times New Roman"/>
                <w:kern w:val="2"/>
                <w:szCs w:val="20"/>
              </w:rPr>
              <w:t>0.0493</w:t>
            </w:r>
          </w:p>
        </w:tc>
        <w:tc>
          <w:tcPr>
            <w:tcW w:w="894" w:type="dxa"/>
            <w:vMerge w:val="restart"/>
            <w:vAlign w:val="center"/>
          </w:tcPr>
          <w:p>
            <w:pPr>
              <w:spacing w:line="280" w:lineRule="exact"/>
              <w:jc w:val="center"/>
              <w:rPr>
                <w:rFonts w:ascii="Times New Roman" w:hAnsi="Times New Roman"/>
                <w:kern w:val="2"/>
                <w:szCs w:val="20"/>
              </w:rPr>
            </w:pPr>
            <w:r>
              <w:rPr>
                <w:rFonts w:ascii="Times New Roman" w:hAnsi="Times New Roman"/>
                <w:kern w:val="2"/>
                <w:szCs w:val="20"/>
              </w:rPr>
              <w:t>5840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0" w:hRule="atLeast"/>
          <w:jc w:val="center"/>
        </w:trPr>
        <w:tc>
          <w:tcPr>
            <w:tcW w:w="699" w:type="dxa"/>
            <w:vMerge w:val="continue"/>
            <w:vAlign w:val="center"/>
          </w:tcPr>
          <w:p>
            <w:pPr>
              <w:spacing w:line="280" w:lineRule="exact"/>
              <w:jc w:val="center"/>
              <w:rPr>
                <w:rFonts w:ascii="Times New Roman" w:hAnsi="Times New Roman"/>
                <w:kern w:val="2"/>
                <w:szCs w:val="20"/>
              </w:rPr>
            </w:pPr>
          </w:p>
        </w:tc>
        <w:tc>
          <w:tcPr>
            <w:tcW w:w="702" w:type="dxa"/>
            <w:vMerge w:val="continue"/>
            <w:vAlign w:val="center"/>
          </w:tcPr>
          <w:p>
            <w:pPr>
              <w:spacing w:line="280" w:lineRule="exact"/>
              <w:jc w:val="center"/>
              <w:rPr>
                <w:rFonts w:ascii="Times New Roman" w:hAnsi="Times New Roman"/>
                <w:kern w:val="2"/>
                <w:szCs w:val="20"/>
              </w:rPr>
            </w:pPr>
          </w:p>
        </w:tc>
        <w:tc>
          <w:tcPr>
            <w:tcW w:w="909" w:type="dxa"/>
            <w:vMerge w:val="continue"/>
            <w:vAlign w:val="center"/>
          </w:tcPr>
          <w:p>
            <w:pPr>
              <w:spacing w:line="280" w:lineRule="exact"/>
              <w:jc w:val="center"/>
              <w:rPr>
                <w:rFonts w:ascii="Times New Roman" w:hAnsi="Times New Roman"/>
                <w:kern w:val="2"/>
                <w:szCs w:val="20"/>
              </w:rPr>
            </w:pPr>
          </w:p>
        </w:tc>
        <w:tc>
          <w:tcPr>
            <w:tcW w:w="998" w:type="dxa"/>
            <w:vAlign w:val="center"/>
          </w:tcPr>
          <w:p>
            <w:pPr>
              <w:spacing w:line="280" w:lineRule="exact"/>
              <w:jc w:val="center"/>
              <w:rPr>
                <w:rFonts w:ascii="Times New Roman" w:hAnsi="Times New Roman"/>
                <w:kern w:val="2"/>
                <w:szCs w:val="20"/>
              </w:rPr>
            </w:pPr>
            <w:r>
              <w:rPr>
                <w:rFonts w:ascii="Times New Roman" w:hAnsi="Times New Roman"/>
                <w:kern w:val="2"/>
                <w:szCs w:val="20"/>
              </w:rPr>
              <w:t>BOD</w:t>
            </w:r>
            <w:r>
              <w:rPr>
                <w:rFonts w:ascii="Times New Roman" w:hAnsi="Times New Roman"/>
                <w:kern w:val="2"/>
                <w:szCs w:val="20"/>
                <w:vertAlign w:val="subscript"/>
              </w:rPr>
              <w:t>5</w:t>
            </w:r>
          </w:p>
        </w:tc>
        <w:tc>
          <w:tcPr>
            <w:tcW w:w="740" w:type="dxa"/>
            <w:vMerge w:val="continue"/>
            <w:vAlign w:val="center"/>
          </w:tcPr>
          <w:p>
            <w:pPr>
              <w:spacing w:line="280" w:lineRule="exact"/>
              <w:jc w:val="center"/>
              <w:rPr>
                <w:rFonts w:ascii="Times New Roman" w:hAnsi="Times New Roman"/>
                <w:kern w:val="2"/>
                <w:szCs w:val="20"/>
              </w:rPr>
            </w:pPr>
          </w:p>
        </w:tc>
        <w:tc>
          <w:tcPr>
            <w:tcW w:w="1204" w:type="dxa"/>
            <w:vMerge w:val="continue"/>
            <w:vAlign w:val="center"/>
          </w:tcPr>
          <w:p>
            <w:pPr>
              <w:spacing w:line="280" w:lineRule="exact"/>
              <w:jc w:val="center"/>
              <w:rPr>
                <w:rFonts w:ascii="Times New Roman" w:hAnsi="Times New Roman"/>
                <w:kern w:val="2"/>
                <w:szCs w:val="20"/>
              </w:rPr>
            </w:pPr>
          </w:p>
        </w:tc>
        <w:tc>
          <w:tcPr>
            <w:tcW w:w="937" w:type="dxa"/>
            <w:vAlign w:val="center"/>
          </w:tcPr>
          <w:p>
            <w:pPr>
              <w:spacing w:line="280" w:lineRule="exact"/>
              <w:jc w:val="center"/>
              <w:rPr>
                <w:rFonts w:ascii="Times New Roman" w:hAnsi="Times New Roman"/>
                <w:kern w:val="2"/>
                <w:szCs w:val="20"/>
              </w:rPr>
            </w:pPr>
            <w:r>
              <w:rPr>
                <w:rFonts w:ascii="Times New Roman" w:hAnsi="Times New Roman"/>
                <w:kern w:val="2"/>
                <w:szCs w:val="20"/>
              </w:rPr>
              <w:t>200</w:t>
            </w:r>
          </w:p>
        </w:tc>
        <w:tc>
          <w:tcPr>
            <w:tcW w:w="937" w:type="dxa"/>
            <w:vAlign w:val="center"/>
          </w:tcPr>
          <w:p>
            <w:pPr>
              <w:spacing w:line="280" w:lineRule="exact"/>
              <w:jc w:val="center"/>
              <w:rPr>
                <w:rFonts w:ascii="Times New Roman" w:hAnsi="Times New Roman"/>
                <w:kern w:val="2"/>
                <w:szCs w:val="20"/>
              </w:rPr>
            </w:pPr>
            <w:r>
              <w:rPr>
                <w:rFonts w:ascii="Times New Roman" w:hAnsi="Times New Roman"/>
                <w:kern w:val="2"/>
                <w:szCs w:val="20"/>
              </w:rPr>
              <w:t>0.219</w:t>
            </w:r>
          </w:p>
        </w:tc>
        <w:tc>
          <w:tcPr>
            <w:tcW w:w="1475" w:type="dxa"/>
            <w:vMerge w:val="continue"/>
            <w:vAlign w:val="center"/>
          </w:tcPr>
          <w:p>
            <w:pPr>
              <w:spacing w:line="280" w:lineRule="exact"/>
              <w:jc w:val="center"/>
              <w:rPr>
                <w:rFonts w:ascii="Times New Roman" w:hAnsi="Times New Roman"/>
                <w:kern w:val="2"/>
                <w:szCs w:val="20"/>
              </w:rPr>
            </w:pPr>
          </w:p>
        </w:tc>
        <w:tc>
          <w:tcPr>
            <w:tcW w:w="805" w:type="dxa"/>
            <w:vAlign w:val="center"/>
          </w:tcPr>
          <w:p>
            <w:pPr>
              <w:spacing w:line="280" w:lineRule="exact"/>
              <w:jc w:val="center"/>
              <w:rPr>
                <w:rFonts w:ascii="Times New Roman" w:hAnsi="Times New Roman"/>
                <w:kern w:val="2"/>
                <w:szCs w:val="20"/>
              </w:rPr>
            </w:pPr>
            <w:r>
              <w:rPr>
                <w:rFonts w:hint="eastAsia" w:ascii="Times New Roman" w:hAnsi="Times New Roman"/>
                <w:kern w:val="2"/>
                <w:szCs w:val="20"/>
              </w:rPr>
              <w:t>9</w:t>
            </w:r>
            <w:r>
              <w:rPr>
                <w:rFonts w:ascii="Times New Roman" w:hAnsi="Times New Roman"/>
                <w:kern w:val="2"/>
                <w:szCs w:val="20"/>
              </w:rPr>
              <w:t>6</w:t>
            </w:r>
          </w:p>
        </w:tc>
        <w:tc>
          <w:tcPr>
            <w:tcW w:w="805" w:type="dxa"/>
            <w:vMerge w:val="continue"/>
            <w:vAlign w:val="center"/>
          </w:tcPr>
          <w:p>
            <w:pPr>
              <w:spacing w:line="280" w:lineRule="exact"/>
              <w:jc w:val="center"/>
              <w:rPr>
                <w:rFonts w:ascii="Times New Roman" w:hAnsi="Times New Roman"/>
                <w:kern w:val="2"/>
                <w:szCs w:val="20"/>
              </w:rPr>
            </w:pPr>
          </w:p>
        </w:tc>
        <w:tc>
          <w:tcPr>
            <w:tcW w:w="1071" w:type="dxa"/>
            <w:vMerge w:val="continue"/>
            <w:vAlign w:val="center"/>
          </w:tcPr>
          <w:p>
            <w:pPr>
              <w:spacing w:line="280" w:lineRule="exact"/>
              <w:jc w:val="center"/>
              <w:rPr>
                <w:rFonts w:ascii="Times New Roman" w:hAnsi="Times New Roman"/>
                <w:kern w:val="2"/>
                <w:szCs w:val="20"/>
              </w:rPr>
            </w:pPr>
          </w:p>
        </w:tc>
        <w:tc>
          <w:tcPr>
            <w:tcW w:w="937" w:type="dxa"/>
            <w:vAlign w:val="center"/>
          </w:tcPr>
          <w:p>
            <w:pPr>
              <w:spacing w:line="280" w:lineRule="exact"/>
              <w:jc w:val="center"/>
              <w:rPr>
                <w:rFonts w:ascii="Times New Roman" w:hAnsi="Times New Roman"/>
                <w:kern w:val="2"/>
                <w:szCs w:val="20"/>
              </w:rPr>
            </w:pPr>
            <w:r>
              <w:rPr>
                <w:rFonts w:ascii="Times New Roman" w:hAnsi="Times New Roman"/>
                <w:kern w:val="2"/>
                <w:szCs w:val="20"/>
              </w:rPr>
              <w:t>8</w:t>
            </w:r>
          </w:p>
        </w:tc>
        <w:tc>
          <w:tcPr>
            <w:tcW w:w="937" w:type="dxa"/>
            <w:vAlign w:val="center"/>
          </w:tcPr>
          <w:p>
            <w:pPr>
              <w:spacing w:line="280" w:lineRule="exact"/>
              <w:jc w:val="center"/>
              <w:rPr>
                <w:rFonts w:ascii="Times New Roman" w:hAnsi="Times New Roman"/>
                <w:kern w:val="2"/>
                <w:szCs w:val="20"/>
              </w:rPr>
            </w:pPr>
            <w:r>
              <w:rPr>
                <w:rFonts w:ascii="Times New Roman" w:hAnsi="Times New Roman"/>
                <w:kern w:val="2"/>
                <w:szCs w:val="20"/>
              </w:rPr>
              <w:t>0.0088</w:t>
            </w:r>
          </w:p>
        </w:tc>
        <w:tc>
          <w:tcPr>
            <w:tcW w:w="894" w:type="dxa"/>
            <w:vMerge w:val="continue"/>
            <w:vAlign w:val="center"/>
          </w:tcPr>
          <w:p>
            <w:pPr>
              <w:spacing w:line="280" w:lineRule="exact"/>
              <w:jc w:val="center"/>
              <w:rPr>
                <w:rFonts w:ascii="Times New Roman" w:hAnsi="Times New Roman"/>
                <w:kern w:val="2"/>
                <w:szCs w:val="2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0" w:hRule="atLeast"/>
          <w:jc w:val="center"/>
        </w:trPr>
        <w:tc>
          <w:tcPr>
            <w:tcW w:w="699" w:type="dxa"/>
            <w:vMerge w:val="continue"/>
            <w:vAlign w:val="center"/>
          </w:tcPr>
          <w:p>
            <w:pPr>
              <w:spacing w:line="280" w:lineRule="exact"/>
              <w:jc w:val="center"/>
              <w:rPr>
                <w:rFonts w:ascii="Times New Roman" w:hAnsi="Times New Roman"/>
                <w:kern w:val="2"/>
                <w:szCs w:val="24"/>
              </w:rPr>
            </w:pPr>
          </w:p>
        </w:tc>
        <w:tc>
          <w:tcPr>
            <w:tcW w:w="702" w:type="dxa"/>
            <w:vMerge w:val="continue"/>
            <w:vAlign w:val="center"/>
          </w:tcPr>
          <w:p>
            <w:pPr>
              <w:spacing w:line="280" w:lineRule="exact"/>
              <w:jc w:val="center"/>
              <w:rPr>
                <w:rFonts w:ascii="Times New Roman" w:hAnsi="Times New Roman"/>
                <w:kern w:val="2"/>
                <w:szCs w:val="20"/>
              </w:rPr>
            </w:pPr>
          </w:p>
        </w:tc>
        <w:tc>
          <w:tcPr>
            <w:tcW w:w="909" w:type="dxa"/>
            <w:vMerge w:val="continue"/>
            <w:vAlign w:val="center"/>
          </w:tcPr>
          <w:p>
            <w:pPr>
              <w:spacing w:line="280" w:lineRule="exact"/>
              <w:jc w:val="center"/>
              <w:rPr>
                <w:rFonts w:ascii="Times New Roman" w:hAnsi="Times New Roman"/>
                <w:kern w:val="2"/>
                <w:szCs w:val="24"/>
              </w:rPr>
            </w:pPr>
          </w:p>
        </w:tc>
        <w:tc>
          <w:tcPr>
            <w:tcW w:w="998" w:type="dxa"/>
            <w:vAlign w:val="center"/>
          </w:tcPr>
          <w:p>
            <w:pPr>
              <w:spacing w:line="280" w:lineRule="exact"/>
              <w:jc w:val="center"/>
              <w:rPr>
                <w:rFonts w:ascii="Times New Roman" w:hAnsi="Times New Roman"/>
                <w:kern w:val="2"/>
                <w:szCs w:val="20"/>
              </w:rPr>
            </w:pPr>
            <w:r>
              <w:rPr>
                <w:rFonts w:ascii="Times New Roman" w:hAnsi="Times New Roman"/>
                <w:kern w:val="2"/>
                <w:szCs w:val="20"/>
              </w:rPr>
              <w:t>SS</w:t>
            </w:r>
          </w:p>
        </w:tc>
        <w:tc>
          <w:tcPr>
            <w:tcW w:w="740" w:type="dxa"/>
            <w:vMerge w:val="continue"/>
            <w:vAlign w:val="center"/>
          </w:tcPr>
          <w:p>
            <w:pPr>
              <w:spacing w:line="280" w:lineRule="exact"/>
              <w:jc w:val="center"/>
              <w:rPr>
                <w:rFonts w:ascii="Times New Roman" w:hAnsi="Times New Roman"/>
                <w:kern w:val="2"/>
                <w:szCs w:val="20"/>
              </w:rPr>
            </w:pPr>
          </w:p>
        </w:tc>
        <w:tc>
          <w:tcPr>
            <w:tcW w:w="1204" w:type="dxa"/>
            <w:vMerge w:val="continue"/>
            <w:vAlign w:val="center"/>
          </w:tcPr>
          <w:p>
            <w:pPr>
              <w:spacing w:line="280" w:lineRule="exact"/>
              <w:jc w:val="center"/>
              <w:rPr>
                <w:rFonts w:ascii="Times New Roman" w:hAnsi="Times New Roman"/>
                <w:kern w:val="2"/>
                <w:szCs w:val="20"/>
              </w:rPr>
            </w:pPr>
          </w:p>
        </w:tc>
        <w:tc>
          <w:tcPr>
            <w:tcW w:w="937" w:type="dxa"/>
            <w:vAlign w:val="center"/>
          </w:tcPr>
          <w:p>
            <w:pPr>
              <w:spacing w:line="280" w:lineRule="exact"/>
              <w:jc w:val="center"/>
              <w:rPr>
                <w:rFonts w:ascii="Times New Roman" w:hAnsi="Times New Roman"/>
                <w:kern w:val="2"/>
                <w:szCs w:val="20"/>
              </w:rPr>
            </w:pPr>
            <w:r>
              <w:rPr>
                <w:rFonts w:ascii="Times New Roman" w:hAnsi="Times New Roman"/>
                <w:kern w:val="2"/>
                <w:szCs w:val="20"/>
              </w:rPr>
              <w:t>200</w:t>
            </w:r>
          </w:p>
        </w:tc>
        <w:tc>
          <w:tcPr>
            <w:tcW w:w="937" w:type="dxa"/>
            <w:vAlign w:val="center"/>
          </w:tcPr>
          <w:p>
            <w:pPr>
              <w:spacing w:line="280" w:lineRule="exact"/>
              <w:jc w:val="center"/>
              <w:rPr>
                <w:rFonts w:ascii="Times New Roman" w:hAnsi="Times New Roman"/>
                <w:kern w:val="2"/>
                <w:szCs w:val="20"/>
              </w:rPr>
            </w:pPr>
            <w:r>
              <w:rPr>
                <w:rFonts w:ascii="Times New Roman" w:hAnsi="Times New Roman"/>
                <w:kern w:val="2"/>
                <w:szCs w:val="20"/>
              </w:rPr>
              <w:t>0.219</w:t>
            </w:r>
          </w:p>
        </w:tc>
        <w:tc>
          <w:tcPr>
            <w:tcW w:w="1475" w:type="dxa"/>
            <w:vMerge w:val="continue"/>
            <w:vAlign w:val="center"/>
          </w:tcPr>
          <w:p>
            <w:pPr>
              <w:spacing w:line="280" w:lineRule="exact"/>
              <w:jc w:val="center"/>
              <w:rPr>
                <w:rFonts w:ascii="Times New Roman" w:hAnsi="Times New Roman"/>
                <w:kern w:val="2"/>
                <w:szCs w:val="20"/>
              </w:rPr>
            </w:pPr>
          </w:p>
        </w:tc>
        <w:tc>
          <w:tcPr>
            <w:tcW w:w="805" w:type="dxa"/>
            <w:vAlign w:val="center"/>
          </w:tcPr>
          <w:p>
            <w:pPr>
              <w:spacing w:line="280" w:lineRule="exact"/>
              <w:jc w:val="center"/>
              <w:rPr>
                <w:rFonts w:ascii="Times New Roman" w:hAnsi="Times New Roman"/>
                <w:kern w:val="2"/>
                <w:szCs w:val="20"/>
              </w:rPr>
            </w:pPr>
            <w:r>
              <w:rPr>
                <w:rFonts w:hint="eastAsia" w:ascii="Times New Roman" w:hAnsi="Times New Roman"/>
                <w:kern w:val="2"/>
                <w:szCs w:val="20"/>
              </w:rPr>
              <w:t>9</w:t>
            </w:r>
            <w:r>
              <w:rPr>
                <w:rFonts w:ascii="Times New Roman" w:hAnsi="Times New Roman"/>
                <w:kern w:val="2"/>
                <w:szCs w:val="20"/>
              </w:rPr>
              <w:t>5</w:t>
            </w:r>
          </w:p>
        </w:tc>
        <w:tc>
          <w:tcPr>
            <w:tcW w:w="805" w:type="dxa"/>
            <w:vMerge w:val="continue"/>
            <w:vAlign w:val="center"/>
          </w:tcPr>
          <w:p>
            <w:pPr>
              <w:spacing w:line="280" w:lineRule="exact"/>
              <w:jc w:val="center"/>
              <w:rPr>
                <w:rFonts w:ascii="Times New Roman" w:hAnsi="Times New Roman"/>
                <w:kern w:val="2"/>
                <w:szCs w:val="20"/>
              </w:rPr>
            </w:pPr>
          </w:p>
        </w:tc>
        <w:tc>
          <w:tcPr>
            <w:tcW w:w="1071" w:type="dxa"/>
            <w:vMerge w:val="continue"/>
            <w:vAlign w:val="center"/>
          </w:tcPr>
          <w:p>
            <w:pPr>
              <w:spacing w:line="280" w:lineRule="exact"/>
              <w:jc w:val="center"/>
              <w:rPr>
                <w:rFonts w:ascii="Times New Roman" w:hAnsi="Times New Roman"/>
                <w:kern w:val="2"/>
                <w:szCs w:val="20"/>
              </w:rPr>
            </w:pPr>
          </w:p>
        </w:tc>
        <w:tc>
          <w:tcPr>
            <w:tcW w:w="937" w:type="dxa"/>
            <w:vAlign w:val="center"/>
          </w:tcPr>
          <w:p>
            <w:pPr>
              <w:spacing w:line="280" w:lineRule="exact"/>
              <w:jc w:val="center"/>
              <w:rPr>
                <w:rFonts w:ascii="Times New Roman" w:hAnsi="Times New Roman"/>
                <w:kern w:val="2"/>
                <w:szCs w:val="20"/>
              </w:rPr>
            </w:pPr>
            <w:r>
              <w:rPr>
                <w:rFonts w:ascii="Times New Roman" w:hAnsi="Times New Roman"/>
                <w:kern w:val="2"/>
                <w:szCs w:val="20"/>
              </w:rPr>
              <w:t>8</w:t>
            </w:r>
          </w:p>
        </w:tc>
        <w:tc>
          <w:tcPr>
            <w:tcW w:w="937" w:type="dxa"/>
            <w:vAlign w:val="center"/>
          </w:tcPr>
          <w:p>
            <w:pPr>
              <w:spacing w:line="280" w:lineRule="exact"/>
              <w:jc w:val="center"/>
              <w:rPr>
                <w:rFonts w:ascii="Times New Roman" w:hAnsi="Times New Roman"/>
                <w:kern w:val="2"/>
                <w:szCs w:val="20"/>
              </w:rPr>
            </w:pPr>
            <w:r>
              <w:rPr>
                <w:rFonts w:ascii="Times New Roman" w:hAnsi="Times New Roman"/>
                <w:kern w:val="2"/>
                <w:szCs w:val="20"/>
              </w:rPr>
              <w:t>0.0088</w:t>
            </w:r>
          </w:p>
        </w:tc>
        <w:tc>
          <w:tcPr>
            <w:tcW w:w="894" w:type="dxa"/>
            <w:vMerge w:val="continue"/>
            <w:vAlign w:val="center"/>
          </w:tcPr>
          <w:p>
            <w:pPr>
              <w:spacing w:line="280" w:lineRule="exact"/>
              <w:jc w:val="center"/>
              <w:rPr>
                <w:rFonts w:ascii="Times New Roman" w:hAnsi="Times New Roman"/>
                <w:kern w:val="2"/>
                <w:szCs w:val="2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0" w:hRule="atLeast"/>
          <w:jc w:val="center"/>
        </w:trPr>
        <w:tc>
          <w:tcPr>
            <w:tcW w:w="699" w:type="dxa"/>
            <w:vMerge w:val="continue"/>
            <w:vAlign w:val="center"/>
          </w:tcPr>
          <w:p>
            <w:pPr>
              <w:spacing w:line="280" w:lineRule="exact"/>
              <w:jc w:val="center"/>
              <w:rPr>
                <w:rFonts w:ascii="Times New Roman" w:hAnsi="Times New Roman"/>
                <w:kern w:val="2"/>
                <w:szCs w:val="20"/>
              </w:rPr>
            </w:pPr>
          </w:p>
        </w:tc>
        <w:tc>
          <w:tcPr>
            <w:tcW w:w="702" w:type="dxa"/>
            <w:vMerge w:val="continue"/>
            <w:vAlign w:val="center"/>
          </w:tcPr>
          <w:p>
            <w:pPr>
              <w:spacing w:line="280" w:lineRule="exact"/>
              <w:jc w:val="center"/>
              <w:rPr>
                <w:rFonts w:ascii="Times New Roman" w:hAnsi="Times New Roman"/>
                <w:kern w:val="2"/>
                <w:szCs w:val="20"/>
              </w:rPr>
            </w:pPr>
          </w:p>
        </w:tc>
        <w:tc>
          <w:tcPr>
            <w:tcW w:w="909" w:type="dxa"/>
            <w:vMerge w:val="continue"/>
            <w:vAlign w:val="center"/>
          </w:tcPr>
          <w:p>
            <w:pPr>
              <w:spacing w:line="280" w:lineRule="exact"/>
              <w:jc w:val="center"/>
              <w:rPr>
                <w:rFonts w:ascii="Times New Roman" w:hAnsi="Times New Roman"/>
                <w:kern w:val="2"/>
                <w:szCs w:val="20"/>
              </w:rPr>
            </w:pPr>
          </w:p>
        </w:tc>
        <w:tc>
          <w:tcPr>
            <w:tcW w:w="998" w:type="dxa"/>
            <w:vAlign w:val="center"/>
          </w:tcPr>
          <w:p>
            <w:pPr>
              <w:spacing w:line="280" w:lineRule="exact"/>
              <w:jc w:val="center"/>
              <w:rPr>
                <w:rFonts w:ascii="Times New Roman" w:hAnsi="Times New Roman"/>
                <w:kern w:val="2"/>
                <w:szCs w:val="20"/>
              </w:rPr>
            </w:pPr>
            <w:r>
              <w:rPr>
                <w:rFonts w:ascii="Times New Roman" w:hAnsi="Times New Roman"/>
                <w:kern w:val="2"/>
                <w:szCs w:val="20"/>
              </w:rPr>
              <w:t>NH</w:t>
            </w:r>
            <w:r>
              <w:rPr>
                <w:rFonts w:ascii="Times New Roman" w:hAnsi="Times New Roman"/>
                <w:kern w:val="2"/>
                <w:szCs w:val="20"/>
                <w:vertAlign w:val="subscript"/>
              </w:rPr>
              <w:t>3</w:t>
            </w:r>
            <w:r>
              <w:rPr>
                <w:rFonts w:ascii="Times New Roman" w:hAnsi="Times New Roman"/>
                <w:kern w:val="2"/>
                <w:szCs w:val="20"/>
              </w:rPr>
              <w:t>-N</w:t>
            </w:r>
          </w:p>
        </w:tc>
        <w:tc>
          <w:tcPr>
            <w:tcW w:w="740" w:type="dxa"/>
            <w:vMerge w:val="continue"/>
            <w:vAlign w:val="center"/>
          </w:tcPr>
          <w:p>
            <w:pPr>
              <w:spacing w:line="280" w:lineRule="exact"/>
              <w:jc w:val="center"/>
              <w:rPr>
                <w:rFonts w:ascii="Times New Roman" w:hAnsi="Times New Roman"/>
                <w:kern w:val="2"/>
                <w:szCs w:val="20"/>
              </w:rPr>
            </w:pPr>
          </w:p>
        </w:tc>
        <w:tc>
          <w:tcPr>
            <w:tcW w:w="1204" w:type="dxa"/>
            <w:vMerge w:val="continue"/>
            <w:vAlign w:val="center"/>
          </w:tcPr>
          <w:p>
            <w:pPr>
              <w:spacing w:line="280" w:lineRule="exact"/>
              <w:jc w:val="center"/>
              <w:rPr>
                <w:rFonts w:ascii="Times New Roman" w:hAnsi="Times New Roman"/>
                <w:kern w:val="2"/>
                <w:szCs w:val="20"/>
              </w:rPr>
            </w:pPr>
          </w:p>
        </w:tc>
        <w:tc>
          <w:tcPr>
            <w:tcW w:w="937" w:type="dxa"/>
            <w:vAlign w:val="center"/>
          </w:tcPr>
          <w:p>
            <w:pPr>
              <w:spacing w:line="280" w:lineRule="exact"/>
              <w:jc w:val="center"/>
              <w:rPr>
                <w:rFonts w:ascii="Times New Roman" w:hAnsi="Times New Roman"/>
                <w:kern w:val="2"/>
                <w:szCs w:val="20"/>
              </w:rPr>
            </w:pPr>
            <w:r>
              <w:rPr>
                <w:rFonts w:ascii="Times New Roman" w:hAnsi="Times New Roman"/>
                <w:kern w:val="2"/>
                <w:szCs w:val="20"/>
              </w:rPr>
              <w:t>30</w:t>
            </w:r>
          </w:p>
        </w:tc>
        <w:tc>
          <w:tcPr>
            <w:tcW w:w="937" w:type="dxa"/>
            <w:vAlign w:val="center"/>
          </w:tcPr>
          <w:p>
            <w:pPr>
              <w:spacing w:line="280" w:lineRule="exact"/>
              <w:jc w:val="center"/>
              <w:rPr>
                <w:rFonts w:ascii="Times New Roman" w:hAnsi="Times New Roman"/>
                <w:kern w:val="2"/>
                <w:szCs w:val="20"/>
              </w:rPr>
            </w:pPr>
            <w:r>
              <w:rPr>
                <w:rFonts w:ascii="Times New Roman" w:hAnsi="Times New Roman"/>
                <w:kern w:val="2"/>
                <w:szCs w:val="20"/>
              </w:rPr>
              <w:t>0.033</w:t>
            </w:r>
          </w:p>
        </w:tc>
        <w:tc>
          <w:tcPr>
            <w:tcW w:w="1475" w:type="dxa"/>
            <w:vMerge w:val="continue"/>
            <w:vAlign w:val="center"/>
          </w:tcPr>
          <w:p>
            <w:pPr>
              <w:spacing w:line="280" w:lineRule="exact"/>
              <w:jc w:val="center"/>
              <w:rPr>
                <w:rFonts w:ascii="Times New Roman" w:hAnsi="Times New Roman"/>
                <w:kern w:val="2"/>
                <w:szCs w:val="20"/>
              </w:rPr>
            </w:pPr>
          </w:p>
        </w:tc>
        <w:tc>
          <w:tcPr>
            <w:tcW w:w="805" w:type="dxa"/>
            <w:vAlign w:val="center"/>
          </w:tcPr>
          <w:p>
            <w:pPr>
              <w:spacing w:line="280" w:lineRule="exact"/>
              <w:jc w:val="center"/>
              <w:rPr>
                <w:rFonts w:ascii="Times New Roman" w:hAnsi="Times New Roman"/>
                <w:kern w:val="2"/>
                <w:szCs w:val="20"/>
              </w:rPr>
            </w:pPr>
            <w:r>
              <w:rPr>
                <w:rFonts w:hint="eastAsia" w:ascii="Times New Roman" w:hAnsi="Times New Roman"/>
                <w:kern w:val="2"/>
                <w:szCs w:val="20"/>
              </w:rPr>
              <w:t>9</w:t>
            </w:r>
            <w:r>
              <w:rPr>
                <w:rFonts w:ascii="Times New Roman" w:hAnsi="Times New Roman"/>
                <w:kern w:val="2"/>
                <w:szCs w:val="20"/>
              </w:rPr>
              <w:t>0</w:t>
            </w:r>
          </w:p>
        </w:tc>
        <w:tc>
          <w:tcPr>
            <w:tcW w:w="805" w:type="dxa"/>
            <w:vMerge w:val="continue"/>
            <w:vAlign w:val="center"/>
          </w:tcPr>
          <w:p>
            <w:pPr>
              <w:spacing w:line="280" w:lineRule="exact"/>
              <w:jc w:val="center"/>
              <w:rPr>
                <w:rFonts w:ascii="Times New Roman" w:hAnsi="Times New Roman"/>
                <w:kern w:val="2"/>
                <w:szCs w:val="20"/>
              </w:rPr>
            </w:pPr>
          </w:p>
        </w:tc>
        <w:tc>
          <w:tcPr>
            <w:tcW w:w="1071" w:type="dxa"/>
            <w:vMerge w:val="continue"/>
            <w:vAlign w:val="center"/>
          </w:tcPr>
          <w:p>
            <w:pPr>
              <w:spacing w:line="280" w:lineRule="exact"/>
              <w:jc w:val="center"/>
              <w:rPr>
                <w:rFonts w:ascii="Times New Roman" w:hAnsi="Times New Roman"/>
                <w:kern w:val="2"/>
                <w:szCs w:val="20"/>
              </w:rPr>
            </w:pPr>
          </w:p>
        </w:tc>
        <w:tc>
          <w:tcPr>
            <w:tcW w:w="937" w:type="dxa"/>
            <w:vAlign w:val="center"/>
          </w:tcPr>
          <w:p>
            <w:pPr>
              <w:spacing w:line="280" w:lineRule="exact"/>
              <w:jc w:val="center"/>
              <w:rPr>
                <w:rFonts w:ascii="Times New Roman" w:hAnsi="Times New Roman"/>
                <w:kern w:val="2"/>
                <w:szCs w:val="20"/>
              </w:rPr>
            </w:pPr>
            <w:r>
              <w:rPr>
                <w:rFonts w:ascii="Times New Roman" w:hAnsi="Times New Roman"/>
                <w:kern w:val="2"/>
                <w:szCs w:val="20"/>
              </w:rPr>
              <w:t>3</w:t>
            </w:r>
          </w:p>
        </w:tc>
        <w:tc>
          <w:tcPr>
            <w:tcW w:w="937" w:type="dxa"/>
            <w:vAlign w:val="center"/>
          </w:tcPr>
          <w:p>
            <w:pPr>
              <w:spacing w:line="280" w:lineRule="exact"/>
              <w:jc w:val="center"/>
              <w:rPr>
                <w:rFonts w:ascii="Times New Roman" w:hAnsi="Times New Roman"/>
                <w:kern w:val="2"/>
                <w:szCs w:val="20"/>
              </w:rPr>
            </w:pPr>
            <w:r>
              <w:rPr>
                <w:rFonts w:ascii="Times New Roman" w:hAnsi="Times New Roman"/>
                <w:kern w:val="2"/>
                <w:szCs w:val="20"/>
              </w:rPr>
              <w:t>0.0033</w:t>
            </w:r>
          </w:p>
        </w:tc>
        <w:tc>
          <w:tcPr>
            <w:tcW w:w="894" w:type="dxa"/>
            <w:vMerge w:val="continue"/>
            <w:vAlign w:val="center"/>
          </w:tcPr>
          <w:p>
            <w:pPr>
              <w:spacing w:line="280" w:lineRule="exact"/>
              <w:jc w:val="center"/>
              <w:rPr>
                <w:rFonts w:ascii="Times New Roman" w:hAnsi="Times New Roman"/>
                <w:kern w:val="2"/>
                <w:szCs w:val="20"/>
              </w:rPr>
            </w:pPr>
          </w:p>
        </w:tc>
      </w:tr>
    </w:tbl>
    <w:p>
      <w:pPr>
        <w:pStyle w:val="70"/>
        <w:ind w:left="2250" w:hanging="1200"/>
        <w:rPr>
          <w:rFonts w:ascii="Times New Roman" w:hAnsi="Times New Roman"/>
        </w:rPr>
        <w:sectPr>
          <w:pgSz w:w="16839" w:h="11907" w:orient="landscape"/>
          <w:pgMar w:top="1440" w:right="1797" w:bottom="1440" w:left="1797" w:header="851" w:footer="850" w:gutter="0"/>
          <w:cols w:space="720" w:num="1"/>
          <w:docGrid w:linePitch="312" w:charSpace="0"/>
        </w:sectPr>
      </w:pPr>
    </w:p>
    <w:p>
      <w:pPr>
        <w:widowControl/>
        <w:spacing w:line="480" w:lineRule="exact"/>
        <w:outlineLvl w:val="3"/>
        <w:rPr>
          <w:rFonts w:ascii="Times New Roman" w:hAnsi="Times New Roman" w:eastAsia="黑体"/>
          <w:sz w:val="24"/>
        </w:rPr>
      </w:pPr>
      <w:r>
        <w:rPr>
          <w:rFonts w:ascii="Times New Roman" w:hAnsi="Times New Roman" w:eastAsia="黑体"/>
          <w:sz w:val="24"/>
        </w:rPr>
        <w:t>3.5.2.2.废气</w:t>
      </w:r>
      <w:bookmarkEnd w:id="723"/>
      <w:bookmarkEnd w:id="724"/>
      <w:bookmarkEnd w:id="725"/>
      <w:bookmarkEnd w:id="726"/>
      <w:bookmarkEnd w:id="727"/>
      <w:bookmarkEnd w:id="728"/>
      <w:bookmarkEnd w:id="729"/>
      <w:bookmarkEnd w:id="730"/>
      <w:bookmarkEnd w:id="731"/>
      <w:bookmarkEnd w:id="732"/>
      <w:bookmarkEnd w:id="733"/>
      <w:bookmarkEnd w:id="734"/>
    </w:p>
    <w:p>
      <w:pPr>
        <w:spacing w:line="480" w:lineRule="exact"/>
        <w:ind w:firstLine="480" w:firstLineChars="200"/>
        <w:rPr>
          <w:rFonts w:ascii="Times New Roman" w:hAnsi="Times New Roman"/>
          <w:sz w:val="24"/>
          <w:szCs w:val="24"/>
        </w:rPr>
      </w:pPr>
      <w:r>
        <w:rPr>
          <w:rFonts w:ascii="Times New Roman" w:hAnsi="Times New Roman"/>
          <w:sz w:val="24"/>
          <w:szCs w:val="24"/>
        </w:rPr>
        <w:t>（1）正常工况</w:t>
      </w:r>
    </w:p>
    <w:p>
      <w:pPr>
        <w:spacing w:line="480" w:lineRule="exact"/>
        <w:ind w:firstLine="480" w:firstLineChars="200"/>
        <w:rPr>
          <w:rFonts w:ascii="Times New Roman" w:hAnsi="Times New Roman"/>
          <w:sz w:val="24"/>
          <w:szCs w:val="24"/>
        </w:rPr>
      </w:pPr>
      <w:r>
        <w:rPr>
          <w:rFonts w:ascii="Times New Roman" w:hAnsi="Times New Roman"/>
          <w:sz w:val="24"/>
          <w:szCs w:val="24"/>
        </w:rPr>
        <w:t>本项目改扩建工程大气污染物主要来源于高温干热系统产生的废气、</w:t>
      </w:r>
      <w:r>
        <w:rPr>
          <w:rFonts w:hint="eastAsia" w:ascii="Times New Roman" w:hAnsi="Times New Roman"/>
          <w:sz w:val="24"/>
          <w:szCs w:val="24"/>
        </w:rPr>
        <w:t>医疗废物处置间、医疗废物暂存间（冷库）和消毒间的</w:t>
      </w:r>
      <w:r>
        <w:rPr>
          <w:rFonts w:ascii="Times New Roman" w:hAnsi="Times New Roman"/>
          <w:sz w:val="24"/>
          <w:szCs w:val="24"/>
        </w:rPr>
        <w:t>恶臭气体、污水处理间恶臭。</w:t>
      </w:r>
    </w:p>
    <w:p>
      <w:pPr>
        <w:numPr>
          <w:ilvl w:val="0"/>
          <w:numId w:val="9"/>
        </w:numPr>
        <w:spacing w:line="480" w:lineRule="exact"/>
        <w:rPr>
          <w:rFonts w:ascii="Times New Roman" w:hAnsi="Times New Roman"/>
          <w:sz w:val="24"/>
          <w:szCs w:val="24"/>
        </w:rPr>
      </w:pPr>
      <w:r>
        <w:rPr>
          <w:rFonts w:ascii="Times New Roman" w:hAnsi="Times New Roman"/>
          <w:sz w:val="24"/>
          <w:szCs w:val="24"/>
        </w:rPr>
        <w:t>高温干热系统产生的废气</w:t>
      </w:r>
    </w:p>
    <w:p>
      <w:pPr>
        <w:widowControl/>
        <w:kinsoku w:val="0"/>
        <w:autoSpaceDE w:val="0"/>
        <w:autoSpaceDN w:val="0"/>
        <w:adjustRightInd w:val="0"/>
        <w:snapToGrid w:val="0"/>
        <w:spacing w:line="480" w:lineRule="exact"/>
        <w:ind w:left="37" w:right="136" w:firstLine="568"/>
        <w:textAlignment w:val="baseline"/>
        <w:rPr>
          <w:rFonts w:ascii="Times New Roman" w:hAnsi="Times New Roman"/>
          <w:sz w:val="24"/>
          <w:szCs w:val="24"/>
        </w:rPr>
      </w:pPr>
      <w:r>
        <w:rPr>
          <w:rFonts w:ascii="Times New Roman" w:hAnsi="Times New Roman"/>
          <w:sz w:val="24"/>
          <w:szCs w:val="24"/>
        </w:rPr>
        <w:t>医疗废物无害化处置设备产生的大气污染物包括颗粒物、NH</w:t>
      </w:r>
      <w:r>
        <w:rPr>
          <w:rFonts w:ascii="Times New Roman" w:hAnsi="Times New Roman"/>
          <w:sz w:val="24"/>
          <w:szCs w:val="24"/>
          <w:vertAlign w:val="subscript"/>
        </w:rPr>
        <w:t>3</w:t>
      </w:r>
      <w:r>
        <w:rPr>
          <w:rFonts w:ascii="Times New Roman" w:hAnsi="Times New Roman"/>
          <w:sz w:val="24"/>
          <w:szCs w:val="24"/>
        </w:rPr>
        <w:t>、H</w:t>
      </w:r>
      <w:r>
        <w:rPr>
          <w:rFonts w:ascii="Times New Roman" w:hAnsi="Times New Roman"/>
          <w:sz w:val="24"/>
          <w:szCs w:val="24"/>
          <w:vertAlign w:val="subscript"/>
        </w:rPr>
        <w:t>2</w:t>
      </w:r>
      <w:r>
        <w:rPr>
          <w:rFonts w:ascii="Times New Roman" w:hAnsi="Times New Roman"/>
          <w:sz w:val="24"/>
          <w:szCs w:val="24"/>
        </w:rPr>
        <w:t>S、 臭气浓度</w:t>
      </w:r>
      <w:r>
        <w:rPr>
          <w:rFonts w:hint="eastAsia" w:ascii="Times New Roman" w:hAnsi="Times New Roman"/>
          <w:sz w:val="24"/>
          <w:szCs w:val="24"/>
        </w:rPr>
        <w:t>和非甲烷总烃，</w:t>
      </w:r>
      <w:r>
        <w:rPr>
          <w:rFonts w:ascii="Times New Roman" w:hAnsi="Times New Roman"/>
          <w:sz w:val="24"/>
          <w:szCs w:val="24"/>
        </w:rPr>
        <w:t>净化单元</w:t>
      </w:r>
      <w:r>
        <w:rPr>
          <w:rFonts w:hint="eastAsia" w:ascii="Times New Roman" w:hAnsi="Times New Roman"/>
          <w:sz w:val="24"/>
          <w:szCs w:val="24"/>
        </w:rPr>
        <w:t>、导热油炉</w:t>
      </w:r>
      <w:r>
        <w:rPr>
          <w:rFonts w:ascii="Times New Roman" w:hAnsi="Times New Roman"/>
          <w:sz w:val="24"/>
          <w:szCs w:val="24"/>
        </w:rPr>
        <w:t>与高温干热处理单元在一个密闭负压系统内部</w:t>
      </w:r>
      <w:r>
        <w:rPr>
          <w:rFonts w:hint="eastAsia" w:ascii="Times New Roman" w:hAnsi="Times New Roman"/>
          <w:sz w:val="24"/>
          <w:szCs w:val="24"/>
        </w:rPr>
        <w:t>，通过一根烟囱（D</w:t>
      </w:r>
      <w:r>
        <w:rPr>
          <w:rFonts w:ascii="Times New Roman" w:hAnsi="Times New Roman"/>
          <w:sz w:val="24"/>
          <w:szCs w:val="24"/>
        </w:rPr>
        <w:t>A002</w:t>
      </w:r>
      <w:r>
        <w:rPr>
          <w:rFonts w:hint="eastAsia" w:ascii="Times New Roman" w:hAnsi="Times New Roman"/>
          <w:sz w:val="24"/>
          <w:szCs w:val="24"/>
        </w:rPr>
        <w:t>）排放</w:t>
      </w:r>
      <w:r>
        <w:rPr>
          <w:rFonts w:ascii="Times New Roman" w:hAnsi="Times New Roman"/>
          <w:sz w:val="24"/>
          <w:szCs w:val="24"/>
        </w:rPr>
        <w:t>。</w:t>
      </w:r>
      <w:r>
        <w:rPr>
          <w:rFonts w:hint="eastAsia" w:ascii="Times New Roman" w:hAnsi="Times New Roman"/>
          <w:sz w:val="24"/>
          <w:szCs w:val="24"/>
        </w:rPr>
        <w:t>所以大气污染物还包括</w:t>
      </w:r>
      <w:r>
        <w:rPr>
          <w:rFonts w:ascii="Times New Roman" w:hAnsi="Times New Roman"/>
          <w:sz w:val="24"/>
          <w:szCs w:val="24"/>
        </w:rPr>
        <w:t>SO</w:t>
      </w:r>
      <w:r>
        <w:rPr>
          <w:rFonts w:ascii="Times New Roman" w:hAnsi="Times New Roman"/>
          <w:sz w:val="24"/>
          <w:szCs w:val="24"/>
          <w:vertAlign w:val="subscript"/>
        </w:rPr>
        <w:t>2</w:t>
      </w:r>
      <w:r>
        <w:rPr>
          <w:rFonts w:ascii="Times New Roman" w:hAnsi="Times New Roman"/>
          <w:sz w:val="24"/>
          <w:szCs w:val="24"/>
        </w:rPr>
        <w:t>和NOx</w:t>
      </w:r>
      <w:r>
        <w:rPr>
          <w:rFonts w:hint="eastAsia" w:ascii="Times New Roman" w:hAnsi="Times New Roman"/>
          <w:sz w:val="24"/>
          <w:szCs w:val="24"/>
        </w:rPr>
        <w:t>。</w:t>
      </w:r>
    </w:p>
    <w:p>
      <w:pPr>
        <w:widowControl/>
        <w:kinsoku w:val="0"/>
        <w:autoSpaceDE w:val="0"/>
        <w:autoSpaceDN w:val="0"/>
        <w:adjustRightInd w:val="0"/>
        <w:snapToGrid w:val="0"/>
        <w:spacing w:line="480" w:lineRule="exact"/>
        <w:ind w:left="37" w:right="136" w:firstLine="568"/>
        <w:textAlignment w:val="baseline"/>
        <w:rPr>
          <w:rFonts w:ascii="Times New Roman" w:hAnsi="Times New Roman"/>
          <w:sz w:val="24"/>
          <w:szCs w:val="24"/>
        </w:rPr>
      </w:pPr>
      <w:r>
        <w:rPr>
          <w:rFonts w:hint="eastAsia" w:ascii="Times New Roman" w:hAnsi="Times New Roman"/>
          <w:sz w:val="24"/>
          <w:szCs w:val="24"/>
        </w:rPr>
        <w:t>本次源强核算类比《黑龙江省医疗废物应急处置中心暨尚志市医疗废物集中处置中心项目（二期）</w:t>
      </w:r>
      <w:r>
        <w:fldChar w:fldCharType="begin"/>
      </w:r>
      <w:r>
        <w:instrText xml:space="preserve"> HYPERLINK "http://www.baidu.com/link?url=7x_qXP_bsECWWcwRWCzwobF3JgiOCB27Fc3ia2dnEVd4BloiUeZwYURPVlF9Qowrtbaw8_oI1ULu_YCMvBK62_KKnPk3t-9OVDAq9B2l23shwBFMqO9nW4B4-FRrsGTX" \t "_blank" </w:instrText>
      </w:r>
      <w:r>
        <w:fldChar w:fldCharType="separate"/>
      </w:r>
      <w:r>
        <w:rPr>
          <w:rFonts w:hint="eastAsia" w:ascii="Times New Roman" w:hAnsi="Times New Roman"/>
          <w:sz w:val="24"/>
          <w:szCs w:val="24"/>
        </w:rPr>
        <w:t>竣工环境保护验收监测报告书</w:t>
      </w:r>
      <w:r>
        <w:rPr>
          <w:rFonts w:ascii="Times New Roman" w:hAnsi="Times New Roman"/>
          <w:sz w:val="24"/>
          <w:szCs w:val="24"/>
        </w:rPr>
        <w:fldChar w:fldCharType="end"/>
      </w:r>
      <w:r>
        <w:rPr>
          <w:rFonts w:hint="eastAsia" w:ascii="Times New Roman" w:hAnsi="Times New Roman"/>
          <w:sz w:val="24"/>
          <w:szCs w:val="24"/>
        </w:rPr>
        <w:t>》（验收1套医疗废物高温干热处理设备，处理能力：</w:t>
      </w:r>
      <w:r>
        <w:rPr>
          <w:rFonts w:ascii="Times New Roman" w:hAnsi="Times New Roman"/>
          <w:sz w:val="24"/>
          <w:szCs w:val="24"/>
        </w:rPr>
        <w:t>5</w:t>
      </w:r>
      <w:r>
        <w:rPr>
          <w:rFonts w:hint="eastAsia" w:ascii="Times New Roman" w:hAnsi="Times New Roman"/>
          <w:sz w:val="24"/>
          <w:szCs w:val="24"/>
        </w:rPr>
        <w:t>t/（套·d）），此验收报告于2021年7月15日～2021年8月10日在建设项目环境影响评价信息平台进行了《黑龙江省医疗废物应急处置中心暨尚志市医疗废物集中处置中心项目（二期）</w:t>
      </w:r>
      <w:r>
        <w:fldChar w:fldCharType="begin"/>
      </w:r>
      <w:r>
        <w:instrText xml:space="preserve"> HYPERLINK "http://www.baidu.com/link?url=7x_qXP_bsECWWcwRWCzwobF3JgiOCB27Fc3ia2dnEVd4BloiUeZwYURPVlF9Qowrtbaw8_oI1ULu_YCMvBK62_KKnPk3t-9OVDAq9B2l23shwBFMqO9nW4B4-FRrsGTX" \t "_blank" </w:instrText>
      </w:r>
      <w:r>
        <w:fldChar w:fldCharType="separate"/>
      </w:r>
      <w:r>
        <w:rPr>
          <w:rFonts w:hint="eastAsia" w:ascii="Times New Roman" w:hAnsi="Times New Roman"/>
          <w:sz w:val="24"/>
          <w:szCs w:val="24"/>
        </w:rPr>
        <w:t>竣工环境保护验收监测报告书</w:t>
      </w:r>
      <w:r>
        <w:rPr>
          <w:rFonts w:ascii="Times New Roman" w:hAnsi="Times New Roman"/>
          <w:sz w:val="24"/>
          <w:szCs w:val="24"/>
        </w:rPr>
        <w:fldChar w:fldCharType="end"/>
      </w:r>
      <w:r>
        <w:rPr>
          <w:rFonts w:hint="eastAsia" w:ascii="Times New Roman" w:hAnsi="Times New Roman"/>
          <w:sz w:val="24"/>
          <w:szCs w:val="24"/>
        </w:rPr>
        <w:t>》公示，如下图所示：</w:t>
      </w:r>
    </w:p>
    <w:p>
      <w:pPr>
        <w:widowControl/>
        <w:kinsoku w:val="0"/>
        <w:autoSpaceDE w:val="0"/>
        <w:autoSpaceDN w:val="0"/>
        <w:adjustRightInd w:val="0"/>
        <w:snapToGrid w:val="0"/>
        <w:ind w:right="136"/>
        <w:textAlignment w:val="baseline"/>
        <w:rPr>
          <w:rFonts w:ascii="Times New Roman" w:hAnsi="Times New Roman"/>
          <w:sz w:val="24"/>
          <w:szCs w:val="24"/>
        </w:rPr>
      </w:pPr>
      <w:r>
        <w:rPr>
          <w:rFonts w:ascii="Times New Roman" w:hAnsi="Times New Roman"/>
          <w:sz w:val="24"/>
          <w:szCs w:val="24"/>
        </w:rPr>
        <w:drawing>
          <wp:inline distT="0" distB="0" distL="0" distR="0">
            <wp:extent cx="5438140" cy="1209675"/>
            <wp:effectExtent l="0" t="0" r="0" b="952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5438140" cy="1209675"/>
                    </a:xfrm>
                    <a:prstGeom prst="rect">
                      <a:avLst/>
                    </a:prstGeom>
                    <a:noFill/>
                  </pic:spPr>
                </pic:pic>
              </a:graphicData>
            </a:graphic>
          </wp:inline>
        </w:drawing>
      </w:r>
    </w:p>
    <w:p>
      <w:pPr>
        <w:widowControl/>
        <w:kinsoku w:val="0"/>
        <w:autoSpaceDE w:val="0"/>
        <w:autoSpaceDN w:val="0"/>
        <w:adjustRightInd w:val="0"/>
        <w:snapToGrid w:val="0"/>
        <w:spacing w:line="480" w:lineRule="exact"/>
        <w:ind w:left="37" w:right="136" w:firstLine="568"/>
        <w:textAlignment w:val="baseline"/>
        <w:rPr>
          <w:rFonts w:ascii="Times New Roman" w:hAnsi="Times New Roman"/>
          <w:sz w:val="24"/>
          <w:szCs w:val="24"/>
        </w:rPr>
      </w:pPr>
      <w:r>
        <w:rPr>
          <w:rFonts w:hint="eastAsia" w:ascii="Times New Roman" w:hAnsi="Times New Roman"/>
          <w:sz w:val="24"/>
          <w:szCs w:val="24"/>
        </w:rPr>
        <w:t>尚志市医疗废物集中处置中心的处理工艺也为高温干热工艺，处理设备与本项目相同，废气净化设备与本项目相同，均为</w:t>
      </w:r>
      <w:r>
        <w:rPr>
          <w:rFonts w:ascii="Times New Roman" w:hAnsi="Times New Roman"/>
          <w:sz w:val="24"/>
          <w:szCs w:val="24"/>
        </w:rPr>
        <w:t>经“粉尘阻拦干燥器+低温等离子废气净化器”处理后由15m排气筒排放</w:t>
      </w:r>
      <w:r>
        <w:rPr>
          <w:rFonts w:hint="eastAsia" w:ascii="Times New Roman" w:hAnsi="Times New Roman"/>
          <w:sz w:val="24"/>
          <w:szCs w:val="24"/>
        </w:rPr>
        <w:t>，导热油炉废气也与高温干热处理废气通过一根排气筒排放，验收检测时间为2</w:t>
      </w:r>
      <w:r>
        <w:rPr>
          <w:rFonts w:ascii="Times New Roman" w:hAnsi="Times New Roman"/>
          <w:sz w:val="24"/>
          <w:szCs w:val="24"/>
        </w:rPr>
        <w:t>021</w:t>
      </w:r>
      <w:r>
        <w:rPr>
          <w:rFonts w:hint="eastAsia" w:ascii="Times New Roman" w:hAnsi="Times New Roman"/>
          <w:sz w:val="24"/>
          <w:szCs w:val="24"/>
        </w:rPr>
        <w:t>年5月2</w:t>
      </w:r>
      <w:r>
        <w:rPr>
          <w:rFonts w:ascii="Times New Roman" w:hAnsi="Times New Roman"/>
          <w:sz w:val="24"/>
          <w:szCs w:val="24"/>
        </w:rPr>
        <w:t>0</w:t>
      </w:r>
      <w:r>
        <w:rPr>
          <w:rFonts w:hint="eastAsia" w:ascii="Times New Roman" w:hAnsi="Times New Roman"/>
          <w:sz w:val="24"/>
          <w:szCs w:val="24"/>
        </w:rPr>
        <w:t>日，与本项目相比，处理规模和处理工艺均相同，所以类比可行。</w:t>
      </w:r>
    </w:p>
    <w:p>
      <w:pPr>
        <w:widowControl/>
        <w:kinsoku w:val="0"/>
        <w:autoSpaceDE w:val="0"/>
        <w:autoSpaceDN w:val="0"/>
        <w:adjustRightInd w:val="0"/>
        <w:snapToGrid w:val="0"/>
        <w:spacing w:line="480" w:lineRule="exact"/>
        <w:ind w:left="37" w:right="136" w:firstLine="568"/>
        <w:textAlignment w:val="baseline"/>
        <w:rPr>
          <w:rFonts w:ascii="Times New Roman" w:hAnsi="Times New Roman"/>
          <w:sz w:val="24"/>
          <w:szCs w:val="24"/>
        </w:rPr>
      </w:pPr>
      <w:r>
        <w:rPr>
          <w:rFonts w:hint="eastAsia" w:ascii="Times New Roman" w:hAnsi="Times New Roman"/>
          <w:sz w:val="24"/>
          <w:szCs w:val="24"/>
        </w:rPr>
        <w:t>根据《黑龙江省医疗废物应急处置中心暨尚志市医疗废物集中处置中心项目（二期）</w:t>
      </w:r>
      <w:r>
        <w:fldChar w:fldCharType="begin"/>
      </w:r>
      <w:r>
        <w:instrText xml:space="preserve"> HYPERLINK "http://www.baidu.com/link?url=7x_qXP_bsECWWcwRWCzwobF3JgiOCB27Fc3ia2dnEVd4BloiUeZwYURPVlF9Qowrtbaw8_oI1ULu_YCMvBK62_KKnPk3t-9OVDAq9B2l23shwBFMqO9nW4B4-FRrsGTX" \t "_blank" </w:instrText>
      </w:r>
      <w:r>
        <w:fldChar w:fldCharType="separate"/>
      </w:r>
      <w:r>
        <w:rPr>
          <w:rFonts w:hint="eastAsia" w:ascii="Times New Roman" w:hAnsi="Times New Roman"/>
          <w:sz w:val="24"/>
          <w:szCs w:val="24"/>
        </w:rPr>
        <w:t>竣工环境保护验收监测报告书</w:t>
      </w:r>
      <w:r>
        <w:rPr>
          <w:rFonts w:ascii="Times New Roman" w:hAnsi="Times New Roman"/>
          <w:sz w:val="24"/>
          <w:szCs w:val="24"/>
        </w:rPr>
        <w:fldChar w:fldCharType="end"/>
      </w:r>
      <w:r>
        <w:rPr>
          <w:rFonts w:hint="eastAsia" w:ascii="Times New Roman" w:hAnsi="Times New Roman"/>
          <w:sz w:val="24"/>
          <w:szCs w:val="24"/>
        </w:rPr>
        <w:t>》（验收监测报告见附件</w:t>
      </w:r>
      <w:r>
        <w:rPr>
          <w:rFonts w:ascii="Times New Roman" w:hAnsi="Times New Roman"/>
          <w:sz w:val="24"/>
          <w:szCs w:val="24"/>
        </w:rPr>
        <w:t>10</w:t>
      </w:r>
      <w:r>
        <w:rPr>
          <w:rFonts w:hint="eastAsia" w:ascii="Times New Roman" w:hAnsi="Times New Roman"/>
          <w:sz w:val="24"/>
          <w:szCs w:val="24"/>
        </w:rPr>
        <w:t>）数据可知，本项目颗粒物处理前的浓度为</w:t>
      </w:r>
      <w:r>
        <w:rPr>
          <w:rFonts w:ascii="Times New Roman" w:hAnsi="Times New Roman"/>
          <w:sz w:val="24"/>
          <w:szCs w:val="24"/>
        </w:rPr>
        <w:t>2786.6mg/m</w:t>
      </w:r>
      <w:r>
        <w:rPr>
          <w:rFonts w:ascii="Times New Roman" w:hAnsi="Times New Roman"/>
          <w:sz w:val="24"/>
          <w:szCs w:val="24"/>
          <w:vertAlign w:val="superscript"/>
        </w:rPr>
        <w:t>3</w:t>
      </w:r>
      <w:r>
        <w:rPr>
          <w:rFonts w:ascii="Times New Roman" w:hAnsi="Times New Roman"/>
          <w:sz w:val="24"/>
          <w:szCs w:val="24"/>
        </w:rPr>
        <w:t>，</w:t>
      </w:r>
      <w:r>
        <w:rPr>
          <w:rFonts w:hint="eastAsia" w:ascii="Times New Roman" w:hAnsi="Times New Roman"/>
          <w:sz w:val="24"/>
          <w:szCs w:val="24"/>
        </w:rPr>
        <w:t>排放速率为</w:t>
      </w:r>
      <w:r>
        <w:rPr>
          <w:rFonts w:ascii="Times New Roman" w:hAnsi="Times New Roman"/>
          <w:sz w:val="24"/>
          <w:szCs w:val="24"/>
        </w:rPr>
        <w:t>6.16</w:t>
      </w:r>
      <w:r>
        <w:rPr>
          <w:rFonts w:hint="eastAsia" w:ascii="Times New Roman" w:hAnsi="Times New Roman"/>
          <w:sz w:val="24"/>
          <w:szCs w:val="24"/>
        </w:rPr>
        <w:t>kg</w:t>
      </w:r>
      <w:r>
        <w:rPr>
          <w:rFonts w:ascii="Times New Roman" w:hAnsi="Times New Roman"/>
          <w:sz w:val="24"/>
          <w:szCs w:val="24"/>
        </w:rPr>
        <w:t>/</w:t>
      </w:r>
      <w:r>
        <w:rPr>
          <w:rFonts w:hint="eastAsia" w:ascii="Times New Roman" w:hAnsi="Times New Roman"/>
          <w:sz w:val="24"/>
          <w:szCs w:val="24"/>
        </w:rPr>
        <w:t>h，排放量为</w:t>
      </w:r>
      <w:r>
        <w:rPr>
          <w:rFonts w:ascii="Times New Roman" w:hAnsi="Times New Roman"/>
          <w:sz w:val="24"/>
          <w:szCs w:val="24"/>
        </w:rPr>
        <w:t>35.96</w:t>
      </w:r>
      <w:r>
        <w:rPr>
          <w:rFonts w:hint="eastAsia" w:ascii="Times New Roman" w:hAnsi="Times New Roman"/>
          <w:sz w:val="24"/>
          <w:szCs w:val="24"/>
        </w:rPr>
        <w:t>t</w:t>
      </w:r>
      <w:r>
        <w:rPr>
          <w:rFonts w:ascii="Times New Roman" w:hAnsi="Times New Roman"/>
          <w:sz w:val="24"/>
          <w:szCs w:val="24"/>
        </w:rPr>
        <w:t>/</w:t>
      </w:r>
      <w:r>
        <w:rPr>
          <w:rFonts w:hint="eastAsia" w:ascii="Times New Roman" w:hAnsi="Times New Roman"/>
          <w:sz w:val="24"/>
          <w:szCs w:val="24"/>
        </w:rPr>
        <w:t>a；处理后的浓度为</w:t>
      </w:r>
      <w:r>
        <w:rPr>
          <w:rFonts w:ascii="Times New Roman" w:hAnsi="Times New Roman"/>
          <w:sz w:val="24"/>
          <w:szCs w:val="24"/>
        </w:rPr>
        <w:t>22.66mg/m</w:t>
      </w:r>
      <w:r>
        <w:rPr>
          <w:rFonts w:ascii="Times New Roman" w:hAnsi="Times New Roman"/>
          <w:sz w:val="24"/>
          <w:szCs w:val="24"/>
          <w:vertAlign w:val="superscript"/>
        </w:rPr>
        <w:t>3</w:t>
      </w:r>
      <w:r>
        <w:rPr>
          <w:rFonts w:ascii="Times New Roman" w:hAnsi="Times New Roman"/>
          <w:sz w:val="24"/>
          <w:szCs w:val="24"/>
        </w:rPr>
        <w:t>，</w:t>
      </w:r>
      <w:r>
        <w:rPr>
          <w:rFonts w:hint="eastAsia" w:ascii="Times New Roman" w:hAnsi="Times New Roman"/>
          <w:sz w:val="24"/>
          <w:szCs w:val="24"/>
        </w:rPr>
        <w:t>排放速率为</w:t>
      </w:r>
      <w:r>
        <w:rPr>
          <w:rFonts w:ascii="Times New Roman" w:hAnsi="Times New Roman"/>
          <w:sz w:val="24"/>
          <w:szCs w:val="24"/>
        </w:rPr>
        <w:t>0.052</w:t>
      </w:r>
      <w:r>
        <w:rPr>
          <w:rFonts w:hint="eastAsia" w:ascii="Times New Roman" w:hAnsi="Times New Roman"/>
          <w:sz w:val="24"/>
          <w:szCs w:val="24"/>
        </w:rPr>
        <w:t>kg</w:t>
      </w:r>
      <w:r>
        <w:rPr>
          <w:rFonts w:ascii="Times New Roman" w:hAnsi="Times New Roman"/>
          <w:sz w:val="24"/>
          <w:szCs w:val="24"/>
        </w:rPr>
        <w:t>/</w:t>
      </w:r>
      <w:r>
        <w:rPr>
          <w:rFonts w:hint="eastAsia" w:ascii="Times New Roman" w:hAnsi="Times New Roman"/>
          <w:sz w:val="24"/>
          <w:szCs w:val="24"/>
        </w:rPr>
        <w:t>h，排放量为</w:t>
      </w:r>
      <w:r>
        <w:rPr>
          <w:rFonts w:ascii="Times New Roman" w:hAnsi="Times New Roman"/>
          <w:sz w:val="24"/>
          <w:szCs w:val="24"/>
        </w:rPr>
        <w:t>0.30</w:t>
      </w:r>
      <w:r>
        <w:rPr>
          <w:rFonts w:hint="eastAsia" w:ascii="Times New Roman" w:hAnsi="Times New Roman"/>
          <w:sz w:val="24"/>
          <w:szCs w:val="24"/>
        </w:rPr>
        <w:t>t</w:t>
      </w:r>
      <w:r>
        <w:rPr>
          <w:rFonts w:ascii="Times New Roman" w:hAnsi="Times New Roman"/>
          <w:sz w:val="24"/>
          <w:szCs w:val="24"/>
        </w:rPr>
        <w:t>/</w:t>
      </w:r>
      <w:r>
        <w:rPr>
          <w:rFonts w:hint="eastAsia" w:ascii="Times New Roman" w:hAnsi="Times New Roman"/>
          <w:sz w:val="24"/>
          <w:szCs w:val="24"/>
        </w:rPr>
        <w:t>a；非甲烷总烃处理前的浓度为</w:t>
      </w:r>
      <w:r>
        <w:rPr>
          <w:rFonts w:ascii="Times New Roman" w:hAnsi="Times New Roman"/>
          <w:sz w:val="24"/>
          <w:szCs w:val="24"/>
        </w:rPr>
        <w:t>15.5mg/m</w:t>
      </w:r>
      <w:r>
        <w:rPr>
          <w:rFonts w:ascii="Times New Roman" w:hAnsi="Times New Roman"/>
          <w:sz w:val="24"/>
          <w:szCs w:val="24"/>
          <w:vertAlign w:val="superscript"/>
        </w:rPr>
        <w:t>3</w:t>
      </w:r>
      <w:r>
        <w:rPr>
          <w:rFonts w:ascii="Times New Roman" w:hAnsi="Times New Roman"/>
          <w:sz w:val="24"/>
          <w:szCs w:val="24"/>
        </w:rPr>
        <w:t>，</w:t>
      </w:r>
      <w:r>
        <w:rPr>
          <w:rFonts w:hint="eastAsia" w:ascii="Times New Roman" w:hAnsi="Times New Roman"/>
          <w:sz w:val="24"/>
          <w:szCs w:val="24"/>
        </w:rPr>
        <w:t>排放速率为</w:t>
      </w:r>
      <w:r>
        <w:rPr>
          <w:rFonts w:ascii="Times New Roman" w:hAnsi="Times New Roman"/>
          <w:sz w:val="24"/>
          <w:szCs w:val="24"/>
        </w:rPr>
        <w:t>0.04</w:t>
      </w:r>
      <w:r>
        <w:rPr>
          <w:rFonts w:hint="eastAsia" w:ascii="Times New Roman" w:hAnsi="Times New Roman"/>
          <w:sz w:val="24"/>
          <w:szCs w:val="24"/>
        </w:rPr>
        <w:t>kg</w:t>
      </w:r>
      <w:r>
        <w:rPr>
          <w:rFonts w:ascii="Times New Roman" w:hAnsi="Times New Roman"/>
          <w:sz w:val="24"/>
          <w:szCs w:val="24"/>
        </w:rPr>
        <w:t>/</w:t>
      </w:r>
      <w:r>
        <w:rPr>
          <w:rFonts w:hint="eastAsia" w:ascii="Times New Roman" w:hAnsi="Times New Roman"/>
          <w:sz w:val="24"/>
          <w:szCs w:val="24"/>
        </w:rPr>
        <w:t>h，排放量为</w:t>
      </w:r>
      <w:r>
        <w:rPr>
          <w:rFonts w:ascii="Times New Roman" w:hAnsi="Times New Roman"/>
          <w:sz w:val="24"/>
          <w:szCs w:val="24"/>
        </w:rPr>
        <w:t>0.24t/a</w:t>
      </w:r>
      <w:r>
        <w:rPr>
          <w:rFonts w:hint="eastAsia" w:ascii="Times New Roman" w:hAnsi="Times New Roman"/>
          <w:sz w:val="24"/>
          <w:szCs w:val="24"/>
        </w:rPr>
        <w:t>；处理后的浓度为</w:t>
      </w:r>
      <w:r>
        <w:rPr>
          <w:rFonts w:ascii="Times New Roman" w:hAnsi="Times New Roman"/>
          <w:sz w:val="24"/>
          <w:szCs w:val="24"/>
        </w:rPr>
        <w:t>0.074mg/m</w:t>
      </w:r>
      <w:r>
        <w:rPr>
          <w:rFonts w:ascii="Times New Roman" w:hAnsi="Times New Roman"/>
          <w:sz w:val="24"/>
          <w:szCs w:val="24"/>
          <w:vertAlign w:val="superscript"/>
        </w:rPr>
        <w:t>3</w:t>
      </w:r>
      <w:r>
        <w:rPr>
          <w:rFonts w:ascii="Times New Roman" w:hAnsi="Times New Roman"/>
          <w:sz w:val="24"/>
          <w:szCs w:val="24"/>
        </w:rPr>
        <w:t>，</w:t>
      </w:r>
      <w:r>
        <w:rPr>
          <w:rFonts w:hint="eastAsia" w:ascii="Times New Roman" w:hAnsi="Times New Roman"/>
          <w:sz w:val="24"/>
          <w:szCs w:val="24"/>
        </w:rPr>
        <w:t>排放速率为</w:t>
      </w:r>
      <w:r>
        <w:rPr>
          <w:rFonts w:ascii="Times New Roman" w:hAnsi="Times New Roman"/>
          <w:sz w:val="24"/>
          <w:szCs w:val="24"/>
        </w:rPr>
        <w:t>0.0017</w:t>
      </w:r>
      <w:r>
        <w:rPr>
          <w:rFonts w:hint="eastAsia" w:ascii="Times New Roman" w:hAnsi="Times New Roman"/>
          <w:sz w:val="24"/>
          <w:szCs w:val="24"/>
        </w:rPr>
        <w:t>kg</w:t>
      </w:r>
      <w:r>
        <w:rPr>
          <w:rFonts w:ascii="Times New Roman" w:hAnsi="Times New Roman"/>
          <w:sz w:val="24"/>
          <w:szCs w:val="24"/>
        </w:rPr>
        <w:t>/</w:t>
      </w:r>
      <w:r>
        <w:rPr>
          <w:rFonts w:hint="eastAsia" w:ascii="Times New Roman" w:hAnsi="Times New Roman"/>
          <w:sz w:val="24"/>
          <w:szCs w:val="24"/>
        </w:rPr>
        <w:t>h，排放量为</w:t>
      </w:r>
      <w:r>
        <w:rPr>
          <w:rFonts w:ascii="Times New Roman" w:hAnsi="Times New Roman"/>
          <w:sz w:val="24"/>
          <w:szCs w:val="24"/>
        </w:rPr>
        <w:t>0.0098t/a；</w:t>
      </w:r>
      <w:r>
        <w:rPr>
          <w:rFonts w:hint="eastAsia" w:ascii="Times New Roman" w:hAnsi="Times New Roman"/>
          <w:sz w:val="24"/>
          <w:szCs w:val="24"/>
        </w:rPr>
        <w:t>N</w:t>
      </w:r>
      <w:r>
        <w:rPr>
          <w:rFonts w:ascii="Times New Roman" w:hAnsi="Times New Roman"/>
          <w:sz w:val="24"/>
          <w:szCs w:val="24"/>
        </w:rPr>
        <w:t>H</w:t>
      </w:r>
      <w:r>
        <w:rPr>
          <w:rFonts w:ascii="Times New Roman" w:hAnsi="Times New Roman"/>
          <w:sz w:val="24"/>
          <w:szCs w:val="24"/>
          <w:vertAlign w:val="subscript"/>
        </w:rPr>
        <w:t>3</w:t>
      </w:r>
      <w:r>
        <w:rPr>
          <w:rFonts w:hint="eastAsia" w:ascii="Times New Roman" w:hAnsi="Times New Roman"/>
          <w:sz w:val="24"/>
          <w:szCs w:val="24"/>
        </w:rPr>
        <w:t>处理前的浓度为</w:t>
      </w:r>
      <w:r>
        <w:rPr>
          <w:rFonts w:ascii="Times New Roman" w:hAnsi="Times New Roman"/>
          <w:sz w:val="24"/>
          <w:szCs w:val="24"/>
        </w:rPr>
        <w:t>46.56mg/m</w:t>
      </w:r>
      <w:r>
        <w:rPr>
          <w:rFonts w:ascii="Times New Roman" w:hAnsi="Times New Roman"/>
          <w:sz w:val="24"/>
          <w:szCs w:val="24"/>
          <w:vertAlign w:val="superscript"/>
        </w:rPr>
        <w:t>3</w:t>
      </w:r>
      <w:r>
        <w:rPr>
          <w:rFonts w:ascii="Times New Roman" w:hAnsi="Times New Roman"/>
          <w:sz w:val="24"/>
          <w:szCs w:val="24"/>
        </w:rPr>
        <w:t>，</w:t>
      </w:r>
      <w:r>
        <w:rPr>
          <w:rFonts w:hint="eastAsia" w:ascii="Times New Roman" w:hAnsi="Times New Roman"/>
          <w:sz w:val="24"/>
          <w:szCs w:val="24"/>
        </w:rPr>
        <w:t>排放速率为</w:t>
      </w:r>
      <w:r>
        <w:rPr>
          <w:rFonts w:ascii="Times New Roman" w:hAnsi="Times New Roman"/>
          <w:sz w:val="24"/>
          <w:szCs w:val="24"/>
        </w:rPr>
        <w:t>0.38</w:t>
      </w:r>
      <w:r>
        <w:rPr>
          <w:rFonts w:hint="eastAsia" w:ascii="Times New Roman" w:hAnsi="Times New Roman"/>
          <w:sz w:val="24"/>
          <w:szCs w:val="24"/>
        </w:rPr>
        <w:t>kg</w:t>
      </w:r>
      <w:r>
        <w:rPr>
          <w:rFonts w:ascii="Times New Roman" w:hAnsi="Times New Roman"/>
          <w:sz w:val="24"/>
          <w:szCs w:val="24"/>
        </w:rPr>
        <w:t>/</w:t>
      </w:r>
      <w:r>
        <w:rPr>
          <w:rFonts w:hint="eastAsia" w:ascii="Times New Roman" w:hAnsi="Times New Roman"/>
          <w:sz w:val="24"/>
          <w:szCs w:val="24"/>
        </w:rPr>
        <w:t>h，排放量为</w:t>
      </w:r>
      <w:r>
        <w:rPr>
          <w:rFonts w:ascii="Times New Roman" w:hAnsi="Times New Roman"/>
          <w:sz w:val="24"/>
          <w:szCs w:val="24"/>
        </w:rPr>
        <w:t>2.22t/a；</w:t>
      </w:r>
      <w:r>
        <w:rPr>
          <w:rFonts w:hint="eastAsia" w:ascii="Times New Roman" w:hAnsi="Times New Roman"/>
          <w:sz w:val="24"/>
          <w:szCs w:val="24"/>
        </w:rPr>
        <w:t>处理后的浓度为</w:t>
      </w:r>
      <w:r>
        <w:rPr>
          <w:rFonts w:ascii="Times New Roman" w:hAnsi="Times New Roman"/>
          <w:sz w:val="24"/>
          <w:szCs w:val="24"/>
        </w:rPr>
        <w:t>6.84mg/m</w:t>
      </w:r>
      <w:r>
        <w:rPr>
          <w:rFonts w:ascii="Times New Roman" w:hAnsi="Times New Roman"/>
          <w:sz w:val="24"/>
          <w:szCs w:val="24"/>
          <w:vertAlign w:val="superscript"/>
        </w:rPr>
        <w:t>3</w:t>
      </w:r>
      <w:r>
        <w:rPr>
          <w:rFonts w:ascii="Times New Roman" w:hAnsi="Times New Roman"/>
          <w:sz w:val="24"/>
          <w:szCs w:val="24"/>
        </w:rPr>
        <w:t>，</w:t>
      </w:r>
      <w:r>
        <w:rPr>
          <w:rFonts w:hint="eastAsia" w:ascii="Times New Roman" w:hAnsi="Times New Roman"/>
          <w:sz w:val="24"/>
          <w:szCs w:val="24"/>
        </w:rPr>
        <w:t>排放速率为</w:t>
      </w:r>
      <w:r>
        <w:rPr>
          <w:rFonts w:ascii="Times New Roman" w:hAnsi="Times New Roman"/>
          <w:sz w:val="24"/>
          <w:szCs w:val="24"/>
        </w:rPr>
        <w:t>0.054</w:t>
      </w:r>
      <w:r>
        <w:rPr>
          <w:rFonts w:hint="eastAsia" w:ascii="Times New Roman" w:hAnsi="Times New Roman"/>
          <w:sz w:val="24"/>
          <w:szCs w:val="24"/>
        </w:rPr>
        <w:t>kg</w:t>
      </w:r>
      <w:r>
        <w:rPr>
          <w:rFonts w:ascii="Times New Roman" w:hAnsi="Times New Roman"/>
          <w:sz w:val="24"/>
          <w:szCs w:val="24"/>
        </w:rPr>
        <w:t>/</w:t>
      </w:r>
      <w:r>
        <w:rPr>
          <w:rFonts w:hint="eastAsia" w:ascii="Times New Roman" w:hAnsi="Times New Roman"/>
          <w:sz w:val="24"/>
          <w:szCs w:val="24"/>
        </w:rPr>
        <w:t>h，排放量为</w:t>
      </w:r>
      <w:r>
        <w:rPr>
          <w:rFonts w:ascii="Times New Roman" w:hAnsi="Times New Roman"/>
          <w:sz w:val="24"/>
          <w:szCs w:val="24"/>
        </w:rPr>
        <w:t>0.3t/a；</w:t>
      </w:r>
      <w:r>
        <w:rPr>
          <w:rFonts w:hint="eastAsia" w:ascii="Times New Roman" w:hAnsi="Times New Roman"/>
          <w:sz w:val="24"/>
          <w:szCs w:val="24"/>
        </w:rPr>
        <w:t>H</w:t>
      </w:r>
      <w:r>
        <w:rPr>
          <w:rFonts w:ascii="Times New Roman" w:hAnsi="Times New Roman"/>
          <w:sz w:val="24"/>
          <w:szCs w:val="24"/>
          <w:vertAlign w:val="subscript"/>
        </w:rPr>
        <w:t>2</w:t>
      </w:r>
      <w:r>
        <w:rPr>
          <w:rFonts w:ascii="Times New Roman" w:hAnsi="Times New Roman"/>
          <w:sz w:val="24"/>
          <w:szCs w:val="24"/>
        </w:rPr>
        <w:t>S</w:t>
      </w:r>
      <w:r>
        <w:rPr>
          <w:rFonts w:hint="eastAsia" w:ascii="Times New Roman" w:hAnsi="Times New Roman"/>
          <w:sz w:val="24"/>
          <w:szCs w:val="24"/>
        </w:rPr>
        <w:t>处理前的浓度为4</w:t>
      </w:r>
      <w:r>
        <w:rPr>
          <w:rFonts w:ascii="Times New Roman" w:hAnsi="Times New Roman"/>
          <w:sz w:val="24"/>
          <w:szCs w:val="24"/>
        </w:rPr>
        <w:t>mg/m</w:t>
      </w:r>
      <w:r>
        <w:rPr>
          <w:rFonts w:ascii="Times New Roman" w:hAnsi="Times New Roman"/>
          <w:sz w:val="24"/>
          <w:szCs w:val="24"/>
          <w:vertAlign w:val="superscript"/>
        </w:rPr>
        <w:t>3</w:t>
      </w:r>
      <w:r>
        <w:rPr>
          <w:rFonts w:ascii="Times New Roman" w:hAnsi="Times New Roman"/>
          <w:sz w:val="24"/>
          <w:szCs w:val="24"/>
        </w:rPr>
        <w:t>，排放速率为0.032kg/h</w:t>
      </w:r>
      <w:r>
        <w:rPr>
          <w:rFonts w:hint="eastAsia" w:ascii="Times New Roman" w:hAnsi="Times New Roman"/>
          <w:sz w:val="24"/>
          <w:szCs w:val="24"/>
        </w:rPr>
        <w:t>，排放量为</w:t>
      </w:r>
      <w:r>
        <w:rPr>
          <w:rFonts w:ascii="Times New Roman" w:hAnsi="Times New Roman"/>
          <w:sz w:val="24"/>
          <w:szCs w:val="24"/>
        </w:rPr>
        <w:t>0.186t/a；处理后的浓度为0.74mg/m</w:t>
      </w:r>
      <w:r>
        <w:rPr>
          <w:rFonts w:ascii="Times New Roman" w:hAnsi="Times New Roman"/>
          <w:sz w:val="24"/>
          <w:szCs w:val="24"/>
          <w:vertAlign w:val="superscript"/>
        </w:rPr>
        <w:t>3</w:t>
      </w:r>
      <w:r>
        <w:rPr>
          <w:rFonts w:ascii="Times New Roman" w:hAnsi="Times New Roman"/>
          <w:sz w:val="24"/>
          <w:szCs w:val="24"/>
        </w:rPr>
        <w:t>，排放速率为0.0058kg/h</w:t>
      </w:r>
      <w:r>
        <w:rPr>
          <w:rFonts w:hint="eastAsia" w:ascii="Times New Roman" w:hAnsi="Times New Roman"/>
          <w:sz w:val="24"/>
          <w:szCs w:val="24"/>
        </w:rPr>
        <w:t>，排放量为</w:t>
      </w:r>
      <w:r>
        <w:rPr>
          <w:rFonts w:ascii="Times New Roman" w:hAnsi="Times New Roman"/>
          <w:sz w:val="24"/>
          <w:szCs w:val="24"/>
        </w:rPr>
        <w:t>0.034t/a</w:t>
      </w:r>
      <w:r>
        <w:rPr>
          <w:rFonts w:hint="eastAsia" w:ascii="Times New Roman" w:hAnsi="Times New Roman"/>
          <w:sz w:val="24"/>
          <w:szCs w:val="24"/>
        </w:rPr>
        <w:t>。</w:t>
      </w:r>
    </w:p>
    <w:p>
      <w:pPr>
        <w:widowControl/>
        <w:kinsoku w:val="0"/>
        <w:autoSpaceDE w:val="0"/>
        <w:autoSpaceDN w:val="0"/>
        <w:adjustRightInd w:val="0"/>
        <w:snapToGrid w:val="0"/>
        <w:spacing w:line="480" w:lineRule="exact"/>
        <w:ind w:left="37" w:right="136" w:firstLine="568"/>
        <w:textAlignment w:val="baseline"/>
        <w:rPr>
          <w:rFonts w:ascii="Times New Roman" w:hAnsi="Times New Roman"/>
          <w:sz w:val="24"/>
          <w:szCs w:val="24"/>
        </w:rPr>
      </w:pPr>
      <w:r>
        <w:rPr>
          <w:rFonts w:hint="eastAsia" w:ascii="Times New Roman" w:hAnsi="Times New Roman"/>
          <w:sz w:val="24"/>
          <w:szCs w:val="24"/>
        </w:rPr>
        <w:t>导热油炉产生的大气污染物包括颗粒物、</w:t>
      </w:r>
      <w:r>
        <w:rPr>
          <w:rFonts w:ascii="Times New Roman" w:hAnsi="Times New Roman"/>
          <w:sz w:val="24"/>
          <w:szCs w:val="24"/>
        </w:rPr>
        <w:t>SO</w:t>
      </w:r>
      <w:r>
        <w:rPr>
          <w:rFonts w:ascii="Times New Roman" w:hAnsi="Times New Roman"/>
          <w:sz w:val="24"/>
          <w:szCs w:val="24"/>
          <w:vertAlign w:val="subscript"/>
        </w:rPr>
        <w:t>2</w:t>
      </w:r>
      <w:r>
        <w:rPr>
          <w:rFonts w:ascii="Times New Roman" w:hAnsi="Times New Roman"/>
          <w:sz w:val="24"/>
          <w:szCs w:val="24"/>
        </w:rPr>
        <w:t>和NOx</w:t>
      </w:r>
      <w:r>
        <w:rPr>
          <w:rFonts w:hint="eastAsia" w:ascii="Times New Roman" w:hAnsi="Times New Roman"/>
          <w:sz w:val="24"/>
          <w:szCs w:val="24"/>
        </w:rPr>
        <w:t>，</w:t>
      </w:r>
      <w:r>
        <w:rPr>
          <w:rFonts w:ascii="Times New Roman" w:hAnsi="Times New Roman"/>
          <w:sz w:val="24"/>
          <w:szCs w:val="24"/>
        </w:rPr>
        <w:t>采用</w:t>
      </w:r>
      <w:r>
        <w:rPr>
          <w:rFonts w:hint="eastAsia" w:ascii="Times New Roman" w:hAnsi="Times New Roman"/>
          <w:sz w:val="24"/>
          <w:szCs w:val="24"/>
        </w:rPr>
        <w:t>物料衡算</w:t>
      </w:r>
      <w:r>
        <w:rPr>
          <w:rFonts w:ascii="Times New Roman" w:hAnsi="Times New Roman"/>
          <w:sz w:val="24"/>
          <w:szCs w:val="24"/>
        </w:rPr>
        <w:t>法</w:t>
      </w:r>
      <w:r>
        <w:rPr>
          <w:rFonts w:hint="eastAsia" w:ascii="Times New Roman" w:hAnsi="Times New Roman"/>
          <w:sz w:val="24"/>
          <w:szCs w:val="24"/>
        </w:rPr>
        <w:t>核算</w:t>
      </w:r>
      <w:r>
        <w:rPr>
          <w:rFonts w:ascii="Times New Roman" w:hAnsi="Times New Roman"/>
          <w:sz w:val="24"/>
          <w:szCs w:val="24"/>
        </w:rPr>
        <w:t>其源强。</w:t>
      </w:r>
    </w:p>
    <w:p>
      <w:pPr>
        <w:widowControl/>
        <w:kinsoku w:val="0"/>
        <w:autoSpaceDE w:val="0"/>
        <w:autoSpaceDN w:val="0"/>
        <w:adjustRightInd w:val="0"/>
        <w:snapToGrid w:val="0"/>
        <w:spacing w:line="480" w:lineRule="exact"/>
        <w:ind w:left="37" w:right="136" w:firstLine="568"/>
        <w:textAlignment w:val="baseline"/>
        <w:rPr>
          <w:rFonts w:ascii="Times New Roman" w:hAnsi="Times New Roman"/>
          <w:sz w:val="24"/>
          <w:szCs w:val="24"/>
        </w:rPr>
      </w:pPr>
      <w:r>
        <w:rPr>
          <w:rFonts w:hint="eastAsia" w:ascii="Times New Roman" w:hAnsi="Times New Roman"/>
          <w:sz w:val="24"/>
          <w:szCs w:val="24"/>
        </w:rPr>
        <w:t>根据《污染源源强核算技术指南 锅炉》5</w:t>
      </w:r>
      <w:r>
        <w:rPr>
          <w:rFonts w:ascii="Times New Roman" w:hAnsi="Times New Roman"/>
          <w:sz w:val="24"/>
          <w:szCs w:val="24"/>
        </w:rPr>
        <w:t>.1.2</w:t>
      </w:r>
      <w:r>
        <w:rPr>
          <w:rFonts w:hint="eastAsia" w:ascii="Times New Roman" w:hAnsi="Times New Roman"/>
          <w:sz w:val="24"/>
          <w:szCs w:val="24"/>
        </w:rPr>
        <w:t>，燃油锅炉颗粒物排放量按照5</w:t>
      </w:r>
      <w:r>
        <w:rPr>
          <w:rFonts w:ascii="Times New Roman" w:hAnsi="Times New Roman"/>
          <w:sz w:val="24"/>
          <w:szCs w:val="24"/>
        </w:rPr>
        <w:t>.2</w:t>
      </w:r>
      <w:r>
        <w:rPr>
          <w:rFonts w:hint="eastAsia" w:ascii="Times New Roman" w:hAnsi="Times New Roman"/>
          <w:sz w:val="24"/>
          <w:szCs w:val="24"/>
        </w:rPr>
        <w:t>类比法计算。本项目类比《黑龙江省医疗废物应急处置中心暨尚志市医疗废物集中处置中心项目（二期）竣工环境保护验收监测报告》，颗粒物排放浓度为1</w:t>
      </w:r>
      <w:r>
        <w:rPr>
          <w:rFonts w:ascii="Times New Roman" w:hAnsi="Times New Roman"/>
          <w:sz w:val="24"/>
          <w:szCs w:val="24"/>
        </w:rPr>
        <w:t>0.6</w:t>
      </w:r>
      <w:r>
        <w:rPr>
          <w:rFonts w:hint="eastAsia" w:ascii="Times New Roman" w:hAnsi="Times New Roman"/>
          <w:sz w:val="24"/>
          <w:szCs w:val="24"/>
        </w:rPr>
        <w:t>mg</w:t>
      </w:r>
      <w:r>
        <w:rPr>
          <w:rFonts w:ascii="Times New Roman" w:hAnsi="Times New Roman"/>
          <w:sz w:val="24"/>
          <w:szCs w:val="24"/>
        </w:rPr>
        <w:t>/</w:t>
      </w:r>
      <w:r>
        <w:rPr>
          <w:rFonts w:hint="eastAsia" w:ascii="Times New Roman" w:hAnsi="Times New Roman"/>
          <w:sz w:val="24"/>
          <w:szCs w:val="24"/>
        </w:rPr>
        <w:t>m</w:t>
      </w:r>
      <w:r>
        <w:rPr>
          <w:rFonts w:ascii="Times New Roman" w:hAnsi="Times New Roman"/>
          <w:sz w:val="24"/>
          <w:szCs w:val="24"/>
          <w:vertAlign w:val="superscript"/>
        </w:rPr>
        <w:t>3</w:t>
      </w:r>
      <w:r>
        <w:rPr>
          <w:rFonts w:hint="eastAsia" w:ascii="Times New Roman" w:hAnsi="Times New Roman"/>
          <w:sz w:val="24"/>
          <w:szCs w:val="24"/>
        </w:rPr>
        <w:t>，排放速率为0</w:t>
      </w:r>
      <w:r>
        <w:rPr>
          <w:rFonts w:ascii="Times New Roman" w:hAnsi="Times New Roman"/>
          <w:sz w:val="24"/>
          <w:szCs w:val="24"/>
        </w:rPr>
        <w:t>.00091</w:t>
      </w:r>
      <w:r>
        <w:rPr>
          <w:rFonts w:hint="eastAsia" w:ascii="Times New Roman" w:hAnsi="Times New Roman"/>
          <w:sz w:val="24"/>
          <w:szCs w:val="24"/>
        </w:rPr>
        <w:t>kg</w:t>
      </w:r>
      <w:r>
        <w:rPr>
          <w:rFonts w:ascii="Times New Roman" w:hAnsi="Times New Roman"/>
          <w:sz w:val="24"/>
          <w:szCs w:val="24"/>
        </w:rPr>
        <w:t>/</w:t>
      </w:r>
      <w:r>
        <w:rPr>
          <w:rFonts w:hint="eastAsia" w:ascii="Times New Roman" w:hAnsi="Times New Roman"/>
          <w:sz w:val="24"/>
          <w:szCs w:val="24"/>
        </w:rPr>
        <w:t>h。“粉尘阻拦干燥器</w:t>
      </w:r>
      <w:r>
        <w:rPr>
          <w:rFonts w:ascii="Times New Roman" w:hAnsi="Times New Roman"/>
          <w:sz w:val="24"/>
          <w:szCs w:val="24"/>
        </w:rPr>
        <w:t>+低温等离子废气净化器</w:t>
      </w:r>
      <w:r>
        <w:rPr>
          <w:rFonts w:hint="eastAsia" w:ascii="Times New Roman" w:hAnsi="Times New Roman"/>
          <w:sz w:val="24"/>
          <w:szCs w:val="24"/>
        </w:rPr>
        <w:t>”颗粒物的净化效率按</w:t>
      </w:r>
      <w:r>
        <w:rPr>
          <w:rFonts w:ascii="Times New Roman" w:hAnsi="Times New Roman"/>
          <w:sz w:val="24"/>
          <w:szCs w:val="24"/>
        </w:rPr>
        <w:t>99</w:t>
      </w:r>
      <w:r>
        <w:rPr>
          <w:rFonts w:hint="eastAsia" w:ascii="Times New Roman" w:hAnsi="Times New Roman"/>
          <w:sz w:val="24"/>
          <w:szCs w:val="24"/>
        </w:rPr>
        <w:t>%计算，则颗粒物产生浓度为</w:t>
      </w:r>
      <w:r>
        <w:rPr>
          <w:rFonts w:ascii="Times New Roman" w:hAnsi="Times New Roman"/>
          <w:sz w:val="24"/>
          <w:szCs w:val="24"/>
        </w:rPr>
        <w:t>1060mg/m</w:t>
      </w:r>
      <w:r>
        <w:rPr>
          <w:rFonts w:ascii="Times New Roman" w:hAnsi="Times New Roman"/>
          <w:sz w:val="24"/>
          <w:szCs w:val="24"/>
          <w:vertAlign w:val="superscript"/>
        </w:rPr>
        <w:t>3</w:t>
      </w:r>
      <w:r>
        <w:rPr>
          <w:rFonts w:ascii="Times New Roman" w:hAnsi="Times New Roman"/>
          <w:sz w:val="24"/>
          <w:szCs w:val="24"/>
        </w:rPr>
        <w:t>，排放速率为0.091kg/h。</w:t>
      </w:r>
    </w:p>
    <w:p>
      <w:pPr>
        <w:widowControl/>
        <w:kinsoku w:val="0"/>
        <w:autoSpaceDE w:val="0"/>
        <w:autoSpaceDN w:val="0"/>
        <w:adjustRightInd w:val="0"/>
        <w:snapToGrid w:val="0"/>
        <w:ind w:left="40" w:right="136" w:firstLine="567"/>
        <w:textAlignment w:val="baseline"/>
        <w:rPr>
          <w:rFonts w:ascii="Times New Roman" w:hAnsi="Times New Roman"/>
          <w:sz w:val="24"/>
          <w:szCs w:val="24"/>
        </w:rPr>
      </w:pPr>
      <w:r>
        <w:rPr>
          <w:rFonts w:hint="eastAsia" w:ascii="Times New Roman" w:hAnsi="Times New Roman"/>
          <w:sz w:val="24"/>
          <w:szCs w:val="24"/>
        </w:rPr>
        <w:t>根据《污染源源强核算技术指南</w:t>
      </w:r>
      <w:r>
        <w:rPr>
          <w:rFonts w:ascii="Times New Roman" w:hAnsi="Times New Roman"/>
          <w:sz w:val="24"/>
          <w:szCs w:val="24"/>
        </w:rPr>
        <w:t xml:space="preserve"> 锅炉》5.1.2，燃油锅炉</w:t>
      </w:r>
      <w:r>
        <w:rPr>
          <w:rFonts w:hint="eastAsia" w:ascii="Times New Roman" w:hAnsi="Times New Roman"/>
          <w:sz w:val="24"/>
          <w:szCs w:val="24"/>
        </w:rPr>
        <w:t>氮氧化物</w:t>
      </w:r>
      <w:r>
        <w:rPr>
          <w:rFonts w:ascii="Times New Roman" w:hAnsi="Times New Roman"/>
          <w:sz w:val="24"/>
          <w:szCs w:val="24"/>
        </w:rPr>
        <w:t>排放量</w:t>
      </w:r>
      <w:r>
        <w:rPr>
          <w:rFonts w:hint="eastAsia" w:ascii="Times New Roman" w:hAnsi="Times New Roman"/>
          <w:sz w:val="24"/>
          <w:szCs w:val="24"/>
        </w:rPr>
        <w:t>参照下式</w:t>
      </w:r>
      <w:r>
        <w:rPr>
          <w:rFonts w:ascii="Times New Roman" w:hAnsi="Times New Roman"/>
          <w:sz w:val="24"/>
          <w:szCs w:val="24"/>
        </w:rPr>
        <w:t>计算。</w:t>
      </w:r>
    </w:p>
    <w:p>
      <w:pPr>
        <w:widowControl/>
        <w:kinsoku w:val="0"/>
        <w:autoSpaceDE w:val="0"/>
        <w:autoSpaceDN w:val="0"/>
        <w:adjustRightInd w:val="0"/>
        <w:snapToGrid w:val="0"/>
        <w:ind w:left="40" w:right="136" w:firstLine="567"/>
        <w:textAlignment w:val="baseline"/>
        <w:rPr>
          <w:rFonts w:ascii="Times New Roman" w:hAnsi="Times New Roman"/>
          <w:sz w:val="24"/>
          <w:szCs w:val="24"/>
        </w:rPr>
      </w:pPr>
      <w:r>
        <w:drawing>
          <wp:inline distT="0" distB="0" distL="0" distR="0">
            <wp:extent cx="5278755" cy="1719580"/>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30"/>
                    <a:stretch>
                      <a:fillRect/>
                    </a:stretch>
                  </pic:blipFill>
                  <pic:spPr>
                    <a:xfrm>
                      <a:off x="0" y="0"/>
                      <a:ext cx="5278755" cy="1719580"/>
                    </a:xfrm>
                    <a:prstGeom prst="rect">
                      <a:avLst/>
                    </a:prstGeom>
                  </pic:spPr>
                </pic:pic>
              </a:graphicData>
            </a:graphic>
          </wp:inline>
        </w:drawing>
      </w:r>
    </w:p>
    <w:p>
      <w:pPr>
        <w:widowControl/>
        <w:kinsoku w:val="0"/>
        <w:autoSpaceDE w:val="0"/>
        <w:autoSpaceDN w:val="0"/>
        <w:adjustRightInd w:val="0"/>
        <w:snapToGrid w:val="0"/>
        <w:spacing w:line="480" w:lineRule="exact"/>
        <w:ind w:left="40" w:right="136" w:firstLine="567"/>
        <w:textAlignment w:val="baseline"/>
        <w:rPr>
          <w:rFonts w:ascii="Times New Roman" w:hAnsi="Times New Roman"/>
          <w:sz w:val="24"/>
          <w:szCs w:val="24"/>
        </w:rPr>
      </w:pPr>
      <w:r>
        <w:rPr>
          <w:rFonts w:hint="eastAsia" w:ascii="Times New Roman" w:hAnsi="Times New Roman"/>
          <w:sz w:val="24"/>
          <w:szCs w:val="24"/>
        </w:rPr>
        <w:t>根据《黑龙江省医疗废物应急处置中心暨尚志市医疗废物集中处置中心项目（二期）竣工环境保护验收监测报告》中的监测数据可知，烟气排放量为</w:t>
      </w:r>
      <w:r>
        <w:rPr>
          <w:rFonts w:ascii="Times New Roman" w:hAnsi="Times New Roman"/>
          <w:sz w:val="24"/>
          <w:szCs w:val="24"/>
        </w:rPr>
        <w:t>87Nm</w:t>
      </w:r>
      <w:r>
        <w:rPr>
          <w:rFonts w:ascii="Times New Roman" w:hAnsi="Times New Roman"/>
          <w:sz w:val="24"/>
          <w:szCs w:val="24"/>
          <w:vertAlign w:val="superscript"/>
        </w:rPr>
        <w:t>3</w:t>
      </w:r>
      <w:r>
        <w:rPr>
          <w:rFonts w:ascii="Times New Roman" w:hAnsi="Times New Roman"/>
          <w:sz w:val="24"/>
          <w:szCs w:val="24"/>
        </w:rPr>
        <w:t>/h</w:t>
      </w:r>
      <w:r>
        <w:rPr>
          <w:rFonts w:hint="eastAsia" w:ascii="Times New Roman" w:hAnsi="Times New Roman"/>
          <w:sz w:val="24"/>
          <w:szCs w:val="24"/>
        </w:rPr>
        <w:t>，锅炉炉膛出口氮氧化物浓度为3</w:t>
      </w:r>
      <w:r>
        <w:rPr>
          <w:rFonts w:ascii="Times New Roman" w:hAnsi="Times New Roman"/>
          <w:sz w:val="24"/>
          <w:szCs w:val="24"/>
        </w:rPr>
        <w:t>0</w:t>
      </w:r>
      <w:r>
        <w:rPr>
          <w:rFonts w:hint="eastAsia" w:ascii="Times New Roman" w:hAnsi="Times New Roman"/>
          <w:sz w:val="24"/>
          <w:szCs w:val="24"/>
        </w:rPr>
        <w:t>mg/m</w:t>
      </w:r>
      <w:r>
        <w:rPr>
          <w:rFonts w:ascii="Times New Roman" w:hAnsi="Times New Roman"/>
          <w:sz w:val="24"/>
          <w:szCs w:val="24"/>
          <w:vertAlign w:val="superscript"/>
        </w:rPr>
        <w:t>3</w:t>
      </w:r>
      <w:r>
        <w:rPr>
          <w:rFonts w:hint="eastAsia" w:ascii="Times New Roman" w:hAnsi="Times New Roman"/>
          <w:sz w:val="24"/>
          <w:szCs w:val="24"/>
        </w:rPr>
        <w:t>，经计算可知，氮氧化物的排放量为</w:t>
      </w:r>
      <w:r>
        <w:rPr>
          <w:rFonts w:ascii="Times New Roman" w:hAnsi="Times New Roman"/>
          <w:sz w:val="24"/>
          <w:szCs w:val="24"/>
        </w:rPr>
        <w:t>0.015</w:t>
      </w:r>
      <w:r>
        <w:rPr>
          <w:rFonts w:hint="eastAsia" w:ascii="Times New Roman" w:hAnsi="Times New Roman"/>
          <w:sz w:val="24"/>
          <w:szCs w:val="24"/>
        </w:rPr>
        <w:t>t</w:t>
      </w:r>
      <w:r>
        <w:rPr>
          <w:rFonts w:ascii="Times New Roman" w:hAnsi="Times New Roman"/>
          <w:sz w:val="24"/>
          <w:szCs w:val="24"/>
        </w:rPr>
        <w:t>/</w:t>
      </w:r>
      <w:r>
        <w:rPr>
          <w:rFonts w:hint="eastAsia" w:ascii="Times New Roman" w:hAnsi="Times New Roman"/>
          <w:sz w:val="24"/>
          <w:szCs w:val="24"/>
        </w:rPr>
        <w:t>a，0</w:t>
      </w:r>
      <w:r>
        <w:rPr>
          <w:rFonts w:ascii="Times New Roman" w:hAnsi="Times New Roman"/>
          <w:sz w:val="24"/>
          <w:szCs w:val="24"/>
        </w:rPr>
        <w:t>.0026</w:t>
      </w:r>
      <w:r>
        <w:rPr>
          <w:rFonts w:hint="eastAsia" w:ascii="Times New Roman" w:hAnsi="Times New Roman"/>
          <w:sz w:val="24"/>
          <w:szCs w:val="24"/>
        </w:rPr>
        <w:t>kg</w:t>
      </w:r>
      <w:r>
        <w:rPr>
          <w:rFonts w:ascii="Times New Roman" w:hAnsi="Times New Roman"/>
          <w:sz w:val="24"/>
          <w:szCs w:val="24"/>
        </w:rPr>
        <w:t>/</w:t>
      </w:r>
      <w:r>
        <w:rPr>
          <w:rFonts w:hint="eastAsia" w:ascii="Times New Roman" w:hAnsi="Times New Roman"/>
          <w:sz w:val="24"/>
          <w:szCs w:val="24"/>
        </w:rPr>
        <w:t>h。</w:t>
      </w:r>
    </w:p>
    <w:p>
      <w:pPr>
        <w:widowControl/>
        <w:kinsoku w:val="0"/>
        <w:autoSpaceDE w:val="0"/>
        <w:autoSpaceDN w:val="0"/>
        <w:adjustRightInd w:val="0"/>
        <w:snapToGrid w:val="0"/>
        <w:spacing w:line="360" w:lineRule="auto"/>
        <w:ind w:left="40" w:right="136" w:firstLine="567"/>
        <w:textAlignment w:val="baseline"/>
        <w:rPr>
          <w:rFonts w:ascii="Times New Roman" w:hAnsi="Times New Roman"/>
          <w:sz w:val="24"/>
          <w:szCs w:val="24"/>
        </w:rPr>
      </w:pPr>
      <w:r>
        <w:rPr>
          <w:rFonts w:hint="eastAsia" w:ascii="Times New Roman" w:hAnsi="Times New Roman"/>
          <w:sz w:val="24"/>
          <w:szCs w:val="24"/>
        </w:rPr>
        <w:t>根据《污染源源强核算技术指南</w:t>
      </w:r>
      <w:r>
        <w:rPr>
          <w:rFonts w:ascii="Times New Roman" w:hAnsi="Times New Roman"/>
          <w:sz w:val="24"/>
          <w:szCs w:val="24"/>
        </w:rPr>
        <w:t xml:space="preserve"> 锅炉》5.1.2，燃油锅炉</w:t>
      </w:r>
      <w:r>
        <w:rPr>
          <w:rFonts w:hint="eastAsia" w:ascii="Times New Roman" w:hAnsi="Times New Roman"/>
          <w:sz w:val="24"/>
          <w:szCs w:val="24"/>
        </w:rPr>
        <w:t>二氧化硫</w:t>
      </w:r>
      <w:r>
        <w:rPr>
          <w:rFonts w:ascii="Times New Roman" w:hAnsi="Times New Roman"/>
          <w:sz w:val="24"/>
          <w:szCs w:val="24"/>
        </w:rPr>
        <w:t>排放量按照</w:t>
      </w:r>
      <w:r>
        <w:rPr>
          <w:rFonts w:hint="eastAsia" w:ascii="Times New Roman" w:hAnsi="Times New Roman"/>
          <w:sz w:val="24"/>
          <w:szCs w:val="24"/>
        </w:rPr>
        <w:t>下式</w:t>
      </w:r>
      <w:r>
        <w:rPr>
          <w:rFonts w:ascii="Times New Roman" w:hAnsi="Times New Roman"/>
          <w:sz w:val="24"/>
          <w:szCs w:val="24"/>
        </w:rPr>
        <w:t>计算。</w:t>
      </w:r>
    </w:p>
    <w:p>
      <w:pPr>
        <w:widowControl/>
        <w:kinsoku w:val="0"/>
        <w:autoSpaceDE w:val="0"/>
        <w:autoSpaceDN w:val="0"/>
        <w:adjustRightInd w:val="0"/>
        <w:snapToGrid w:val="0"/>
        <w:spacing w:line="360" w:lineRule="auto"/>
        <w:ind w:right="136"/>
        <w:textAlignment w:val="baseline"/>
        <w:rPr>
          <w:rFonts w:ascii="Times New Roman" w:hAnsi="Times New Roman"/>
          <w:sz w:val="24"/>
          <w:szCs w:val="24"/>
        </w:rPr>
      </w:pPr>
      <w:r>
        <w:drawing>
          <wp:inline distT="0" distB="0" distL="114300" distR="114300">
            <wp:extent cx="5120005" cy="2043430"/>
            <wp:effectExtent l="0" t="0" r="4445" b="4445"/>
            <wp:docPr id="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
                    <pic:cNvPicPr>
                      <a:picLocks noChangeAspect="1"/>
                    </pic:cNvPicPr>
                  </pic:nvPicPr>
                  <pic:blipFill>
                    <a:blip r:embed="rId31"/>
                    <a:stretch>
                      <a:fillRect/>
                    </a:stretch>
                  </pic:blipFill>
                  <pic:spPr>
                    <a:xfrm>
                      <a:off x="0" y="0"/>
                      <a:ext cx="5120005" cy="2043430"/>
                    </a:xfrm>
                    <a:prstGeom prst="rect">
                      <a:avLst/>
                    </a:prstGeom>
                    <a:noFill/>
                    <a:ln>
                      <a:noFill/>
                    </a:ln>
                  </pic:spPr>
                </pic:pic>
              </a:graphicData>
            </a:graphic>
          </wp:inline>
        </w:drawing>
      </w:r>
    </w:p>
    <w:p>
      <w:pPr>
        <w:widowControl/>
        <w:kinsoku w:val="0"/>
        <w:autoSpaceDE w:val="0"/>
        <w:autoSpaceDN w:val="0"/>
        <w:adjustRightInd w:val="0"/>
        <w:snapToGrid w:val="0"/>
        <w:spacing w:line="360" w:lineRule="auto"/>
        <w:ind w:right="136" w:firstLine="480" w:firstLineChars="200"/>
        <w:textAlignment w:val="baseline"/>
        <w:rPr>
          <w:rFonts w:ascii="Times New Roman" w:hAnsi="Times New Roman"/>
          <w:sz w:val="24"/>
          <w:szCs w:val="24"/>
        </w:rPr>
      </w:pPr>
      <w:r>
        <w:rPr>
          <w:rFonts w:hint="eastAsia" w:ascii="Times New Roman" w:hAnsi="Times New Roman"/>
          <w:sz w:val="24"/>
          <w:szCs w:val="24"/>
        </w:rPr>
        <w:t>本项目燃料用量为</w:t>
      </w:r>
      <w:r>
        <w:rPr>
          <w:rFonts w:ascii="Times New Roman" w:hAnsi="Times New Roman"/>
          <w:sz w:val="24"/>
          <w:szCs w:val="24"/>
        </w:rPr>
        <w:t>29.2t/a</w:t>
      </w:r>
      <w:r>
        <w:rPr>
          <w:rFonts w:hint="eastAsia" w:ascii="Times New Roman" w:hAnsi="Times New Roman"/>
          <w:sz w:val="24"/>
          <w:szCs w:val="24"/>
        </w:rPr>
        <w:t>，依据：《车用柴油》（</w:t>
      </w:r>
      <w:r>
        <w:rPr>
          <w:rFonts w:ascii="Times New Roman" w:hAnsi="Times New Roman"/>
          <w:sz w:val="24"/>
          <w:szCs w:val="24"/>
        </w:rPr>
        <w:t>GB19147-2016）2018年修改单</w:t>
      </w:r>
      <w:r>
        <w:rPr>
          <w:rFonts w:hint="eastAsia" w:ascii="Times New Roman" w:hAnsi="Times New Roman"/>
          <w:sz w:val="24"/>
          <w:szCs w:val="24"/>
        </w:rPr>
        <w:t>，硫含量</w:t>
      </w:r>
      <w:r>
        <w:rPr>
          <w:rFonts w:ascii="Times New Roman" w:hAnsi="Times New Roman"/>
          <w:sz w:val="24"/>
          <w:szCs w:val="24"/>
        </w:rPr>
        <w:t>0.001%</w:t>
      </w:r>
      <w:r>
        <w:rPr>
          <w:rFonts w:hint="eastAsia" w:ascii="Times New Roman" w:hAnsi="Times New Roman"/>
          <w:sz w:val="24"/>
          <w:szCs w:val="24"/>
        </w:rPr>
        <w:t>，燃油锅炉K=</w:t>
      </w:r>
      <w:r>
        <w:rPr>
          <w:rFonts w:ascii="Times New Roman" w:hAnsi="Times New Roman"/>
          <w:sz w:val="24"/>
          <w:szCs w:val="24"/>
        </w:rPr>
        <w:t>1.0</w:t>
      </w:r>
      <w:r>
        <w:rPr>
          <w:rFonts w:hint="eastAsia" w:ascii="Times New Roman" w:hAnsi="Times New Roman"/>
          <w:sz w:val="24"/>
          <w:szCs w:val="24"/>
        </w:rPr>
        <w:t>。Q4=3%。经计算，二氧化硫的排放量为0.000566t</w:t>
      </w:r>
      <w:r>
        <w:rPr>
          <w:rFonts w:ascii="Times New Roman" w:hAnsi="Times New Roman"/>
          <w:sz w:val="24"/>
          <w:szCs w:val="24"/>
        </w:rPr>
        <w:t>/</w:t>
      </w:r>
      <w:r>
        <w:rPr>
          <w:rFonts w:hint="eastAsia" w:ascii="Times New Roman" w:hAnsi="Times New Roman"/>
          <w:sz w:val="24"/>
          <w:szCs w:val="24"/>
        </w:rPr>
        <w:t>a，0.000096kg</w:t>
      </w:r>
      <w:r>
        <w:rPr>
          <w:rFonts w:ascii="Times New Roman" w:hAnsi="Times New Roman"/>
          <w:sz w:val="24"/>
          <w:szCs w:val="24"/>
        </w:rPr>
        <w:t>/</w:t>
      </w:r>
      <w:r>
        <w:rPr>
          <w:rFonts w:hint="eastAsia" w:ascii="Times New Roman" w:hAnsi="Times New Roman"/>
          <w:sz w:val="24"/>
          <w:szCs w:val="24"/>
        </w:rPr>
        <w:t>h。排放浓度为1.103mg</w:t>
      </w:r>
      <w:r>
        <w:rPr>
          <w:rFonts w:ascii="Times New Roman" w:hAnsi="Times New Roman"/>
          <w:sz w:val="24"/>
          <w:szCs w:val="24"/>
        </w:rPr>
        <w:t>/</w:t>
      </w:r>
      <w:r>
        <w:rPr>
          <w:rFonts w:hint="eastAsia" w:ascii="Times New Roman" w:hAnsi="Times New Roman"/>
          <w:sz w:val="24"/>
          <w:szCs w:val="24"/>
        </w:rPr>
        <w:t>m</w:t>
      </w:r>
      <w:r>
        <w:rPr>
          <w:rFonts w:ascii="Times New Roman" w:hAnsi="Times New Roman"/>
          <w:sz w:val="24"/>
          <w:szCs w:val="24"/>
          <w:vertAlign w:val="superscript"/>
        </w:rPr>
        <w:t>3</w:t>
      </w:r>
      <w:r>
        <w:rPr>
          <w:rFonts w:hint="eastAsia" w:ascii="Times New Roman" w:hAnsi="Times New Roman"/>
          <w:sz w:val="24"/>
          <w:szCs w:val="24"/>
        </w:rPr>
        <w:t>。</w:t>
      </w:r>
    </w:p>
    <w:p>
      <w:pPr>
        <w:numPr>
          <w:ilvl w:val="0"/>
          <w:numId w:val="9"/>
        </w:numPr>
        <w:spacing w:line="480" w:lineRule="exact"/>
        <w:rPr>
          <w:rFonts w:ascii="Times New Roman" w:hAnsi="Times New Roman"/>
          <w:sz w:val="24"/>
          <w:szCs w:val="24"/>
        </w:rPr>
      </w:pPr>
      <w:bookmarkStart w:id="736" w:name="_Toc347586147"/>
      <w:bookmarkStart w:id="737" w:name="_Toc406572482"/>
      <w:bookmarkStart w:id="738" w:name="_Toc480983870"/>
      <w:bookmarkStart w:id="739" w:name="_Toc480190489"/>
      <w:bookmarkStart w:id="740" w:name="_Toc409529957"/>
      <w:bookmarkStart w:id="741" w:name="_Toc406772024"/>
      <w:bookmarkStart w:id="742" w:name="_Toc482020652"/>
      <w:bookmarkStart w:id="743" w:name="_Toc347495274"/>
      <w:bookmarkStart w:id="744" w:name="_Toc464036721"/>
      <w:bookmarkStart w:id="745" w:name="_Toc416966912"/>
      <w:bookmarkStart w:id="746" w:name="_Toc453708966"/>
      <w:bookmarkStart w:id="747" w:name="_Toc458063866"/>
      <w:bookmarkStart w:id="748" w:name="_Toc407350259"/>
      <w:bookmarkStart w:id="749" w:name="_Toc466271420"/>
      <w:r>
        <w:rPr>
          <w:rFonts w:ascii="Times New Roman" w:hAnsi="Times New Roman"/>
          <w:sz w:val="24"/>
          <w:szCs w:val="24"/>
        </w:rPr>
        <w:t>污水处理间恶臭</w:t>
      </w:r>
    </w:p>
    <w:p>
      <w:pPr>
        <w:spacing w:line="480" w:lineRule="exact"/>
        <w:ind w:firstLine="480" w:firstLineChars="200"/>
        <w:rPr>
          <w:rFonts w:ascii="Times New Roman" w:hAnsi="Times New Roman"/>
          <w:sz w:val="24"/>
          <w:szCs w:val="24"/>
        </w:rPr>
      </w:pPr>
      <w:r>
        <w:rPr>
          <w:rFonts w:ascii="Times New Roman" w:hAnsi="Times New Roman"/>
          <w:sz w:val="24"/>
          <w:szCs w:val="24"/>
        </w:rPr>
        <w:t>本项目污水处理间采用“格栅→调节池→一体化污水处理设备（水解酸化池→接触氧化池 →二沉池 →MBR 池) →二氧化氯发生器→回用水池”，其过程产生的NH</w:t>
      </w:r>
      <w:r>
        <w:rPr>
          <w:rFonts w:ascii="Times New Roman" w:hAnsi="Times New Roman"/>
          <w:sz w:val="24"/>
          <w:szCs w:val="24"/>
          <w:vertAlign w:val="subscript"/>
        </w:rPr>
        <w:t>3</w:t>
      </w:r>
      <w:r>
        <w:rPr>
          <w:rFonts w:ascii="Times New Roman" w:hAnsi="Times New Roman"/>
          <w:sz w:val="24"/>
          <w:szCs w:val="24"/>
        </w:rPr>
        <w:t>、H</w:t>
      </w:r>
      <w:r>
        <w:rPr>
          <w:rFonts w:ascii="Times New Roman" w:hAnsi="Times New Roman"/>
          <w:sz w:val="24"/>
          <w:szCs w:val="24"/>
          <w:vertAlign w:val="subscript"/>
        </w:rPr>
        <w:t>2</w:t>
      </w:r>
      <w:r>
        <w:rPr>
          <w:rFonts w:ascii="Times New Roman" w:hAnsi="Times New Roman"/>
          <w:sz w:val="24"/>
          <w:szCs w:val="24"/>
        </w:rPr>
        <w:t>S等恶臭气体。采用美国EPA对城市污水处理厂恶臭污染物产生情况的研究类比分析，根据废水分析，每处理1g的BOD</w:t>
      </w:r>
      <w:r>
        <w:rPr>
          <w:rFonts w:ascii="Times New Roman" w:hAnsi="Times New Roman"/>
          <w:sz w:val="24"/>
          <w:szCs w:val="24"/>
          <w:vertAlign w:val="subscript"/>
        </w:rPr>
        <w:t>5</w:t>
      </w:r>
      <w:r>
        <w:rPr>
          <w:rFonts w:ascii="Times New Roman" w:hAnsi="Times New Roman"/>
          <w:sz w:val="24"/>
          <w:szCs w:val="24"/>
        </w:rPr>
        <w:t>可产生0.0031g的NH</w:t>
      </w:r>
      <w:r>
        <w:rPr>
          <w:rFonts w:ascii="Times New Roman" w:hAnsi="Times New Roman"/>
          <w:sz w:val="24"/>
          <w:szCs w:val="24"/>
          <w:vertAlign w:val="subscript"/>
        </w:rPr>
        <w:t>3</w:t>
      </w:r>
      <w:r>
        <w:rPr>
          <w:rFonts w:ascii="Times New Roman" w:hAnsi="Times New Roman"/>
          <w:sz w:val="24"/>
          <w:szCs w:val="24"/>
        </w:rPr>
        <w:t>和0.00012g的H</w:t>
      </w:r>
      <w:r>
        <w:rPr>
          <w:rFonts w:ascii="Times New Roman" w:hAnsi="Times New Roman"/>
          <w:sz w:val="24"/>
          <w:szCs w:val="24"/>
          <w:vertAlign w:val="subscript"/>
        </w:rPr>
        <w:t>2</w:t>
      </w:r>
      <w:r>
        <w:rPr>
          <w:rFonts w:ascii="Times New Roman" w:hAnsi="Times New Roman"/>
          <w:sz w:val="24"/>
          <w:szCs w:val="24"/>
        </w:rPr>
        <w:t>S。本项目改扩建工程处理的BOD</w:t>
      </w:r>
      <w:r>
        <w:rPr>
          <w:rFonts w:ascii="Times New Roman" w:hAnsi="Times New Roman"/>
          <w:sz w:val="24"/>
          <w:szCs w:val="24"/>
          <w:vertAlign w:val="subscript"/>
        </w:rPr>
        <w:t>5</w:t>
      </w:r>
      <w:r>
        <w:rPr>
          <w:rFonts w:ascii="Times New Roman" w:hAnsi="Times New Roman"/>
          <w:sz w:val="24"/>
          <w:szCs w:val="24"/>
        </w:rPr>
        <w:t>量为0.492t/a，</w:t>
      </w:r>
      <w:r>
        <w:rPr>
          <w:rFonts w:hint="eastAsia" w:ascii="Times New Roman" w:hAnsi="Times New Roman"/>
          <w:sz w:val="24"/>
          <w:szCs w:val="24"/>
        </w:rPr>
        <w:t>现有工程处理的</w:t>
      </w:r>
      <w:r>
        <w:rPr>
          <w:rFonts w:ascii="Times New Roman" w:hAnsi="Times New Roman"/>
          <w:sz w:val="24"/>
          <w:szCs w:val="24"/>
        </w:rPr>
        <w:t>BOD</w:t>
      </w:r>
      <w:r>
        <w:rPr>
          <w:rFonts w:ascii="Times New Roman" w:hAnsi="Times New Roman"/>
          <w:sz w:val="24"/>
          <w:szCs w:val="24"/>
          <w:vertAlign w:val="subscript"/>
        </w:rPr>
        <w:t>5</w:t>
      </w:r>
      <w:r>
        <w:rPr>
          <w:rFonts w:ascii="Times New Roman" w:hAnsi="Times New Roman"/>
          <w:sz w:val="24"/>
          <w:szCs w:val="24"/>
        </w:rPr>
        <w:t>量为0.32</w:t>
      </w:r>
      <w:r>
        <w:rPr>
          <w:rFonts w:hint="eastAsia" w:ascii="Times New Roman" w:hAnsi="Times New Roman"/>
          <w:sz w:val="24"/>
          <w:szCs w:val="24"/>
        </w:rPr>
        <w:t>t</w:t>
      </w:r>
      <w:r>
        <w:rPr>
          <w:rFonts w:ascii="Times New Roman" w:hAnsi="Times New Roman"/>
          <w:sz w:val="24"/>
          <w:szCs w:val="24"/>
        </w:rPr>
        <w:t>/a</w:t>
      </w:r>
      <w:r>
        <w:rPr>
          <w:rFonts w:hint="eastAsia" w:ascii="Times New Roman" w:hAnsi="Times New Roman"/>
          <w:sz w:val="24"/>
          <w:szCs w:val="24"/>
        </w:rPr>
        <w:t>，总共最多的情况下处理0</w:t>
      </w:r>
      <w:r>
        <w:rPr>
          <w:rFonts w:ascii="Times New Roman" w:hAnsi="Times New Roman"/>
          <w:sz w:val="24"/>
          <w:szCs w:val="24"/>
        </w:rPr>
        <w:t>.812</w:t>
      </w:r>
      <w:r>
        <w:rPr>
          <w:rFonts w:hint="eastAsia" w:ascii="Times New Roman" w:hAnsi="Times New Roman"/>
          <w:sz w:val="24"/>
          <w:szCs w:val="24"/>
        </w:rPr>
        <w:t xml:space="preserve"> t</w:t>
      </w:r>
      <w:r>
        <w:rPr>
          <w:rFonts w:ascii="Times New Roman" w:hAnsi="Times New Roman"/>
          <w:sz w:val="24"/>
          <w:szCs w:val="24"/>
        </w:rPr>
        <w:t>/a</w:t>
      </w:r>
      <w:r>
        <w:rPr>
          <w:rFonts w:hint="eastAsia" w:ascii="Times New Roman" w:hAnsi="Times New Roman"/>
          <w:sz w:val="24"/>
          <w:szCs w:val="24"/>
        </w:rPr>
        <w:t>。</w:t>
      </w:r>
      <w:r>
        <w:rPr>
          <w:rFonts w:ascii="Times New Roman" w:hAnsi="Times New Roman"/>
          <w:sz w:val="24"/>
          <w:szCs w:val="24"/>
        </w:rPr>
        <w:t>本项目污水处理站位于地下，密封，微负压收集（收集率达到95%）逸散的恶臭气体按产生量的5%计，则逸散的恶臭气体源强NH</w:t>
      </w:r>
      <w:r>
        <w:rPr>
          <w:rFonts w:ascii="Times New Roman" w:hAnsi="Times New Roman"/>
          <w:sz w:val="24"/>
          <w:szCs w:val="24"/>
          <w:vertAlign w:val="subscript"/>
        </w:rPr>
        <w:t>3</w:t>
      </w:r>
      <w:r>
        <w:rPr>
          <w:rFonts w:ascii="Times New Roman" w:hAnsi="Times New Roman"/>
          <w:sz w:val="24"/>
          <w:szCs w:val="24"/>
        </w:rPr>
        <w:t>为0.21×10</w:t>
      </w:r>
      <w:r>
        <w:rPr>
          <w:rFonts w:ascii="Times New Roman" w:hAnsi="Times New Roman"/>
          <w:sz w:val="24"/>
          <w:szCs w:val="24"/>
          <w:vertAlign w:val="superscript"/>
        </w:rPr>
        <w:t>-7</w:t>
      </w:r>
      <w:r>
        <w:rPr>
          <w:rFonts w:ascii="Times New Roman" w:hAnsi="Times New Roman"/>
          <w:sz w:val="24"/>
          <w:szCs w:val="24"/>
        </w:rPr>
        <w:t>kg/h，H</w:t>
      </w:r>
      <w:r>
        <w:rPr>
          <w:rFonts w:ascii="Times New Roman" w:hAnsi="Times New Roman"/>
          <w:sz w:val="24"/>
          <w:szCs w:val="24"/>
          <w:vertAlign w:val="subscript"/>
        </w:rPr>
        <w:t>2</w:t>
      </w:r>
      <w:r>
        <w:rPr>
          <w:rFonts w:ascii="Times New Roman" w:hAnsi="Times New Roman"/>
          <w:sz w:val="24"/>
          <w:szCs w:val="24"/>
        </w:rPr>
        <w:t>S为0.825×10</w:t>
      </w:r>
      <w:r>
        <w:rPr>
          <w:rFonts w:ascii="Times New Roman" w:hAnsi="Times New Roman"/>
          <w:sz w:val="24"/>
          <w:szCs w:val="24"/>
          <w:vertAlign w:val="superscript"/>
        </w:rPr>
        <w:t>-9</w:t>
      </w:r>
      <w:r>
        <w:rPr>
          <w:rFonts w:ascii="Times New Roman" w:hAnsi="Times New Roman"/>
          <w:sz w:val="24"/>
          <w:szCs w:val="24"/>
        </w:rPr>
        <w:t>kg/h，本项目采用</w:t>
      </w:r>
      <w:r>
        <w:rPr>
          <w:rFonts w:hint="eastAsia" w:ascii="Times New Roman" w:hAnsi="Times New Roman"/>
          <w:sz w:val="24"/>
          <w:szCs w:val="24"/>
        </w:rPr>
        <w:t>除臭塔</w:t>
      </w:r>
      <w:r>
        <w:rPr>
          <w:rFonts w:ascii="Times New Roman" w:hAnsi="Times New Roman"/>
          <w:sz w:val="24"/>
          <w:szCs w:val="24"/>
        </w:rPr>
        <w:t>吸附处理（处理率为95%）后，通过15m高排气筒排放，则有组织排放源强NH</w:t>
      </w:r>
      <w:r>
        <w:rPr>
          <w:rFonts w:ascii="Times New Roman" w:hAnsi="Times New Roman"/>
          <w:sz w:val="24"/>
          <w:szCs w:val="24"/>
          <w:vertAlign w:val="subscript"/>
        </w:rPr>
        <w:t>3</w:t>
      </w:r>
      <w:r>
        <w:rPr>
          <w:rFonts w:ascii="Times New Roman" w:hAnsi="Times New Roman"/>
          <w:sz w:val="24"/>
          <w:szCs w:val="24"/>
        </w:rPr>
        <w:t>为2.03×10</w:t>
      </w:r>
      <w:r>
        <w:rPr>
          <w:rFonts w:ascii="Times New Roman" w:hAnsi="Times New Roman"/>
          <w:sz w:val="24"/>
          <w:szCs w:val="24"/>
          <w:vertAlign w:val="superscript"/>
        </w:rPr>
        <w:t>-8</w:t>
      </w:r>
      <w:r>
        <w:rPr>
          <w:rFonts w:ascii="Times New Roman" w:hAnsi="Times New Roman"/>
          <w:sz w:val="24"/>
          <w:szCs w:val="24"/>
        </w:rPr>
        <w:t>kg/h，H</w:t>
      </w:r>
      <w:r>
        <w:rPr>
          <w:rFonts w:ascii="Times New Roman" w:hAnsi="Times New Roman"/>
          <w:sz w:val="24"/>
          <w:szCs w:val="24"/>
          <w:vertAlign w:val="subscript"/>
        </w:rPr>
        <w:t>2</w:t>
      </w:r>
      <w:r>
        <w:rPr>
          <w:rFonts w:ascii="Times New Roman" w:hAnsi="Times New Roman"/>
          <w:sz w:val="24"/>
          <w:szCs w:val="24"/>
        </w:rPr>
        <w:t>S为0.79×10</w:t>
      </w:r>
      <w:r>
        <w:rPr>
          <w:rFonts w:ascii="Times New Roman" w:hAnsi="Times New Roman"/>
          <w:sz w:val="24"/>
          <w:szCs w:val="24"/>
          <w:vertAlign w:val="superscript"/>
        </w:rPr>
        <w:t>-9</w:t>
      </w:r>
      <w:r>
        <w:rPr>
          <w:rFonts w:ascii="Times New Roman" w:hAnsi="Times New Roman"/>
          <w:sz w:val="24"/>
          <w:szCs w:val="24"/>
        </w:rPr>
        <w:t>kg/h，污水处理站运行产生的恶臭对周边环境影响较小，臭气浓度能够满足标准要求。</w:t>
      </w:r>
    </w:p>
    <w:p>
      <w:pPr>
        <w:spacing w:line="480" w:lineRule="exact"/>
        <w:ind w:firstLine="480" w:firstLineChars="200"/>
        <w:rPr>
          <w:rFonts w:ascii="Times New Roman" w:hAnsi="Times New Roman"/>
          <w:sz w:val="24"/>
          <w:szCs w:val="24"/>
        </w:rPr>
      </w:pPr>
      <w:r>
        <w:rPr>
          <w:rFonts w:ascii="Times New Roman" w:hAnsi="Times New Roman"/>
          <w:sz w:val="24"/>
          <w:szCs w:val="24"/>
        </w:rPr>
        <w:t>（2）非正常工况</w:t>
      </w:r>
    </w:p>
    <w:p>
      <w:pPr>
        <w:pStyle w:val="155"/>
        <w:spacing w:line="480" w:lineRule="exact"/>
        <w:ind w:firstLine="480"/>
      </w:pPr>
      <w:r>
        <w:t>本项目非正常工况下，废气环保设施故障，废气非正常工况源强详见表3.5-4。</w:t>
      </w:r>
    </w:p>
    <w:p>
      <w:pPr>
        <w:spacing w:line="480" w:lineRule="exact"/>
        <w:jc w:val="center"/>
        <w:rPr>
          <w:rFonts w:ascii="Times New Roman" w:hAnsi="Times New Roman"/>
          <w:b/>
        </w:rPr>
      </w:pPr>
      <w:r>
        <w:rPr>
          <w:rFonts w:ascii="Times New Roman" w:hAnsi="Times New Roman"/>
          <w:b/>
        </w:rPr>
        <w:t>表3.5-4 废气非正常工况源强表</w:t>
      </w:r>
    </w:p>
    <w:tbl>
      <w:tblPr>
        <w:tblStyle w:val="77"/>
        <w:tblW w:w="5000"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318"/>
        <w:gridCol w:w="1093"/>
        <w:gridCol w:w="1333"/>
        <w:gridCol w:w="1065"/>
        <w:gridCol w:w="1065"/>
        <w:gridCol w:w="998"/>
        <w:gridCol w:w="899"/>
        <w:gridCol w:w="758"/>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20" w:hRule="atLeast"/>
        </w:trPr>
        <w:tc>
          <w:tcPr>
            <w:tcW w:w="1285" w:type="dxa"/>
            <w:shd w:val="clear" w:color="000000" w:fill="FFFFFF"/>
            <w:vAlign w:val="center"/>
          </w:tcPr>
          <w:p>
            <w:pPr>
              <w:jc w:val="center"/>
              <w:rPr>
                <w:rFonts w:ascii="Times New Roman" w:hAnsi="Times New Roman"/>
                <w:b/>
                <w:bCs/>
              </w:rPr>
            </w:pPr>
            <w:r>
              <w:rPr>
                <w:rFonts w:ascii="Times New Roman" w:hAnsi="Times New Roman"/>
                <w:b/>
                <w:bCs/>
              </w:rPr>
              <w:t>非正常排放</w:t>
            </w:r>
          </w:p>
          <w:p>
            <w:pPr>
              <w:jc w:val="center"/>
              <w:rPr>
                <w:rFonts w:ascii="Times New Roman" w:hAnsi="Times New Roman"/>
                <w:b/>
                <w:bCs/>
              </w:rPr>
            </w:pPr>
            <w:r>
              <w:rPr>
                <w:rFonts w:ascii="Times New Roman" w:hAnsi="Times New Roman"/>
                <w:b/>
                <w:bCs/>
              </w:rPr>
              <w:t>污染源</w:t>
            </w:r>
          </w:p>
        </w:tc>
        <w:tc>
          <w:tcPr>
            <w:tcW w:w="1065" w:type="dxa"/>
            <w:shd w:val="clear" w:color="000000" w:fill="FFFFFF"/>
            <w:vAlign w:val="center"/>
          </w:tcPr>
          <w:p>
            <w:pPr>
              <w:jc w:val="center"/>
              <w:rPr>
                <w:rFonts w:ascii="Times New Roman" w:hAnsi="Times New Roman"/>
                <w:b/>
                <w:bCs/>
              </w:rPr>
            </w:pPr>
            <w:r>
              <w:rPr>
                <w:rFonts w:ascii="Times New Roman" w:hAnsi="Times New Roman"/>
                <w:b/>
                <w:bCs/>
              </w:rPr>
              <w:t>非正常排放原因</w:t>
            </w:r>
          </w:p>
        </w:tc>
        <w:tc>
          <w:tcPr>
            <w:tcW w:w="1299" w:type="dxa"/>
            <w:shd w:val="clear" w:color="000000" w:fill="FFFFFF"/>
            <w:vAlign w:val="center"/>
          </w:tcPr>
          <w:p>
            <w:pPr>
              <w:jc w:val="center"/>
              <w:rPr>
                <w:rFonts w:ascii="Times New Roman" w:hAnsi="Times New Roman"/>
                <w:b/>
                <w:bCs/>
              </w:rPr>
            </w:pPr>
            <w:r>
              <w:rPr>
                <w:rFonts w:ascii="Times New Roman" w:hAnsi="Times New Roman"/>
                <w:b/>
                <w:bCs/>
              </w:rPr>
              <w:t>污染物</w:t>
            </w:r>
          </w:p>
        </w:tc>
        <w:tc>
          <w:tcPr>
            <w:tcW w:w="1038" w:type="dxa"/>
            <w:shd w:val="clear" w:color="000000" w:fill="FFFFFF"/>
            <w:vAlign w:val="center"/>
          </w:tcPr>
          <w:p>
            <w:pPr>
              <w:jc w:val="center"/>
              <w:rPr>
                <w:rFonts w:ascii="Times New Roman" w:hAnsi="Times New Roman"/>
                <w:b/>
                <w:bCs/>
              </w:rPr>
            </w:pPr>
            <w:r>
              <w:rPr>
                <w:rFonts w:ascii="Times New Roman" w:hAnsi="Times New Roman"/>
                <w:b/>
                <w:bCs/>
              </w:rPr>
              <w:t>非正常排放速率（kg/h）</w:t>
            </w:r>
          </w:p>
        </w:tc>
        <w:tc>
          <w:tcPr>
            <w:tcW w:w="1038" w:type="dxa"/>
            <w:shd w:val="clear" w:color="000000" w:fill="FFFFFF"/>
            <w:vAlign w:val="center"/>
          </w:tcPr>
          <w:p>
            <w:pPr>
              <w:jc w:val="center"/>
              <w:rPr>
                <w:rFonts w:ascii="Times New Roman" w:hAnsi="Times New Roman"/>
                <w:b/>
                <w:bCs/>
              </w:rPr>
            </w:pPr>
            <w:r>
              <w:rPr>
                <w:rFonts w:ascii="Times New Roman" w:hAnsi="Times New Roman"/>
                <w:b/>
                <w:bCs/>
              </w:rPr>
              <w:t>治理效率（%）</w:t>
            </w:r>
          </w:p>
        </w:tc>
        <w:tc>
          <w:tcPr>
            <w:tcW w:w="973" w:type="dxa"/>
            <w:shd w:val="clear" w:color="000000" w:fill="FFFFFF"/>
            <w:vAlign w:val="center"/>
          </w:tcPr>
          <w:p>
            <w:pPr>
              <w:jc w:val="center"/>
              <w:rPr>
                <w:rFonts w:ascii="Times New Roman" w:hAnsi="Times New Roman"/>
                <w:b/>
                <w:bCs/>
              </w:rPr>
            </w:pPr>
            <w:r>
              <w:rPr>
                <w:rFonts w:ascii="Times New Roman" w:hAnsi="Times New Roman"/>
                <w:b/>
                <w:bCs/>
              </w:rPr>
              <w:t>单次持续时间（h）</w:t>
            </w:r>
          </w:p>
        </w:tc>
        <w:tc>
          <w:tcPr>
            <w:tcW w:w="876" w:type="dxa"/>
            <w:shd w:val="clear" w:color="000000" w:fill="FFFFFF"/>
            <w:vAlign w:val="center"/>
          </w:tcPr>
          <w:p>
            <w:pPr>
              <w:jc w:val="center"/>
              <w:rPr>
                <w:rFonts w:ascii="Times New Roman" w:hAnsi="Times New Roman"/>
                <w:b/>
                <w:bCs/>
              </w:rPr>
            </w:pPr>
            <w:r>
              <w:rPr>
                <w:rFonts w:ascii="Times New Roman" w:hAnsi="Times New Roman"/>
                <w:b/>
                <w:bCs/>
              </w:rPr>
              <w:t>年发生频次（次）</w:t>
            </w:r>
          </w:p>
        </w:tc>
        <w:tc>
          <w:tcPr>
            <w:tcW w:w="739" w:type="dxa"/>
            <w:shd w:val="clear" w:color="000000" w:fill="FFFFFF"/>
            <w:vAlign w:val="center"/>
          </w:tcPr>
          <w:p>
            <w:pPr>
              <w:jc w:val="center"/>
              <w:rPr>
                <w:rFonts w:ascii="Times New Roman" w:hAnsi="Times New Roman"/>
                <w:b/>
                <w:bCs/>
              </w:rPr>
            </w:pPr>
            <w:r>
              <w:rPr>
                <w:rFonts w:ascii="Times New Roman" w:hAnsi="Times New Roman"/>
                <w:b/>
                <w:bCs/>
              </w:rPr>
              <w:t>应对</w:t>
            </w:r>
          </w:p>
          <w:p>
            <w:pPr>
              <w:jc w:val="center"/>
              <w:rPr>
                <w:rFonts w:ascii="Times New Roman" w:hAnsi="Times New Roman"/>
                <w:b/>
                <w:bCs/>
              </w:rPr>
            </w:pPr>
            <w:r>
              <w:rPr>
                <w:rFonts w:ascii="Times New Roman" w:hAnsi="Times New Roman"/>
                <w:b/>
                <w:bCs/>
              </w:rPr>
              <w:t>措施</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20" w:hRule="atLeast"/>
        </w:trPr>
        <w:tc>
          <w:tcPr>
            <w:tcW w:w="1285" w:type="dxa"/>
            <w:vMerge w:val="restart"/>
            <w:shd w:val="clear" w:color="000000" w:fill="FFFFFF"/>
            <w:vAlign w:val="center"/>
          </w:tcPr>
          <w:p>
            <w:pPr>
              <w:spacing w:line="280" w:lineRule="exact"/>
              <w:jc w:val="center"/>
              <w:rPr>
                <w:rFonts w:ascii="Times New Roman" w:hAnsi="Times New Roman"/>
                <w:b/>
                <w:bCs/>
              </w:rPr>
            </w:pPr>
            <w:r>
              <w:rPr>
                <w:rFonts w:ascii="Times New Roman" w:hAnsi="Times New Roman"/>
              </w:rPr>
              <w:t>高温干热处理系统</w:t>
            </w:r>
          </w:p>
        </w:tc>
        <w:tc>
          <w:tcPr>
            <w:tcW w:w="1065" w:type="dxa"/>
            <w:vMerge w:val="restart"/>
            <w:shd w:val="clear" w:color="000000" w:fill="FFFFFF"/>
            <w:vAlign w:val="center"/>
          </w:tcPr>
          <w:p>
            <w:pPr>
              <w:jc w:val="center"/>
              <w:rPr>
                <w:rFonts w:ascii="Times New Roman" w:hAnsi="Times New Roman"/>
              </w:rPr>
            </w:pPr>
            <w:r>
              <w:rPr>
                <w:rFonts w:ascii="Times New Roman" w:hAnsi="Times New Roman"/>
              </w:rPr>
              <w:t>环保设施</w:t>
            </w:r>
          </w:p>
          <w:p>
            <w:pPr>
              <w:jc w:val="center"/>
              <w:rPr>
                <w:rFonts w:ascii="Times New Roman" w:hAnsi="Times New Roman"/>
                <w:b/>
                <w:bCs/>
              </w:rPr>
            </w:pPr>
            <w:r>
              <w:rPr>
                <w:rFonts w:ascii="Times New Roman" w:hAnsi="Times New Roman"/>
              </w:rPr>
              <w:t>故障</w:t>
            </w:r>
          </w:p>
        </w:tc>
        <w:tc>
          <w:tcPr>
            <w:tcW w:w="1299" w:type="dxa"/>
            <w:shd w:val="clear" w:color="000000" w:fill="FFFFFF"/>
            <w:vAlign w:val="center"/>
          </w:tcPr>
          <w:p>
            <w:pPr>
              <w:jc w:val="center"/>
              <w:rPr>
                <w:rFonts w:ascii="Times New Roman" w:hAnsi="Times New Roman"/>
                <w:b/>
                <w:bCs/>
              </w:rPr>
            </w:pPr>
            <w:r>
              <w:rPr>
                <w:rFonts w:ascii="Times New Roman" w:hAnsi="Times New Roman"/>
              </w:rPr>
              <w:t>氨</w:t>
            </w:r>
          </w:p>
        </w:tc>
        <w:tc>
          <w:tcPr>
            <w:tcW w:w="1038" w:type="dxa"/>
            <w:shd w:val="clear" w:color="000000" w:fill="FFFFFF"/>
            <w:vAlign w:val="center"/>
          </w:tcPr>
          <w:p>
            <w:pPr>
              <w:jc w:val="center"/>
              <w:rPr>
                <w:rFonts w:ascii="Times New Roman" w:hAnsi="Times New Roman"/>
                <w:kern w:val="2"/>
              </w:rPr>
            </w:pPr>
            <w:r>
              <w:rPr>
                <w:rFonts w:ascii="Times New Roman" w:hAnsi="Times New Roman"/>
                <w:kern w:val="2"/>
              </w:rPr>
              <w:t>0.019</w:t>
            </w:r>
          </w:p>
        </w:tc>
        <w:tc>
          <w:tcPr>
            <w:tcW w:w="1038" w:type="dxa"/>
            <w:vMerge w:val="restart"/>
            <w:shd w:val="clear" w:color="000000" w:fill="FFFFFF"/>
            <w:vAlign w:val="center"/>
          </w:tcPr>
          <w:p>
            <w:pPr>
              <w:jc w:val="center"/>
              <w:rPr>
                <w:rFonts w:ascii="Times New Roman" w:hAnsi="Times New Roman"/>
                <w:kern w:val="2"/>
              </w:rPr>
            </w:pPr>
            <w:r>
              <w:rPr>
                <w:rFonts w:ascii="Times New Roman" w:hAnsi="Times New Roman"/>
                <w:kern w:val="2"/>
              </w:rPr>
              <w:t>50</w:t>
            </w:r>
          </w:p>
        </w:tc>
        <w:tc>
          <w:tcPr>
            <w:tcW w:w="973" w:type="dxa"/>
            <w:vMerge w:val="restart"/>
            <w:shd w:val="clear" w:color="000000" w:fill="FFFFFF"/>
            <w:vAlign w:val="center"/>
          </w:tcPr>
          <w:p>
            <w:pPr>
              <w:jc w:val="center"/>
              <w:rPr>
                <w:rFonts w:ascii="Times New Roman" w:hAnsi="Times New Roman"/>
                <w:b/>
                <w:bCs/>
              </w:rPr>
            </w:pPr>
            <w:r>
              <w:rPr>
                <w:rFonts w:ascii="Times New Roman" w:hAnsi="Times New Roman"/>
              </w:rPr>
              <w:t>1</w:t>
            </w:r>
          </w:p>
        </w:tc>
        <w:tc>
          <w:tcPr>
            <w:tcW w:w="876" w:type="dxa"/>
            <w:vMerge w:val="restart"/>
            <w:shd w:val="clear" w:color="000000" w:fill="FFFFFF"/>
            <w:vAlign w:val="center"/>
          </w:tcPr>
          <w:p>
            <w:pPr>
              <w:jc w:val="center"/>
              <w:rPr>
                <w:rFonts w:ascii="Times New Roman" w:hAnsi="Times New Roman"/>
                <w:b/>
                <w:bCs/>
              </w:rPr>
            </w:pPr>
            <w:r>
              <w:rPr>
                <w:rFonts w:ascii="Times New Roman" w:hAnsi="Times New Roman"/>
              </w:rPr>
              <w:t>1</w:t>
            </w:r>
          </w:p>
        </w:tc>
        <w:tc>
          <w:tcPr>
            <w:tcW w:w="739" w:type="dxa"/>
            <w:vMerge w:val="restart"/>
            <w:shd w:val="clear" w:color="000000" w:fill="FFFFFF"/>
            <w:vAlign w:val="center"/>
          </w:tcPr>
          <w:p>
            <w:pPr>
              <w:jc w:val="center"/>
              <w:rPr>
                <w:rFonts w:ascii="Times New Roman" w:hAnsi="Times New Roman"/>
                <w:b/>
                <w:bCs/>
              </w:rPr>
            </w:pPr>
            <w:r>
              <w:rPr>
                <w:rFonts w:ascii="Times New Roman" w:hAnsi="Times New Roman"/>
              </w:rPr>
              <w:t>紧急停止生产设备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294" w:hRule="atLeast"/>
        </w:trPr>
        <w:tc>
          <w:tcPr>
            <w:tcW w:w="1285" w:type="dxa"/>
            <w:vMerge w:val="continue"/>
            <w:shd w:val="clear" w:color="000000" w:fill="FFFFFF"/>
            <w:vAlign w:val="center"/>
          </w:tcPr>
          <w:p>
            <w:pPr>
              <w:spacing w:line="280" w:lineRule="exact"/>
              <w:jc w:val="center"/>
              <w:rPr>
                <w:rFonts w:ascii="Times New Roman" w:hAnsi="Times New Roman"/>
                <w:b/>
                <w:bCs/>
              </w:rPr>
            </w:pPr>
          </w:p>
        </w:tc>
        <w:tc>
          <w:tcPr>
            <w:tcW w:w="1065" w:type="dxa"/>
            <w:vMerge w:val="continue"/>
            <w:shd w:val="clear" w:color="000000" w:fill="FFFFFF"/>
            <w:vAlign w:val="center"/>
          </w:tcPr>
          <w:p>
            <w:pPr>
              <w:jc w:val="center"/>
              <w:rPr>
                <w:rFonts w:ascii="Times New Roman" w:hAnsi="Times New Roman"/>
                <w:b/>
                <w:bCs/>
              </w:rPr>
            </w:pPr>
          </w:p>
        </w:tc>
        <w:tc>
          <w:tcPr>
            <w:tcW w:w="1299" w:type="dxa"/>
            <w:shd w:val="clear" w:color="000000" w:fill="FFFFFF"/>
            <w:vAlign w:val="center"/>
          </w:tcPr>
          <w:p>
            <w:pPr>
              <w:jc w:val="center"/>
              <w:rPr>
                <w:rFonts w:ascii="Times New Roman" w:hAnsi="Times New Roman"/>
                <w:b/>
                <w:bCs/>
              </w:rPr>
            </w:pPr>
            <w:r>
              <w:rPr>
                <w:rFonts w:ascii="Times New Roman" w:hAnsi="Times New Roman"/>
              </w:rPr>
              <w:t>非甲烷总烃</w:t>
            </w:r>
          </w:p>
        </w:tc>
        <w:tc>
          <w:tcPr>
            <w:tcW w:w="1038" w:type="dxa"/>
            <w:shd w:val="clear" w:color="000000" w:fill="FFFFFF"/>
            <w:vAlign w:val="center"/>
          </w:tcPr>
          <w:p>
            <w:pPr>
              <w:jc w:val="center"/>
              <w:rPr>
                <w:rFonts w:ascii="Times New Roman" w:hAnsi="Times New Roman"/>
                <w:kern w:val="2"/>
              </w:rPr>
            </w:pPr>
            <w:r>
              <w:rPr>
                <w:rFonts w:ascii="Times New Roman" w:hAnsi="Times New Roman"/>
                <w:kern w:val="2"/>
              </w:rPr>
              <w:t>0.02</w:t>
            </w:r>
          </w:p>
        </w:tc>
        <w:tc>
          <w:tcPr>
            <w:tcW w:w="1038" w:type="dxa"/>
            <w:vMerge w:val="continue"/>
            <w:shd w:val="clear" w:color="000000" w:fill="FFFFFF"/>
            <w:vAlign w:val="center"/>
          </w:tcPr>
          <w:p>
            <w:pPr>
              <w:jc w:val="center"/>
              <w:rPr>
                <w:rFonts w:ascii="Times New Roman" w:hAnsi="Times New Roman"/>
                <w:kern w:val="2"/>
              </w:rPr>
            </w:pPr>
          </w:p>
        </w:tc>
        <w:tc>
          <w:tcPr>
            <w:tcW w:w="973" w:type="dxa"/>
            <w:vMerge w:val="continue"/>
            <w:shd w:val="clear" w:color="000000" w:fill="FFFFFF"/>
            <w:vAlign w:val="center"/>
          </w:tcPr>
          <w:p>
            <w:pPr>
              <w:jc w:val="center"/>
              <w:rPr>
                <w:rFonts w:ascii="Times New Roman" w:hAnsi="Times New Roman"/>
                <w:b/>
                <w:bCs/>
              </w:rPr>
            </w:pPr>
          </w:p>
        </w:tc>
        <w:tc>
          <w:tcPr>
            <w:tcW w:w="876" w:type="dxa"/>
            <w:vMerge w:val="continue"/>
            <w:shd w:val="clear" w:color="000000" w:fill="FFFFFF"/>
            <w:vAlign w:val="center"/>
          </w:tcPr>
          <w:p>
            <w:pPr>
              <w:jc w:val="center"/>
              <w:rPr>
                <w:rFonts w:ascii="Times New Roman" w:hAnsi="Times New Roman"/>
                <w:b/>
                <w:bCs/>
              </w:rPr>
            </w:pPr>
          </w:p>
        </w:tc>
        <w:tc>
          <w:tcPr>
            <w:tcW w:w="739" w:type="dxa"/>
            <w:vMerge w:val="continue"/>
            <w:shd w:val="clear" w:color="000000" w:fill="FFFFFF"/>
            <w:vAlign w:val="center"/>
          </w:tcPr>
          <w:p>
            <w:pPr>
              <w:jc w:val="center"/>
              <w:rPr>
                <w:rFonts w:ascii="Times New Roman" w:hAnsi="Times New Roman"/>
                <w:b/>
                <w:bCs/>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294" w:hRule="atLeast"/>
        </w:trPr>
        <w:tc>
          <w:tcPr>
            <w:tcW w:w="1285" w:type="dxa"/>
            <w:vMerge w:val="continue"/>
            <w:shd w:val="clear" w:color="000000" w:fill="FFFFFF"/>
            <w:vAlign w:val="center"/>
          </w:tcPr>
          <w:p>
            <w:pPr>
              <w:spacing w:line="280" w:lineRule="exact"/>
              <w:jc w:val="center"/>
              <w:rPr>
                <w:rFonts w:ascii="Times New Roman" w:hAnsi="Times New Roman"/>
                <w:b/>
                <w:bCs/>
              </w:rPr>
            </w:pPr>
          </w:p>
        </w:tc>
        <w:tc>
          <w:tcPr>
            <w:tcW w:w="1065" w:type="dxa"/>
            <w:vMerge w:val="continue"/>
            <w:shd w:val="clear" w:color="000000" w:fill="FFFFFF"/>
            <w:vAlign w:val="center"/>
          </w:tcPr>
          <w:p>
            <w:pPr>
              <w:jc w:val="center"/>
              <w:rPr>
                <w:rFonts w:ascii="Times New Roman" w:hAnsi="Times New Roman"/>
                <w:b/>
                <w:bCs/>
              </w:rPr>
            </w:pPr>
          </w:p>
        </w:tc>
        <w:tc>
          <w:tcPr>
            <w:tcW w:w="1299" w:type="dxa"/>
            <w:shd w:val="clear" w:color="000000" w:fill="FFFFFF"/>
            <w:vAlign w:val="center"/>
          </w:tcPr>
          <w:p>
            <w:pPr>
              <w:jc w:val="center"/>
              <w:rPr>
                <w:rFonts w:ascii="Times New Roman" w:hAnsi="Times New Roman"/>
              </w:rPr>
            </w:pPr>
            <w:r>
              <w:rPr>
                <w:rFonts w:ascii="Times New Roman" w:hAnsi="Times New Roman"/>
              </w:rPr>
              <w:t>颗粒物</w:t>
            </w:r>
          </w:p>
        </w:tc>
        <w:tc>
          <w:tcPr>
            <w:tcW w:w="1038" w:type="dxa"/>
            <w:shd w:val="clear" w:color="000000" w:fill="FFFFFF"/>
            <w:vAlign w:val="center"/>
          </w:tcPr>
          <w:p>
            <w:pPr>
              <w:jc w:val="center"/>
              <w:rPr>
                <w:rFonts w:ascii="Times New Roman" w:hAnsi="Times New Roman"/>
                <w:kern w:val="2"/>
              </w:rPr>
            </w:pPr>
            <w:r>
              <w:rPr>
                <w:rFonts w:ascii="Times New Roman" w:hAnsi="Times New Roman"/>
                <w:kern w:val="2"/>
              </w:rPr>
              <w:t>3.125</w:t>
            </w:r>
          </w:p>
        </w:tc>
        <w:tc>
          <w:tcPr>
            <w:tcW w:w="1038" w:type="dxa"/>
            <w:vMerge w:val="continue"/>
            <w:shd w:val="clear" w:color="000000" w:fill="FFFFFF"/>
            <w:vAlign w:val="center"/>
          </w:tcPr>
          <w:p>
            <w:pPr>
              <w:jc w:val="center"/>
              <w:rPr>
                <w:rFonts w:ascii="Times New Roman" w:hAnsi="Times New Roman"/>
                <w:kern w:val="2"/>
              </w:rPr>
            </w:pPr>
          </w:p>
        </w:tc>
        <w:tc>
          <w:tcPr>
            <w:tcW w:w="973" w:type="dxa"/>
            <w:vMerge w:val="continue"/>
            <w:shd w:val="clear" w:color="000000" w:fill="FFFFFF"/>
            <w:vAlign w:val="center"/>
          </w:tcPr>
          <w:p>
            <w:pPr>
              <w:jc w:val="center"/>
              <w:rPr>
                <w:rFonts w:ascii="Times New Roman" w:hAnsi="Times New Roman"/>
                <w:b/>
                <w:bCs/>
              </w:rPr>
            </w:pPr>
          </w:p>
        </w:tc>
        <w:tc>
          <w:tcPr>
            <w:tcW w:w="876" w:type="dxa"/>
            <w:vMerge w:val="continue"/>
            <w:shd w:val="clear" w:color="000000" w:fill="FFFFFF"/>
            <w:vAlign w:val="center"/>
          </w:tcPr>
          <w:p>
            <w:pPr>
              <w:jc w:val="center"/>
              <w:rPr>
                <w:rFonts w:ascii="Times New Roman" w:hAnsi="Times New Roman"/>
                <w:b/>
                <w:bCs/>
              </w:rPr>
            </w:pPr>
          </w:p>
        </w:tc>
        <w:tc>
          <w:tcPr>
            <w:tcW w:w="739" w:type="dxa"/>
            <w:vMerge w:val="continue"/>
            <w:shd w:val="clear" w:color="000000" w:fill="FFFFFF"/>
            <w:vAlign w:val="center"/>
          </w:tcPr>
          <w:p>
            <w:pPr>
              <w:jc w:val="center"/>
              <w:rPr>
                <w:rFonts w:ascii="Times New Roman" w:hAnsi="Times New Roman"/>
                <w:b/>
                <w:bCs/>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294" w:hRule="atLeast"/>
        </w:trPr>
        <w:tc>
          <w:tcPr>
            <w:tcW w:w="1285" w:type="dxa"/>
            <w:vMerge w:val="continue"/>
            <w:shd w:val="clear" w:color="000000" w:fill="FFFFFF"/>
            <w:vAlign w:val="center"/>
          </w:tcPr>
          <w:p>
            <w:pPr>
              <w:spacing w:line="280" w:lineRule="exact"/>
              <w:jc w:val="center"/>
              <w:rPr>
                <w:rFonts w:ascii="Times New Roman" w:hAnsi="Times New Roman"/>
              </w:rPr>
            </w:pPr>
          </w:p>
        </w:tc>
        <w:tc>
          <w:tcPr>
            <w:tcW w:w="1065" w:type="dxa"/>
            <w:vMerge w:val="continue"/>
            <w:shd w:val="clear" w:color="000000" w:fill="FFFFFF"/>
            <w:vAlign w:val="center"/>
          </w:tcPr>
          <w:p>
            <w:pPr>
              <w:jc w:val="center"/>
              <w:rPr>
                <w:rFonts w:ascii="Times New Roman" w:hAnsi="Times New Roman"/>
              </w:rPr>
            </w:pPr>
          </w:p>
        </w:tc>
        <w:tc>
          <w:tcPr>
            <w:tcW w:w="1299" w:type="dxa"/>
            <w:shd w:val="clear" w:color="000000" w:fill="FFFFFF"/>
            <w:vAlign w:val="center"/>
          </w:tcPr>
          <w:p>
            <w:pPr>
              <w:jc w:val="center"/>
              <w:rPr>
                <w:rFonts w:ascii="Times New Roman" w:hAnsi="Times New Roman"/>
              </w:rPr>
            </w:pPr>
            <w:r>
              <w:rPr>
                <w:rFonts w:ascii="Times New Roman" w:hAnsi="Times New Roman"/>
              </w:rPr>
              <w:t>硫化氢</w:t>
            </w:r>
          </w:p>
        </w:tc>
        <w:tc>
          <w:tcPr>
            <w:tcW w:w="1038" w:type="dxa"/>
            <w:shd w:val="clear" w:color="000000" w:fill="FFFFFF"/>
            <w:vAlign w:val="center"/>
          </w:tcPr>
          <w:p>
            <w:pPr>
              <w:jc w:val="center"/>
              <w:rPr>
                <w:rFonts w:ascii="Times New Roman" w:hAnsi="Times New Roman"/>
              </w:rPr>
            </w:pPr>
            <w:r>
              <w:rPr>
                <w:rFonts w:ascii="Times New Roman" w:hAnsi="Times New Roman"/>
              </w:rPr>
              <w:t>0.016</w:t>
            </w:r>
          </w:p>
        </w:tc>
        <w:tc>
          <w:tcPr>
            <w:tcW w:w="1038" w:type="dxa"/>
            <w:vMerge w:val="continue"/>
            <w:shd w:val="clear" w:color="000000" w:fill="FFFFFF"/>
            <w:vAlign w:val="center"/>
          </w:tcPr>
          <w:p>
            <w:pPr>
              <w:jc w:val="center"/>
              <w:rPr>
                <w:rFonts w:ascii="Times New Roman" w:hAnsi="Times New Roman"/>
              </w:rPr>
            </w:pPr>
          </w:p>
        </w:tc>
        <w:tc>
          <w:tcPr>
            <w:tcW w:w="973" w:type="dxa"/>
            <w:shd w:val="clear" w:color="000000" w:fill="FFFFFF"/>
            <w:vAlign w:val="center"/>
          </w:tcPr>
          <w:p>
            <w:pPr>
              <w:jc w:val="center"/>
              <w:rPr>
                <w:rFonts w:ascii="Times New Roman" w:hAnsi="Times New Roman"/>
              </w:rPr>
            </w:pPr>
            <w:r>
              <w:rPr>
                <w:rFonts w:ascii="Times New Roman" w:hAnsi="Times New Roman"/>
              </w:rPr>
              <w:t>1</w:t>
            </w:r>
          </w:p>
        </w:tc>
        <w:tc>
          <w:tcPr>
            <w:tcW w:w="876" w:type="dxa"/>
            <w:shd w:val="clear" w:color="000000" w:fill="FFFFFF"/>
            <w:vAlign w:val="center"/>
          </w:tcPr>
          <w:p>
            <w:pPr>
              <w:jc w:val="center"/>
              <w:rPr>
                <w:rFonts w:ascii="Times New Roman" w:hAnsi="Times New Roman"/>
              </w:rPr>
            </w:pPr>
            <w:r>
              <w:rPr>
                <w:rFonts w:ascii="Times New Roman" w:hAnsi="Times New Roman"/>
              </w:rPr>
              <w:t>1</w:t>
            </w:r>
          </w:p>
        </w:tc>
        <w:tc>
          <w:tcPr>
            <w:tcW w:w="739" w:type="dxa"/>
            <w:vMerge w:val="continue"/>
            <w:shd w:val="clear" w:color="000000" w:fill="FFFFFF"/>
            <w:vAlign w:val="center"/>
          </w:tcPr>
          <w:p>
            <w:pPr>
              <w:jc w:val="center"/>
              <w:rPr>
                <w:rFonts w:ascii="Times New Roman" w:hAnsi="Times New Roma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602" w:hRule="atLeast"/>
        </w:trPr>
        <w:tc>
          <w:tcPr>
            <w:tcW w:w="1285" w:type="dxa"/>
            <w:vMerge w:val="restart"/>
            <w:shd w:val="clear" w:color="000000" w:fill="FFFFFF"/>
            <w:vAlign w:val="center"/>
          </w:tcPr>
          <w:p>
            <w:pPr>
              <w:spacing w:line="280" w:lineRule="exact"/>
              <w:jc w:val="center"/>
              <w:rPr>
                <w:rFonts w:ascii="Times New Roman" w:hAnsi="Times New Roman"/>
              </w:rPr>
            </w:pPr>
            <w:r>
              <w:rPr>
                <w:rFonts w:ascii="Times New Roman" w:hAnsi="Times New Roman"/>
              </w:rPr>
              <w:t>污水处理间</w:t>
            </w:r>
          </w:p>
        </w:tc>
        <w:tc>
          <w:tcPr>
            <w:tcW w:w="1065" w:type="dxa"/>
            <w:vMerge w:val="restart"/>
            <w:shd w:val="clear" w:color="000000" w:fill="FFFFFF"/>
            <w:vAlign w:val="center"/>
          </w:tcPr>
          <w:p>
            <w:pPr>
              <w:jc w:val="center"/>
              <w:rPr>
                <w:rFonts w:ascii="Times New Roman" w:hAnsi="Times New Roman"/>
              </w:rPr>
            </w:pPr>
            <w:r>
              <w:rPr>
                <w:rFonts w:ascii="Times New Roman" w:hAnsi="Times New Roman"/>
              </w:rPr>
              <w:t>环保设施</w:t>
            </w:r>
          </w:p>
        </w:tc>
        <w:tc>
          <w:tcPr>
            <w:tcW w:w="1299" w:type="dxa"/>
            <w:shd w:val="clear" w:color="000000" w:fill="FFFFFF"/>
            <w:vAlign w:val="center"/>
          </w:tcPr>
          <w:p>
            <w:pPr>
              <w:jc w:val="center"/>
              <w:rPr>
                <w:rFonts w:ascii="Times New Roman" w:hAnsi="Times New Roman"/>
              </w:rPr>
            </w:pPr>
            <w:r>
              <w:rPr>
                <w:rFonts w:ascii="Times New Roman" w:hAnsi="Times New Roman"/>
              </w:rPr>
              <w:t>氨</w:t>
            </w:r>
          </w:p>
        </w:tc>
        <w:tc>
          <w:tcPr>
            <w:tcW w:w="1038" w:type="dxa"/>
            <w:shd w:val="clear" w:color="000000" w:fill="FFFFFF"/>
            <w:vAlign w:val="center"/>
          </w:tcPr>
          <w:p>
            <w:pPr>
              <w:jc w:val="center"/>
              <w:rPr>
                <w:rFonts w:ascii="Times New Roman" w:hAnsi="Times New Roman"/>
              </w:rPr>
            </w:pPr>
            <w:r>
              <w:rPr>
                <w:rFonts w:ascii="Times New Roman" w:hAnsi="Times New Roman"/>
              </w:rPr>
              <w:t>0.00000021</w:t>
            </w:r>
          </w:p>
        </w:tc>
        <w:tc>
          <w:tcPr>
            <w:tcW w:w="1038" w:type="dxa"/>
            <w:vMerge w:val="restart"/>
            <w:shd w:val="clear" w:color="000000" w:fill="FFFFFF"/>
            <w:vAlign w:val="center"/>
          </w:tcPr>
          <w:p>
            <w:pPr>
              <w:jc w:val="center"/>
              <w:rPr>
                <w:rFonts w:ascii="Times New Roman" w:hAnsi="Times New Roman"/>
              </w:rPr>
            </w:pPr>
            <w:r>
              <w:rPr>
                <w:rFonts w:ascii="Times New Roman" w:hAnsi="Times New Roman"/>
              </w:rPr>
              <w:t>0</w:t>
            </w:r>
          </w:p>
        </w:tc>
        <w:tc>
          <w:tcPr>
            <w:tcW w:w="973" w:type="dxa"/>
            <w:shd w:val="clear" w:color="000000" w:fill="FFFFFF"/>
            <w:vAlign w:val="center"/>
          </w:tcPr>
          <w:p>
            <w:pPr>
              <w:jc w:val="center"/>
              <w:rPr>
                <w:rFonts w:ascii="Times New Roman" w:hAnsi="Times New Roman"/>
              </w:rPr>
            </w:pPr>
            <w:r>
              <w:rPr>
                <w:rFonts w:ascii="Times New Roman" w:hAnsi="Times New Roman"/>
              </w:rPr>
              <w:t>1</w:t>
            </w:r>
          </w:p>
        </w:tc>
        <w:tc>
          <w:tcPr>
            <w:tcW w:w="876" w:type="dxa"/>
            <w:shd w:val="clear" w:color="000000" w:fill="FFFFFF"/>
            <w:vAlign w:val="center"/>
          </w:tcPr>
          <w:p>
            <w:pPr>
              <w:jc w:val="center"/>
              <w:rPr>
                <w:rFonts w:ascii="Times New Roman" w:hAnsi="Times New Roman"/>
              </w:rPr>
            </w:pPr>
            <w:r>
              <w:rPr>
                <w:rFonts w:ascii="Times New Roman" w:hAnsi="Times New Roman"/>
              </w:rPr>
              <w:t>1</w:t>
            </w:r>
          </w:p>
        </w:tc>
        <w:tc>
          <w:tcPr>
            <w:tcW w:w="739" w:type="dxa"/>
            <w:vMerge w:val="restart"/>
            <w:shd w:val="clear" w:color="000000" w:fill="FFFFFF"/>
            <w:vAlign w:val="center"/>
          </w:tcPr>
          <w:p>
            <w:pPr>
              <w:jc w:val="center"/>
              <w:rPr>
                <w:rFonts w:ascii="Times New Roman" w:hAnsi="Times New Roman"/>
              </w:rPr>
            </w:pPr>
            <w:r>
              <w:rPr>
                <w:rFonts w:ascii="Times New Roman" w:hAnsi="Times New Roman"/>
              </w:rPr>
              <w:t>紧急停止生产设备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294" w:hRule="atLeast"/>
        </w:trPr>
        <w:tc>
          <w:tcPr>
            <w:tcW w:w="1285" w:type="dxa"/>
            <w:vMerge w:val="continue"/>
            <w:shd w:val="clear" w:color="000000" w:fill="FFFFFF"/>
            <w:vAlign w:val="center"/>
          </w:tcPr>
          <w:p>
            <w:pPr>
              <w:spacing w:line="280" w:lineRule="exact"/>
              <w:jc w:val="center"/>
              <w:rPr>
                <w:rFonts w:ascii="Times New Roman" w:hAnsi="Times New Roman"/>
              </w:rPr>
            </w:pPr>
          </w:p>
        </w:tc>
        <w:tc>
          <w:tcPr>
            <w:tcW w:w="1065" w:type="dxa"/>
            <w:vMerge w:val="continue"/>
            <w:shd w:val="clear" w:color="000000" w:fill="FFFFFF"/>
            <w:vAlign w:val="center"/>
          </w:tcPr>
          <w:p>
            <w:pPr>
              <w:jc w:val="center"/>
              <w:rPr>
                <w:rFonts w:ascii="Times New Roman" w:hAnsi="Times New Roman"/>
              </w:rPr>
            </w:pPr>
          </w:p>
        </w:tc>
        <w:tc>
          <w:tcPr>
            <w:tcW w:w="1299" w:type="dxa"/>
            <w:shd w:val="clear" w:color="000000" w:fill="FFFFFF"/>
            <w:vAlign w:val="center"/>
          </w:tcPr>
          <w:p>
            <w:pPr>
              <w:jc w:val="center"/>
              <w:rPr>
                <w:rFonts w:ascii="Times New Roman" w:hAnsi="Times New Roman"/>
              </w:rPr>
            </w:pPr>
            <w:r>
              <w:rPr>
                <w:rFonts w:ascii="Times New Roman" w:hAnsi="Times New Roman"/>
              </w:rPr>
              <w:t>硫化氢</w:t>
            </w:r>
          </w:p>
        </w:tc>
        <w:tc>
          <w:tcPr>
            <w:tcW w:w="1038" w:type="dxa"/>
            <w:shd w:val="clear" w:color="000000" w:fill="FFFFFF"/>
            <w:vAlign w:val="center"/>
          </w:tcPr>
          <w:p>
            <w:pPr>
              <w:jc w:val="center"/>
              <w:rPr>
                <w:rFonts w:ascii="Times New Roman" w:hAnsi="Times New Roman"/>
              </w:rPr>
            </w:pPr>
            <w:r>
              <w:rPr>
                <w:rFonts w:ascii="Times New Roman" w:hAnsi="Times New Roman"/>
              </w:rPr>
              <w:t>0.0000000825</w:t>
            </w:r>
          </w:p>
        </w:tc>
        <w:tc>
          <w:tcPr>
            <w:tcW w:w="1038" w:type="dxa"/>
            <w:vMerge w:val="continue"/>
            <w:shd w:val="clear" w:color="000000" w:fill="FFFFFF"/>
            <w:vAlign w:val="center"/>
          </w:tcPr>
          <w:p>
            <w:pPr>
              <w:jc w:val="center"/>
              <w:rPr>
                <w:rFonts w:ascii="Times New Roman" w:hAnsi="Times New Roman"/>
              </w:rPr>
            </w:pPr>
          </w:p>
        </w:tc>
        <w:tc>
          <w:tcPr>
            <w:tcW w:w="973" w:type="dxa"/>
            <w:shd w:val="clear" w:color="000000" w:fill="FFFFFF"/>
            <w:vAlign w:val="center"/>
          </w:tcPr>
          <w:p>
            <w:pPr>
              <w:jc w:val="center"/>
              <w:rPr>
                <w:rFonts w:ascii="Times New Roman" w:hAnsi="Times New Roman"/>
              </w:rPr>
            </w:pPr>
            <w:r>
              <w:rPr>
                <w:rFonts w:ascii="Times New Roman" w:hAnsi="Times New Roman"/>
              </w:rPr>
              <w:t>1</w:t>
            </w:r>
          </w:p>
        </w:tc>
        <w:tc>
          <w:tcPr>
            <w:tcW w:w="876" w:type="dxa"/>
            <w:shd w:val="clear" w:color="000000" w:fill="FFFFFF"/>
            <w:vAlign w:val="center"/>
          </w:tcPr>
          <w:p>
            <w:pPr>
              <w:jc w:val="center"/>
              <w:rPr>
                <w:rFonts w:ascii="Times New Roman" w:hAnsi="Times New Roman"/>
              </w:rPr>
            </w:pPr>
            <w:r>
              <w:rPr>
                <w:rFonts w:ascii="Times New Roman" w:hAnsi="Times New Roman"/>
              </w:rPr>
              <w:t>1</w:t>
            </w:r>
          </w:p>
        </w:tc>
        <w:tc>
          <w:tcPr>
            <w:tcW w:w="739" w:type="dxa"/>
            <w:vMerge w:val="continue"/>
            <w:shd w:val="clear" w:color="000000" w:fill="FFFFFF"/>
            <w:vAlign w:val="center"/>
          </w:tcPr>
          <w:p>
            <w:pPr>
              <w:jc w:val="center"/>
              <w:rPr>
                <w:rFonts w:ascii="Times New Roman" w:hAnsi="Times New Roman"/>
              </w:rPr>
            </w:pPr>
          </w:p>
        </w:tc>
      </w:tr>
    </w:tbl>
    <w:p>
      <w:pPr>
        <w:spacing w:line="480" w:lineRule="exact"/>
        <w:ind w:firstLine="480" w:firstLineChars="200"/>
        <w:rPr>
          <w:rFonts w:ascii="Times New Roman" w:hAnsi="Times New Roman"/>
          <w:szCs w:val="24"/>
        </w:rPr>
      </w:pPr>
      <w:r>
        <w:rPr>
          <w:rFonts w:ascii="Times New Roman" w:hAnsi="Times New Roman"/>
          <w:sz w:val="24"/>
          <w:szCs w:val="24"/>
        </w:rPr>
        <w:t>本项目废气污染源源强核算结果及相关参数一览表见表3.5-5。</w:t>
      </w:r>
    </w:p>
    <w:p>
      <w:pPr>
        <w:widowControl/>
        <w:spacing w:line="480" w:lineRule="exact"/>
        <w:outlineLvl w:val="3"/>
        <w:rPr>
          <w:rFonts w:ascii="Times New Roman" w:hAnsi="Times New Roman" w:eastAsia="黑体"/>
          <w:sz w:val="24"/>
        </w:rPr>
      </w:pPr>
      <w:r>
        <w:rPr>
          <w:rFonts w:ascii="Times New Roman" w:hAnsi="Times New Roman" w:eastAsia="黑体"/>
          <w:sz w:val="24"/>
        </w:rPr>
        <w:t>3.5.2.3.噪声</w:t>
      </w:r>
    </w:p>
    <w:p>
      <w:pPr>
        <w:spacing w:line="480" w:lineRule="exact"/>
        <w:ind w:firstLine="480" w:firstLineChars="200"/>
        <w:rPr>
          <w:rFonts w:ascii="Times New Roman" w:hAnsi="Times New Roman"/>
          <w:shd w:val="clear" w:color="FFFFFF" w:fill="D9D9D9"/>
        </w:rPr>
      </w:pPr>
      <w:r>
        <w:rPr>
          <w:rFonts w:ascii="Times New Roman" w:hAnsi="Times New Roman"/>
          <w:sz w:val="24"/>
        </w:rPr>
        <w:t>本项目运营期噪声主要来源</w:t>
      </w:r>
      <w:r>
        <w:rPr>
          <w:rFonts w:ascii="Times New Roman" w:hAnsi="Times New Roman"/>
          <w:sz w:val="24"/>
          <w:szCs w:val="24"/>
        </w:rPr>
        <w:t>于高温干热灭菌设备、水泵、风机等设备</w:t>
      </w:r>
      <w:r>
        <w:rPr>
          <w:rFonts w:ascii="Times New Roman" w:hAnsi="Times New Roman"/>
          <w:sz w:val="24"/>
        </w:rPr>
        <w:t>，噪声强度在75~95dB（A）的范围内。选用低噪声设备，采用基础减震等措施，具体情况见表3.5-6。</w:t>
      </w:r>
    </w:p>
    <w:p>
      <w:pPr>
        <w:pStyle w:val="155"/>
        <w:ind w:firstLine="480"/>
        <w:rPr>
          <w:shd w:val="clear" w:color="FFFFFF" w:fill="D9D9D9"/>
        </w:rPr>
        <w:sectPr>
          <w:headerReference r:id="rId15" w:type="default"/>
          <w:pgSz w:w="11907" w:h="16839"/>
          <w:pgMar w:top="1440" w:right="1797" w:bottom="1440" w:left="1797" w:header="851" w:footer="850" w:gutter="0"/>
          <w:cols w:space="720" w:num="1"/>
          <w:docGrid w:linePitch="312" w:charSpace="0"/>
        </w:sectPr>
      </w:pPr>
    </w:p>
    <w:p>
      <w:pPr>
        <w:spacing w:line="480" w:lineRule="exact"/>
        <w:jc w:val="center"/>
        <w:rPr>
          <w:rFonts w:ascii="Times New Roman" w:hAnsi="Times New Roman"/>
          <w:b/>
          <w:snapToGrid w:val="0"/>
        </w:rPr>
      </w:pPr>
      <w:r>
        <w:rPr>
          <w:rFonts w:ascii="Times New Roman" w:hAnsi="Times New Roman"/>
          <w:b/>
          <w:snapToGrid w:val="0"/>
        </w:rPr>
        <w:t>表3.5-5 废气污染源源强核算结果及相关参数一览表</w:t>
      </w:r>
    </w:p>
    <w:tbl>
      <w:tblPr>
        <w:tblStyle w:val="77"/>
        <w:tblW w:w="510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712"/>
        <w:gridCol w:w="712"/>
        <w:gridCol w:w="854"/>
        <w:gridCol w:w="697"/>
        <w:gridCol w:w="698"/>
        <w:gridCol w:w="656"/>
        <w:gridCol w:w="1024"/>
        <w:gridCol w:w="995"/>
        <w:gridCol w:w="840"/>
        <w:gridCol w:w="1454"/>
        <w:gridCol w:w="670"/>
        <w:gridCol w:w="727"/>
        <w:gridCol w:w="995"/>
        <w:gridCol w:w="981"/>
        <w:gridCol w:w="940"/>
        <w:gridCol w:w="63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196" w:hRule="atLeast"/>
          <w:jc w:val="center"/>
        </w:trPr>
        <w:tc>
          <w:tcPr>
            <w:tcW w:w="712" w:type="dxa"/>
            <w:vMerge w:val="restart"/>
            <w:tcBorders>
              <w:top w:val="single" w:color="auto" w:sz="12" w:space="0"/>
            </w:tcBorders>
            <w:vAlign w:val="center"/>
          </w:tcPr>
          <w:p>
            <w:pPr>
              <w:spacing w:line="280" w:lineRule="exact"/>
              <w:jc w:val="center"/>
              <w:rPr>
                <w:rFonts w:ascii="Times New Roman" w:hAnsi="Times New Roman"/>
                <w:b/>
                <w:kern w:val="2"/>
              </w:rPr>
            </w:pPr>
            <w:r>
              <w:rPr>
                <w:rFonts w:ascii="Times New Roman" w:hAnsi="Times New Roman"/>
                <w:b/>
                <w:kern w:val="2"/>
              </w:rPr>
              <w:t>工序/生产线</w:t>
            </w:r>
          </w:p>
        </w:tc>
        <w:tc>
          <w:tcPr>
            <w:tcW w:w="712" w:type="dxa"/>
            <w:vMerge w:val="restart"/>
            <w:tcBorders>
              <w:top w:val="single" w:color="auto" w:sz="12" w:space="0"/>
            </w:tcBorders>
            <w:vAlign w:val="center"/>
          </w:tcPr>
          <w:p>
            <w:pPr>
              <w:spacing w:line="280" w:lineRule="exact"/>
              <w:jc w:val="center"/>
              <w:rPr>
                <w:rFonts w:ascii="Times New Roman" w:hAnsi="Times New Roman"/>
                <w:b/>
                <w:kern w:val="2"/>
              </w:rPr>
            </w:pPr>
            <w:r>
              <w:rPr>
                <w:rFonts w:ascii="Times New Roman" w:hAnsi="Times New Roman"/>
                <w:b/>
                <w:kern w:val="2"/>
              </w:rPr>
              <w:t>装置</w:t>
            </w:r>
          </w:p>
        </w:tc>
        <w:tc>
          <w:tcPr>
            <w:tcW w:w="854" w:type="dxa"/>
            <w:vMerge w:val="restart"/>
            <w:tcBorders>
              <w:top w:val="single" w:color="auto" w:sz="12" w:space="0"/>
            </w:tcBorders>
            <w:vAlign w:val="center"/>
          </w:tcPr>
          <w:p>
            <w:pPr>
              <w:spacing w:line="280" w:lineRule="exact"/>
              <w:jc w:val="center"/>
              <w:rPr>
                <w:rFonts w:ascii="Times New Roman" w:hAnsi="Times New Roman"/>
                <w:b/>
                <w:kern w:val="2"/>
              </w:rPr>
            </w:pPr>
            <w:r>
              <w:rPr>
                <w:rFonts w:ascii="Times New Roman" w:hAnsi="Times New Roman"/>
                <w:b/>
                <w:kern w:val="2"/>
              </w:rPr>
              <w:t>污染源</w:t>
            </w:r>
          </w:p>
        </w:tc>
        <w:tc>
          <w:tcPr>
            <w:tcW w:w="697" w:type="dxa"/>
            <w:vMerge w:val="restart"/>
            <w:tcBorders>
              <w:top w:val="single" w:color="auto" w:sz="12" w:space="0"/>
            </w:tcBorders>
            <w:vAlign w:val="center"/>
          </w:tcPr>
          <w:p>
            <w:pPr>
              <w:spacing w:line="280" w:lineRule="exact"/>
              <w:jc w:val="center"/>
              <w:rPr>
                <w:rFonts w:ascii="Times New Roman" w:hAnsi="Times New Roman"/>
                <w:b/>
                <w:kern w:val="2"/>
              </w:rPr>
            </w:pPr>
            <w:r>
              <w:rPr>
                <w:rFonts w:ascii="Times New Roman" w:hAnsi="Times New Roman"/>
                <w:b/>
                <w:kern w:val="2"/>
              </w:rPr>
              <w:t>排放</w:t>
            </w:r>
          </w:p>
          <w:p>
            <w:pPr>
              <w:spacing w:line="280" w:lineRule="exact"/>
              <w:jc w:val="center"/>
              <w:rPr>
                <w:rFonts w:ascii="Times New Roman" w:hAnsi="Times New Roman"/>
                <w:b/>
                <w:kern w:val="2"/>
              </w:rPr>
            </w:pPr>
            <w:r>
              <w:rPr>
                <w:rFonts w:ascii="Times New Roman" w:hAnsi="Times New Roman"/>
                <w:b/>
                <w:kern w:val="2"/>
              </w:rPr>
              <w:t>方式</w:t>
            </w:r>
          </w:p>
        </w:tc>
        <w:tc>
          <w:tcPr>
            <w:tcW w:w="698" w:type="dxa"/>
            <w:vMerge w:val="restart"/>
            <w:tcBorders>
              <w:top w:val="single" w:color="auto" w:sz="12" w:space="0"/>
            </w:tcBorders>
            <w:vAlign w:val="center"/>
          </w:tcPr>
          <w:p>
            <w:pPr>
              <w:spacing w:line="280" w:lineRule="exact"/>
              <w:jc w:val="center"/>
              <w:rPr>
                <w:rFonts w:ascii="Times New Roman" w:hAnsi="Times New Roman"/>
                <w:b/>
                <w:kern w:val="2"/>
              </w:rPr>
            </w:pPr>
            <w:r>
              <w:rPr>
                <w:rFonts w:ascii="Times New Roman" w:hAnsi="Times New Roman"/>
                <w:b/>
                <w:kern w:val="2"/>
              </w:rPr>
              <w:t>污染物</w:t>
            </w:r>
          </w:p>
        </w:tc>
        <w:tc>
          <w:tcPr>
            <w:tcW w:w="3515" w:type="dxa"/>
            <w:gridSpan w:val="4"/>
            <w:tcBorders>
              <w:top w:val="single" w:color="auto" w:sz="12" w:space="0"/>
            </w:tcBorders>
            <w:vAlign w:val="center"/>
          </w:tcPr>
          <w:p>
            <w:pPr>
              <w:spacing w:line="280" w:lineRule="exact"/>
              <w:jc w:val="center"/>
              <w:rPr>
                <w:rFonts w:ascii="Times New Roman" w:hAnsi="Times New Roman"/>
                <w:b/>
                <w:kern w:val="2"/>
              </w:rPr>
            </w:pPr>
            <w:r>
              <w:rPr>
                <w:rFonts w:ascii="Times New Roman" w:hAnsi="Times New Roman"/>
                <w:b/>
                <w:kern w:val="2"/>
              </w:rPr>
              <w:t>污染物产生</w:t>
            </w:r>
          </w:p>
        </w:tc>
        <w:tc>
          <w:tcPr>
            <w:tcW w:w="2124" w:type="dxa"/>
            <w:gridSpan w:val="2"/>
            <w:tcBorders>
              <w:top w:val="single" w:color="auto" w:sz="12" w:space="0"/>
            </w:tcBorders>
            <w:vAlign w:val="center"/>
          </w:tcPr>
          <w:p>
            <w:pPr>
              <w:spacing w:line="280" w:lineRule="exact"/>
              <w:jc w:val="center"/>
              <w:rPr>
                <w:rFonts w:ascii="Times New Roman" w:hAnsi="Times New Roman"/>
                <w:b/>
                <w:kern w:val="2"/>
              </w:rPr>
            </w:pPr>
            <w:r>
              <w:rPr>
                <w:rFonts w:ascii="Times New Roman" w:hAnsi="Times New Roman"/>
                <w:b/>
                <w:kern w:val="2"/>
              </w:rPr>
              <w:t>治理措施</w:t>
            </w:r>
          </w:p>
        </w:tc>
        <w:tc>
          <w:tcPr>
            <w:tcW w:w="4274" w:type="dxa"/>
            <w:gridSpan w:val="5"/>
            <w:tcBorders>
              <w:top w:val="single" w:color="auto" w:sz="12" w:space="0"/>
            </w:tcBorders>
            <w:vAlign w:val="center"/>
          </w:tcPr>
          <w:p>
            <w:pPr>
              <w:spacing w:line="280" w:lineRule="exact"/>
              <w:jc w:val="center"/>
              <w:rPr>
                <w:rFonts w:ascii="Times New Roman" w:hAnsi="Times New Roman"/>
                <w:b/>
                <w:kern w:val="2"/>
              </w:rPr>
            </w:pPr>
            <w:r>
              <w:rPr>
                <w:rFonts w:ascii="Times New Roman" w:hAnsi="Times New Roman"/>
                <w:b/>
                <w:kern w:val="2"/>
              </w:rPr>
              <w:t>污染物排放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0" w:hRule="atLeast"/>
          <w:jc w:val="center"/>
        </w:trPr>
        <w:tc>
          <w:tcPr>
            <w:tcW w:w="712" w:type="dxa"/>
            <w:vMerge w:val="continue"/>
            <w:vAlign w:val="center"/>
          </w:tcPr>
          <w:p>
            <w:pPr>
              <w:spacing w:line="280" w:lineRule="exact"/>
              <w:jc w:val="center"/>
              <w:rPr>
                <w:rFonts w:ascii="Times New Roman" w:hAnsi="Times New Roman"/>
                <w:b/>
                <w:kern w:val="2"/>
              </w:rPr>
            </w:pPr>
          </w:p>
        </w:tc>
        <w:tc>
          <w:tcPr>
            <w:tcW w:w="712" w:type="dxa"/>
            <w:vMerge w:val="continue"/>
            <w:vAlign w:val="center"/>
          </w:tcPr>
          <w:p>
            <w:pPr>
              <w:spacing w:line="280" w:lineRule="exact"/>
              <w:jc w:val="center"/>
              <w:rPr>
                <w:rFonts w:ascii="Times New Roman" w:hAnsi="Times New Roman"/>
                <w:b/>
                <w:kern w:val="2"/>
              </w:rPr>
            </w:pPr>
          </w:p>
        </w:tc>
        <w:tc>
          <w:tcPr>
            <w:tcW w:w="854" w:type="dxa"/>
            <w:vMerge w:val="continue"/>
            <w:vAlign w:val="center"/>
          </w:tcPr>
          <w:p>
            <w:pPr>
              <w:spacing w:line="280" w:lineRule="exact"/>
              <w:jc w:val="center"/>
              <w:rPr>
                <w:rFonts w:ascii="Times New Roman" w:hAnsi="Times New Roman"/>
                <w:b/>
                <w:kern w:val="2"/>
              </w:rPr>
            </w:pPr>
          </w:p>
        </w:tc>
        <w:tc>
          <w:tcPr>
            <w:tcW w:w="697" w:type="dxa"/>
            <w:vMerge w:val="continue"/>
            <w:vAlign w:val="center"/>
          </w:tcPr>
          <w:p>
            <w:pPr>
              <w:spacing w:line="280" w:lineRule="exact"/>
              <w:jc w:val="center"/>
              <w:rPr>
                <w:rFonts w:ascii="Times New Roman" w:hAnsi="Times New Roman"/>
                <w:b/>
                <w:kern w:val="2"/>
              </w:rPr>
            </w:pPr>
          </w:p>
        </w:tc>
        <w:tc>
          <w:tcPr>
            <w:tcW w:w="698" w:type="dxa"/>
            <w:vMerge w:val="continue"/>
            <w:vAlign w:val="center"/>
          </w:tcPr>
          <w:p>
            <w:pPr>
              <w:spacing w:line="280" w:lineRule="exact"/>
              <w:jc w:val="center"/>
              <w:rPr>
                <w:rFonts w:ascii="Times New Roman" w:hAnsi="Times New Roman"/>
                <w:b/>
                <w:kern w:val="2"/>
              </w:rPr>
            </w:pPr>
          </w:p>
        </w:tc>
        <w:tc>
          <w:tcPr>
            <w:tcW w:w="656" w:type="dxa"/>
            <w:vAlign w:val="center"/>
          </w:tcPr>
          <w:p>
            <w:pPr>
              <w:spacing w:line="280" w:lineRule="exact"/>
              <w:jc w:val="center"/>
              <w:rPr>
                <w:rFonts w:ascii="Times New Roman" w:hAnsi="Times New Roman"/>
                <w:b/>
                <w:kern w:val="2"/>
              </w:rPr>
            </w:pPr>
            <w:r>
              <w:rPr>
                <w:rFonts w:ascii="Times New Roman" w:hAnsi="Times New Roman"/>
                <w:b/>
                <w:kern w:val="2"/>
              </w:rPr>
              <w:t>核算</w:t>
            </w:r>
          </w:p>
          <w:p>
            <w:pPr>
              <w:spacing w:line="280" w:lineRule="exact"/>
              <w:jc w:val="center"/>
              <w:rPr>
                <w:rFonts w:ascii="Times New Roman" w:hAnsi="Times New Roman"/>
                <w:b/>
                <w:kern w:val="2"/>
              </w:rPr>
            </w:pPr>
            <w:r>
              <w:rPr>
                <w:rFonts w:ascii="Times New Roman" w:hAnsi="Times New Roman"/>
                <w:b/>
                <w:kern w:val="2"/>
              </w:rPr>
              <w:t>方法</w:t>
            </w:r>
          </w:p>
        </w:tc>
        <w:tc>
          <w:tcPr>
            <w:tcW w:w="1024" w:type="dxa"/>
            <w:vAlign w:val="center"/>
          </w:tcPr>
          <w:p>
            <w:pPr>
              <w:spacing w:line="280" w:lineRule="exact"/>
              <w:jc w:val="center"/>
              <w:rPr>
                <w:rFonts w:ascii="Times New Roman" w:hAnsi="Times New Roman"/>
                <w:b/>
                <w:kern w:val="2"/>
              </w:rPr>
            </w:pPr>
            <w:r>
              <w:rPr>
                <w:rFonts w:ascii="Times New Roman" w:hAnsi="Times New Roman"/>
                <w:b/>
                <w:kern w:val="2"/>
              </w:rPr>
              <w:t>废气产生量（Nm</w:t>
            </w:r>
            <w:r>
              <w:rPr>
                <w:rFonts w:ascii="Times New Roman" w:hAnsi="Times New Roman"/>
                <w:b/>
                <w:kern w:val="2"/>
                <w:vertAlign w:val="superscript"/>
              </w:rPr>
              <w:t>3</w:t>
            </w:r>
            <w:r>
              <w:rPr>
                <w:rFonts w:ascii="Times New Roman" w:hAnsi="Times New Roman"/>
                <w:b/>
                <w:kern w:val="2"/>
              </w:rPr>
              <w:t>/h）</w:t>
            </w:r>
          </w:p>
        </w:tc>
        <w:tc>
          <w:tcPr>
            <w:tcW w:w="995" w:type="dxa"/>
            <w:vAlign w:val="center"/>
          </w:tcPr>
          <w:p>
            <w:pPr>
              <w:spacing w:line="280" w:lineRule="exact"/>
              <w:jc w:val="center"/>
              <w:rPr>
                <w:rFonts w:ascii="Times New Roman" w:hAnsi="Times New Roman"/>
                <w:b/>
                <w:kern w:val="2"/>
              </w:rPr>
            </w:pPr>
            <w:r>
              <w:rPr>
                <w:rFonts w:ascii="Times New Roman" w:hAnsi="Times New Roman"/>
                <w:b/>
                <w:kern w:val="2"/>
              </w:rPr>
              <w:t>产生浓度（mg/m</w:t>
            </w:r>
            <w:r>
              <w:rPr>
                <w:rFonts w:ascii="Times New Roman" w:hAnsi="Times New Roman"/>
                <w:b/>
                <w:kern w:val="2"/>
                <w:vertAlign w:val="superscript"/>
              </w:rPr>
              <w:t>3</w:t>
            </w:r>
            <w:r>
              <w:rPr>
                <w:rFonts w:ascii="Times New Roman" w:hAnsi="Times New Roman"/>
                <w:b/>
                <w:kern w:val="2"/>
              </w:rPr>
              <w:t>）</w:t>
            </w:r>
          </w:p>
        </w:tc>
        <w:tc>
          <w:tcPr>
            <w:tcW w:w="840" w:type="dxa"/>
            <w:vAlign w:val="center"/>
          </w:tcPr>
          <w:p>
            <w:pPr>
              <w:spacing w:line="280" w:lineRule="exact"/>
              <w:jc w:val="center"/>
              <w:rPr>
                <w:rFonts w:ascii="Times New Roman" w:hAnsi="Times New Roman"/>
                <w:b/>
                <w:kern w:val="2"/>
              </w:rPr>
            </w:pPr>
            <w:r>
              <w:rPr>
                <w:rFonts w:ascii="Times New Roman" w:hAnsi="Times New Roman"/>
                <w:b/>
                <w:kern w:val="2"/>
              </w:rPr>
              <w:t>产生量（kg/h）</w:t>
            </w:r>
          </w:p>
        </w:tc>
        <w:tc>
          <w:tcPr>
            <w:tcW w:w="1454" w:type="dxa"/>
            <w:vAlign w:val="center"/>
          </w:tcPr>
          <w:p>
            <w:pPr>
              <w:spacing w:line="280" w:lineRule="exact"/>
              <w:jc w:val="center"/>
              <w:rPr>
                <w:rFonts w:ascii="Times New Roman" w:hAnsi="Times New Roman"/>
                <w:b/>
                <w:kern w:val="2"/>
              </w:rPr>
            </w:pPr>
            <w:r>
              <w:rPr>
                <w:rFonts w:ascii="Times New Roman" w:hAnsi="Times New Roman"/>
                <w:b/>
                <w:kern w:val="2"/>
              </w:rPr>
              <w:t>工艺</w:t>
            </w:r>
          </w:p>
        </w:tc>
        <w:tc>
          <w:tcPr>
            <w:tcW w:w="670" w:type="dxa"/>
            <w:vAlign w:val="center"/>
          </w:tcPr>
          <w:p>
            <w:pPr>
              <w:spacing w:line="280" w:lineRule="exact"/>
              <w:jc w:val="center"/>
              <w:rPr>
                <w:rFonts w:ascii="Times New Roman" w:hAnsi="Times New Roman"/>
                <w:b/>
                <w:kern w:val="2"/>
              </w:rPr>
            </w:pPr>
            <w:r>
              <w:rPr>
                <w:rFonts w:ascii="Times New Roman" w:hAnsi="Times New Roman"/>
                <w:b/>
                <w:kern w:val="2"/>
              </w:rPr>
              <w:t>效率（%）</w:t>
            </w:r>
          </w:p>
        </w:tc>
        <w:tc>
          <w:tcPr>
            <w:tcW w:w="727" w:type="dxa"/>
            <w:vAlign w:val="center"/>
          </w:tcPr>
          <w:p>
            <w:pPr>
              <w:spacing w:line="280" w:lineRule="exact"/>
              <w:jc w:val="center"/>
              <w:rPr>
                <w:rFonts w:ascii="Times New Roman" w:hAnsi="Times New Roman"/>
                <w:b/>
                <w:kern w:val="2"/>
              </w:rPr>
            </w:pPr>
            <w:r>
              <w:rPr>
                <w:rFonts w:ascii="Times New Roman" w:hAnsi="Times New Roman"/>
                <w:b/>
                <w:kern w:val="2"/>
              </w:rPr>
              <w:t>核算</w:t>
            </w:r>
          </w:p>
          <w:p>
            <w:pPr>
              <w:spacing w:line="280" w:lineRule="exact"/>
              <w:jc w:val="center"/>
              <w:rPr>
                <w:rFonts w:ascii="Times New Roman" w:hAnsi="Times New Roman"/>
                <w:b/>
                <w:kern w:val="2"/>
              </w:rPr>
            </w:pPr>
            <w:r>
              <w:rPr>
                <w:rFonts w:ascii="Times New Roman" w:hAnsi="Times New Roman"/>
                <w:b/>
                <w:kern w:val="2"/>
              </w:rPr>
              <w:t>方法</w:t>
            </w:r>
          </w:p>
        </w:tc>
        <w:tc>
          <w:tcPr>
            <w:tcW w:w="995" w:type="dxa"/>
            <w:vAlign w:val="center"/>
          </w:tcPr>
          <w:p>
            <w:pPr>
              <w:spacing w:line="280" w:lineRule="exact"/>
              <w:jc w:val="center"/>
              <w:rPr>
                <w:rFonts w:ascii="Times New Roman" w:hAnsi="Times New Roman"/>
                <w:b/>
                <w:kern w:val="2"/>
              </w:rPr>
            </w:pPr>
            <w:r>
              <w:rPr>
                <w:rFonts w:ascii="Times New Roman" w:hAnsi="Times New Roman"/>
                <w:b/>
                <w:kern w:val="2"/>
              </w:rPr>
              <w:t>废气排放量（Nm</w:t>
            </w:r>
            <w:r>
              <w:rPr>
                <w:rFonts w:ascii="Times New Roman" w:hAnsi="Times New Roman"/>
                <w:b/>
                <w:kern w:val="2"/>
                <w:vertAlign w:val="superscript"/>
              </w:rPr>
              <w:t>3</w:t>
            </w:r>
            <w:r>
              <w:rPr>
                <w:rFonts w:ascii="Times New Roman" w:hAnsi="Times New Roman"/>
                <w:b/>
                <w:kern w:val="2"/>
              </w:rPr>
              <w:t>/h）</w:t>
            </w:r>
          </w:p>
        </w:tc>
        <w:tc>
          <w:tcPr>
            <w:tcW w:w="981" w:type="dxa"/>
            <w:vAlign w:val="center"/>
          </w:tcPr>
          <w:p>
            <w:pPr>
              <w:spacing w:line="280" w:lineRule="exact"/>
              <w:jc w:val="center"/>
              <w:rPr>
                <w:rFonts w:ascii="Times New Roman" w:hAnsi="Times New Roman"/>
                <w:b/>
                <w:kern w:val="2"/>
              </w:rPr>
            </w:pPr>
            <w:r>
              <w:rPr>
                <w:rFonts w:ascii="Times New Roman" w:hAnsi="Times New Roman"/>
                <w:b/>
                <w:kern w:val="2"/>
              </w:rPr>
              <w:t>排放浓度（mg/m</w:t>
            </w:r>
            <w:r>
              <w:rPr>
                <w:rFonts w:ascii="Times New Roman" w:hAnsi="Times New Roman"/>
                <w:b/>
                <w:kern w:val="2"/>
                <w:vertAlign w:val="superscript"/>
              </w:rPr>
              <w:t>3</w:t>
            </w:r>
            <w:r>
              <w:rPr>
                <w:rFonts w:ascii="Times New Roman" w:hAnsi="Times New Roman"/>
                <w:b/>
                <w:kern w:val="2"/>
              </w:rPr>
              <w:t>）</w:t>
            </w:r>
          </w:p>
        </w:tc>
        <w:tc>
          <w:tcPr>
            <w:tcW w:w="940" w:type="dxa"/>
            <w:vAlign w:val="center"/>
          </w:tcPr>
          <w:p>
            <w:pPr>
              <w:spacing w:line="280" w:lineRule="exact"/>
              <w:jc w:val="center"/>
              <w:rPr>
                <w:rFonts w:ascii="Times New Roman" w:hAnsi="Times New Roman"/>
                <w:b/>
                <w:kern w:val="2"/>
              </w:rPr>
            </w:pPr>
            <w:r>
              <w:rPr>
                <w:rFonts w:ascii="Times New Roman" w:hAnsi="Times New Roman"/>
                <w:b/>
                <w:kern w:val="2"/>
              </w:rPr>
              <w:t>排放量（kg/h）</w:t>
            </w:r>
          </w:p>
        </w:tc>
        <w:tc>
          <w:tcPr>
            <w:tcW w:w="631" w:type="dxa"/>
            <w:vAlign w:val="center"/>
          </w:tcPr>
          <w:p>
            <w:pPr>
              <w:spacing w:line="280" w:lineRule="exact"/>
              <w:jc w:val="center"/>
              <w:rPr>
                <w:rFonts w:ascii="Times New Roman" w:hAnsi="Times New Roman"/>
                <w:b/>
                <w:kern w:val="2"/>
              </w:rPr>
            </w:pPr>
            <w:r>
              <w:rPr>
                <w:rFonts w:ascii="Times New Roman" w:hAnsi="Times New Roman"/>
                <w:b/>
                <w:kern w:val="2"/>
              </w:rPr>
              <w:t>排放时间（h）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0" w:hRule="atLeast"/>
          <w:jc w:val="center"/>
        </w:trPr>
        <w:tc>
          <w:tcPr>
            <w:tcW w:w="712" w:type="dxa"/>
            <w:vMerge w:val="restart"/>
            <w:vAlign w:val="center"/>
          </w:tcPr>
          <w:p>
            <w:pPr>
              <w:spacing w:line="280" w:lineRule="exact"/>
              <w:jc w:val="center"/>
              <w:rPr>
                <w:rFonts w:ascii="Times New Roman" w:hAnsi="Times New Roman"/>
                <w:bCs/>
                <w:kern w:val="2"/>
              </w:rPr>
            </w:pPr>
            <w:r>
              <w:rPr>
                <w:rFonts w:ascii="Times New Roman" w:hAnsi="Times New Roman"/>
                <w:bCs/>
                <w:kern w:val="2"/>
              </w:rPr>
              <w:t>高温</w:t>
            </w:r>
          </w:p>
          <w:p>
            <w:pPr>
              <w:spacing w:line="280" w:lineRule="exact"/>
              <w:jc w:val="center"/>
              <w:rPr>
                <w:rFonts w:ascii="Times New Roman" w:hAnsi="Times New Roman"/>
                <w:bCs/>
                <w:kern w:val="2"/>
              </w:rPr>
            </w:pPr>
            <w:r>
              <w:rPr>
                <w:rFonts w:hint="eastAsia" w:ascii="Times New Roman" w:hAnsi="Times New Roman"/>
                <w:bCs/>
                <w:kern w:val="2"/>
              </w:rPr>
              <w:t>干热</w:t>
            </w:r>
            <w:r>
              <w:rPr>
                <w:rFonts w:ascii="Times New Roman" w:hAnsi="Times New Roman"/>
                <w:bCs/>
                <w:kern w:val="2"/>
              </w:rPr>
              <w:t>线</w:t>
            </w:r>
          </w:p>
        </w:tc>
        <w:tc>
          <w:tcPr>
            <w:tcW w:w="712" w:type="dxa"/>
            <w:vMerge w:val="restart"/>
            <w:vAlign w:val="center"/>
          </w:tcPr>
          <w:p>
            <w:pPr>
              <w:spacing w:line="280" w:lineRule="exact"/>
              <w:jc w:val="center"/>
              <w:rPr>
                <w:rFonts w:ascii="Times New Roman" w:hAnsi="Times New Roman"/>
                <w:bCs/>
                <w:kern w:val="2"/>
              </w:rPr>
            </w:pPr>
            <w:r>
              <w:rPr>
                <w:rFonts w:ascii="Times New Roman" w:hAnsi="Times New Roman"/>
                <w:bCs/>
                <w:kern w:val="2"/>
              </w:rPr>
              <w:t>高温干热灭菌处理系统</w:t>
            </w:r>
          </w:p>
        </w:tc>
        <w:tc>
          <w:tcPr>
            <w:tcW w:w="854" w:type="dxa"/>
            <w:vMerge w:val="restart"/>
            <w:vAlign w:val="center"/>
          </w:tcPr>
          <w:p>
            <w:pPr>
              <w:spacing w:line="280" w:lineRule="exact"/>
              <w:jc w:val="center"/>
              <w:rPr>
                <w:rFonts w:ascii="Times New Roman" w:hAnsi="Times New Roman"/>
                <w:bCs/>
                <w:kern w:val="2"/>
              </w:rPr>
            </w:pPr>
            <w:r>
              <w:rPr>
                <w:rFonts w:ascii="Times New Roman" w:hAnsi="Times New Roman"/>
                <w:bCs/>
                <w:kern w:val="2"/>
              </w:rPr>
              <w:t>高温干热灭菌处理系统</w:t>
            </w:r>
            <w:r>
              <w:rPr>
                <w:rFonts w:hint="eastAsia" w:ascii="Times New Roman" w:hAnsi="Times New Roman"/>
                <w:bCs/>
                <w:kern w:val="2"/>
              </w:rPr>
              <w:t>（包括导热油炉）</w:t>
            </w:r>
          </w:p>
        </w:tc>
        <w:tc>
          <w:tcPr>
            <w:tcW w:w="697" w:type="dxa"/>
            <w:vMerge w:val="restart"/>
            <w:vAlign w:val="center"/>
          </w:tcPr>
          <w:p>
            <w:pPr>
              <w:spacing w:line="280" w:lineRule="exact"/>
              <w:jc w:val="center"/>
              <w:rPr>
                <w:rFonts w:ascii="Times New Roman" w:hAnsi="Times New Roman"/>
                <w:bCs/>
                <w:kern w:val="2"/>
              </w:rPr>
            </w:pPr>
            <w:r>
              <w:rPr>
                <w:rFonts w:ascii="Times New Roman" w:hAnsi="Times New Roman"/>
                <w:bCs/>
                <w:kern w:val="2"/>
              </w:rPr>
              <w:t>有</w:t>
            </w:r>
          </w:p>
          <w:p>
            <w:pPr>
              <w:spacing w:line="280" w:lineRule="exact"/>
              <w:jc w:val="center"/>
              <w:rPr>
                <w:rFonts w:ascii="Times New Roman" w:hAnsi="Times New Roman"/>
                <w:bCs/>
                <w:kern w:val="2"/>
              </w:rPr>
            </w:pPr>
            <w:r>
              <w:rPr>
                <w:rFonts w:ascii="Times New Roman" w:hAnsi="Times New Roman"/>
                <w:bCs/>
                <w:kern w:val="2"/>
              </w:rPr>
              <w:t>组</w:t>
            </w:r>
          </w:p>
          <w:p>
            <w:pPr>
              <w:spacing w:line="280" w:lineRule="exact"/>
              <w:jc w:val="center"/>
              <w:rPr>
                <w:rFonts w:ascii="Times New Roman" w:hAnsi="Times New Roman"/>
                <w:bCs/>
                <w:kern w:val="2"/>
              </w:rPr>
            </w:pPr>
            <w:r>
              <w:rPr>
                <w:rFonts w:ascii="Times New Roman" w:hAnsi="Times New Roman"/>
                <w:bCs/>
                <w:kern w:val="2"/>
              </w:rPr>
              <w:t>织</w:t>
            </w:r>
          </w:p>
        </w:tc>
        <w:tc>
          <w:tcPr>
            <w:tcW w:w="698" w:type="dxa"/>
            <w:vAlign w:val="center"/>
          </w:tcPr>
          <w:p>
            <w:pPr>
              <w:jc w:val="center"/>
              <w:rPr>
                <w:rFonts w:ascii="Times New Roman" w:hAnsi="Times New Roman"/>
                <w:bCs/>
                <w:kern w:val="2"/>
              </w:rPr>
            </w:pPr>
            <w:r>
              <w:rPr>
                <w:rFonts w:ascii="Times New Roman" w:hAnsi="Times New Roman"/>
                <w:bCs/>
              </w:rPr>
              <w:t>NH</w:t>
            </w:r>
            <w:r>
              <w:rPr>
                <w:rFonts w:ascii="Times New Roman" w:hAnsi="Times New Roman"/>
                <w:bCs/>
                <w:vertAlign w:val="subscript"/>
              </w:rPr>
              <w:t>3</w:t>
            </w:r>
          </w:p>
        </w:tc>
        <w:tc>
          <w:tcPr>
            <w:tcW w:w="656" w:type="dxa"/>
            <w:vMerge w:val="restart"/>
            <w:vAlign w:val="center"/>
          </w:tcPr>
          <w:p>
            <w:pPr>
              <w:spacing w:line="280" w:lineRule="exact"/>
              <w:jc w:val="center"/>
              <w:rPr>
                <w:rFonts w:ascii="Times New Roman" w:hAnsi="Times New Roman"/>
                <w:bCs/>
                <w:kern w:val="2"/>
              </w:rPr>
            </w:pPr>
            <w:r>
              <w:rPr>
                <w:rFonts w:ascii="Times New Roman" w:hAnsi="Times New Roman"/>
                <w:bCs/>
                <w:kern w:val="2"/>
              </w:rPr>
              <w:t>类比法</w:t>
            </w:r>
            <w:r>
              <w:rPr>
                <w:rFonts w:hint="eastAsia" w:ascii="Times New Roman" w:hAnsi="Times New Roman"/>
                <w:bCs/>
                <w:kern w:val="2"/>
              </w:rPr>
              <w:t>、</w:t>
            </w:r>
          </w:p>
          <w:p>
            <w:pPr>
              <w:spacing w:line="280" w:lineRule="exact"/>
              <w:jc w:val="center"/>
              <w:rPr>
                <w:rFonts w:ascii="Times New Roman" w:hAnsi="Times New Roman"/>
                <w:bCs/>
                <w:kern w:val="2"/>
              </w:rPr>
            </w:pPr>
            <w:r>
              <w:rPr>
                <w:rFonts w:ascii="Times New Roman" w:hAnsi="Times New Roman"/>
                <w:bCs/>
                <w:kern w:val="2"/>
              </w:rPr>
              <w:t>产污</w:t>
            </w:r>
          </w:p>
          <w:p>
            <w:pPr>
              <w:spacing w:line="280" w:lineRule="exact"/>
              <w:jc w:val="center"/>
              <w:rPr>
                <w:rFonts w:ascii="Times New Roman" w:hAnsi="Times New Roman"/>
                <w:bCs/>
                <w:kern w:val="2"/>
              </w:rPr>
            </w:pPr>
            <w:r>
              <w:rPr>
                <w:rFonts w:ascii="Times New Roman" w:hAnsi="Times New Roman"/>
                <w:bCs/>
                <w:kern w:val="2"/>
              </w:rPr>
              <w:t>系数法</w:t>
            </w:r>
          </w:p>
        </w:tc>
        <w:tc>
          <w:tcPr>
            <w:tcW w:w="1024" w:type="dxa"/>
            <w:vMerge w:val="restart"/>
            <w:vAlign w:val="center"/>
          </w:tcPr>
          <w:p>
            <w:pPr>
              <w:spacing w:line="280" w:lineRule="exact"/>
              <w:jc w:val="center"/>
              <w:rPr>
                <w:rFonts w:ascii="Times New Roman" w:hAnsi="Times New Roman"/>
                <w:bCs/>
                <w:kern w:val="2"/>
              </w:rPr>
            </w:pPr>
            <w:r>
              <w:rPr>
                <w:rFonts w:ascii="Times New Roman" w:hAnsi="Times New Roman"/>
                <w:bCs/>
                <w:kern w:val="2"/>
              </w:rPr>
              <w:t>2000</w:t>
            </w:r>
          </w:p>
        </w:tc>
        <w:tc>
          <w:tcPr>
            <w:tcW w:w="995" w:type="dxa"/>
            <w:vAlign w:val="center"/>
          </w:tcPr>
          <w:p>
            <w:pPr>
              <w:spacing w:line="280" w:lineRule="exact"/>
              <w:jc w:val="center"/>
              <w:rPr>
                <w:rFonts w:ascii="Times New Roman" w:hAnsi="Times New Roman"/>
                <w:bCs/>
                <w:kern w:val="2"/>
              </w:rPr>
            </w:pPr>
            <w:r>
              <w:rPr>
                <w:rFonts w:ascii="Times New Roman" w:hAnsi="Times New Roman"/>
                <w:bCs/>
                <w:kern w:val="2"/>
              </w:rPr>
              <w:t>46.56</w:t>
            </w:r>
          </w:p>
        </w:tc>
        <w:tc>
          <w:tcPr>
            <w:tcW w:w="840" w:type="dxa"/>
            <w:vAlign w:val="center"/>
          </w:tcPr>
          <w:p>
            <w:pPr>
              <w:spacing w:line="280" w:lineRule="exact"/>
              <w:jc w:val="center"/>
              <w:rPr>
                <w:rFonts w:ascii="Times New Roman" w:hAnsi="Times New Roman"/>
                <w:bCs/>
                <w:kern w:val="2"/>
              </w:rPr>
            </w:pPr>
            <w:r>
              <w:rPr>
                <w:rFonts w:ascii="Times New Roman" w:hAnsi="Times New Roman"/>
                <w:bCs/>
                <w:kern w:val="2"/>
              </w:rPr>
              <w:t>0.38</w:t>
            </w:r>
          </w:p>
        </w:tc>
        <w:tc>
          <w:tcPr>
            <w:tcW w:w="1454" w:type="dxa"/>
            <w:vMerge w:val="restart"/>
            <w:vAlign w:val="center"/>
          </w:tcPr>
          <w:p>
            <w:pPr>
              <w:spacing w:line="280" w:lineRule="exact"/>
              <w:jc w:val="center"/>
              <w:rPr>
                <w:rFonts w:ascii="Times New Roman" w:hAnsi="Times New Roman"/>
                <w:b/>
                <w:kern w:val="2"/>
              </w:rPr>
            </w:pPr>
            <w:r>
              <w:rPr>
                <w:rFonts w:ascii="Times New Roman" w:hAnsi="Times New Roman"/>
              </w:rPr>
              <w:t>粉尘阻拦干燥器+低温等离子废气净化器+15m排气筒</w:t>
            </w:r>
          </w:p>
        </w:tc>
        <w:tc>
          <w:tcPr>
            <w:tcW w:w="670" w:type="dxa"/>
            <w:vAlign w:val="center"/>
          </w:tcPr>
          <w:p>
            <w:pPr>
              <w:spacing w:line="280" w:lineRule="exact"/>
              <w:jc w:val="center"/>
              <w:rPr>
                <w:rFonts w:ascii="Times New Roman" w:hAnsi="Times New Roman"/>
                <w:bCs/>
                <w:kern w:val="2"/>
              </w:rPr>
            </w:pPr>
            <w:r>
              <w:rPr>
                <w:rFonts w:ascii="Times New Roman" w:hAnsi="Times New Roman"/>
                <w:bCs/>
                <w:kern w:val="2"/>
              </w:rPr>
              <w:t>85</w:t>
            </w:r>
          </w:p>
        </w:tc>
        <w:tc>
          <w:tcPr>
            <w:tcW w:w="727" w:type="dxa"/>
            <w:vMerge w:val="restart"/>
            <w:vAlign w:val="center"/>
          </w:tcPr>
          <w:p>
            <w:pPr>
              <w:spacing w:line="280" w:lineRule="exact"/>
              <w:jc w:val="center"/>
              <w:rPr>
                <w:rFonts w:ascii="Times New Roman" w:hAnsi="Times New Roman"/>
                <w:bCs/>
                <w:kern w:val="2"/>
              </w:rPr>
            </w:pPr>
            <w:r>
              <w:rPr>
                <w:rFonts w:ascii="Times New Roman" w:hAnsi="Times New Roman"/>
                <w:bCs/>
                <w:kern w:val="2"/>
              </w:rPr>
              <w:t>排污</w:t>
            </w:r>
          </w:p>
          <w:p>
            <w:pPr>
              <w:spacing w:line="280" w:lineRule="exact"/>
              <w:jc w:val="center"/>
              <w:rPr>
                <w:rFonts w:ascii="Times New Roman" w:hAnsi="Times New Roman"/>
                <w:bCs/>
                <w:kern w:val="2"/>
              </w:rPr>
            </w:pPr>
            <w:r>
              <w:rPr>
                <w:rFonts w:ascii="Times New Roman" w:hAnsi="Times New Roman"/>
                <w:bCs/>
                <w:kern w:val="2"/>
              </w:rPr>
              <w:t>系数法</w:t>
            </w:r>
          </w:p>
        </w:tc>
        <w:tc>
          <w:tcPr>
            <w:tcW w:w="995" w:type="dxa"/>
            <w:vMerge w:val="restart"/>
            <w:vAlign w:val="center"/>
          </w:tcPr>
          <w:p>
            <w:pPr>
              <w:spacing w:line="280" w:lineRule="exact"/>
              <w:jc w:val="center"/>
              <w:rPr>
                <w:rFonts w:ascii="Times New Roman" w:hAnsi="Times New Roman"/>
                <w:bCs/>
                <w:kern w:val="2"/>
              </w:rPr>
            </w:pPr>
            <w:r>
              <w:rPr>
                <w:rFonts w:ascii="Times New Roman" w:hAnsi="Times New Roman"/>
                <w:bCs/>
                <w:kern w:val="2"/>
              </w:rPr>
              <w:t>2000</w:t>
            </w:r>
          </w:p>
        </w:tc>
        <w:tc>
          <w:tcPr>
            <w:tcW w:w="981" w:type="dxa"/>
            <w:vAlign w:val="center"/>
          </w:tcPr>
          <w:p>
            <w:pPr>
              <w:widowControl/>
              <w:jc w:val="center"/>
              <w:textAlignment w:val="center"/>
              <w:rPr>
                <w:rFonts w:ascii="Times New Roman" w:hAnsi="Times New Roman"/>
                <w:kern w:val="2"/>
              </w:rPr>
            </w:pPr>
            <w:r>
              <w:rPr>
                <w:rFonts w:ascii="Times New Roman" w:hAnsi="Times New Roman"/>
                <w:lang w:bidi="ar"/>
              </w:rPr>
              <w:t>6.84</w:t>
            </w:r>
          </w:p>
        </w:tc>
        <w:tc>
          <w:tcPr>
            <w:tcW w:w="940" w:type="dxa"/>
            <w:vAlign w:val="center"/>
          </w:tcPr>
          <w:p>
            <w:pPr>
              <w:spacing w:line="280" w:lineRule="exact"/>
              <w:jc w:val="center"/>
              <w:rPr>
                <w:rFonts w:ascii="Times New Roman" w:hAnsi="Times New Roman"/>
                <w:kern w:val="2"/>
              </w:rPr>
            </w:pPr>
            <w:r>
              <w:rPr>
                <w:rFonts w:ascii="Times New Roman" w:hAnsi="Times New Roman"/>
                <w:kern w:val="2"/>
              </w:rPr>
              <w:t>0.054</w:t>
            </w:r>
          </w:p>
        </w:tc>
        <w:tc>
          <w:tcPr>
            <w:tcW w:w="631" w:type="dxa"/>
            <w:vMerge w:val="restart"/>
            <w:vAlign w:val="center"/>
          </w:tcPr>
          <w:p>
            <w:pPr>
              <w:spacing w:line="280" w:lineRule="exact"/>
              <w:jc w:val="center"/>
              <w:rPr>
                <w:rFonts w:ascii="Times New Roman" w:hAnsi="Times New Roman"/>
                <w:kern w:val="2"/>
              </w:rPr>
            </w:pPr>
            <w:r>
              <w:rPr>
                <w:rFonts w:ascii="Times New Roman" w:hAnsi="Times New Roman"/>
                <w:kern w:val="2"/>
              </w:rPr>
              <w:t>5840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0" w:hRule="atLeast"/>
          <w:jc w:val="center"/>
        </w:trPr>
        <w:tc>
          <w:tcPr>
            <w:tcW w:w="712" w:type="dxa"/>
            <w:vMerge w:val="continue"/>
            <w:vAlign w:val="center"/>
          </w:tcPr>
          <w:p>
            <w:pPr>
              <w:spacing w:line="280" w:lineRule="exact"/>
              <w:jc w:val="center"/>
              <w:rPr>
                <w:rFonts w:ascii="Times New Roman" w:hAnsi="Times New Roman"/>
                <w:b/>
                <w:kern w:val="2"/>
              </w:rPr>
            </w:pPr>
          </w:p>
        </w:tc>
        <w:tc>
          <w:tcPr>
            <w:tcW w:w="712" w:type="dxa"/>
            <w:vMerge w:val="continue"/>
            <w:vAlign w:val="center"/>
          </w:tcPr>
          <w:p>
            <w:pPr>
              <w:spacing w:line="280" w:lineRule="exact"/>
              <w:jc w:val="center"/>
              <w:rPr>
                <w:rFonts w:ascii="Times New Roman" w:hAnsi="Times New Roman"/>
                <w:b/>
                <w:kern w:val="2"/>
              </w:rPr>
            </w:pPr>
          </w:p>
        </w:tc>
        <w:tc>
          <w:tcPr>
            <w:tcW w:w="854" w:type="dxa"/>
            <w:vMerge w:val="continue"/>
            <w:vAlign w:val="center"/>
          </w:tcPr>
          <w:p>
            <w:pPr>
              <w:spacing w:line="280" w:lineRule="exact"/>
              <w:jc w:val="center"/>
              <w:rPr>
                <w:rFonts w:ascii="Times New Roman" w:hAnsi="Times New Roman"/>
                <w:b/>
                <w:kern w:val="2"/>
              </w:rPr>
            </w:pPr>
          </w:p>
        </w:tc>
        <w:tc>
          <w:tcPr>
            <w:tcW w:w="697" w:type="dxa"/>
            <w:vMerge w:val="continue"/>
            <w:vAlign w:val="center"/>
          </w:tcPr>
          <w:p>
            <w:pPr>
              <w:spacing w:line="280" w:lineRule="exact"/>
              <w:jc w:val="center"/>
              <w:rPr>
                <w:rFonts w:ascii="Times New Roman" w:hAnsi="Times New Roman"/>
                <w:b/>
                <w:kern w:val="2"/>
              </w:rPr>
            </w:pPr>
          </w:p>
        </w:tc>
        <w:tc>
          <w:tcPr>
            <w:tcW w:w="698" w:type="dxa"/>
            <w:vAlign w:val="center"/>
          </w:tcPr>
          <w:p>
            <w:pPr>
              <w:jc w:val="center"/>
              <w:rPr>
                <w:rFonts w:ascii="Times New Roman" w:hAnsi="Times New Roman"/>
                <w:b/>
                <w:kern w:val="2"/>
              </w:rPr>
            </w:pPr>
            <w:r>
              <w:rPr>
                <w:rFonts w:ascii="Times New Roman" w:hAnsi="Times New Roman"/>
                <w:bCs/>
              </w:rPr>
              <w:t>H</w:t>
            </w:r>
            <w:r>
              <w:rPr>
                <w:rFonts w:ascii="Times New Roman" w:hAnsi="Times New Roman"/>
                <w:bCs/>
                <w:vertAlign w:val="subscript"/>
              </w:rPr>
              <w:t>2</w:t>
            </w:r>
            <w:r>
              <w:rPr>
                <w:rFonts w:ascii="Times New Roman" w:hAnsi="Times New Roman"/>
                <w:bCs/>
              </w:rPr>
              <w:t>S</w:t>
            </w:r>
          </w:p>
        </w:tc>
        <w:tc>
          <w:tcPr>
            <w:tcW w:w="656" w:type="dxa"/>
            <w:vMerge w:val="continue"/>
            <w:vAlign w:val="center"/>
          </w:tcPr>
          <w:p>
            <w:pPr>
              <w:spacing w:line="280" w:lineRule="exact"/>
              <w:jc w:val="center"/>
              <w:rPr>
                <w:rFonts w:ascii="Times New Roman" w:hAnsi="Times New Roman"/>
                <w:b/>
                <w:kern w:val="2"/>
              </w:rPr>
            </w:pPr>
          </w:p>
        </w:tc>
        <w:tc>
          <w:tcPr>
            <w:tcW w:w="1024" w:type="dxa"/>
            <w:vMerge w:val="continue"/>
            <w:vAlign w:val="center"/>
          </w:tcPr>
          <w:p>
            <w:pPr>
              <w:spacing w:line="280" w:lineRule="exact"/>
              <w:jc w:val="center"/>
              <w:rPr>
                <w:rFonts w:ascii="Times New Roman" w:hAnsi="Times New Roman"/>
                <w:b/>
                <w:kern w:val="2"/>
              </w:rPr>
            </w:pPr>
          </w:p>
        </w:tc>
        <w:tc>
          <w:tcPr>
            <w:tcW w:w="995" w:type="dxa"/>
            <w:vAlign w:val="center"/>
          </w:tcPr>
          <w:p>
            <w:pPr>
              <w:spacing w:line="280" w:lineRule="exact"/>
              <w:jc w:val="center"/>
              <w:rPr>
                <w:rFonts w:ascii="Times New Roman" w:hAnsi="Times New Roman"/>
                <w:bCs/>
                <w:kern w:val="2"/>
              </w:rPr>
            </w:pPr>
            <w:r>
              <w:rPr>
                <w:rFonts w:ascii="Times New Roman" w:hAnsi="Times New Roman"/>
                <w:bCs/>
                <w:kern w:val="2"/>
              </w:rPr>
              <w:t>4</w:t>
            </w:r>
          </w:p>
        </w:tc>
        <w:tc>
          <w:tcPr>
            <w:tcW w:w="840" w:type="dxa"/>
            <w:vAlign w:val="center"/>
          </w:tcPr>
          <w:p>
            <w:pPr>
              <w:spacing w:line="280" w:lineRule="exact"/>
              <w:jc w:val="center"/>
              <w:rPr>
                <w:rFonts w:ascii="Times New Roman" w:hAnsi="Times New Roman"/>
                <w:bCs/>
                <w:kern w:val="2"/>
              </w:rPr>
            </w:pPr>
            <w:r>
              <w:rPr>
                <w:rFonts w:ascii="Times New Roman" w:hAnsi="Times New Roman"/>
                <w:bCs/>
                <w:kern w:val="2"/>
              </w:rPr>
              <w:t>0.032</w:t>
            </w:r>
          </w:p>
        </w:tc>
        <w:tc>
          <w:tcPr>
            <w:tcW w:w="1454" w:type="dxa"/>
            <w:vMerge w:val="continue"/>
            <w:vAlign w:val="center"/>
          </w:tcPr>
          <w:p>
            <w:pPr>
              <w:spacing w:line="280" w:lineRule="exact"/>
              <w:jc w:val="center"/>
              <w:rPr>
                <w:rFonts w:ascii="Times New Roman" w:hAnsi="Times New Roman"/>
                <w:b/>
                <w:kern w:val="2"/>
              </w:rPr>
            </w:pPr>
          </w:p>
        </w:tc>
        <w:tc>
          <w:tcPr>
            <w:tcW w:w="670" w:type="dxa"/>
            <w:vAlign w:val="center"/>
          </w:tcPr>
          <w:p>
            <w:pPr>
              <w:spacing w:line="280" w:lineRule="exact"/>
              <w:jc w:val="center"/>
              <w:rPr>
                <w:rFonts w:ascii="Times New Roman" w:hAnsi="Times New Roman"/>
                <w:bCs/>
                <w:kern w:val="2"/>
              </w:rPr>
            </w:pPr>
            <w:r>
              <w:rPr>
                <w:rFonts w:ascii="Times New Roman" w:hAnsi="Times New Roman"/>
                <w:bCs/>
                <w:kern w:val="2"/>
              </w:rPr>
              <w:t>81</w:t>
            </w:r>
          </w:p>
        </w:tc>
        <w:tc>
          <w:tcPr>
            <w:tcW w:w="727" w:type="dxa"/>
            <w:vMerge w:val="continue"/>
            <w:vAlign w:val="center"/>
          </w:tcPr>
          <w:p>
            <w:pPr>
              <w:spacing w:line="280" w:lineRule="exact"/>
              <w:jc w:val="center"/>
              <w:rPr>
                <w:rFonts w:ascii="Times New Roman" w:hAnsi="Times New Roman"/>
                <w:b/>
                <w:kern w:val="2"/>
              </w:rPr>
            </w:pPr>
          </w:p>
        </w:tc>
        <w:tc>
          <w:tcPr>
            <w:tcW w:w="995" w:type="dxa"/>
            <w:vMerge w:val="continue"/>
            <w:vAlign w:val="center"/>
          </w:tcPr>
          <w:p>
            <w:pPr>
              <w:spacing w:line="280" w:lineRule="exact"/>
              <w:jc w:val="center"/>
              <w:rPr>
                <w:rFonts w:ascii="Times New Roman" w:hAnsi="Times New Roman"/>
                <w:b/>
                <w:kern w:val="2"/>
              </w:rPr>
            </w:pPr>
          </w:p>
        </w:tc>
        <w:tc>
          <w:tcPr>
            <w:tcW w:w="981" w:type="dxa"/>
            <w:vAlign w:val="center"/>
          </w:tcPr>
          <w:p>
            <w:pPr>
              <w:widowControl/>
              <w:jc w:val="center"/>
              <w:textAlignment w:val="center"/>
              <w:rPr>
                <w:rFonts w:ascii="Times New Roman" w:hAnsi="Times New Roman"/>
                <w:kern w:val="2"/>
              </w:rPr>
            </w:pPr>
            <w:r>
              <w:rPr>
                <w:rFonts w:ascii="Times New Roman" w:hAnsi="Times New Roman"/>
                <w:lang w:bidi="ar"/>
              </w:rPr>
              <w:t>0.74</w:t>
            </w:r>
          </w:p>
        </w:tc>
        <w:tc>
          <w:tcPr>
            <w:tcW w:w="940" w:type="dxa"/>
            <w:vAlign w:val="center"/>
          </w:tcPr>
          <w:p>
            <w:pPr>
              <w:spacing w:line="280" w:lineRule="exact"/>
              <w:jc w:val="center"/>
              <w:rPr>
                <w:rFonts w:ascii="Times New Roman" w:hAnsi="Times New Roman"/>
                <w:kern w:val="2"/>
              </w:rPr>
            </w:pPr>
            <w:r>
              <w:rPr>
                <w:rFonts w:ascii="Times New Roman" w:hAnsi="Times New Roman"/>
                <w:kern w:val="2"/>
              </w:rPr>
              <w:t>0.0058</w:t>
            </w:r>
          </w:p>
        </w:tc>
        <w:tc>
          <w:tcPr>
            <w:tcW w:w="631" w:type="dxa"/>
            <w:vMerge w:val="continue"/>
            <w:vAlign w:val="center"/>
          </w:tcPr>
          <w:p>
            <w:pPr>
              <w:spacing w:line="280" w:lineRule="exact"/>
              <w:jc w:val="center"/>
              <w:rPr>
                <w:rFonts w:ascii="Times New Roman" w:hAnsi="Times New Roman"/>
                <w:kern w:val="2"/>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0" w:hRule="atLeast"/>
          <w:jc w:val="center"/>
        </w:trPr>
        <w:tc>
          <w:tcPr>
            <w:tcW w:w="712" w:type="dxa"/>
            <w:vMerge w:val="continue"/>
            <w:vAlign w:val="center"/>
          </w:tcPr>
          <w:p>
            <w:pPr>
              <w:spacing w:line="280" w:lineRule="exact"/>
              <w:jc w:val="center"/>
              <w:rPr>
                <w:rFonts w:ascii="Times New Roman" w:hAnsi="Times New Roman"/>
                <w:b/>
                <w:kern w:val="2"/>
              </w:rPr>
            </w:pPr>
          </w:p>
        </w:tc>
        <w:tc>
          <w:tcPr>
            <w:tcW w:w="712" w:type="dxa"/>
            <w:vMerge w:val="continue"/>
            <w:vAlign w:val="center"/>
          </w:tcPr>
          <w:p>
            <w:pPr>
              <w:spacing w:line="280" w:lineRule="exact"/>
              <w:jc w:val="center"/>
              <w:rPr>
                <w:rFonts w:ascii="Times New Roman" w:hAnsi="Times New Roman"/>
                <w:b/>
                <w:kern w:val="2"/>
              </w:rPr>
            </w:pPr>
          </w:p>
        </w:tc>
        <w:tc>
          <w:tcPr>
            <w:tcW w:w="854" w:type="dxa"/>
            <w:vMerge w:val="continue"/>
            <w:vAlign w:val="center"/>
          </w:tcPr>
          <w:p>
            <w:pPr>
              <w:spacing w:line="280" w:lineRule="exact"/>
              <w:jc w:val="center"/>
              <w:rPr>
                <w:rFonts w:ascii="Times New Roman" w:hAnsi="Times New Roman"/>
                <w:b/>
                <w:kern w:val="2"/>
              </w:rPr>
            </w:pPr>
          </w:p>
        </w:tc>
        <w:tc>
          <w:tcPr>
            <w:tcW w:w="697" w:type="dxa"/>
            <w:vMerge w:val="continue"/>
            <w:vAlign w:val="center"/>
          </w:tcPr>
          <w:p>
            <w:pPr>
              <w:spacing w:line="280" w:lineRule="exact"/>
              <w:jc w:val="center"/>
              <w:rPr>
                <w:rFonts w:ascii="Times New Roman" w:hAnsi="Times New Roman"/>
                <w:b/>
                <w:kern w:val="2"/>
              </w:rPr>
            </w:pPr>
          </w:p>
        </w:tc>
        <w:tc>
          <w:tcPr>
            <w:tcW w:w="698" w:type="dxa"/>
            <w:vAlign w:val="center"/>
          </w:tcPr>
          <w:p>
            <w:pPr>
              <w:spacing w:line="280" w:lineRule="exact"/>
              <w:jc w:val="center"/>
              <w:rPr>
                <w:rFonts w:ascii="Times New Roman" w:hAnsi="Times New Roman"/>
                <w:b/>
                <w:kern w:val="2"/>
              </w:rPr>
            </w:pPr>
            <w:r>
              <w:rPr>
                <w:rFonts w:ascii="Times New Roman" w:hAnsi="Times New Roman"/>
                <w:bCs/>
              </w:rPr>
              <w:t>非甲烷总烃</w:t>
            </w:r>
          </w:p>
        </w:tc>
        <w:tc>
          <w:tcPr>
            <w:tcW w:w="656" w:type="dxa"/>
            <w:vMerge w:val="continue"/>
            <w:vAlign w:val="center"/>
          </w:tcPr>
          <w:p>
            <w:pPr>
              <w:spacing w:line="280" w:lineRule="exact"/>
              <w:jc w:val="center"/>
              <w:rPr>
                <w:rFonts w:ascii="Times New Roman" w:hAnsi="Times New Roman"/>
                <w:b/>
                <w:kern w:val="2"/>
              </w:rPr>
            </w:pPr>
          </w:p>
        </w:tc>
        <w:tc>
          <w:tcPr>
            <w:tcW w:w="1024" w:type="dxa"/>
            <w:vMerge w:val="continue"/>
            <w:vAlign w:val="center"/>
          </w:tcPr>
          <w:p>
            <w:pPr>
              <w:spacing w:line="280" w:lineRule="exact"/>
              <w:jc w:val="center"/>
              <w:rPr>
                <w:rFonts w:ascii="Times New Roman" w:hAnsi="Times New Roman"/>
                <w:b/>
                <w:kern w:val="2"/>
              </w:rPr>
            </w:pPr>
          </w:p>
        </w:tc>
        <w:tc>
          <w:tcPr>
            <w:tcW w:w="995" w:type="dxa"/>
            <w:vAlign w:val="center"/>
          </w:tcPr>
          <w:p>
            <w:pPr>
              <w:spacing w:line="280" w:lineRule="exact"/>
              <w:jc w:val="center"/>
              <w:rPr>
                <w:rFonts w:ascii="Times New Roman" w:hAnsi="Times New Roman"/>
                <w:bCs/>
                <w:kern w:val="2"/>
              </w:rPr>
            </w:pPr>
            <w:r>
              <w:rPr>
                <w:rFonts w:ascii="Times New Roman" w:hAnsi="Times New Roman"/>
                <w:bCs/>
                <w:kern w:val="2"/>
              </w:rPr>
              <w:t>15.5</w:t>
            </w:r>
          </w:p>
        </w:tc>
        <w:tc>
          <w:tcPr>
            <w:tcW w:w="840" w:type="dxa"/>
            <w:vAlign w:val="center"/>
          </w:tcPr>
          <w:p>
            <w:pPr>
              <w:spacing w:line="280" w:lineRule="exact"/>
              <w:jc w:val="center"/>
              <w:rPr>
                <w:rFonts w:ascii="Times New Roman" w:hAnsi="Times New Roman"/>
                <w:bCs/>
                <w:kern w:val="2"/>
              </w:rPr>
            </w:pPr>
            <w:r>
              <w:rPr>
                <w:rFonts w:ascii="Times New Roman" w:hAnsi="Times New Roman"/>
                <w:bCs/>
                <w:kern w:val="2"/>
              </w:rPr>
              <w:t>0.04</w:t>
            </w:r>
          </w:p>
        </w:tc>
        <w:tc>
          <w:tcPr>
            <w:tcW w:w="1454" w:type="dxa"/>
            <w:vMerge w:val="continue"/>
            <w:vAlign w:val="center"/>
          </w:tcPr>
          <w:p>
            <w:pPr>
              <w:spacing w:line="280" w:lineRule="exact"/>
              <w:jc w:val="center"/>
              <w:rPr>
                <w:rFonts w:ascii="Times New Roman" w:hAnsi="Times New Roman"/>
                <w:b/>
                <w:kern w:val="2"/>
              </w:rPr>
            </w:pPr>
          </w:p>
        </w:tc>
        <w:tc>
          <w:tcPr>
            <w:tcW w:w="670" w:type="dxa"/>
            <w:vAlign w:val="center"/>
          </w:tcPr>
          <w:p>
            <w:pPr>
              <w:spacing w:line="280" w:lineRule="exact"/>
              <w:jc w:val="center"/>
              <w:rPr>
                <w:rFonts w:ascii="Times New Roman" w:hAnsi="Times New Roman"/>
                <w:bCs/>
                <w:kern w:val="2"/>
              </w:rPr>
            </w:pPr>
            <w:r>
              <w:rPr>
                <w:rFonts w:ascii="Times New Roman" w:hAnsi="Times New Roman"/>
                <w:bCs/>
                <w:kern w:val="2"/>
              </w:rPr>
              <w:t>95</w:t>
            </w:r>
          </w:p>
        </w:tc>
        <w:tc>
          <w:tcPr>
            <w:tcW w:w="727" w:type="dxa"/>
            <w:vMerge w:val="continue"/>
            <w:vAlign w:val="center"/>
          </w:tcPr>
          <w:p>
            <w:pPr>
              <w:spacing w:line="280" w:lineRule="exact"/>
              <w:jc w:val="center"/>
              <w:rPr>
                <w:rFonts w:ascii="Times New Roman" w:hAnsi="Times New Roman"/>
                <w:b/>
                <w:kern w:val="2"/>
              </w:rPr>
            </w:pPr>
          </w:p>
        </w:tc>
        <w:tc>
          <w:tcPr>
            <w:tcW w:w="995" w:type="dxa"/>
            <w:vMerge w:val="continue"/>
            <w:vAlign w:val="center"/>
          </w:tcPr>
          <w:p>
            <w:pPr>
              <w:spacing w:line="280" w:lineRule="exact"/>
              <w:jc w:val="center"/>
              <w:rPr>
                <w:rFonts w:ascii="Times New Roman" w:hAnsi="Times New Roman"/>
                <w:b/>
                <w:kern w:val="2"/>
              </w:rPr>
            </w:pPr>
          </w:p>
        </w:tc>
        <w:tc>
          <w:tcPr>
            <w:tcW w:w="981" w:type="dxa"/>
            <w:vAlign w:val="center"/>
          </w:tcPr>
          <w:p>
            <w:pPr>
              <w:widowControl/>
              <w:jc w:val="center"/>
              <w:textAlignment w:val="center"/>
              <w:rPr>
                <w:rFonts w:ascii="Times New Roman" w:hAnsi="Times New Roman"/>
                <w:kern w:val="2"/>
              </w:rPr>
            </w:pPr>
            <w:r>
              <w:rPr>
                <w:rFonts w:ascii="Times New Roman" w:hAnsi="Times New Roman"/>
                <w:lang w:bidi="ar"/>
              </w:rPr>
              <w:t>0.074</w:t>
            </w:r>
          </w:p>
        </w:tc>
        <w:tc>
          <w:tcPr>
            <w:tcW w:w="940" w:type="dxa"/>
            <w:vAlign w:val="center"/>
          </w:tcPr>
          <w:p>
            <w:pPr>
              <w:spacing w:line="280" w:lineRule="exact"/>
              <w:jc w:val="center"/>
              <w:rPr>
                <w:rFonts w:ascii="Times New Roman" w:hAnsi="Times New Roman"/>
                <w:kern w:val="2"/>
              </w:rPr>
            </w:pPr>
            <w:r>
              <w:rPr>
                <w:rFonts w:ascii="Times New Roman" w:hAnsi="Times New Roman"/>
                <w:kern w:val="2"/>
              </w:rPr>
              <w:t>0.0017</w:t>
            </w:r>
          </w:p>
        </w:tc>
        <w:tc>
          <w:tcPr>
            <w:tcW w:w="631" w:type="dxa"/>
            <w:vMerge w:val="continue"/>
            <w:vAlign w:val="center"/>
          </w:tcPr>
          <w:p>
            <w:pPr>
              <w:spacing w:line="280" w:lineRule="exact"/>
              <w:jc w:val="center"/>
              <w:rPr>
                <w:rFonts w:ascii="Times New Roman" w:hAnsi="Times New Roman"/>
                <w:kern w:val="2"/>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0" w:hRule="atLeast"/>
          <w:jc w:val="center"/>
        </w:trPr>
        <w:tc>
          <w:tcPr>
            <w:tcW w:w="712" w:type="dxa"/>
            <w:vMerge w:val="continue"/>
            <w:vAlign w:val="center"/>
          </w:tcPr>
          <w:p>
            <w:pPr>
              <w:spacing w:line="280" w:lineRule="exact"/>
              <w:jc w:val="center"/>
              <w:rPr>
                <w:rFonts w:ascii="Times New Roman" w:hAnsi="Times New Roman"/>
                <w:b/>
                <w:kern w:val="2"/>
              </w:rPr>
            </w:pPr>
          </w:p>
        </w:tc>
        <w:tc>
          <w:tcPr>
            <w:tcW w:w="712" w:type="dxa"/>
            <w:vMerge w:val="continue"/>
            <w:vAlign w:val="center"/>
          </w:tcPr>
          <w:p>
            <w:pPr>
              <w:spacing w:line="280" w:lineRule="exact"/>
              <w:jc w:val="center"/>
              <w:rPr>
                <w:rFonts w:ascii="Times New Roman" w:hAnsi="Times New Roman"/>
                <w:b/>
                <w:kern w:val="2"/>
              </w:rPr>
            </w:pPr>
          </w:p>
        </w:tc>
        <w:tc>
          <w:tcPr>
            <w:tcW w:w="854" w:type="dxa"/>
            <w:vMerge w:val="continue"/>
            <w:vAlign w:val="center"/>
          </w:tcPr>
          <w:p>
            <w:pPr>
              <w:spacing w:line="280" w:lineRule="exact"/>
              <w:jc w:val="center"/>
              <w:rPr>
                <w:rFonts w:ascii="Times New Roman" w:hAnsi="Times New Roman"/>
                <w:b/>
                <w:kern w:val="2"/>
              </w:rPr>
            </w:pPr>
          </w:p>
        </w:tc>
        <w:tc>
          <w:tcPr>
            <w:tcW w:w="697" w:type="dxa"/>
            <w:vMerge w:val="continue"/>
            <w:vAlign w:val="center"/>
          </w:tcPr>
          <w:p>
            <w:pPr>
              <w:spacing w:line="280" w:lineRule="exact"/>
              <w:jc w:val="center"/>
              <w:rPr>
                <w:rFonts w:ascii="Times New Roman" w:hAnsi="Times New Roman"/>
                <w:b/>
                <w:kern w:val="2"/>
              </w:rPr>
            </w:pPr>
          </w:p>
        </w:tc>
        <w:tc>
          <w:tcPr>
            <w:tcW w:w="698" w:type="dxa"/>
            <w:vAlign w:val="center"/>
          </w:tcPr>
          <w:p>
            <w:pPr>
              <w:spacing w:line="280" w:lineRule="exact"/>
              <w:jc w:val="center"/>
              <w:rPr>
                <w:rFonts w:ascii="Times New Roman" w:hAnsi="Times New Roman"/>
                <w:bCs/>
              </w:rPr>
            </w:pPr>
            <w:r>
              <w:rPr>
                <w:rFonts w:ascii="Times New Roman" w:hAnsi="Times New Roman"/>
                <w:bCs/>
              </w:rPr>
              <w:t>颗粒物</w:t>
            </w:r>
          </w:p>
        </w:tc>
        <w:tc>
          <w:tcPr>
            <w:tcW w:w="656" w:type="dxa"/>
            <w:vMerge w:val="continue"/>
            <w:vAlign w:val="center"/>
          </w:tcPr>
          <w:p>
            <w:pPr>
              <w:spacing w:line="280" w:lineRule="exact"/>
              <w:jc w:val="center"/>
              <w:rPr>
                <w:rFonts w:ascii="Times New Roman" w:hAnsi="Times New Roman"/>
                <w:b/>
                <w:kern w:val="2"/>
              </w:rPr>
            </w:pPr>
          </w:p>
        </w:tc>
        <w:tc>
          <w:tcPr>
            <w:tcW w:w="1024" w:type="dxa"/>
            <w:vMerge w:val="continue"/>
            <w:vAlign w:val="center"/>
          </w:tcPr>
          <w:p>
            <w:pPr>
              <w:spacing w:line="280" w:lineRule="exact"/>
              <w:jc w:val="center"/>
              <w:rPr>
                <w:rFonts w:ascii="Times New Roman" w:hAnsi="Times New Roman"/>
                <w:b/>
                <w:kern w:val="2"/>
              </w:rPr>
            </w:pPr>
          </w:p>
        </w:tc>
        <w:tc>
          <w:tcPr>
            <w:tcW w:w="995" w:type="dxa"/>
            <w:vAlign w:val="center"/>
          </w:tcPr>
          <w:p>
            <w:pPr>
              <w:spacing w:line="280" w:lineRule="exact"/>
              <w:jc w:val="center"/>
              <w:rPr>
                <w:rFonts w:ascii="Times New Roman" w:hAnsi="Times New Roman"/>
                <w:bCs/>
                <w:kern w:val="2"/>
              </w:rPr>
            </w:pPr>
            <w:r>
              <w:rPr>
                <w:rFonts w:ascii="Times New Roman" w:hAnsi="Times New Roman"/>
                <w:bCs/>
                <w:kern w:val="2"/>
              </w:rPr>
              <w:t>3846.6</w:t>
            </w:r>
          </w:p>
        </w:tc>
        <w:tc>
          <w:tcPr>
            <w:tcW w:w="840" w:type="dxa"/>
            <w:vAlign w:val="center"/>
          </w:tcPr>
          <w:p>
            <w:pPr>
              <w:spacing w:line="280" w:lineRule="exact"/>
              <w:jc w:val="center"/>
              <w:rPr>
                <w:rFonts w:ascii="Times New Roman" w:hAnsi="Times New Roman"/>
                <w:bCs/>
                <w:kern w:val="2"/>
              </w:rPr>
            </w:pPr>
            <w:r>
              <w:rPr>
                <w:rFonts w:ascii="Times New Roman" w:hAnsi="Times New Roman"/>
                <w:bCs/>
                <w:kern w:val="2"/>
              </w:rPr>
              <w:t>6.251</w:t>
            </w:r>
          </w:p>
        </w:tc>
        <w:tc>
          <w:tcPr>
            <w:tcW w:w="1454" w:type="dxa"/>
            <w:vMerge w:val="continue"/>
            <w:vAlign w:val="center"/>
          </w:tcPr>
          <w:p>
            <w:pPr>
              <w:spacing w:line="280" w:lineRule="exact"/>
              <w:jc w:val="center"/>
              <w:rPr>
                <w:rFonts w:ascii="Times New Roman" w:hAnsi="Times New Roman"/>
                <w:b/>
                <w:kern w:val="2"/>
              </w:rPr>
            </w:pPr>
          </w:p>
        </w:tc>
        <w:tc>
          <w:tcPr>
            <w:tcW w:w="670" w:type="dxa"/>
            <w:vAlign w:val="center"/>
          </w:tcPr>
          <w:p>
            <w:pPr>
              <w:spacing w:line="280" w:lineRule="exact"/>
              <w:jc w:val="center"/>
              <w:rPr>
                <w:rFonts w:ascii="Times New Roman" w:hAnsi="Times New Roman"/>
                <w:bCs/>
                <w:kern w:val="2"/>
              </w:rPr>
            </w:pPr>
            <w:r>
              <w:rPr>
                <w:rFonts w:ascii="Times New Roman" w:hAnsi="Times New Roman"/>
                <w:bCs/>
                <w:kern w:val="2"/>
              </w:rPr>
              <w:t>99</w:t>
            </w:r>
          </w:p>
        </w:tc>
        <w:tc>
          <w:tcPr>
            <w:tcW w:w="727" w:type="dxa"/>
            <w:vMerge w:val="continue"/>
            <w:vAlign w:val="center"/>
          </w:tcPr>
          <w:p>
            <w:pPr>
              <w:spacing w:line="280" w:lineRule="exact"/>
              <w:jc w:val="center"/>
              <w:rPr>
                <w:rFonts w:ascii="Times New Roman" w:hAnsi="Times New Roman"/>
                <w:b/>
                <w:kern w:val="2"/>
              </w:rPr>
            </w:pPr>
          </w:p>
        </w:tc>
        <w:tc>
          <w:tcPr>
            <w:tcW w:w="995" w:type="dxa"/>
            <w:vMerge w:val="continue"/>
            <w:vAlign w:val="center"/>
          </w:tcPr>
          <w:p>
            <w:pPr>
              <w:spacing w:line="280" w:lineRule="exact"/>
              <w:jc w:val="center"/>
              <w:rPr>
                <w:rFonts w:ascii="Times New Roman" w:hAnsi="Times New Roman"/>
                <w:b/>
                <w:kern w:val="2"/>
              </w:rPr>
            </w:pPr>
          </w:p>
        </w:tc>
        <w:tc>
          <w:tcPr>
            <w:tcW w:w="981" w:type="dxa"/>
            <w:vAlign w:val="center"/>
          </w:tcPr>
          <w:p>
            <w:pPr>
              <w:widowControl/>
              <w:jc w:val="center"/>
              <w:textAlignment w:val="center"/>
              <w:rPr>
                <w:rFonts w:ascii="Times New Roman" w:hAnsi="Times New Roman"/>
                <w:lang w:bidi="ar"/>
              </w:rPr>
            </w:pPr>
            <w:r>
              <w:rPr>
                <w:rFonts w:ascii="Times New Roman" w:hAnsi="Times New Roman"/>
                <w:lang w:bidi="ar"/>
              </w:rPr>
              <w:t>33.26</w:t>
            </w:r>
          </w:p>
        </w:tc>
        <w:tc>
          <w:tcPr>
            <w:tcW w:w="940" w:type="dxa"/>
            <w:vAlign w:val="center"/>
          </w:tcPr>
          <w:p>
            <w:pPr>
              <w:spacing w:line="280" w:lineRule="exact"/>
              <w:jc w:val="center"/>
              <w:rPr>
                <w:rFonts w:ascii="Times New Roman" w:hAnsi="Times New Roman"/>
                <w:kern w:val="2"/>
              </w:rPr>
            </w:pPr>
            <w:r>
              <w:rPr>
                <w:rFonts w:ascii="Times New Roman" w:hAnsi="Times New Roman"/>
                <w:kern w:val="2"/>
              </w:rPr>
              <w:t>0.0529</w:t>
            </w:r>
          </w:p>
        </w:tc>
        <w:tc>
          <w:tcPr>
            <w:tcW w:w="631" w:type="dxa"/>
            <w:vMerge w:val="continue"/>
            <w:vAlign w:val="center"/>
          </w:tcPr>
          <w:p>
            <w:pPr>
              <w:spacing w:line="280" w:lineRule="exact"/>
              <w:jc w:val="center"/>
              <w:rPr>
                <w:rFonts w:ascii="Times New Roman" w:hAnsi="Times New Roman"/>
                <w:kern w:val="2"/>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0" w:hRule="atLeast"/>
          <w:jc w:val="center"/>
        </w:trPr>
        <w:tc>
          <w:tcPr>
            <w:tcW w:w="712" w:type="dxa"/>
            <w:vMerge w:val="continue"/>
            <w:vAlign w:val="center"/>
          </w:tcPr>
          <w:p>
            <w:pPr>
              <w:spacing w:line="280" w:lineRule="exact"/>
              <w:jc w:val="center"/>
              <w:rPr>
                <w:rFonts w:ascii="Times New Roman" w:hAnsi="Times New Roman"/>
                <w:bCs/>
                <w:kern w:val="2"/>
              </w:rPr>
            </w:pPr>
          </w:p>
        </w:tc>
        <w:tc>
          <w:tcPr>
            <w:tcW w:w="712" w:type="dxa"/>
            <w:vMerge w:val="continue"/>
            <w:vAlign w:val="center"/>
          </w:tcPr>
          <w:p>
            <w:pPr>
              <w:spacing w:line="280" w:lineRule="exact"/>
              <w:jc w:val="center"/>
              <w:rPr>
                <w:rFonts w:ascii="Times New Roman" w:hAnsi="Times New Roman"/>
                <w:bCs/>
                <w:kern w:val="2"/>
              </w:rPr>
            </w:pPr>
          </w:p>
        </w:tc>
        <w:tc>
          <w:tcPr>
            <w:tcW w:w="854" w:type="dxa"/>
            <w:vMerge w:val="continue"/>
            <w:vAlign w:val="center"/>
          </w:tcPr>
          <w:p>
            <w:pPr>
              <w:spacing w:line="280" w:lineRule="exact"/>
              <w:jc w:val="center"/>
              <w:rPr>
                <w:rFonts w:ascii="Times New Roman" w:hAnsi="Times New Roman"/>
                <w:bCs/>
                <w:kern w:val="2"/>
              </w:rPr>
            </w:pPr>
          </w:p>
        </w:tc>
        <w:tc>
          <w:tcPr>
            <w:tcW w:w="697" w:type="dxa"/>
            <w:vMerge w:val="continue"/>
            <w:vAlign w:val="center"/>
          </w:tcPr>
          <w:p>
            <w:pPr>
              <w:spacing w:line="280" w:lineRule="exact"/>
              <w:jc w:val="center"/>
              <w:rPr>
                <w:rFonts w:ascii="Times New Roman" w:hAnsi="Times New Roman"/>
                <w:bCs/>
                <w:kern w:val="2"/>
              </w:rPr>
            </w:pPr>
          </w:p>
        </w:tc>
        <w:tc>
          <w:tcPr>
            <w:tcW w:w="698" w:type="dxa"/>
            <w:vAlign w:val="center"/>
          </w:tcPr>
          <w:p>
            <w:pPr>
              <w:widowControl/>
              <w:jc w:val="center"/>
              <w:rPr>
                <w:rFonts w:ascii="Times New Roman" w:hAnsi="Times New Roman"/>
                <w:bCs/>
                <w:kern w:val="2"/>
              </w:rPr>
            </w:pPr>
            <w:r>
              <w:rPr>
                <w:rFonts w:ascii="Times New Roman" w:hAnsi="Times New Roman"/>
              </w:rPr>
              <w:t>SO</w:t>
            </w:r>
            <w:r>
              <w:rPr>
                <w:rFonts w:ascii="Times New Roman" w:hAnsi="Times New Roman"/>
                <w:vertAlign w:val="subscript"/>
              </w:rPr>
              <w:t>2</w:t>
            </w:r>
          </w:p>
        </w:tc>
        <w:tc>
          <w:tcPr>
            <w:tcW w:w="656" w:type="dxa"/>
            <w:vMerge w:val="continue"/>
            <w:vAlign w:val="center"/>
          </w:tcPr>
          <w:p>
            <w:pPr>
              <w:spacing w:line="280" w:lineRule="exact"/>
              <w:jc w:val="center"/>
              <w:rPr>
                <w:rFonts w:ascii="Times New Roman" w:hAnsi="Times New Roman"/>
                <w:bCs/>
                <w:kern w:val="2"/>
              </w:rPr>
            </w:pPr>
          </w:p>
        </w:tc>
        <w:tc>
          <w:tcPr>
            <w:tcW w:w="1024" w:type="dxa"/>
            <w:vMerge w:val="continue"/>
            <w:vAlign w:val="center"/>
          </w:tcPr>
          <w:p>
            <w:pPr>
              <w:spacing w:line="280" w:lineRule="exact"/>
              <w:jc w:val="center"/>
              <w:rPr>
                <w:rFonts w:ascii="Times New Roman" w:hAnsi="Times New Roman"/>
                <w:bCs/>
                <w:kern w:val="2"/>
              </w:rPr>
            </w:pPr>
          </w:p>
        </w:tc>
        <w:tc>
          <w:tcPr>
            <w:tcW w:w="995" w:type="dxa"/>
            <w:vAlign w:val="center"/>
          </w:tcPr>
          <w:p>
            <w:pPr>
              <w:widowControl/>
              <w:jc w:val="center"/>
              <w:rPr>
                <w:rFonts w:ascii="Times New Roman" w:hAnsi="Times New Roman"/>
                <w:bCs/>
                <w:kern w:val="2"/>
              </w:rPr>
            </w:pPr>
            <w:r>
              <w:rPr>
                <w:rFonts w:hint="eastAsia" w:ascii="Times New Roman" w:hAnsi="Times New Roman"/>
              </w:rPr>
              <w:t>1.103</w:t>
            </w:r>
          </w:p>
        </w:tc>
        <w:tc>
          <w:tcPr>
            <w:tcW w:w="840" w:type="dxa"/>
            <w:vAlign w:val="center"/>
          </w:tcPr>
          <w:p>
            <w:pPr>
              <w:widowControl/>
              <w:jc w:val="center"/>
              <w:rPr>
                <w:rFonts w:ascii="Times New Roman" w:hAnsi="Times New Roman"/>
                <w:bCs/>
                <w:kern w:val="2"/>
              </w:rPr>
            </w:pPr>
            <w:r>
              <w:rPr>
                <w:rFonts w:hint="eastAsia" w:ascii="Times New Roman" w:hAnsi="Times New Roman"/>
              </w:rPr>
              <w:t>0.000096</w:t>
            </w:r>
          </w:p>
        </w:tc>
        <w:tc>
          <w:tcPr>
            <w:tcW w:w="1454" w:type="dxa"/>
            <w:vMerge w:val="continue"/>
            <w:vAlign w:val="center"/>
          </w:tcPr>
          <w:p>
            <w:pPr>
              <w:spacing w:line="280" w:lineRule="exact"/>
              <w:jc w:val="center"/>
              <w:rPr>
                <w:rFonts w:ascii="Times New Roman" w:hAnsi="Times New Roman"/>
                <w:bCs/>
                <w:kern w:val="2"/>
              </w:rPr>
            </w:pPr>
          </w:p>
        </w:tc>
        <w:tc>
          <w:tcPr>
            <w:tcW w:w="670" w:type="dxa"/>
            <w:vMerge w:val="restart"/>
            <w:vAlign w:val="center"/>
          </w:tcPr>
          <w:p>
            <w:pPr>
              <w:spacing w:line="280" w:lineRule="exact"/>
              <w:jc w:val="center"/>
              <w:rPr>
                <w:rFonts w:ascii="Times New Roman" w:hAnsi="Times New Roman"/>
                <w:bCs/>
                <w:kern w:val="2"/>
              </w:rPr>
            </w:pPr>
            <w:r>
              <w:rPr>
                <w:rFonts w:ascii="Times New Roman" w:hAnsi="Times New Roman"/>
                <w:bCs/>
                <w:kern w:val="2"/>
              </w:rPr>
              <w:t>0</w:t>
            </w:r>
          </w:p>
        </w:tc>
        <w:tc>
          <w:tcPr>
            <w:tcW w:w="727" w:type="dxa"/>
            <w:vMerge w:val="continue"/>
            <w:vAlign w:val="center"/>
          </w:tcPr>
          <w:p>
            <w:pPr>
              <w:spacing w:line="280" w:lineRule="exact"/>
              <w:jc w:val="center"/>
              <w:rPr>
                <w:rFonts w:ascii="Times New Roman" w:hAnsi="Times New Roman"/>
                <w:bCs/>
                <w:kern w:val="2"/>
              </w:rPr>
            </w:pPr>
          </w:p>
        </w:tc>
        <w:tc>
          <w:tcPr>
            <w:tcW w:w="995" w:type="dxa"/>
            <w:vMerge w:val="continue"/>
            <w:vAlign w:val="center"/>
          </w:tcPr>
          <w:p>
            <w:pPr>
              <w:spacing w:line="280" w:lineRule="exact"/>
              <w:jc w:val="center"/>
              <w:rPr>
                <w:rFonts w:ascii="Times New Roman" w:hAnsi="Times New Roman"/>
                <w:bCs/>
                <w:kern w:val="2"/>
              </w:rPr>
            </w:pPr>
          </w:p>
        </w:tc>
        <w:tc>
          <w:tcPr>
            <w:tcW w:w="981" w:type="dxa"/>
            <w:vAlign w:val="center"/>
          </w:tcPr>
          <w:p>
            <w:pPr>
              <w:widowControl/>
              <w:jc w:val="center"/>
              <w:rPr>
                <w:rFonts w:ascii="Times New Roman" w:hAnsi="Times New Roman"/>
                <w:bCs/>
                <w:kern w:val="2"/>
              </w:rPr>
            </w:pPr>
            <w:r>
              <w:rPr>
                <w:rFonts w:hint="eastAsia" w:ascii="Times New Roman" w:hAnsi="Times New Roman"/>
              </w:rPr>
              <w:t>1.103</w:t>
            </w:r>
          </w:p>
        </w:tc>
        <w:tc>
          <w:tcPr>
            <w:tcW w:w="940" w:type="dxa"/>
            <w:vAlign w:val="center"/>
          </w:tcPr>
          <w:p>
            <w:pPr>
              <w:widowControl/>
              <w:jc w:val="center"/>
              <w:rPr>
                <w:rFonts w:ascii="Times New Roman" w:hAnsi="Times New Roman"/>
                <w:bCs/>
                <w:kern w:val="2"/>
              </w:rPr>
            </w:pPr>
            <w:r>
              <w:rPr>
                <w:rFonts w:hint="eastAsia" w:ascii="Times New Roman" w:hAnsi="Times New Roman"/>
              </w:rPr>
              <w:t>0.000096</w:t>
            </w:r>
          </w:p>
        </w:tc>
        <w:tc>
          <w:tcPr>
            <w:tcW w:w="631" w:type="dxa"/>
            <w:vMerge w:val="restart"/>
            <w:vAlign w:val="center"/>
          </w:tcPr>
          <w:p>
            <w:pPr>
              <w:spacing w:line="280" w:lineRule="exact"/>
              <w:jc w:val="center"/>
              <w:rPr>
                <w:rFonts w:ascii="Times New Roman" w:hAnsi="Times New Roman"/>
                <w:bCs/>
                <w:kern w:val="2"/>
              </w:rPr>
            </w:pPr>
            <w:r>
              <w:rPr>
                <w:rFonts w:ascii="Times New Roman" w:hAnsi="Times New Roman"/>
                <w:bCs/>
                <w:kern w:val="2"/>
              </w:rPr>
              <w:t>5840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982" w:hRule="atLeast"/>
          <w:jc w:val="center"/>
        </w:trPr>
        <w:tc>
          <w:tcPr>
            <w:tcW w:w="712" w:type="dxa"/>
            <w:vMerge w:val="continue"/>
            <w:vAlign w:val="center"/>
          </w:tcPr>
          <w:p>
            <w:pPr>
              <w:spacing w:line="280" w:lineRule="exact"/>
              <w:jc w:val="center"/>
              <w:rPr>
                <w:rFonts w:ascii="Times New Roman" w:hAnsi="Times New Roman"/>
                <w:bCs/>
                <w:kern w:val="2"/>
              </w:rPr>
            </w:pPr>
          </w:p>
        </w:tc>
        <w:tc>
          <w:tcPr>
            <w:tcW w:w="712" w:type="dxa"/>
            <w:vMerge w:val="continue"/>
            <w:vAlign w:val="center"/>
          </w:tcPr>
          <w:p>
            <w:pPr>
              <w:spacing w:line="280" w:lineRule="exact"/>
              <w:jc w:val="center"/>
              <w:rPr>
                <w:rFonts w:ascii="Times New Roman" w:hAnsi="Times New Roman"/>
                <w:bCs/>
                <w:kern w:val="2"/>
              </w:rPr>
            </w:pPr>
          </w:p>
        </w:tc>
        <w:tc>
          <w:tcPr>
            <w:tcW w:w="854" w:type="dxa"/>
            <w:vMerge w:val="continue"/>
            <w:vAlign w:val="center"/>
          </w:tcPr>
          <w:p>
            <w:pPr>
              <w:spacing w:line="280" w:lineRule="exact"/>
              <w:jc w:val="center"/>
              <w:rPr>
                <w:rFonts w:ascii="Times New Roman" w:hAnsi="Times New Roman"/>
                <w:bCs/>
                <w:kern w:val="2"/>
              </w:rPr>
            </w:pPr>
          </w:p>
        </w:tc>
        <w:tc>
          <w:tcPr>
            <w:tcW w:w="697" w:type="dxa"/>
            <w:vMerge w:val="continue"/>
            <w:vAlign w:val="center"/>
          </w:tcPr>
          <w:p>
            <w:pPr>
              <w:spacing w:line="280" w:lineRule="exact"/>
              <w:jc w:val="center"/>
              <w:rPr>
                <w:rFonts w:ascii="Times New Roman" w:hAnsi="Times New Roman"/>
                <w:bCs/>
                <w:kern w:val="2"/>
              </w:rPr>
            </w:pPr>
          </w:p>
        </w:tc>
        <w:tc>
          <w:tcPr>
            <w:tcW w:w="698" w:type="dxa"/>
            <w:vAlign w:val="center"/>
          </w:tcPr>
          <w:p>
            <w:pPr>
              <w:widowControl/>
              <w:jc w:val="center"/>
              <w:rPr>
                <w:rFonts w:ascii="Times New Roman" w:hAnsi="Times New Roman"/>
                <w:bCs/>
                <w:kern w:val="2"/>
              </w:rPr>
            </w:pPr>
            <w:r>
              <w:rPr>
                <w:rFonts w:ascii="Times New Roman" w:hAnsi="Times New Roman"/>
              </w:rPr>
              <w:t>NO</w:t>
            </w:r>
            <w:r>
              <w:rPr>
                <w:rFonts w:ascii="Times New Roman" w:hAnsi="Times New Roman"/>
                <w:vertAlign w:val="subscript"/>
              </w:rPr>
              <w:t>X</w:t>
            </w:r>
          </w:p>
        </w:tc>
        <w:tc>
          <w:tcPr>
            <w:tcW w:w="656" w:type="dxa"/>
            <w:vMerge w:val="continue"/>
            <w:vAlign w:val="center"/>
          </w:tcPr>
          <w:p>
            <w:pPr>
              <w:spacing w:line="280" w:lineRule="exact"/>
              <w:jc w:val="center"/>
              <w:rPr>
                <w:rFonts w:ascii="Times New Roman" w:hAnsi="Times New Roman"/>
                <w:bCs/>
                <w:kern w:val="2"/>
              </w:rPr>
            </w:pPr>
          </w:p>
        </w:tc>
        <w:tc>
          <w:tcPr>
            <w:tcW w:w="1024" w:type="dxa"/>
            <w:vMerge w:val="continue"/>
            <w:vAlign w:val="center"/>
          </w:tcPr>
          <w:p>
            <w:pPr>
              <w:spacing w:line="280" w:lineRule="exact"/>
              <w:jc w:val="center"/>
              <w:rPr>
                <w:rFonts w:ascii="Times New Roman" w:hAnsi="Times New Roman"/>
                <w:bCs/>
                <w:kern w:val="2"/>
              </w:rPr>
            </w:pPr>
          </w:p>
        </w:tc>
        <w:tc>
          <w:tcPr>
            <w:tcW w:w="995" w:type="dxa"/>
            <w:vAlign w:val="center"/>
          </w:tcPr>
          <w:p>
            <w:pPr>
              <w:widowControl/>
              <w:jc w:val="center"/>
              <w:rPr>
                <w:rFonts w:ascii="Times New Roman" w:hAnsi="Times New Roman"/>
                <w:bCs/>
                <w:kern w:val="2"/>
              </w:rPr>
            </w:pPr>
            <w:r>
              <w:rPr>
                <w:rFonts w:ascii="Times New Roman" w:hAnsi="Times New Roman"/>
              </w:rPr>
              <w:t>30</w:t>
            </w:r>
          </w:p>
        </w:tc>
        <w:tc>
          <w:tcPr>
            <w:tcW w:w="840" w:type="dxa"/>
            <w:vAlign w:val="center"/>
          </w:tcPr>
          <w:p>
            <w:pPr>
              <w:widowControl/>
              <w:jc w:val="center"/>
              <w:rPr>
                <w:rFonts w:ascii="Times New Roman" w:hAnsi="Times New Roman"/>
                <w:bCs/>
                <w:kern w:val="2"/>
              </w:rPr>
            </w:pPr>
            <w:r>
              <w:rPr>
                <w:rFonts w:ascii="Times New Roman" w:hAnsi="Times New Roman"/>
              </w:rPr>
              <w:t>0.0026</w:t>
            </w:r>
          </w:p>
        </w:tc>
        <w:tc>
          <w:tcPr>
            <w:tcW w:w="1454" w:type="dxa"/>
            <w:vMerge w:val="continue"/>
            <w:vAlign w:val="center"/>
          </w:tcPr>
          <w:p>
            <w:pPr>
              <w:spacing w:line="280" w:lineRule="exact"/>
              <w:jc w:val="center"/>
              <w:rPr>
                <w:rFonts w:ascii="Times New Roman" w:hAnsi="Times New Roman"/>
                <w:bCs/>
                <w:kern w:val="2"/>
              </w:rPr>
            </w:pPr>
          </w:p>
        </w:tc>
        <w:tc>
          <w:tcPr>
            <w:tcW w:w="670" w:type="dxa"/>
            <w:vMerge w:val="continue"/>
            <w:vAlign w:val="center"/>
          </w:tcPr>
          <w:p>
            <w:pPr>
              <w:spacing w:line="280" w:lineRule="exact"/>
              <w:jc w:val="center"/>
              <w:rPr>
                <w:rFonts w:ascii="Times New Roman" w:hAnsi="Times New Roman"/>
                <w:bCs/>
                <w:kern w:val="2"/>
              </w:rPr>
            </w:pPr>
          </w:p>
        </w:tc>
        <w:tc>
          <w:tcPr>
            <w:tcW w:w="727" w:type="dxa"/>
            <w:vMerge w:val="continue"/>
            <w:vAlign w:val="center"/>
          </w:tcPr>
          <w:p>
            <w:pPr>
              <w:spacing w:line="280" w:lineRule="exact"/>
              <w:jc w:val="center"/>
              <w:rPr>
                <w:rFonts w:ascii="Times New Roman" w:hAnsi="Times New Roman"/>
                <w:bCs/>
                <w:kern w:val="2"/>
              </w:rPr>
            </w:pPr>
          </w:p>
        </w:tc>
        <w:tc>
          <w:tcPr>
            <w:tcW w:w="995" w:type="dxa"/>
            <w:vMerge w:val="continue"/>
            <w:vAlign w:val="center"/>
          </w:tcPr>
          <w:p>
            <w:pPr>
              <w:spacing w:line="280" w:lineRule="exact"/>
              <w:jc w:val="center"/>
              <w:rPr>
                <w:rFonts w:ascii="Times New Roman" w:hAnsi="Times New Roman"/>
                <w:bCs/>
                <w:kern w:val="2"/>
              </w:rPr>
            </w:pPr>
          </w:p>
        </w:tc>
        <w:tc>
          <w:tcPr>
            <w:tcW w:w="981" w:type="dxa"/>
            <w:vAlign w:val="center"/>
          </w:tcPr>
          <w:p>
            <w:pPr>
              <w:spacing w:line="280" w:lineRule="exact"/>
              <w:jc w:val="center"/>
              <w:rPr>
                <w:rFonts w:ascii="Times New Roman" w:hAnsi="Times New Roman"/>
                <w:bCs/>
                <w:kern w:val="2"/>
              </w:rPr>
            </w:pPr>
            <w:r>
              <w:rPr>
                <w:rFonts w:ascii="Times New Roman" w:hAnsi="Times New Roman"/>
              </w:rPr>
              <w:t>30</w:t>
            </w:r>
          </w:p>
        </w:tc>
        <w:tc>
          <w:tcPr>
            <w:tcW w:w="940" w:type="dxa"/>
            <w:vAlign w:val="center"/>
          </w:tcPr>
          <w:p>
            <w:pPr>
              <w:spacing w:line="280" w:lineRule="exact"/>
              <w:jc w:val="center"/>
              <w:rPr>
                <w:rFonts w:ascii="Times New Roman" w:hAnsi="Times New Roman"/>
                <w:bCs/>
                <w:kern w:val="2"/>
              </w:rPr>
            </w:pPr>
            <w:r>
              <w:rPr>
                <w:rFonts w:ascii="Times New Roman" w:hAnsi="Times New Roman"/>
              </w:rPr>
              <w:t>0.0026</w:t>
            </w:r>
          </w:p>
        </w:tc>
        <w:tc>
          <w:tcPr>
            <w:tcW w:w="631" w:type="dxa"/>
            <w:vMerge w:val="continue"/>
            <w:vAlign w:val="center"/>
          </w:tcPr>
          <w:p>
            <w:pPr>
              <w:spacing w:line="280" w:lineRule="exact"/>
              <w:jc w:val="center"/>
              <w:rPr>
                <w:rFonts w:ascii="Times New Roman" w:hAnsi="Times New Roman"/>
                <w:bCs/>
                <w:kern w:val="2"/>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0" w:hRule="atLeast"/>
          <w:jc w:val="center"/>
        </w:trPr>
        <w:tc>
          <w:tcPr>
            <w:tcW w:w="712" w:type="dxa"/>
            <w:vMerge w:val="restart"/>
            <w:vAlign w:val="center"/>
          </w:tcPr>
          <w:p>
            <w:pPr>
              <w:spacing w:line="280" w:lineRule="exact"/>
              <w:jc w:val="center"/>
              <w:rPr>
                <w:rFonts w:ascii="Times New Roman" w:hAnsi="Times New Roman"/>
                <w:bCs/>
                <w:kern w:val="2"/>
              </w:rPr>
            </w:pPr>
            <w:r>
              <w:rPr>
                <w:rFonts w:ascii="Times New Roman" w:hAnsi="Times New Roman"/>
                <w:bCs/>
                <w:kern w:val="2"/>
              </w:rPr>
              <w:t>污水</w:t>
            </w:r>
          </w:p>
          <w:p>
            <w:pPr>
              <w:spacing w:line="280" w:lineRule="exact"/>
              <w:jc w:val="center"/>
              <w:rPr>
                <w:rFonts w:ascii="Times New Roman" w:hAnsi="Times New Roman"/>
                <w:bCs/>
                <w:kern w:val="2"/>
              </w:rPr>
            </w:pPr>
            <w:r>
              <w:rPr>
                <w:rFonts w:ascii="Times New Roman" w:hAnsi="Times New Roman"/>
                <w:bCs/>
                <w:kern w:val="2"/>
              </w:rPr>
              <w:t>处理</w:t>
            </w:r>
          </w:p>
        </w:tc>
        <w:tc>
          <w:tcPr>
            <w:tcW w:w="712" w:type="dxa"/>
            <w:vMerge w:val="restart"/>
            <w:vAlign w:val="center"/>
          </w:tcPr>
          <w:p>
            <w:pPr>
              <w:spacing w:line="280" w:lineRule="exact"/>
              <w:jc w:val="center"/>
              <w:rPr>
                <w:rFonts w:ascii="Times New Roman" w:hAnsi="Times New Roman"/>
                <w:bCs/>
                <w:kern w:val="2"/>
              </w:rPr>
            </w:pPr>
            <w:r>
              <w:rPr>
                <w:rFonts w:ascii="Times New Roman" w:hAnsi="Times New Roman"/>
                <w:bCs/>
                <w:kern w:val="2"/>
              </w:rPr>
              <w:t>污水</w:t>
            </w:r>
          </w:p>
          <w:p>
            <w:pPr>
              <w:spacing w:line="280" w:lineRule="exact"/>
              <w:jc w:val="center"/>
              <w:rPr>
                <w:rFonts w:ascii="Times New Roman" w:hAnsi="Times New Roman"/>
                <w:bCs/>
                <w:kern w:val="2"/>
              </w:rPr>
            </w:pPr>
            <w:r>
              <w:rPr>
                <w:rFonts w:ascii="Times New Roman" w:hAnsi="Times New Roman"/>
                <w:bCs/>
                <w:kern w:val="2"/>
              </w:rPr>
              <w:t>处理间</w:t>
            </w:r>
          </w:p>
        </w:tc>
        <w:tc>
          <w:tcPr>
            <w:tcW w:w="854" w:type="dxa"/>
            <w:vMerge w:val="restart"/>
            <w:vAlign w:val="center"/>
          </w:tcPr>
          <w:p>
            <w:pPr>
              <w:spacing w:line="280" w:lineRule="exact"/>
              <w:jc w:val="center"/>
              <w:rPr>
                <w:rFonts w:ascii="Times New Roman" w:hAnsi="Times New Roman"/>
                <w:bCs/>
                <w:kern w:val="2"/>
              </w:rPr>
            </w:pPr>
            <w:r>
              <w:rPr>
                <w:rFonts w:ascii="Times New Roman" w:hAnsi="Times New Roman"/>
                <w:bCs/>
                <w:kern w:val="2"/>
              </w:rPr>
              <w:t>污水</w:t>
            </w:r>
          </w:p>
          <w:p>
            <w:pPr>
              <w:spacing w:line="280" w:lineRule="exact"/>
              <w:jc w:val="center"/>
              <w:rPr>
                <w:rFonts w:ascii="Times New Roman" w:hAnsi="Times New Roman"/>
                <w:bCs/>
                <w:kern w:val="2"/>
              </w:rPr>
            </w:pPr>
            <w:r>
              <w:rPr>
                <w:rFonts w:ascii="Times New Roman" w:hAnsi="Times New Roman"/>
                <w:bCs/>
                <w:kern w:val="2"/>
              </w:rPr>
              <w:t>处理间</w:t>
            </w:r>
          </w:p>
        </w:tc>
        <w:tc>
          <w:tcPr>
            <w:tcW w:w="697" w:type="dxa"/>
            <w:vMerge w:val="restart"/>
            <w:vAlign w:val="center"/>
          </w:tcPr>
          <w:p>
            <w:pPr>
              <w:spacing w:line="280" w:lineRule="exact"/>
              <w:jc w:val="center"/>
              <w:rPr>
                <w:rFonts w:ascii="Times New Roman" w:hAnsi="Times New Roman"/>
                <w:bCs/>
                <w:kern w:val="2"/>
              </w:rPr>
            </w:pPr>
            <w:r>
              <w:rPr>
                <w:rFonts w:ascii="Times New Roman" w:hAnsi="Times New Roman"/>
                <w:bCs/>
                <w:kern w:val="2"/>
              </w:rPr>
              <w:t>有组织</w:t>
            </w:r>
          </w:p>
        </w:tc>
        <w:tc>
          <w:tcPr>
            <w:tcW w:w="698" w:type="dxa"/>
            <w:vAlign w:val="center"/>
          </w:tcPr>
          <w:p>
            <w:pPr>
              <w:jc w:val="center"/>
              <w:rPr>
                <w:rFonts w:ascii="Times New Roman" w:hAnsi="Times New Roman"/>
                <w:bCs/>
              </w:rPr>
            </w:pPr>
            <w:r>
              <w:rPr>
                <w:rFonts w:ascii="Times New Roman" w:hAnsi="Times New Roman"/>
                <w:bCs/>
              </w:rPr>
              <w:t>NH</w:t>
            </w:r>
            <w:r>
              <w:rPr>
                <w:rFonts w:ascii="Times New Roman" w:hAnsi="Times New Roman"/>
                <w:bCs/>
                <w:vertAlign w:val="subscript"/>
              </w:rPr>
              <w:t>3</w:t>
            </w:r>
          </w:p>
        </w:tc>
        <w:tc>
          <w:tcPr>
            <w:tcW w:w="656" w:type="dxa"/>
            <w:vMerge w:val="restart"/>
            <w:vAlign w:val="center"/>
          </w:tcPr>
          <w:p>
            <w:pPr>
              <w:spacing w:line="280" w:lineRule="exact"/>
              <w:jc w:val="center"/>
              <w:rPr>
                <w:rFonts w:ascii="Times New Roman" w:hAnsi="Times New Roman"/>
                <w:kern w:val="2"/>
              </w:rPr>
            </w:pPr>
            <w:r>
              <w:rPr>
                <w:rFonts w:ascii="Times New Roman" w:hAnsi="Times New Roman"/>
                <w:kern w:val="2"/>
              </w:rPr>
              <w:t>产污系数法</w:t>
            </w:r>
          </w:p>
        </w:tc>
        <w:tc>
          <w:tcPr>
            <w:tcW w:w="1024" w:type="dxa"/>
            <w:vAlign w:val="center"/>
          </w:tcPr>
          <w:p>
            <w:pPr>
              <w:spacing w:line="280" w:lineRule="exact"/>
              <w:jc w:val="center"/>
              <w:rPr>
                <w:rFonts w:ascii="Times New Roman" w:hAnsi="Times New Roman"/>
                <w:bCs/>
                <w:kern w:val="2"/>
              </w:rPr>
            </w:pPr>
            <w:r>
              <w:rPr>
                <w:rFonts w:ascii="Times New Roman" w:hAnsi="Times New Roman"/>
                <w:bCs/>
                <w:kern w:val="2"/>
              </w:rPr>
              <w:t>/</w:t>
            </w:r>
          </w:p>
        </w:tc>
        <w:tc>
          <w:tcPr>
            <w:tcW w:w="995" w:type="dxa"/>
            <w:vAlign w:val="center"/>
          </w:tcPr>
          <w:p>
            <w:pPr>
              <w:spacing w:line="280" w:lineRule="exact"/>
              <w:jc w:val="center"/>
              <w:rPr>
                <w:rFonts w:ascii="Times New Roman" w:hAnsi="Times New Roman"/>
                <w:kern w:val="2"/>
              </w:rPr>
            </w:pPr>
            <w:r>
              <w:rPr>
                <w:rFonts w:ascii="Times New Roman" w:hAnsi="Times New Roman"/>
                <w:kern w:val="2"/>
              </w:rPr>
              <w:t>/</w:t>
            </w:r>
          </w:p>
        </w:tc>
        <w:tc>
          <w:tcPr>
            <w:tcW w:w="840" w:type="dxa"/>
            <w:vAlign w:val="center"/>
          </w:tcPr>
          <w:p>
            <w:pPr>
              <w:spacing w:line="280" w:lineRule="exact"/>
              <w:jc w:val="center"/>
              <w:rPr>
                <w:rFonts w:ascii="Times New Roman" w:hAnsi="Times New Roman"/>
                <w:kern w:val="2"/>
              </w:rPr>
            </w:pPr>
            <w:r>
              <w:rPr>
                <w:rFonts w:ascii="Times New Roman" w:hAnsi="Times New Roman"/>
                <w:kern w:val="2"/>
              </w:rPr>
              <w:t>4.06</w:t>
            </w:r>
            <w:r>
              <w:rPr>
                <w:rFonts w:ascii="Times New Roman" w:hAnsi="Times New Roman"/>
                <w:bCs/>
                <w:kern w:val="2"/>
              </w:rPr>
              <w:t>×10</w:t>
            </w:r>
            <w:r>
              <w:rPr>
                <w:rFonts w:ascii="Times New Roman" w:hAnsi="Times New Roman"/>
                <w:bCs/>
                <w:kern w:val="2"/>
                <w:vertAlign w:val="superscript"/>
              </w:rPr>
              <w:t>-7</w:t>
            </w:r>
          </w:p>
        </w:tc>
        <w:tc>
          <w:tcPr>
            <w:tcW w:w="1454" w:type="dxa"/>
            <w:vMerge w:val="restart"/>
            <w:vAlign w:val="center"/>
          </w:tcPr>
          <w:p>
            <w:pPr>
              <w:spacing w:line="280" w:lineRule="exact"/>
              <w:jc w:val="center"/>
              <w:rPr>
                <w:rFonts w:ascii="Times New Roman" w:hAnsi="Times New Roman"/>
                <w:kern w:val="2"/>
              </w:rPr>
            </w:pPr>
            <w:r>
              <w:rPr>
                <w:rFonts w:hint="eastAsia" w:ascii="Times New Roman" w:hAnsi="Times New Roman"/>
                <w:kern w:val="2"/>
              </w:rPr>
              <w:t>除臭塔</w:t>
            </w:r>
            <w:r>
              <w:rPr>
                <w:rFonts w:ascii="Times New Roman" w:hAnsi="Times New Roman"/>
                <w:kern w:val="2"/>
              </w:rPr>
              <w:t>吸附+15m排气筒</w:t>
            </w:r>
          </w:p>
        </w:tc>
        <w:tc>
          <w:tcPr>
            <w:tcW w:w="670" w:type="dxa"/>
            <w:vAlign w:val="center"/>
          </w:tcPr>
          <w:p>
            <w:pPr>
              <w:spacing w:line="280" w:lineRule="exact"/>
              <w:jc w:val="center"/>
              <w:rPr>
                <w:rFonts w:ascii="Times New Roman" w:hAnsi="Times New Roman"/>
                <w:kern w:val="2"/>
              </w:rPr>
            </w:pPr>
            <w:r>
              <w:rPr>
                <w:rFonts w:ascii="Times New Roman" w:hAnsi="Times New Roman"/>
                <w:kern w:val="2"/>
              </w:rPr>
              <w:t>95</w:t>
            </w:r>
          </w:p>
        </w:tc>
        <w:tc>
          <w:tcPr>
            <w:tcW w:w="727" w:type="dxa"/>
            <w:vMerge w:val="restart"/>
            <w:vAlign w:val="center"/>
          </w:tcPr>
          <w:p>
            <w:pPr>
              <w:spacing w:line="280" w:lineRule="exact"/>
              <w:jc w:val="center"/>
              <w:rPr>
                <w:rFonts w:ascii="Times New Roman" w:hAnsi="Times New Roman"/>
                <w:bCs/>
                <w:kern w:val="2"/>
              </w:rPr>
            </w:pPr>
            <w:r>
              <w:rPr>
                <w:rFonts w:ascii="Times New Roman" w:hAnsi="Times New Roman"/>
                <w:bCs/>
                <w:kern w:val="2"/>
              </w:rPr>
              <w:t>排污</w:t>
            </w:r>
          </w:p>
          <w:p>
            <w:pPr>
              <w:spacing w:line="280" w:lineRule="exact"/>
              <w:jc w:val="center"/>
              <w:rPr>
                <w:rFonts w:ascii="Times New Roman" w:hAnsi="Times New Roman"/>
                <w:kern w:val="2"/>
              </w:rPr>
            </w:pPr>
            <w:r>
              <w:rPr>
                <w:rFonts w:ascii="Times New Roman" w:hAnsi="Times New Roman"/>
                <w:bCs/>
                <w:kern w:val="2"/>
              </w:rPr>
              <w:t>系数法</w:t>
            </w:r>
          </w:p>
        </w:tc>
        <w:tc>
          <w:tcPr>
            <w:tcW w:w="995" w:type="dxa"/>
            <w:vAlign w:val="center"/>
          </w:tcPr>
          <w:p>
            <w:pPr>
              <w:spacing w:line="280" w:lineRule="exact"/>
              <w:jc w:val="center"/>
              <w:rPr>
                <w:rFonts w:ascii="Times New Roman" w:hAnsi="Times New Roman"/>
                <w:kern w:val="2"/>
              </w:rPr>
            </w:pPr>
            <w:r>
              <w:rPr>
                <w:rFonts w:ascii="Times New Roman" w:hAnsi="Times New Roman"/>
                <w:kern w:val="2"/>
              </w:rPr>
              <w:t>/</w:t>
            </w:r>
          </w:p>
        </w:tc>
        <w:tc>
          <w:tcPr>
            <w:tcW w:w="981" w:type="dxa"/>
            <w:vAlign w:val="center"/>
          </w:tcPr>
          <w:p>
            <w:pPr>
              <w:spacing w:line="280" w:lineRule="exact"/>
              <w:jc w:val="center"/>
              <w:rPr>
                <w:rFonts w:ascii="Times New Roman" w:hAnsi="Times New Roman"/>
                <w:kern w:val="2"/>
              </w:rPr>
            </w:pPr>
            <w:r>
              <w:rPr>
                <w:rFonts w:ascii="Times New Roman" w:hAnsi="Times New Roman"/>
                <w:kern w:val="2"/>
              </w:rPr>
              <w:t>/</w:t>
            </w:r>
          </w:p>
        </w:tc>
        <w:tc>
          <w:tcPr>
            <w:tcW w:w="940" w:type="dxa"/>
            <w:vAlign w:val="center"/>
          </w:tcPr>
          <w:p>
            <w:pPr>
              <w:spacing w:line="280" w:lineRule="exact"/>
              <w:jc w:val="center"/>
              <w:rPr>
                <w:rFonts w:ascii="Times New Roman" w:hAnsi="Times New Roman"/>
                <w:bCs/>
                <w:kern w:val="2"/>
              </w:rPr>
            </w:pPr>
            <w:r>
              <w:rPr>
                <w:rFonts w:ascii="Times New Roman" w:hAnsi="Times New Roman"/>
                <w:bCs/>
                <w:kern w:val="2"/>
              </w:rPr>
              <w:t>2.03×10</w:t>
            </w:r>
            <w:r>
              <w:rPr>
                <w:rFonts w:ascii="Times New Roman" w:hAnsi="Times New Roman"/>
                <w:bCs/>
                <w:kern w:val="2"/>
                <w:vertAlign w:val="superscript"/>
              </w:rPr>
              <w:t>-8</w:t>
            </w:r>
          </w:p>
        </w:tc>
        <w:tc>
          <w:tcPr>
            <w:tcW w:w="631" w:type="dxa"/>
            <w:vMerge w:val="restart"/>
            <w:vAlign w:val="center"/>
          </w:tcPr>
          <w:p>
            <w:pPr>
              <w:spacing w:line="280" w:lineRule="exact"/>
              <w:jc w:val="center"/>
              <w:rPr>
                <w:rFonts w:ascii="Times New Roman" w:hAnsi="Times New Roman"/>
                <w:bCs/>
                <w:kern w:val="2"/>
              </w:rPr>
            </w:pPr>
            <w:r>
              <w:rPr>
                <w:rFonts w:ascii="Times New Roman" w:hAnsi="Times New Roman"/>
                <w:bCs/>
                <w:kern w:val="2"/>
              </w:rPr>
              <w:t>5840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0" w:hRule="atLeast"/>
          <w:jc w:val="center"/>
        </w:trPr>
        <w:tc>
          <w:tcPr>
            <w:tcW w:w="712" w:type="dxa"/>
            <w:vMerge w:val="continue"/>
            <w:vAlign w:val="center"/>
          </w:tcPr>
          <w:p>
            <w:pPr>
              <w:spacing w:line="280" w:lineRule="exact"/>
              <w:jc w:val="center"/>
              <w:rPr>
                <w:rFonts w:ascii="Times New Roman" w:hAnsi="Times New Roman"/>
                <w:bCs/>
                <w:kern w:val="2"/>
              </w:rPr>
            </w:pPr>
          </w:p>
        </w:tc>
        <w:tc>
          <w:tcPr>
            <w:tcW w:w="712" w:type="dxa"/>
            <w:vMerge w:val="continue"/>
            <w:vAlign w:val="center"/>
          </w:tcPr>
          <w:p>
            <w:pPr>
              <w:spacing w:line="280" w:lineRule="exact"/>
              <w:jc w:val="center"/>
              <w:rPr>
                <w:rFonts w:ascii="Times New Roman" w:hAnsi="Times New Roman"/>
                <w:bCs/>
                <w:kern w:val="2"/>
              </w:rPr>
            </w:pPr>
          </w:p>
        </w:tc>
        <w:tc>
          <w:tcPr>
            <w:tcW w:w="854" w:type="dxa"/>
            <w:vMerge w:val="continue"/>
            <w:vAlign w:val="center"/>
          </w:tcPr>
          <w:p>
            <w:pPr>
              <w:spacing w:line="280" w:lineRule="exact"/>
              <w:jc w:val="center"/>
              <w:rPr>
                <w:rFonts w:ascii="Times New Roman" w:hAnsi="Times New Roman"/>
                <w:bCs/>
                <w:kern w:val="2"/>
              </w:rPr>
            </w:pPr>
          </w:p>
        </w:tc>
        <w:tc>
          <w:tcPr>
            <w:tcW w:w="697" w:type="dxa"/>
            <w:vMerge w:val="continue"/>
            <w:vAlign w:val="center"/>
          </w:tcPr>
          <w:p>
            <w:pPr>
              <w:spacing w:line="280" w:lineRule="exact"/>
              <w:jc w:val="center"/>
              <w:rPr>
                <w:rFonts w:ascii="Times New Roman" w:hAnsi="Times New Roman"/>
                <w:bCs/>
                <w:kern w:val="2"/>
              </w:rPr>
            </w:pPr>
          </w:p>
        </w:tc>
        <w:tc>
          <w:tcPr>
            <w:tcW w:w="698" w:type="dxa"/>
            <w:vAlign w:val="center"/>
          </w:tcPr>
          <w:p>
            <w:pPr>
              <w:jc w:val="center"/>
              <w:rPr>
                <w:rFonts w:ascii="Times New Roman" w:hAnsi="Times New Roman"/>
                <w:bCs/>
              </w:rPr>
            </w:pPr>
            <w:r>
              <w:rPr>
                <w:rFonts w:ascii="Times New Roman" w:hAnsi="Times New Roman"/>
                <w:bCs/>
              </w:rPr>
              <w:t>H</w:t>
            </w:r>
            <w:r>
              <w:rPr>
                <w:rFonts w:ascii="Times New Roman" w:hAnsi="Times New Roman"/>
                <w:bCs/>
                <w:vertAlign w:val="subscript"/>
              </w:rPr>
              <w:t>2</w:t>
            </w:r>
            <w:r>
              <w:rPr>
                <w:rFonts w:ascii="Times New Roman" w:hAnsi="Times New Roman"/>
                <w:bCs/>
              </w:rPr>
              <w:t>S</w:t>
            </w:r>
          </w:p>
        </w:tc>
        <w:tc>
          <w:tcPr>
            <w:tcW w:w="656" w:type="dxa"/>
            <w:vMerge w:val="continue"/>
            <w:vAlign w:val="center"/>
          </w:tcPr>
          <w:p>
            <w:pPr>
              <w:spacing w:line="280" w:lineRule="exact"/>
              <w:jc w:val="center"/>
              <w:rPr>
                <w:rFonts w:ascii="Times New Roman" w:hAnsi="Times New Roman"/>
                <w:kern w:val="2"/>
              </w:rPr>
            </w:pPr>
          </w:p>
        </w:tc>
        <w:tc>
          <w:tcPr>
            <w:tcW w:w="1024" w:type="dxa"/>
            <w:vAlign w:val="center"/>
          </w:tcPr>
          <w:p>
            <w:pPr>
              <w:spacing w:line="280" w:lineRule="exact"/>
              <w:jc w:val="center"/>
              <w:rPr>
                <w:rFonts w:ascii="Times New Roman" w:hAnsi="Times New Roman"/>
                <w:bCs/>
                <w:kern w:val="2"/>
              </w:rPr>
            </w:pPr>
            <w:r>
              <w:rPr>
                <w:rFonts w:ascii="Times New Roman" w:hAnsi="Times New Roman"/>
                <w:bCs/>
                <w:kern w:val="2"/>
              </w:rPr>
              <w:t>/</w:t>
            </w:r>
          </w:p>
        </w:tc>
        <w:tc>
          <w:tcPr>
            <w:tcW w:w="995" w:type="dxa"/>
            <w:vAlign w:val="center"/>
          </w:tcPr>
          <w:p>
            <w:pPr>
              <w:spacing w:line="280" w:lineRule="exact"/>
              <w:jc w:val="center"/>
              <w:rPr>
                <w:rFonts w:ascii="Times New Roman" w:hAnsi="Times New Roman"/>
                <w:kern w:val="2"/>
              </w:rPr>
            </w:pPr>
            <w:r>
              <w:rPr>
                <w:rFonts w:ascii="Times New Roman" w:hAnsi="Times New Roman"/>
                <w:kern w:val="2"/>
              </w:rPr>
              <w:t>/</w:t>
            </w:r>
          </w:p>
        </w:tc>
        <w:tc>
          <w:tcPr>
            <w:tcW w:w="840" w:type="dxa"/>
            <w:vAlign w:val="center"/>
          </w:tcPr>
          <w:p>
            <w:pPr>
              <w:spacing w:line="280" w:lineRule="exact"/>
              <w:jc w:val="center"/>
              <w:rPr>
                <w:rFonts w:ascii="Times New Roman" w:hAnsi="Times New Roman"/>
                <w:bCs/>
                <w:kern w:val="2"/>
              </w:rPr>
            </w:pPr>
            <w:r>
              <w:rPr>
                <w:rFonts w:ascii="Times New Roman" w:hAnsi="Times New Roman"/>
                <w:bCs/>
                <w:kern w:val="2"/>
              </w:rPr>
              <w:t>1.58×10</w:t>
            </w:r>
            <w:r>
              <w:rPr>
                <w:rFonts w:ascii="Times New Roman" w:hAnsi="Times New Roman"/>
                <w:bCs/>
                <w:kern w:val="2"/>
                <w:vertAlign w:val="superscript"/>
              </w:rPr>
              <w:t>-8</w:t>
            </w:r>
          </w:p>
        </w:tc>
        <w:tc>
          <w:tcPr>
            <w:tcW w:w="1454" w:type="dxa"/>
            <w:vMerge w:val="continue"/>
            <w:vAlign w:val="center"/>
          </w:tcPr>
          <w:p>
            <w:pPr>
              <w:spacing w:line="280" w:lineRule="exact"/>
              <w:jc w:val="center"/>
              <w:rPr>
                <w:rFonts w:ascii="Times New Roman" w:hAnsi="Times New Roman"/>
                <w:kern w:val="2"/>
              </w:rPr>
            </w:pPr>
          </w:p>
        </w:tc>
        <w:tc>
          <w:tcPr>
            <w:tcW w:w="670" w:type="dxa"/>
            <w:vAlign w:val="center"/>
          </w:tcPr>
          <w:p>
            <w:pPr>
              <w:spacing w:line="280" w:lineRule="exact"/>
              <w:jc w:val="center"/>
              <w:rPr>
                <w:rFonts w:ascii="Times New Roman" w:hAnsi="Times New Roman"/>
                <w:kern w:val="2"/>
              </w:rPr>
            </w:pPr>
            <w:r>
              <w:rPr>
                <w:rFonts w:ascii="Times New Roman" w:hAnsi="Times New Roman"/>
                <w:kern w:val="2"/>
              </w:rPr>
              <w:t>95</w:t>
            </w:r>
          </w:p>
        </w:tc>
        <w:tc>
          <w:tcPr>
            <w:tcW w:w="727" w:type="dxa"/>
            <w:vMerge w:val="continue"/>
            <w:vAlign w:val="center"/>
          </w:tcPr>
          <w:p>
            <w:pPr>
              <w:spacing w:line="280" w:lineRule="exact"/>
              <w:jc w:val="center"/>
              <w:rPr>
                <w:rFonts w:ascii="Times New Roman" w:hAnsi="Times New Roman"/>
                <w:kern w:val="2"/>
              </w:rPr>
            </w:pPr>
          </w:p>
        </w:tc>
        <w:tc>
          <w:tcPr>
            <w:tcW w:w="995" w:type="dxa"/>
            <w:vAlign w:val="center"/>
          </w:tcPr>
          <w:p>
            <w:pPr>
              <w:spacing w:line="280" w:lineRule="exact"/>
              <w:jc w:val="center"/>
              <w:rPr>
                <w:rFonts w:ascii="Times New Roman" w:hAnsi="Times New Roman"/>
                <w:kern w:val="2"/>
              </w:rPr>
            </w:pPr>
            <w:r>
              <w:rPr>
                <w:rFonts w:ascii="Times New Roman" w:hAnsi="Times New Roman"/>
                <w:kern w:val="2"/>
              </w:rPr>
              <w:t>/</w:t>
            </w:r>
          </w:p>
        </w:tc>
        <w:tc>
          <w:tcPr>
            <w:tcW w:w="981" w:type="dxa"/>
            <w:vAlign w:val="center"/>
          </w:tcPr>
          <w:p>
            <w:pPr>
              <w:spacing w:line="280" w:lineRule="exact"/>
              <w:jc w:val="center"/>
              <w:rPr>
                <w:rFonts w:ascii="Times New Roman" w:hAnsi="Times New Roman"/>
                <w:kern w:val="2"/>
              </w:rPr>
            </w:pPr>
            <w:r>
              <w:rPr>
                <w:rFonts w:ascii="Times New Roman" w:hAnsi="Times New Roman"/>
                <w:kern w:val="2"/>
              </w:rPr>
              <w:t>/</w:t>
            </w:r>
          </w:p>
        </w:tc>
        <w:tc>
          <w:tcPr>
            <w:tcW w:w="940" w:type="dxa"/>
            <w:vAlign w:val="center"/>
          </w:tcPr>
          <w:p>
            <w:pPr>
              <w:spacing w:line="280" w:lineRule="exact"/>
              <w:jc w:val="center"/>
              <w:rPr>
                <w:rFonts w:ascii="Times New Roman" w:hAnsi="Times New Roman"/>
                <w:bCs/>
                <w:kern w:val="2"/>
              </w:rPr>
            </w:pPr>
            <w:r>
              <w:rPr>
                <w:rFonts w:ascii="Times New Roman" w:hAnsi="Times New Roman"/>
                <w:bCs/>
                <w:kern w:val="2"/>
              </w:rPr>
              <w:t>0.79×10</w:t>
            </w:r>
            <w:r>
              <w:rPr>
                <w:rFonts w:ascii="Times New Roman" w:hAnsi="Times New Roman"/>
                <w:bCs/>
                <w:kern w:val="2"/>
                <w:vertAlign w:val="superscript"/>
              </w:rPr>
              <w:t>-9</w:t>
            </w:r>
          </w:p>
        </w:tc>
        <w:tc>
          <w:tcPr>
            <w:tcW w:w="631" w:type="dxa"/>
            <w:vMerge w:val="continue"/>
            <w:vAlign w:val="center"/>
          </w:tcPr>
          <w:p>
            <w:pPr>
              <w:spacing w:line="280" w:lineRule="exact"/>
              <w:jc w:val="center"/>
              <w:rPr>
                <w:rFonts w:ascii="Times New Roman" w:hAnsi="Times New Roman"/>
                <w:bCs/>
                <w:kern w:val="2"/>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0" w:hRule="atLeast"/>
          <w:jc w:val="center"/>
        </w:trPr>
        <w:tc>
          <w:tcPr>
            <w:tcW w:w="712" w:type="dxa"/>
            <w:vMerge w:val="continue"/>
            <w:vAlign w:val="center"/>
          </w:tcPr>
          <w:p>
            <w:pPr>
              <w:spacing w:line="280" w:lineRule="exact"/>
              <w:jc w:val="center"/>
              <w:rPr>
                <w:rFonts w:ascii="Times New Roman" w:hAnsi="Times New Roman"/>
                <w:bCs/>
                <w:kern w:val="2"/>
              </w:rPr>
            </w:pPr>
          </w:p>
        </w:tc>
        <w:tc>
          <w:tcPr>
            <w:tcW w:w="712" w:type="dxa"/>
            <w:vMerge w:val="continue"/>
            <w:vAlign w:val="center"/>
          </w:tcPr>
          <w:p>
            <w:pPr>
              <w:spacing w:line="280" w:lineRule="exact"/>
              <w:jc w:val="center"/>
              <w:rPr>
                <w:rFonts w:ascii="Times New Roman" w:hAnsi="Times New Roman"/>
                <w:bCs/>
                <w:kern w:val="2"/>
              </w:rPr>
            </w:pPr>
          </w:p>
        </w:tc>
        <w:tc>
          <w:tcPr>
            <w:tcW w:w="854" w:type="dxa"/>
            <w:vMerge w:val="continue"/>
            <w:vAlign w:val="center"/>
          </w:tcPr>
          <w:p>
            <w:pPr>
              <w:spacing w:line="280" w:lineRule="exact"/>
              <w:jc w:val="center"/>
              <w:rPr>
                <w:rFonts w:ascii="Times New Roman" w:hAnsi="Times New Roman"/>
                <w:bCs/>
                <w:kern w:val="2"/>
              </w:rPr>
            </w:pPr>
          </w:p>
        </w:tc>
        <w:tc>
          <w:tcPr>
            <w:tcW w:w="697" w:type="dxa"/>
            <w:vMerge w:val="restart"/>
            <w:vAlign w:val="center"/>
          </w:tcPr>
          <w:p>
            <w:pPr>
              <w:spacing w:line="280" w:lineRule="exact"/>
              <w:jc w:val="center"/>
              <w:rPr>
                <w:rFonts w:ascii="Times New Roman" w:hAnsi="Times New Roman"/>
                <w:bCs/>
                <w:kern w:val="2"/>
              </w:rPr>
            </w:pPr>
            <w:r>
              <w:rPr>
                <w:rFonts w:ascii="Times New Roman" w:hAnsi="Times New Roman"/>
                <w:bCs/>
                <w:kern w:val="2"/>
              </w:rPr>
              <w:t>无组织</w:t>
            </w:r>
          </w:p>
        </w:tc>
        <w:tc>
          <w:tcPr>
            <w:tcW w:w="698" w:type="dxa"/>
            <w:vAlign w:val="center"/>
          </w:tcPr>
          <w:p>
            <w:pPr>
              <w:jc w:val="center"/>
              <w:rPr>
                <w:rFonts w:ascii="Times New Roman" w:hAnsi="Times New Roman"/>
                <w:bCs/>
                <w:kern w:val="2"/>
              </w:rPr>
            </w:pPr>
            <w:r>
              <w:rPr>
                <w:rFonts w:ascii="Times New Roman" w:hAnsi="Times New Roman"/>
                <w:bCs/>
              </w:rPr>
              <w:t>NH</w:t>
            </w:r>
            <w:r>
              <w:rPr>
                <w:rFonts w:ascii="Times New Roman" w:hAnsi="Times New Roman"/>
                <w:bCs/>
                <w:vertAlign w:val="subscript"/>
              </w:rPr>
              <w:t>3</w:t>
            </w:r>
          </w:p>
        </w:tc>
        <w:tc>
          <w:tcPr>
            <w:tcW w:w="656" w:type="dxa"/>
            <w:vMerge w:val="restart"/>
            <w:vAlign w:val="center"/>
          </w:tcPr>
          <w:p>
            <w:pPr>
              <w:spacing w:line="280" w:lineRule="exact"/>
              <w:jc w:val="center"/>
              <w:rPr>
                <w:rFonts w:ascii="Times New Roman" w:hAnsi="Times New Roman"/>
                <w:kern w:val="2"/>
              </w:rPr>
            </w:pPr>
            <w:r>
              <w:rPr>
                <w:rFonts w:ascii="Times New Roman" w:hAnsi="Times New Roman"/>
                <w:kern w:val="2"/>
              </w:rPr>
              <w:t>产污系数法</w:t>
            </w:r>
          </w:p>
        </w:tc>
        <w:tc>
          <w:tcPr>
            <w:tcW w:w="1024" w:type="dxa"/>
            <w:vMerge w:val="restart"/>
            <w:vAlign w:val="center"/>
          </w:tcPr>
          <w:p>
            <w:pPr>
              <w:spacing w:line="280" w:lineRule="exact"/>
              <w:jc w:val="center"/>
              <w:rPr>
                <w:rFonts w:ascii="Times New Roman" w:hAnsi="Times New Roman"/>
                <w:bCs/>
                <w:kern w:val="2"/>
              </w:rPr>
            </w:pPr>
            <w:r>
              <w:rPr>
                <w:rFonts w:ascii="Times New Roman" w:hAnsi="Times New Roman"/>
                <w:bCs/>
                <w:kern w:val="2"/>
              </w:rPr>
              <w:t>/</w:t>
            </w:r>
          </w:p>
        </w:tc>
        <w:tc>
          <w:tcPr>
            <w:tcW w:w="995" w:type="dxa"/>
            <w:vAlign w:val="center"/>
          </w:tcPr>
          <w:p>
            <w:pPr>
              <w:spacing w:line="280" w:lineRule="exact"/>
              <w:jc w:val="center"/>
              <w:rPr>
                <w:rFonts w:ascii="Times New Roman" w:hAnsi="Times New Roman"/>
                <w:kern w:val="2"/>
              </w:rPr>
            </w:pPr>
            <w:r>
              <w:rPr>
                <w:rFonts w:ascii="Times New Roman" w:hAnsi="Times New Roman"/>
                <w:kern w:val="2"/>
              </w:rPr>
              <w:t>/</w:t>
            </w:r>
          </w:p>
        </w:tc>
        <w:tc>
          <w:tcPr>
            <w:tcW w:w="840" w:type="dxa"/>
            <w:vAlign w:val="center"/>
          </w:tcPr>
          <w:p>
            <w:pPr>
              <w:spacing w:line="280" w:lineRule="exact"/>
              <w:jc w:val="center"/>
              <w:rPr>
                <w:rFonts w:ascii="Times New Roman" w:hAnsi="Times New Roman"/>
                <w:bCs/>
                <w:kern w:val="2"/>
              </w:rPr>
            </w:pPr>
            <w:r>
              <w:rPr>
                <w:rFonts w:ascii="Times New Roman" w:hAnsi="Times New Roman"/>
                <w:bCs/>
                <w:kern w:val="2"/>
              </w:rPr>
              <w:t>0.21×10</w:t>
            </w:r>
            <w:r>
              <w:rPr>
                <w:rFonts w:ascii="Times New Roman" w:hAnsi="Times New Roman"/>
                <w:bCs/>
                <w:kern w:val="2"/>
                <w:vertAlign w:val="superscript"/>
              </w:rPr>
              <w:t>-7</w:t>
            </w:r>
          </w:p>
        </w:tc>
        <w:tc>
          <w:tcPr>
            <w:tcW w:w="1454" w:type="dxa"/>
            <w:vAlign w:val="center"/>
          </w:tcPr>
          <w:p>
            <w:pPr>
              <w:spacing w:line="280" w:lineRule="exact"/>
              <w:jc w:val="center"/>
              <w:rPr>
                <w:rFonts w:ascii="Times New Roman" w:hAnsi="Times New Roman"/>
                <w:kern w:val="2"/>
              </w:rPr>
            </w:pPr>
            <w:r>
              <w:rPr>
                <w:rFonts w:ascii="Times New Roman" w:hAnsi="Times New Roman"/>
                <w:kern w:val="2"/>
              </w:rPr>
              <w:t>/</w:t>
            </w:r>
          </w:p>
        </w:tc>
        <w:tc>
          <w:tcPr>
            <w:tcW w:w="670" w:type="dxa"/>
            <w:vAlign w:val="center"/>
          </w:tcPr>
          <w:p>
            <w:pPr>
              <w:spacing w:line="280" w:lineRule="exact"/>
              <w:jc w:val="center"/>
              <w:rPr>
                <w:rFonts w:ascii="Times New Roman" w:hAnsi="Times New Roman"/>
                <w:kern w:val="2"/>
              </w:rPr>
            </w:pPr>
            <w:r>
              <w:rPr>
                <w:rFonts w:ascii="Times New Roman" w:hAnsi="Times New Roman"/>
                <w:kern w:val="2"/>
              </w:rPr>
              <w:t>/</w:t>
            </w:r>
          </w:p>
        </w:tc>
        <w:tc>
          <w:tcPr>
            <w:tcW w:w="727" w:type="dxa"/>
            <w:vMerge w:val="restart"/>
            <w:vAlign w:val="center"/>
          </w:tcPr>
          <w:p>
            <w:pPr>
              <w:spacing w:line="280" w:lineRule="exact"/>
              <w:jc w:val="center"/>
              <w:rPr>
                <w:rFonts w:ascii="Times New Roman" w:hAnsi="Times New Roman"/>
                <w:kern w:val="2"/>
              </w:rPr>
            </w:pPr>
            <w:r>
              <w:rPr>
                <w:rFonts w:ascii="Times New Roman" w:hAnsi="Times New Roman"/>
                <w:kern w:val="2"/>
              </w:rPr>
              <w:t>排污</w:t>
            </w:r>
          </w:p>
          <w:p>
            <w:pPr>
              <w:spacing w:line="280" w:lineRule="exact"/>
              <w:jc w:val="center"/>
              <w:rPr>
                <w:rFonts w:ascii="Times New Roman" w:hAnsi="Times New Roman"/>
                <w:kern w:val="2"/>
              </w:rPr>
            </w:pPr>
            <w:r>
              <w:rPr>
                <w:rFonts w:ascii="Times New Roman" w:hAnsi="Times New Roman"/>
                <w:kern w:val="2"/>
              </w:rPr>
              <w:t>系数法</w:t>
            </w:r>
          </w:p>
        </w:tc>
        <w:tc>
          <w:tcPr>
            <w:tcW w:w="995" w:type="dxa"/>
            <w:vMerge w:val="restart"/>
            <w:vAlign w:val="center"/>
          </w:tcPr>
          <w:p>
            <w:pPr>
              <w:spacing w:line="280" w:lineRule="exact"/>
              <w:jc w:val="center"/>
              <w:rPr>
                <w:rFonts w:ascii="Times New Roman" w:hAnsi="Times New Roman"/>
                <w:kern w:val="2"/>
              </w:rPr>
            </w:pPr>
            <w:r>
              <w:rPr>
                <w:rFonts w:ascii="Times New Roman" w:hAnsi="Times New Roman"/>
                <w:kern w:val="2"/>
              </w:rPr>
              <w:t>/</w:t>
            </w:r>
          </w:p>
        </w:tc>
        <w:tc>
          <w:tcPr>
            <w:tcW w:w="981" w:type="dxa"/>
            <w:vAlign w:val="center"/>
          </w:tcPr>
          <w:p>
            <w:pPr>
              <w:spacing w:line="280" w:lineRule="exact"/>
              <w:jc w:val="center"/>
              <w:rPr>
                <w:rFonts w:ascii="Times New Roman" w:hAnsi="Times New Roman"/>
                <w:kern w:val="2"/>
              </w:rPr>
            </w:pPr>
            <w:r>
              <w:rPr>
                <w:rFonts w:ascii="Times New Roman" w:hAnsi="Times New Roman"/>
                <w:kern w:val="2"/>
              </w:rPr>
              <w:t>/</w:t>
            </w:r>
          </w:p>
        </w:tc>
        <w:tc>
          <w:tcPr>
            <w:tcW w:w="940" w:type="dxa"/>
            <w:vAlign w:val="center"/>
          </w:tcPr>
          <w:p>
            <w:pPr>
              <w:spacing w:line="280" w:lineRule="exact"/>
              <w:jc w:val="center"/>
              <w:rPr>
                <w:rFonts w:ascii="Times New Roman" w:hAnsi="Times New Roman"/>
                <w:bCs/>
                <w:kern w:val="2"/>
              </w:rPr>
            </w:pPr>
            <w:r>
              <w:rPr>
                <w:rFonts w:ascii="Times New Roman" w:hAnsi="Times New Roman"/>
                <w:bCs/>
                <w:kern w:val="2"/>
              </w:rPr>
              <w:t>0.21×10</w:t>
            </w:r>
            <w:r>
              <w:rPr>
                <w:rFonts w:ascii="Times New Roman" w:hAnsi="Times New Roman"/>
                <w:bCs/>
                <w:kern w:val="2"/>
                <w:vertAlign w:val="superscript"/>
              </w:rPr>
              <w:t>-7</w:t>
            </w:r>
          </w:p>
        </w:tc>
        <w:tc>
          <w:tcPr>
            <w:tcW w:w="631" w:type="dxa"/>
            <w:vMerge w:val="restart"/>
            <w:vAlign w:val="center"/>
          </w:tcPr>
          <w:p>
            <w:pPr>
              <w:spacing w:line="280" w:lineRule="exact"/>
              <w:jc w:val="center"/>
              <w:rPr>
                <w:rFonts w:ascii="Times New Roman" w:hAnsi="Times New Roman"/>
                <w:bCs/>
                <w:kern w:val="2"/>
              </w:rPr>
            </w:pPr>
            <w:r>
              <w:rPr>
                <w:rFonts w:ascii="Times New Roman" w:hAnsi="Times New Roman"/>
                <w:bCs/>
                <w:kern w:val="2"/>
              </w:rPr>
              <w:t>8760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0" w:hRule="atLeast"/>
          <w:jc w:val="center"/>
        </w:trPr>
        <w:tc>
          <w:tcPr>
            <w:tcW w:w="712" w:type="dxa"/>
            <w:vMerge w:val="continue"/>
            <w:vAlign w:val="center"/>
          </w:tcPr>
          <w:p>
            <w:pPr>
              <w:spacing w:line="280" w:lineRule="exact"/>
              <w:jc w:val="center"/>
              <w:rPr>
                <w:rFonts w:ascii="Times New Roman" w:hAnsi="Times New Roman"/>
                <w:bCs/>
                <w:kern w:val="2"/>
              </w:rPr>
            </w:pPr>
          </w:p>
        </w:tc>
        <w:tc>
          <w:tcPr>
            <w:tcW w:w="712" w:type="dxa"/>
            <w:vMerge w:val="continue"/>
            <w:vAlign w:val="center"/>
          </w:tcPr>
          <w:p>
            <w:pPr>
              <w:spacing w:line="280" w:lineRule="exact"/>
              <w:jc w:val="center"/>
              <w:rPr>
                <w:rFonts w:ascii="Times New Roman" w:hAnsi="Times New Roman"/>
                <w:bCs/>
                <w:kern w:val="2"/>
              </w:rPr>
            </w:pPr>
          </w:p>
        </w:tc>
        <w:tc>
          <w:tcPr>
            <w:tcW w:w="854" w:type="dxa"/>
            <w:vMerge w:val="continue"/>
            <w:vAlign w:val="center"/>
          </w:tcPr>
          <w:p>
            <w:pPr>
              <w:spacing w:line="280" w:lineRule="exact"/>
              <w:jc w:val="center"/>
              <w:rPr>
                <w:rFonts w:ascii="Times New Roman" w:hAnsi="Times New Roman"/>
                <w:bCs/>
                <w:kern w:val="2"/>
              </w:rPr>
            </w:pPr>
          </w:p>
        </w:tc>
        <w:tc>
          <w:tcPr>
            <w:tcW w:w="697" w:type="dxa"/>
            <w:vMerge w:val="continue"/>
            <w:vAlign w:val="center"/>
          </w:tcPr>
          <w:p>
            <w:pPr>
              <w:spacing w:line="280" w:lineRule="exact"/>
              <w:jc w:val="center"/>
              <w:rPr>
                <w:rFonts w:ascii="Times New Roman" w:hAnsi="Times New Roman"/>
                <w:bCs/>
                <w:kern w:val="2"/>
              </w:rPr>
            </w:pPr>
          </w:p>
        </w:tc>
        <w:tc>
          <w:tcPr>
            <w:tcW w:w="698" w:type="dxa"/>
            <w:vAlign w:val="center"/>
          </w:tcPr>
          <w:p>
            <w:pPr>
              <w:jc w:val="center"/>
              <w:rPr>
                <w:rFonts w:ascii="Times New Roman" w:hAnsi="Times New Roman"/>
                <w:bCs/>
                <w:kern w:val="2"/>
              </w:rPr>
            </w:pPr>
            <w:r>
              <w:rPr>
                <w:rFonts w:ascii="Times New Roman" w:hAnsi="Times New Roman"/>
                <w:bCs/>
              </w:rPr>
              <w:t>H</w:t>
            </w:r>
            <w:r>
              <w:rPr>
                <w:rFonts w:ascii="Times New Roman" w:hAnsi="Times New Roman"/>
                <w:bCs/>
                <w:vertAlign w:val="subscript"/>
              </w:rPr>
              <w:t>2</w:t>
            </w:r>
            <w:r>
              <w:rPr>
                <w:rFonts w:ascii="Times New Roman" w:hAnsi="Times New Roman"/>
                <w:bCs/>
              </w:rPr>
              <w:t>S</w:t>
            </w:r>
          </w:p>
        </w:tc>
        <w:tc>
          <w:tcPr>
            <w:tcW w:w="656" w:type="dxa"/>
            <w:vMerge w:val="continue"/>
            <w:vAlign w:val="center"/>
          </w:tcPr>
          <w:p>
            <w:pPr>
              <w:spacing w:line="280" w:lineRule="exact"/>
              <w:jc w:val="center"/>
              <w:rPr>
                <w:rFonts w:ascii="Times New Roman" w:hAnsi="Times New Roman"/>
                <w:kern w:val="2"/>
              </w:rPr>
            </w:pPr>
          </w:p>
        </w:tc>
        <w:tc>
          <w:tcPr>
            <w:tcW w:w="1024" w:type="dxa"/>
            <w:vMerge w:val="continue"/>
            <w:vAlign w:val="center"/>
          </w:tcPr>
          <w:p>
            <w:pPr>
              <w:spacing w:line="280" w:lineRule="exact"/>
              <w:jc w:val="center"/>
              <w:rPr>
                <w:rFonts w:ascii="Times New Roman" w:hAnsi="Times New Roman"/>
                <w:bCs/>
                <w:kern w:val="2"/>
              </w:rPr>
            </w:pPr>
          </w:p>
        </w:tc>
        <w:tc>
          <w:tcPr>
            <w:tcW w:w="995" w:type="dxa"/>
            <w:vAlign w:val="center"/>
          </w:tcPr>
          <w:p>
            <w:pPr>
              <w:spacing w:line="280" w:lineRule="exact"/>
              <w:jc w:val="center"/>
              <w:rPr>
                <w:rFonts w:ascii="Times New Roman" w:hAnsi="Times New Roman"/>
                <w:kern w:val="2"/>
              </w:rPr>
            </w:pPr>
            <w:r>
              <w:rPr>
                <w:rFonts w:ascii="Times New Roman" w:hAnsi="Times New Roman"/>
                <w:kern w:val="2"/>
              </w:rPr>
              <w:t>/</w:t>
            </w:r>
          </w:p>
        </w:tc>
        <w:tc>
          <w:tcPr>
            <w:tcW w:w="840" w:type="dxa"/>
            <w:vAlign w:val="center"/>
          </w:tcPr>
          <w:p>
            <w:pPr>
              <w:spacing w:line="280" w:lineRule="exact"/>
              <w:jc w:val="center"/>
              <w:rPr>
                <w:rFonts w:ascii="Times New Roman" w:hAnsi="Times New Roman"/>
                <w:bCs/>
                <w:kern w:val="2"/>
              </w:rPr>
            </w:pPr>
            <w:r>
              <w:rPr>
                <w:rFonts w:ascii="Times New Roman" w:hAnsi="Times New Roman"/>
                <w:bCs/>
                <w:kern w:val="2"/>
              </w:rPr>
              <w:t>0.825×10</w:t>
            </w:r>
            <w:r>
              <w:rPr>
                <w:rFonts w:ascii="Times New Roman" w:hAnsi="Times New Roman"/>
                <w:bCs/>
                <w:kern w:val="2"/>
                <w:vertAlign w:val="superscript"/>
              </w:rPr>
              <w:t>-9</w:t>
            </w:r>
          </w:p>
        </w:tc>
        <w:tc>
          <w:tcPr>
            <w:tcW w:w="1454" w:type="dxa"/>
            <w:vAlign w:val="center"/>
          </w:tcPr>
          <w:p>
            <w:pPr>
              <w:spacing w:line="280" w:lineRule="exact"/>
              <w:jc w:val="center"/>
              <w:rPr>
                <w:rFonts w:ascii="Times New Roman" w:hAnsi="Times New Roman"/>
                <w:kern w:val="2"/>
              </w:rPr>
            </w:pPr>
            <w:r>
              <w:rPr>
                <w:rFonts w:ascii="Times New Roman" w:hAnsi="Times New Roman"/>
                <w:kern w:val="2"/>
              </w:rPr>
              <w:t>/</w:t>
            </w:r>
          </w:p>
        </w:tc>
        <w:tc>
          <w:tcPr>
            <w:tcW w:w="670" w:type="dxa"/>
            <w:vAlign w:val="center"/>
          </w:tcPr>
          <w:p>
            <w:pPr>
              <w:spacing w:line="280" w:lineRule="exact"/>
              <w:jc w:val="center"/>
              <w:rPr>
                <w:rFonts w:ascii="Times New Roman" w:hAnsi="Times New Roman"/>
                <w:kern w:val="2"/>
              </w:rPr>
            </w:pPr>
            <w:r>
              <w:rPr>
                <w:rFonts w:ascii="Times New Roman" w:hAnsi="Times New Roman"/>
                <w:kern w:val="2"/>
              </w:rPr>
              <w:t>/</w:t>
            </w:r>
          </w:p>
        </w:tc>
        <w:tc>
          <w:tcPr>
            <w:tcW w:w="727" w:type="dxa"/>
            <w:vMerge w:val="continue"/>
            <w:vAlign w:val="center"/>
          </w:tcPr>
          <w:p>
            <w:pPr>
              <w:spacing w:line="280" w:lineRule="exact"/>
              <w:jc w:val="center"/>
              <w:rPr>
                <w:rFonts w:ascii="Times New Roman" w:hAnsi="Times New Roman"/>
                <w:kern w:val="2"/>
              </w:rPr>
            </w:pPr>
          </w:p>
        </w:tc>
        <w:tc>
          <w:tcPr>
            <w:tcW w:w="995" w:type="dxa"/>
            <w:vMerge w:val="continue"/>
            <w:vAlign w:val="center"/>
          </w:tcPr>
          <w:p>
            <w:pPr>
              <w:spacing w:line="280" w:lineRule="exact"/>
              <w:jc w:val="center"/>
              <w:rPr>
                <w:rFonts w:ascii="Times New Roman" w:hAnsi="Times New Roman"/>
                <w:kern w:val="2"/>
              </w:rPr>
            </w:pPr>
          </w:p>
        </w:tc>
        <w:tc>
          <w:tcPr>
            <w:tcW w:w="981" w:type="dxa"/>
            <w:vAlign w:val="center"/>
          </w:tcPr>
          <w:p>
            <w:pPr>
              <w:spacing w:line="280" w:lineRule="exact"/>
              <w:jc w:val="center"/>
              <w:rPr>
                <w:rFonts w:ascii="Times New Roman" w:hAnsi="Times New Roman"/>
                <w:kern w:val="2"/>
              </w:rPr>
            </w:pPr>
            <w:r>
              <w:rPr>
                <w:rFonts w:ascii="Times New Roman" w:hAnsi="Times New Roman"/>
                <w:kern w:val="2"/>
              </w:rPr>
              <w:t>/</w:t>
            </w:r>
          </w:p>
        </w:tc>
        <w:tc>
          <w:tcPr>
            <w:tcW w:w="940" w:type="dxa"/>
            <w:vAlign w:val="center"/>
          </w:tcPr>
          <w:p>
            <w:pPr>
              <w:spacing w:line="280" w:lineRule="exact"/>
              <w:jc w:val="center"/>
              <w:rPr>
                <w:rFonts w:ascii="Times New Roman" w:hAnsi="Times New Roman"/>
                <w:bCs/>
                <w:kern w:val="2"/>
              </w:rPr>
            </w:pPr>
            <w:r>
              <w:rPr>
                <w:rFonts w:ascii="Times New Roman" w:hAnsi="Times New Roman"/>
                <w:bCs/>
                <w:kern w:val="2"/>
              </w:rPr>
              <w:t>0.825×10</w:t>
            </w:r>
            <w:r>
              <w:rPr>
                <w:rFonts w:ascii="Times New Roman" w:hAnsi="Times New Roman"/>
                <w:bCs/>
                <w:kern w:val="2"/>
                <w:vertAlign w:val="superscript"/>
              </w:rPr>
              <w:t>-9</w:t>
            </w:r>
          </w:p>
        </w:tc>
        <w:tc>
          <w:tcPr>
            <w:tcW w:w="631" w:type="dxa"/>
            <w:vMerge w:val="continue"/>
            <w:vAlign w:val="center"/>
          </w:tcPr>
          <w:p>
            <w:pPr>
              <w:spacing w:line="280" w:lineRule="exact"/>
              <w:jc w:val="center"/>
              <w:rPr>
                <w:rFonts w:ascii="Times New Roman" w:hAnsi="Times New Roman"/>
                <w:bCs/>
                <w:kern w:val="2"/>
              </w:rPr>
            </w:pPr>
          </w:p>
        </w:tc>
      </w:tr>
    </w:tbl>
    <w:p>
      <w:pPr>
        <w:pStyle w:val="155"/>
        <w:spacing w:line="480" w:lineRule="exact"/>
        <w:ind w:firstLine="0" w:firstLineChars="0"/>
        <w:rPr>
          <w:b/>
          <w:snapToGrid w:val="0"/>
          <w:sz w:val="21"/>
        </w:rPr>
      </w:pPr>
    </w:p>
    <w:p>
      <w:pPr>
        <w:pStyle w:val="155"/>
        <w:spacing w:line="480" w:lineRule="exact"/>
        <w:ind w:firstLine="0" w:firstLineChars="0"/>
        <w:jc w:val="center"/>
        <w:rPr>
          <w:b/>
          <w:snapToGrid w:val="0"/>
          <w:sz w:val="21"/>
        </w:rPr>
      </w:pPr>
    </w:p>
    <w:p>
      <w:pPr>
        <w:pStyle w:val="155"/>
        <w:spacing w:line="480" w:lineRule="exact"/>
        <w:ind w:firstLine="0" w:firstLineChars="0"/>
        <w:jc w:val="center"/>
        <w:rPr>
          <w:b/>
          <w:snapToGrid w:val="0"/>
          <w:sz w:val="21"/>
        </w:rPr>
      </w:pPr>
    </w:p>
    <w:p>
      <w:pPr>
        <w:pStyle w:val="155"/>
        <w:spacing w:line="480" w:lineRule="exact"/>
        <w:ind w:firstLine="0" w:firstLineChars="0"/>
        <w:jc w:val="center"/>
        <w:rPr>
          <w:b/>
          <w:snapToGrid w:val="0"/>
          <w:sz w:val="21"/>
        </w:rPr>
      </w:pPr>
      <w:r>
        <w:rPr>
          <w:b/>
          <w:snapToGrid w:val="0"/>
          <w:sz w:val="21"/>
        </w:rPr>
        <w:t>表3</w:t>
      </w:r>
      <w:r>
        <w:rPr>
          <w:b/>
          <w:snapToGrid w:val="0"/>
        </w:rPr>
        <w:t>.</w:t>
      </w:r>
      <w:r>
        <w:rPr>
          <w:b/>
          <w:snapToGrid w:val="0"/>
          <w:sz w:val="21"/>
        </w:rPr>
        <w:t xml:space="preserve">5-6 </w:t>
      </w:r>
      <w:r>
        <w:rPr>
          <w:rFonts w:hint="eastAsia"/>
          <w:b/>
          <w:snapToGrid w:val="0"/>
          <w:sz w:val="21"/>
        </w:rPr>
        <w:t>工业企业噪声源强调查清单</w:t>
      </w:r>
    </w:p>
    <w:tbl>
      <w:tblPr>
        <w:tblStyle w:val="78"/>
        <w:tblW w:w="0" w:type="auto"/>
        <w:tblInd w:w="13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8"/>
        <w:gridCol w:w="718"/>
        <w:gridCol w:w="957"/>
        <w:gridCol w:w="1232"/>
        <w:gridCol w:w="1957"/>
        <w:gridCol w:w="981"/>
        <w:gridCol w:w="982"/>
        <w:gridCol w:w="1056"/>
        <w:gridCol w:w="1113"/>
        <w:gridCol w:w="1250"/>
        <w:gridCol w:w="1538"/>
        <w:gridCol w:w="7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8" w:type="dxa"/>
            <w:vMerge w:val="restart"/>
            <w:vAlign w:val="center"/>
          </w:tcPr>
          <w:p>
            <w:pPr>
              <w:pStyle w:val="155"/>
              <w:spacing w:line="480" w:lineRule="exact"/>
              <w:ind w:firstLine="0" w:firstLineChars="0"/>
              <w:jc w:val="center"/>
              <w:rPr>
                <w:b/>
                <w:snapToGrid w:val="0"/>
                <w:sz w:val="21"/>
              </w:rPr>
            </w:pPr>
            <w:r>
              <w:rPr>
                <w:rFonts w:hint="eastAsia"/>
                <w:b/>
                <w:snapToGrid w:val="0"/>
                <w:sz w:val="21"/>
              </w:rPr>
              <w:t>序号</w:t>
            </w:r>
          </w:p>
        </w:tc>
        <w:tc>
          <w:tcPr>
            <w:tcW w:w="718" w:type="dxa"/>
            <w:vMerge w:val="restart"/>
            <w:vAlign w:val="center"/>
          </w:tcPr>
          <w:p>
            <w:pPr>
              <w:pStyle w:val="155"/>
              <w:spacing w:line="480" w:lineRule="exact"/>
              <w:ind w:firstLine="0" w:firstLineChars="0"/>
              <w:jc w:val="center"/>
              <w:rPr>
                <w:b/>
                <w:snapToGrid w:val="0"/>
                <w:sz w:val="21"/>
              </w:rPr>
            </w:pPr>
            <w:r>
              <w:rPr>
                <w:rFonts w:hint="eastAsia"/>
                <w:b/>
                <w:snapToGrid w:val="0"/>
                <w:sz w:val="21"/>
              </w:rPr>
              <w:t>建筑物名称</w:t>
            </w:r>
          </w:p>
        </w:tc>
        <w:tc>
          <w:tcPr>
            <w:tcW w:w="957" w:type="dxa"/>
            <w:vMerge w:val="restart"/>
            <w:vAlign w:val="center"/>
          </w:tcPr>
          <w:p>
            <w:pPr>
              <w:pStyle w:val="155"/>
              <w:spacing w:line="480" w:lineRule="exact"/>
              <w:ind w:firstLine="0" w:firstLineChars="0"/>
              <w:jc w:val="center"/>
              <w:rPr>
                <w:b/>
                <w:snapToGrid w:val="0"/>
                <w:sz w:val="21"/>
              </w:rPr>
            </w:pPr>
            <w:r>
              <w:rPr>
                <w:rFonts w:hint="eastAsia"/>
                <w:b/>
                <w:snapToGrid w:val="0"/>
                <w:sz w:val="21"/>
              </w:rPr>
              <w:t>声源名称</w:t>
            </w:r>
          </w:p>
        </w:tc>
        <w:tc>
          <w:tcPr>
            <w:tcW w:w="1232" w:type="dxa"/>
            <w:vMerge w:val="restart"/>
            <w:vAlign w:val="center"/>
          </w:tcPr>
          <w:p>
            <w:pPr>
              <w:pStyle w:val="155"/>
              <w:spacing w:line="480" w:lineRule="exact"/>
              <w:ind w:firstLine="0" w:firstLineChars="0"/>
              <w:jc w:val="center"/>
              <w:rPr>
                <w:b/>
                <w:snapToGrid w:val="0"/>
                <w:sz w:val="21"/>
              </w:rPr>
            </w:pPr>
            <w:r>
              <w:rPr>
                <w:rFonts w:hint="eastAsia"/>
                <w:b/>
                <w:snapToGrid w:val="0"/>
                <w:sz w:val="21"/>
              </w:rPr>
              <w:t>型号</w:t>
            </w:r>
          </w:p>
        </w:tc>
        <w:tc>
          <w:tcPr>
            <w:tcW w:w="1957" w:type="dxa"/>
            <w:vMerge w:val="restart"/>
            <w:vAlign w:val="center"/>
          </w:tcPr>
          <w:p>
            <w:pPr>
              <w:pStyle w:val="155"/>
              <w:spacing w:line="480" w:lineRule="exact"/>
              <w:ind w:firstLine="0" w:firstLineChars="0"/>
              <w:jc w:val="center"/>
              <w:rPr>
                <w:b/>
                <w:snapToGrid w:val="0"/>
                <w:sz w:val="21"/>
              </w:rPr>
            </w:pPr>
            <w:r>
              <w:rPr>
                <w:rFonts w:hint="eastAsia"/>
                <w:b/>
                <w:snapToGrid w:val="0"/>
                <w:sz w:val="21"/>
              </w:rPr>
              <w:t>声源源强（声功率级/</w:t>
            </w:r>
            <w:r>
              <w:rPr>
                <w:b/>
              </w:rPr>
              <w:t>dB（A）</w:t>
            </w:r>
            <w:r>
              <w:rPr>
                <w:rFonts w:hint="eastAsia"/>
                <w:b/>
                <w:snapToGrid w:val="0"/>
                <w:sz w:val="21"/>
              </w:rPr>
              <w:t>）</w:t>
            </w:r>
          </w:p>
        </w:tc>
        <w:tc>
          <w:tcPr>
            <w:tcW w:w="981" w:type="dxa"/>
            <w:vMerge w:val="restart"/>
            <w:vAlign w:val="center"/>
          </w:tcPr>
          <w:p>
            <w:pPr>
              <w:pStyle w:val="155"/>
              <w:spacing w:line="480" w:lineRule="exact"/>
              <w:ind w:firstLine="0" w:firstLineChars="0"/>
              <w:jc w:val="center"/>
              <w:rPr>
                <w:b/>
                <w:snapToGrid w:val="0"/>
                <w:sz w:val="21"/>
              </w:rPr>
            </w:pPr>
            <w:r>
              <w:rPr>
                <w:rFonts w:hint="eastAsia"/>
                <w:b/>
                <w:snapToGrid w:val="0"/>
                <w:sz w:val="21"/>
              </w:rPr>
              <w:t>声源控制措施</w:t>
            </w:r>
          </w:p>
        </w:tc>
        <w:tc>
          <w:tcPr>
            <w:tcW w:w="3151" w:type="dxa"/>
            <w:gridSpan w:val="3"/>
            <w:vAlign w:val="center"/>
          </w:tcPr>
          <w:p>
            <w:pPr>
              <w:pStyle w:val="155"/>
              <w:spacing w:line="480" w:lineRule="exact"/>
              <w:ind w:firstLine="0" w:firstLineChars="0"/>
              <w:jc w:val="center"/>
              <w:rPr>
                <w:b/>
                <w:snapToGrid w:val="0"/>
                <w:sz w:val="21"/>
              </w:rPr>
            </w:pPr>
            <w:r>
              <w:rPr>
                <w:rFonts w:hint="eastAsia"/>
                <w:b/>
                <w:snapToGrid w:val="0"/>
                <w:sz w:val="21"/>
              </w:rPr>
              <w:t>空间相对位置（相对位置/m）</w:t>
            </w:r>
          </w:p>
        </w:tc>
        <w:tc>
          <w:tcPr>
            <w:tcW w:w="1250" w:type="dxa"/>
            <w:vMerge w:val="restart"/>
            <w:vAlign w:val="center"/>
          </w:tcPr>
          <w:p>
            <w:pPr>
              <w:pStyle w:val="155"/>
              <w:spacing w:line="480" w:lineRule="exact"/>
              <w:ind w:firstLine="0" w:firstLineChars="0"/>
              <w:jc w:val="center"/>
              <w:rPr>
                <w:b/>
                <w:snapToGrid w:val="0"/>
                <w:sz w:val="21"/>
              </w:rPr>
            </w:pPr>
            <w:r>
              <w:rPr>
                <w:rFonts w:hint="eastAsia"/>
                <w:b/>
                <w:snapToGrid w:val="0"/>
                <w:sz w:val="21"/>
              </w:rPr>
              <w:t>距室内边界距离/m</w:t>
            </w:r>
          </w:p>
        </w:tc>
        <w:tc>
          <w:tcPr>
            <w:tcW w:w="1538" w:type="dxa"/>
            <w:vMerge w:val="restart"/>
            <w:vAlign w:val="center"/>
          </w:tcPr>
          <w:p>
            <w:pPr>
              <w:pStyle w:val="155"/>
              <w:spacing w:line="480" w:lineRule="exact"/>
              <w:ind w:firstLine="0" w:firstLineChars="0"/>
              <w:jc w:val="center"/>
              <w:rPr>
                <w:b/>
                <w:snapToGrid w:val="0"/>
                <w:sz w:val="21"/>
              </w:rPr>
            </w:pPr>
            <w:r>
              <w:rPr>
                <w:rFonts w:hint="eastAsia"/>
                <w:b/>
                <w:snapToGrid w:val="0"/>
                <w:sz w:val="21"/>
              </w:rPr>
              <w:t>室内边界声级/</w:t>
            </w:r>
            <w:r>
              <w:rPr>
                <w:b/>
              </w:rPr>
              <w:t>dB（A）</w:t>
            </w:r>
          </w:p>
        </w:tc>
        <w:tc>
          <w:tcPr>
            <w:tcW w:w="756" w:type="dxa"/>
            <w:vMerge w:val="restart"/>
            <w:vAlign w:val="center"/>
          </w:tcPr>
          <w:p>
            <w:pPr>
              <w:pStyle w:val="155"/>
              <w:spacing w:line="480" w:lineRule="exact"/>
              <w:ind w:firstLine="0" w:firstLineChars="0"/>
              <w:jc w:val="center"/>
              <w:rPr>
                <w:b/>
                <w:snapToGrid w:val="0"/>
                <w:sz w:val="21"/>
              </w:rPr>
            </w:pPr>
            <w:r>
              <w:rPr>
                <w:rFonts w:hint="eastAsia"/>
                <w:b/>
                <w:snapToGrid w:val="0"/>
                <w:sz w:val="21"/>
              </w:rPr>
              <w:t>运行时段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8" w:type="dxa"/>
            <w:vMerge w:val="continue"/>
            <w:vAlign w:val="center"/>
          </w:tcPr>
          <w:p>
            <w:pPr>
              <w:pStyle w:val="155"/>
              <w:spacing w:line="480" w:lineRule="exact"/>
              <w:ind w:firstLine="0" w:firstLineChars="0"/>
              <w:jc w:val="center"/>
              <w:rPr>
                <w:b/>
                <w:snapToGrid w:val="0"/>
                <w:sz w:val="21"/>
              </w:rPr>
            </w:pPr>
          </w:p>
        </w:tc>
        <w:tc>
          <w:tcPr>
            <w:tcW w:w="718" w:type="dxa"/>
            <w:vMerge w:val="continue"/>
            <w:vAlign w:val="center"/>
          </w:tcPr>
          <w:p>
            <w:pPr>
              <w:pStyle w:val="155"/>
              <w:spacing w:line="480" w:lineRule="exact"/>
              <w:ind w:firstLine="0" w:firstLineChars="0"/>
              <w:jc w:val="center"/>
              <w:rPr>
                <w:b/>
                <w:snapToGrid w:val="0"/>
                <w:sz w:val="21"/>
              </w:rPr>
            </w:pPr>
          </w:p>
        </w:tc>
        <w:tc>
          <w:tcPr>
            <w:tcW w:w="957" w:type="dxa"/>
            <w:vMerge w:val="continue"/>
            <w:vAlign w:val="center"/>
          </w:tcPr>
          <w:p>
            <w:pPr>
              <w:pStyle w:val="155"/>
              <w:spacing w:line="480" w:lineRule="exact"/>
              <w:ind w:firstLine="0" w:firstLineChars="0"/>
              <w:jc w:val="center"/>
              <w:rPr>
                <w:b/>
                <w:snapToGrid w:val="0"/>
                <w:sz w:val="21"/>
              </w:rPr>
            </w:pPr>
          </w:p>
        </w:tc>
        <w:tc>
          <w:tcPr>
            <w:tcW w:w="1232" w:type="dxa"/>
            <w:vMerge w:val="continue"/>
            <w:vAlign w:val="center"/>
          </w:tcPr>
          <w:p>
            <w:pPr>
              <w:pStyle w:val="155"/>
              <w:spacing w:line="480" w:lineRule="exact"/>
              <w:ind w:firstLine="0" w:firstLineChars="0"/>
              <w:jc w:val="center"/>
              <w:rPr>
                <w:b/>
                <w:snapToGrid w:val="0"/>
                <w:sz w:val="21"/>
              </w:rPr>
            </w:pPr>
          </w:p>
        </w:tc>
        <w:tc>
          <w:tcPr>
            <w:tcW w:w="1957" w:type="dxa"/>
            <w:vMerge w:val="continue"/>
            <w:vAlign w:val="center"/>
          </w:tcPr>
          <w:p>
            <w:pPr>
              <w:pStyle w:val="155"/>
              <w:spacing w:line="480" w:lineRule="exact"/>
              <w:ind w:firstLine="0" w:firstLineChars="0"/>
              <w:jc w:val="center"/>
              <w:rPr>
                <w:b/>
                <w:snapToGrid w:val="0"/>
                <w:sz w:val="21"/>
              </w:rPr>
            </w:pPr>
          </w:p>
        </w:tc>
        <w:tc>
          <w:tcPr>
            <w:tcW w:w="981" w:type="dxa"/>
            <w:vMerge w:val="continue"/>
            <w:vAlign w:val="center"/>
          </w:tcPr>
          <w:p>
            <w:pPr>
              <w:pStyle w:val="155"/>
              <w:spacing w:line="480" w:lineRule="exact"/>
              <w:ind w:firstLine="0" w:firstLineChars="0"/>
              <w:jc w:val="center"/>
              <w:rPr>
                <w:b/>
                <w:snapToGrid w:val="0"/>
                <w:sz w:val="21"/>
              </w:rPr>
            </w:pPr>
          </w:p>
        </w:tc>
        <w:tc>
          <w:tcPr>
            <w:tcW w:w="982" w:type="dxa"/>
            <w:vAlign w:val="center"/>
          </w:tcPr>
          <w:p>
            <w:pPr>
              <w:pStyle w:val="155"/>
              <w:spacing w:line="480" w:lineRule="exact"/>
              <w:ind w:firstLine="0" w:firstLineChars="0"/>
              <w:jc w:val="center"/>
              <w:rPr>
                <w:b/>
                <w:snapToGrid w:val="0"/>
                <w:sz w:val="21"/>
              </w:rPr>
            </w:pPr>
            <w:r>
              <w:rPr>
                <w:rFonts w:hint="eastAsia"/>
                <w:b/>
                <w:snapToGrid w:val="0"/>
                <w:sz w:val="21"/>
              </w:rPr>
              <w:t>X</w:t>
            </w:r>
          </w:p>
        </w:tc>
        <w:tc>
          <w:tcPr>
            <w:tcW w:w="1056" w:type="dxa"/>
            <w:vAlign w:val="center"/>
          </w:tcPr>
          <w:p>
            <w:pPr>
              <w:pStyle w:val="155"/>
              <w:spacing w:line="480" w:lineRule="exact"/>
              <w:ind w:firstLine="0" w:firstLineChars="0"/>
              <w:jc w:val="center"/>
              <w:rPr>
                <w:b/>
                <w:snapToGrid w:val="0"/>
                <w:sz w:val="21"/>
              </w:rPr>
            </w:pPr>
            <w:r>
              <w:rPr>
                <w:rFonts w:hint="eastAsia"/>
                <w:b/>
                <w:snapToGrid w:val="0"/>
                <w:sz w:val="21"/>
              </w:rPr>
              <w:t>Y</w:t>
            </w:r>
          </w:p>
        </w:tc>
        <w:tc>
          <w:tcPr>
            <w:tcW w:w="1113" w:type="dxa"/>
            <w:vAlign w:val="center"/>
          </w:tcPr>
          <w:p>
            <w:pPr>
              <w:pStyle w:val="155"/>
              <w:spacing w:line="480" w:lineRule="exact"/>
              <w:ind w:firstLine="0" w:firstLineChars="0"/>
              <w:jc w:val="center"/>
              <w:rPr>
                <w:b/>
                <w:snapToGrid w:val="0"/>
                <w:sz w:val="21"/>
              </w:rPr>
            </w:pPr>
            <w:r>
              <w:rPr>
                <w:rFonts w:hint="eastAsia"/>
                <w:b/>
                <w:snapToGrid w:val="0"/>
                <w:sz w:val="21"/>
              </w:rPr>
              <w:t>Z</w:t>
            </w:r>
          </w:p>
        </w:tc>
        <w:tc>
          <w:tcPr>
            <w:tcW w:w="1250" w:type="dxa"/>
            <w:vMerge w:val="continue"/>
            <w:vAlign w:val="center"/>
          </w:tcPr>
          <w:p>
            <w:pPr>
              <w:pStyle w:val="155"/>
              <w:spacing w:line="480" w:lineRule="exact"/>
              <w:ind w:firstLine="0" w:firstLineChars="0"/>
              <w:jc w:val="center"/>
              <w:rPr>
                <w:b/>
                <w:snapToGrid w:val="0"/>
                <w:sz w:val="21"/>
              </w:rPr>
            </w:pPr>
          </w:p>
        </w:tc>
        <w:tc>
          <w:tcPr>
            <w:tcW w:w="1538" w:type="dxa"/>
            <w:vMerge w:val="continue"/>
            <w:vAlign w:val="center"/>
          </w:tcPr>
          <w:p>
            <w:pPr>
              <w:pStyle w:val="155"/>
              <w:spacing w:line="480" w:lineRule="exact"/>
              <w:ind w:firstLine="0" w:firstLineChars="0"/>
              <w:jc w:val="center"/>
              <w:rPr>
                <w:b/>
                <w:snapToGrid w:val="0"/>
                <w:sz w:val="21"/>
              </w:rPr>
            </w:pPr>
          </w:p>
        </w:tc>
        <w:tc>
          <w:tcPr>
            <w:tcW w:w="756" w:type="dxa"/>
            <w:vMerge w:val="continue"/>
            <w:vAlign w:val="center"/>
          </w:tcPr>
          <w:p>
            <w:pPr>
              <w:pStyle w:val="155"/>
              <w:spacing w:line="480" w:lineRule="exact"/>
              <w:ind w:firstLine="0" w:firstLineChars="0"/>
              <w:jc w:val="center"/>
              <w:rPr>
                <w:b/>
                <w:snapToGrid w:val="0"/>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8" w:type="dxa"/>
            <w:vAlign w:val="center"/>
          </w:tcPr>
          <w:p>
            <w:pPr>
              <w:spacing w:line="280" w:lineRule="exact"/>
              <w:jc w:val="center"/>
              <w:rPr>
                <w:rFonts w:ascii="Times New Roman" w:hAnsi="Times New Roman"/>
                <w:kern w:val="2"/>
              </w:rPr>
            </w:pPr>
            <w:r>
              <w:rPr>
                <w:rFonts w:hint="eastAsia" w:ascii="Times New Roman" w:hAnsi="Times New Roman"/>
                <w:kern w:val="2"/>
              </w:rPr>
              <w:t>1</w:t>
            </w:r>
          </w:p>
        </w:tc>
        <w:tc>
          <w:tcPr>
            <w:tcW w:w="718" w:type="dxa"/>
            <w:vMerge w:val="restart"/>
            <w:vAlign w:val="center"/>
          </w:tcPr>
          <w:p>
            <w:pPr>
              <w:spacing w:line="280" w:lineRule="exact"/>
              <w:jc w:val="center"/>
              <w:rPr>
                <w:rFonts w:ascii="Times New Roman" w:hAnsi="Times New Roman"/>
                <w:kern w:val="2"/>
              </w:rPr>
            </w:pPr>
            <w:r>
              <w:rPr>
                <w:rFonts w:hint="eastAsia" w:ascii="Times New Roman" w:hAnsi="Times New Roman"/>
                <w:kern w:val="2"/>
              </w:rPr>
              <w:t>高温干热车间</w:t>
            </w:r>
          </w:p>
        </w:tc>
        <w:tc>
          <w:tcPr>
            <w:tcW w:w="957" w:type="dxa"/>
            <w:vAlign w:val="center"/>
          </w:tcPr>
          <w:p>
            <w:pPr>
              <w:spacing w:line="280" w:lineRule="exact"/>
              <w:jc w:val="center"/>
              <w:rPr>
                <w:rFonts w:ascii="Times New Roman" w:hAnsi="Times New Roman"/>
                <w:kern w:val="2"/>
              </w:rPr>
            </w:pPr>
            <w:r>
              <w:rPr>
                <w:rFonts w:hint="eastAsia" w:ascii="Times New Roman" w:hAnsi="Times New Roman"/>
                <w:kern w:val="2"/>
              </w:rPr>
              <w:t>高温干热设备</w:t>
            </w:r>
          </w:p>
        </w:tc>
        <w:tc>
          <w:tcPr>
            <w:tcW w:w="1232" w:type="dxa"/>
            <w:vAlign w:val="center"/>
          </w:tcPr>
          <w:p>
            <w:pPr>
              <w:spacing w:line="280" w:lineRule="exact"/>
              <w:jc w:val="center"/>
              <w:rPr>
                <w:rFonts w:ascii="Times New Roman" w:hAnsi="Times New Roman"/>
                <w:kern w:val="2"/>
              </w:rPr>
            </w:pPr>
            <w:r>
              <w:rPr>
                <w:rFonts w:ascii="Times New Roman" w:hAnsi="Times New Roman"/>
                <w:kern w:val="2"/>
              </w:rPr>
              <w:t>Simplex500</w:t>
            </w:r>
          </w:p>
        </w:tc>
        <w:tc>
          <w:tcPr>
            <w:tcW w:w="1957" w:type="dxa"/>
            <w:vAlign w:val="center"/>
          </w:tcPr>
          <w:p>
            <w:pPr>
              <w:spacing w:line="280" w:lineRule="exact"/>
              <w:jc w:val="center"/>
              <w:rPr>
                <w:rFonts w:ascii="Times New Roman" w:hAnsi="Times New Roman"/>
                <w:kern w:val="2"/>
              </w:rPr>
            </w:pPr>
            <w:r>
              <w:rPr>
                <w:rFonts w:hint="eastAsia" w:ascii="Times New Roman" w:hAnsi="Times New Roman"/>
                <w:kern w:val="2"/>
              </w:rPr>
              <w:t>9</w:t>
            </w:r>
            <w:r>
              <w:rPr>
                <w:rFonts w:ascii="Times New Roman" w:hAnsi="Times New Roman"/>
                <w:kern w:val="2"/>
              </w:rPr>
              <w:t>5</w:t>
            </w:r>
          </w:p>
        </w:tc>
        <w:tc>
          <w:tcPr>
            <w:tcW w:w="981" w:type="dxa"/>
            <w:vMerge w:val="restart"/>
            <w:vAlign w:val="center"/>
          </w:tcPr>
          <w:p>
            <w:pPr>
              <w:spacing w:line="280" w:lineRule="exact"/>
              <w:jc w:val="center"/>
              <w:rPr>
                <w:rFonts w:ascii="Times New Roman" w:hAnsi="Times New Roman"/>
                <w:kern w:val="2"/>
              </w:rPr>
            </w:pPr>
            <w:r>
              <w:rPr>
                <w:rFonts w:hint="eastAsia" w:ascii="Times New Roman" w:hAnsi="Times New Roman"/>
                <w:kern w:val="2"/>
              </w:rPr>
              <w:t>基础减振、厂房隔声</w:t>
            </w:r>
          </w:p>
        </w:tc>
        <w:tc>
          <w:tcPr>
            <w:tcW w:w="982" w:type="dxa"/>
            <w:vAlign w:val="center"/>
          </w:tcPr>
          <w:p>
            <w:pPr>
              <w:spacing w:line="280" w:lineRule="exact"/>
              <w:jc w:val="center"/>
              <w:rPr>
                <w:rFonts w:ascii="Times New Roman" w:hAnsi="Times New Roman"/>
                <w:kern w:val="2"/>
              </w:rPr>
            </w:pPr>
            <w:r>
              <w:rPr>
                <w:rFonts w:hint="eastAsia" w:ascii="Times New Roman" w:hAnsi="Times New Roman"/>
                <w:kern w:val="2"/>
              </w:rPr>
              <w:t>5</w:t>
            </w:r>
            <w:r>
              <w:rPr>
                <w:rFonts w:ascii="Times New Roman" w:hAnsi="Times New Roman"/>
                <w:kern w:val="2"/>
              </w:rPr>
              <w:t>166819</w:t>
            </w:r>
          </w:p>
        </w:tc>
        <w:tc>
          <w:tcPr>
            <w:tcW w:w="1056" w:type="dxa"/>
            <w:vAlign w:val="center"/>
          </w:tcPr>
          <w:p>
            <w:pPr>
              <w:spacing w:line="280" w:lineRule="exact"/>
              <w:jc w:val="center"/>
              <w:rPr>
                <w:rFonts w:ascii="Times New Roman" w:hAnsi="Times New Roman"/>
                <w:kern w:val="2"/>
              </w:rPr>
            </w:pPr>
            <w:r>
              <w:rPr>
                <w:rFonts w:hint="eastAsia" w:ascii="Times New Roman" w:hAnsi="Times New Roman"/>
                <w:kern w:val="2"/>
              </w:rPr>
              <w:t>4</w:t>
            </w:r>
            <w:r>
              <w:rPr>
                <w:rFonts w:ascii="Times New Roman" w:hAnsi="Times New Roman"/>
                <w:kern w:val="2"/>
              </w:rPr>
              <w:t>4446494</w:t>
            </w:r>
          </w:p>
        </w:tc>
        <w:tc>
          <w:tcPr>
            <w:tcW w:w="1113" w:type="dxa"/>
            <w:vAlign w:val="center"/>
          </w:tcPr>
          <w:p>
            <w:pPr>
              <w:spacing w:line="280" w:lineRule="exact"/>
              <w:jc w:val="center"/>
              <w:rPr>
                <w:rFonts w:ascii="Times New Roman" w:hAnsi="Times New Roman"/>
                <w:kern w:val="2"/>
              </w:rPr>
            </w:pPr>
            <w:r>
              <w:rPr>
                <w:rFonts w:hint="eastAsia" w:ascii="Times New Roman" w:hAnsi="Times New Roman"/>
                <w:kern w:val="2"/>
              </w:rPr>
              <w:t>2</w:t>
            </w:r>
            <w:r>
              <w:rPr>
                <w:rFonts w:ascii="Times New Roman" w:hAnsi="Times New Roman"/>
                <w:kern w:val="2"/>
              </w:rPr>
              <w:t>23</w:t>
            </w:r>
          </w:p>
        </w:tc>
        <w:tc>
          <w:tcPr>
            <w:tcW w:w="1250" w:type="dxa"/>
            <w:vAlign w:val="center"/>
          </w:tcPr>
          <w:p>
            <w:pPr>
              <w:spacing w:line="280" w:lineRule="exact"/>
              <w:jc w:val="center"/>
              <w:rPr>
                <w:rFonts w:ascii="Times New Roman" w:hAnsi="Times New Roman"/>
                <w:kern w:val="2"/>
              </w:rPr>
            </w:pPr>
            <w:r>
              <w:rPr>
                <w:rFonts w:hint="eastAsia" w:ascii="Times New Roman" w:hAnsi="Times New Roman"/>
                <w:kern w:val="2"/>
              </w:rPr>
              <w:t>1</w:t>
            </w:r>
            <w:r>
              <w:rPr>
                <w:rFonts w:ascii="Times New Roman" w:hAnsi="Times New Roman"/>
                <w:kern w:val="2"/>
              </w:rPr>
              <w:t>6</w:t>
            </w:r>
          </w:p>
        </w:tc>
        <w:tc>
          <w:tcPr>
            <w:tcW w:w="1538" w:type="dxa"/>
            <w:vAlign w:val="center"/>
          </w:tcPr>
          <w:p>
            <w:pPr>
              <w:spacing w:line="280" w:lineRule="exact"/>
              <w:jc w:val="center"/>
              <w:rPr>
                <w:rFonts w:ascii="Times New Roman" w:hAnsi="Times New Roman"/>
                <w:kern w:val="2"/>
              </w:rPr>
            </w:pPr>
            <w:r>
              <w:rPr>
                <w:rFonts w:hint="eastAsia" w:ascii="Times New Roman" w:hAnsi="Times New Roman"/>
                <w:kern w:val="2"/>
              </w:rPr>
              <w:t>6</w:t>
            </w:r>
            <w:r>
              <w:rPr>
                <w:rFonts w:ascii="Times New Roman" w:hAnsi="Times New Roman"/>
                <w:kern w:val="2"/>
              </w:rPr>
              <w:t>5</w:t>
            </w:r>
          </w:p>
        </w:tc>
        <w:tc>
          <w:tcPr>
            <w:tcW w:w="756" w:type="dxa"/>
            <w:vAlign w:val="center"/>
          </w:tcPr>
          <w:p>
            <w:pPr>
              <w:spacing w:line="280" w:lineRule="exact"/>
              <w:jc w:val="center"/>
              <w:rPr>
                <w:rFonts w:ascii="Times New Roman" w:hAnsi="Times New Roman"/>
                <w:kern w:val="2"/>
              </w:rPr>
            </w:pPr>
            <w:r>
              <w:rPr>
                <w:rFonts w:hint="eastAsia" w:ascii="Times New Roman" w:hAnsi="Times New Roman"/>
                <w:kern w:val="2"/>
              </w:rPr>
              <w:t>昼间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8" w:type="dxa"/>
            <w:vAlign w:val="center"/>
          </w:tcPr>
          <w:p>
            <w:pPr>
              <w:spacing w:line="280" w:lineRule="exact"/>
              <w:jc w:val="center"/>
              <w:rPr>
                <w:rFonts w:ascii="Times New Roman" w:hAnsi="Times New Roman"/>
                <w:kern w:val="2"/>
              </w:rPr>
            </w:pPr>
            <w:r>
              <w:rPr>
                <w:rFonts w:hint="eastAsia" w:ascii="Times New Roman" w:hAnsi="Times New Roman"/>
                <w:kern w:val="2"/>
              </w:rPr>
              <w:t>2</w:t>
            </w:r>
          </w:p>
        </w:tc>
        <w:tc>
          <w:tcPr>
            <w:tcW w:w="718" w:type="dxa"/>
            <w:vMerge w:val="continue"/>
            <w:vAlign w:val="center"/>
          </w:tcPr>
          <w:p>
            <w:pPr>
              <w:spacing w:line="280" w:lineRule="exact"/>
              <w:jc w:val="center"/>
              <w:rPr>
                <w:rFonts w:ascii="Times New Roman" w:hAnsi="Times New Roman"/>
                <w:kern w:val="2"/>
              </w:rPr>
            </w:pPr>
          </w:p>
        </w:tc>
        <w:tc>
          <w:tcPr>
            <w:tcW w:w="957" w:type="dxa"/>
          </w:tcPr>
          <w:p>
            <w:pPr>
              <w:spacing w:line="280" w:lineRule="exact"/>
              <w:jc w:val="center"/>
              <w:rPr>
                <w:rFonts w:ascii="Times New Roman" w:hAnsi="Times New Roman"/>
                <w:kern w:val="2"/>
              </w:rPr>
            </w:pPr>
            <w:r>
              <w:rPr>
                <w:rFonts w:hint="eastAsia"/>
              </w:rPr>
              <w:t>水泵</w:t>
            </w:r>
          </w:p>
        </w:tc>
        <w:tc>
          <w:tcPr>
            <w:tcW w:w="1232" w:type="dxa"/>
            <w:vAlign w:val="center"/>
          </w:tcPr>
          <w:p>
            <w:pPr>
              <w:spacing w:line="280" w:lineRule="exact"/>
              <w:jc w:val="center"/>
              <w:rPr>
                <w:rFonts w:ascii="Times New Roman" w:hAnsi="Times New Roman"/>
                <w:kern w:val="2"/>
              </w:rPr>
            </w:pPr>
            <w:r>
              <w:rPr>
                <w:rFonts w:hint="eastAsia" w:ascii="Times New Roman" w:hAnsi="Times New Roman"/>
                <w:kern w:val="2"/>
              </w:rPr>
              <w:t>/</w:t>
            </w:r>
          </w:p>
        </w:tc>
        <w:tc>
          <w:tcPr>
            <w:tcW w:w="1957" w:type="dxa"/>
          </w:tcPr>
          <w:p>
            <w:pPr>
              <w:spacing w:line="280" w:lineRule="exact"/>
              <w:jc w:val="center"/>
              <w:rPr>
                <w:rFonts w:ascii="Times New Roman" w:hAnsi="Times New Roman"/>
                <w:kern w:val="2"/>
              </w:rPr>
            </w:pPr>
            <w:r>
              <w:rPr>
                <w:rFonts w:ascii="Times New Roman" w:hAnsi="Times New Roman"/>
                <w:kern w:val="2"/>
              </w:rPr>
              <w:t>80</w:t>
            </w:r>
          </w:p>
        </w:tc>
        <w:tc>
          <w:tcPr>
            <w:tcW w:w="981" w:type="dxa"/>
            <w:vMerge w:val="continue"/>
            <w:vAlign w:val="center"/>
          </w:tcPr>
          <w:p>
            <w:pPr>
              <w:spacing w:line="280" w:lineRule="exact"/>
              <w:jc w:val="center"/>
              <w:rPr>
                <w:rFonts w:ascii="Times New Roman" w:hAnsi="Times New Roman"/>
                <w:kern w:val="2"/>
              </w:rPr>
            </w:pPr>
          </w:p>
        </w:tc>
        <w:tc>
          <w:tcPr>
            <w:tcW w:w="982" w:type="dxa"/>
            <w:vAlign w:val="center"/>
          </w:tcPr>
          <w:p>
            <w:pPr>
              <w:spacing w:line="280" w:lineRule="exact"/>
              <w:jc w:val="center"/>
              <w:rPr>
                <w:rFonts w:ascii="Times New Roman" w:hAnsi="Times New Roman"/>
                <w:kern w:val="2"/>
              </w:rPr>
            </w:pPr>
            <w:r>
              <w:rPr>
                <w:rFonts w:hint="eastAsia" w:ascii="Times New Roman" w:hAnsi="Times New Roman"/>
                <w:kern w:val="2"/>
              </w:rPr>
              <w:t>5</w:t>
            </w:r>
            <w:r>
              <w:rPr>
                <w:rFonts w:ascii="Times New Roman" w:hAnsi="Times New Roman"/>
                <w:kern w:val="2"/>
              </w:rPr>
              <w:t>166827</w:t>
            </w:r>
          </w:p>
        </w:tc>
        <w:tc>
          <w:tcPr>
            <w:tcW w:w="1056" w:type="dxa"/>
            <w:vAlign w:val="center"/>
          </w:tcPr>
          <w:p>
            <w:pPr>
              <w:spacing w:line="280" w:lineRule="exact"/>
              <w:jc w:val="center"/>
              <w:rPr>
                <w:rFonts w:ascii="Times New Roman" w:hAnsi="Times New Roman"/>
                <w:kern w:val="2"/>
              </w:rPr>
            </w:pPr>
            <w:r>
              <w:rPr>
                <w:rFonts w:hint="eastAsia" w:ascii="Times New Roman" w:hAnsi="Times New Roman"/>
                <w:kern w:val="2"/>
              </w:rPr>
              <w:t>4</w:t>
            </w:r>
            <w:r>
              <w:rPr>
                <w:rFonts w:ascii="Times New Roman" w:hAnsi="Times New Roman"/>
                <w:kern w:val="2"/>
              </w:rPr>
              <w:t>4446496</w:t>
            </w:r>
          </w:p>
        </w:tc>
        <w:tc>
          <w:tcPr>
            <w:tcW w:w="1113" w:type="dxa"/>
            <w:vAlign w:val="center"/>
          </w:tcPr>
          <w:p>
            <w:pPr>
              <w:spacing w:line="280" w:lineRule="exact"/>
              <w:jc w:val="center"/>
              <w:rPr>
                <w:rFonts w:ascii="Times New Roman" w:hAnsi="Times New Roman"/>
                <w:kern w:val="2"/>
              </w:rPr>
            </w:pPr>
            <w:r>
              <w:rPr>
                <w:rFonts w:hint="eastAsia" w:ascii="Times New Roman" w:hAnsi="Times New Roman"/>
                <w:kern w:val="2"/>
              </w:rPr>
              <w:t>2</w:t>
            </w:r>
            <w:r>
              <w:rPr>
                <w:rFonts w:ascii="Times New Roman" w:hAnsi="Times New Roman"/>
                <w:kern w:val="2"/>
              </w:rPr>
              <w:t>23</w:t>
            </w:r>
          </w:p>
        </w:tc>
        <w:tc>
          <w:tcPr>
            <w:tcW w:w="1250" w:type="dxa"/>
            <w:vAlign w:val="center"/>
          </w:tcPr>
          <w:p>
            <w:pPr>
              <w:spacing w:line="280" w:lineRule="exact"/>
              <w:jc w:val="center"/>
              <w:rPr>
                <w:rFonts w:ascii="Times New Roman" w:hAnsi="Times New Roman"/>
                <w:kern w:val="2"/>
              </w:rPr>
            </w:pPr>
            <w:r>
              <w:rPr>
                <w:rFonts w:hint="eastAsia" w:ascii="Times New Roman" w:hAnsi="Times New Roman"/>
                <w:kern w:val="2"/>
              </w:rPr>
              <w:t>4</w:t>
            </w:r>
          </w:p>
        </w:tc>
        <w:tc>
          <w:tcPr>
            <w:tcW w:w="1538" w:type="dxa"/>
            <w:vAlign w:val="center"/>
          </w:tcPr>
          <w:p>
            <w:pPr>
              <w:spacing w:line="280" w:lineRule="exact"/>
              <w:jc w:val="center"/>
              <w:rPr>
                <w:rFonts w:ascii="Times New Roman" w:hAnsi="Times New Roman"/>
                <w:kern w:val="2"/>
              </w:rPr>
            </w:pPr>
            <w:r>
              <w:rPr>
                <w:rFonts w:hint="eastAsia" w:ascii="Times New Roman" w:hAnsi="Times New Roman"/>
                <w:kern w:val="2"/>
              </w:rPr>
              <w:t>5</w:t>
            </w:r>
            <w:r>
              <w:rPr>
                <w:rFonts w:ascii="Times New Roman" w:hAnsi="Times New Roman"/>
                <w:kern w:val="2"/>
              </w:rPr>
              <w:t>5</w:t>
            </w:r>
          </w:p>
        </w:tc>
        <w:tc>
          <w:tcPr>
            <w:tcW w:w="756" w:type="dxa"/>
            <w:vAlign w:val="center"/>
          </w:tcPr>
          <w:p>
            <w:pPr>
              <w:spacing w:line="280" w:lineRule="exact"/>
              <w:jc w:val="center"/>
              <w:rPr>
                <w:rFonts w:ascii="Times New Roman" w:hAnsi="Times New Roman"/>
                <w:kern w:val="2"/>
              </w:rPr>
            </w:pPr>
            <w:r>
              <w:rPr>
                <w:rFonts w:hint="eastAsia" w:ascii="Times New Roman" w:hAnsi="Times New Roman"/>
                <w:kern w:val="2"/>
              </w:rPr>
              <w:t>昼间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87" w:hRule="atLeast"/>
        </w:trPr>
        <w:tc>
          <w:tcPr>
            <w:tcW w:w="558" w:type="dxa"/>
            <w:vAlign w:val="center"/>
          </w:tcPr>
          <w:p>
            <w:pPr>
              <w:spacing w:line="280" w:lineRule="exact"/>
              <w:jc w:val="center"/>
              <w:rPr>
                <w:rFonts w:ascii="Times New Roman" w:hAnsi="Times New Roman"/>
                <w:kern w:val="2"/>
              </w:rPr>
            </w:pPr>
            <w:r>
              <w:rPr>
                <w:rFonts w:hint="eastAsia" w:ascii="Times New Roman" w:hAnsi="Times New Roman"/>
                <w:kern w:val="2"/>
              </w:rPr>
              <w:t>3</w:t>
            </w:r>
          </w:p>
        </w:tc>
        <w:tc>
          <w:tcPr>
            <w:tcW w:w="718" w:type="dxa"/>
            <w:vMerge w:val="continue"/>
            <w:vAlign w:val="center"/>
          </w:tcPr>
          <w:p>
            <w:pPr>
              <w:spacing w:line="280" w:lineRule="exact"/>
              <w:jc w:val="center"/>
              <w:rPr>
                <w:rFonts w:ascii="Times New Roman" w:hAnsi="Times New Roman"/>
                <w:kern w:val="2"/>
              </w:rPr>
            </w:pPr>
          </w:p>
        </w:tc>
        <w:tc>
          <w:tcPr>
            <w:tcW w:w="957" w:type="dxa"/>
          </w:tcPr>
          <w:p>
            <w:pPr>
              <w:spacing w:line="280" w:lineRule="exact"/>
              <w:jc w:val="center"/>
              <w:rPr>
                <w:rFonts w:ascii="Times New Roman" w:hAnsi="Times New Roman"/>
                <w:kern w:val="2"/>
              </w:rPr>
            </w:pPr>
            <w:r>
              <w:rPr>
                <w:rFonts w:hint="eastAsia"/>
              </w:rPr>
              <w:t>空压机</w:t>
            </w:r>
          </w:p>
        </w:tc>
        <w:tc>
          <w:tcPr>
            <w:tcW w:w="1232" w:type="dxa"/>
            <w:vAlign w:val="center"/>
          </w:tcPr>
          <w:p>
            <w:pPr>
              <w:spacing w:line="280" w:lineRule="exact"/>
              <w:jc w:val="center"/>
              <w:rPr>
                <w:rFonts w:ascii="Times New Roman" w:hAnsi="Times New Roman"/>
                <w:kern w:val="2"/>
              </w:rPr>
            </w:pPr>
            <w:r>
              <w:rPr>
                <w:rFonts w:hint="eastAsia" w:ascii="Times New Roman" w:hAnsi="Times New Roman"/>
                <w:kern w:val="2"/>
              </w:rPr>
              <w:t>/</w:t>
            </w:r>
          </w:p>
        </w:tc>
        <w:tc>
          <w:tcPr>
            <w:tcW w:w="1957" w:type="dxa"/>
          </w:tcPr>
          <w:p>
            <w:pPr>
              <w:spacing w:line="280" w:lineRule="exact"/>
              <w:jc w:val="center"/>
              <w:rPr>
                <w:rFonts w:ascii="Times New Roman" w:hAnsi="Times New Roman"/>
                <w:kern w:val="2"/>
              </w:rPr>
            </w:pPr>
            <w:r>
              <w:rPr>
                <w:rFonts w:ascii="Times New Roman" w:hAnsi="Times New Roman"/>
                <w:kern w:val="2"/>
              </w:rPr>
              <w:t>90</w:t>
            </w:r>
          </w:p>
        </w:tc>
        <w:tc>
          <w:tcPr>
            <w:tcW w:w="981" w:type="dxa"/>
            <w:vMerge w:val="continue"/>
            <w:vAlign w:val="center"/>
          </w:tcPr>
          <w:p>
            <w:pPr>
              <w:spacing w:line="280" w:lineRule="exact"/>
              <w:jc w:val="center"/>
              <w:rPr>
                <w:rFonts w:ascii="Times New Roman" w:hAnsi="Times New Roman"/>
                <w:kern w:val="2"/>
              </w:rPr>
            </w:pPr>
          </w:p>
        </w:tc>
        <w:tc>
          <w:tcPr>
            <w:tcW w:w="982" w:type="dxa"/>
            <w:vAlign w:val="center"/>
          </w:tcPr>
          <w:p>
            <w:pPr>
              <w:spacing w:line="280" w:lineRule="exact"/>
              <w:jc w:val="center"/>
              <w:rPr>
                <w:rFonts w:ascii="Times New Roman" w:hAnsi="Times New Roman"/>
                <w:kern w:val="2"/>
              </w:rPr>
            </w:pPr>
            <w:r>
              <w:rPr>
                <w:rFonts w:hint="eastAsia" w:ascii="Times New Roman" w:hAnsi="Times New Roman"/>
                <w:kern w:val="2"/>
              </w:rPr>
              <w:t>5</w:t>
            </w:r>
            <w:r>
              <w:rPr>
                <w:rFonts w:ascii="Times New Roman" w:hAnsi="Times New Roman"/>
                <w:kern w:val="2"/>
              </w:rPr>
              <w:t>166825</w:t>
            </w:r>
          </w:p>
        </w:tc>
        <w:tc>
          <w:tcPr>
            <w:tcW w:w="1056" w:type="dxa"/>
            <w:vAlign w:val="center"/>
          </w:tcPr>
          <w:p>
            <w:pPr>
              <w:spacing w:line="280" w:lineRule="exact"/>
              <w:jc w:val="center"/>
              <w:rPr>
                <w:rFonts w:ascii="Times New Roman" w:hAnsi="Times New Roman"/>
                <w:kern w:val="2"/>
              </w:rPr>
            </w:pPr>
            <w:r>
              <w:rPr>
                <w:rFonts w:hint="eastAsia" w:ascii="Times New Roman" w:hAnsi="Times New Roman"/>
                <w:kern w:val="2"/>
              </w:rPr>
              <w:t>4</w:t>
            </w:r>
            <w:r>
              <w:rPr>
                <w:rFonts w:ascii="Times New Roman" w:hAnsi="Times New Roman"/>
                <w:kern w:val="2"/>
              </w:rPr>
              <w:t>4446502</w:t>
            </w:r>
          </w:p>
        </w:tc>
        <w:tc>
          <w:tcPr>
            <w:tcW w:w="1113" w:type="dxa"/>
            <w:vAlign w:val="center"/>
          </w:tcPr>
          <w:p>
            <w:pPr>
              <w:spacing w:line="280" w:lineRule="exact"/>
              <w:jc w:val="center"/>
              <w:rPr>
                <w:rFonts w:ascii="Times New Roman" w:hAnsi="Times New Roman"/>
                <w:kern w:val="2"/>
              </w:rPr>
            </w:pPr>
            <w:r>
              <w:rPr>
                <w:rFonts w:hint="eastAsia" w:ascii="Times New Roman" w:hAnsi="Times New Roman"/>
                <w:kern w:val="2"/>
              </w:rPr>
              <w:t>2</w:t>
            </w:r>
            <w:r>
              <w:rPr>
                <w:rFonts w:ascii="Times New Roman" w:hAnsi="Times New Roman"/>
                <w:kern w:val="2"/>
              </w:rPr>
              <w:t>23</w:t>
            </w:r>
          </w:p>
        </w:tc>
        <w:tc>
          <w:tcPr>
            <w:tcW w:w="1250" w:type="dxa"/>
            <w:vAlign w:val="center"/>
          </w:tcPr>
          <w:p>
            <w:pPr>
              <w:spacing w:line="280" w:lineRule="exact"/>
              <w:jc w:val="center"/>
              <w:rPr>
                <w:rFonts w:ascii="Times New Roman" w:hAnsi="Times New Roman"/>
                <w:kern w:val="2"/>
              </w:rPr>
            </w:pPr>
            <w:r>
              <w:rPr>
                <w:rFonts w:hint="eastAsia" w:ascii="Times New Roman" w:hAnsi="Times New Roman"/>
                <w:kern w:val="2"/>
              </w:rPr>
              <w:t>4</w:t>
            </w:r>
          </w:p>
        </w:tc>
        <w:tc>
          <w:tcPr>
            <w:tcW w:w="1538" w:type="dxa"/>
            <w:vAlign w:val="center"/>
          </w:tcPr>
          <w:p>
            <w:pPr>
              <w:spacing w:line="280" w:lineRule="exact"/>
              <w:jc w:val="center"/>
              <w:rPr>
                <w:rFonts w:ascii="Times New Roman" w:hAnsi="Times New Roman"/>
                <w:kern w:val="2"/>
              </w:rPr>
            </w:pPr>
            <w:r>
              <w:rPr>
                <w:rFonts w:hint="eastAsia" w:ascii="Times New Roman" w:hAnsi="Times New Roman"/>
                <w:kern w:val="2"/>
              </w:rPr>
              <w:t>6</w:t>
            </w:r>
            <w:r>
              <w:rPr>
                <w:rFonts w:ascii="Times New Roman" w:hAnsi="Times New Roman"/>
                <w:kern w:val="2"/>
              </w:rPr>
              <w:t>5</w:t>
            </w:r>
          </w:p>
        </w:tc>
        <w:tc>
          <w:tcPr>
            <w:tcW w:w="756" w:type="dxa"/>
            <w:vAlign w:val="center"/>
          </w:tcPr>
          <w:p>
            <w:pPr>
              <w:spacing w:line="280" w:lineRule="exact"/>
              <w:jc w:val="center"/>
              <w:rPr>
                <w:rFonts w:ascii="Times New Roman" w:hAnsi="Times New Roman"/>
                <w:kern w:val="2"/>
              </w:rPr>
            </w:pPr>
            <w:r>
              <w:rPr>
                <w:rFonts w:hint="eastAsia" w:ascii="Times New Roman" w:hAnsi="Times New Roman"/>
                <w:kern w:val="2"/>
              </w:rPr>
              <w:t>昼间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8" w:type="dxa"/>
            <w:vAlign w:val="center"/>
          </w:tcPr>
          <w:p>
            <w:pPr>
              <w:spacing w:line="280" w:lineRule="exact"/>
              <w:jc w:val="center"/>
              <w:rPr>
                <w:rFonts w:ascii="Times New Roman" w:hAnsi="Times New Roman"/>
                <w:kern w:val="2"/>
              </w:rPr>
            </w:pPr>
            <w:r>
              <w:rPr>
                <w:rFonts w:hint="eastAsia" w:ascii="Times New Roman" w:hAnsi="Times New Roman"/>
                <w:kern w:val="2"/>
              </w:rPr>
              <w:t>4</w:t>
            </w:r>
          </w:p>
        </w:tc>
        <w:tc>
          <w:tcPr>
            <w:tcW w:w="718" w:type="dxa"/>
            <w:vMerge w:val="continue"/>
            <w:vAlign w:val="center"/>
          </w:tcPr>
          <w:p>
            <w:pPr>
              <w:spacing w:line="280" w:lineRule="exact"/>
              <w:jc w:val="center"/>
              <w:rPr>
                <w:rFonts w:ascii="Times New Roman" w:hAnsi="Times New Roman"/>
                <w:kern w:val="2"/>
              </w:rPr>
            </w:pPr>
          </w:p>
        </w:tc>
        <w:tc>
          <w:tcPr>
            <w:tcW w:w="957" w:type="dxa"/>
          </w:tcPr>
          <w:p>
            <w:pPr>
              <w:spacing w:line="280" w:lineRule="exact"/>
              <w:jc w:val="center"/>
              <w:rPr>
                <w:rFonts w:ascii="Times New Roman" w:hAnsi="Times New Roman"/>
                <w:kern w:val="2"/>
              </w:rPr>
            </w:pPr>
            <w:r>
              <w:rPr>
                <w:rFonts w:hint="eastAsia"/>
              </w:rPr>
              <w:t>风机</w:t>
            </w:r>
          </w:p>
        </w:tc>
        <w:tc>
          <w:tcPr>
            <w:tcW w:w="1232" w:type="dxa"/>
            <w:vAlign w:val="center"/>
          </w:tcPr>
          <w:p>
            <w:pPr>
              <w:spacing w:line="280" w:lineRule="exact"/>
              <w:jc w:val="center"/>
              <w:rPr>
                <w:rFonts w:ascii="Times New Roman" w:hAnsi="Times New Roman"/>
                <w:kern w:val="2"/>
              </w:rPr>
            </w:pPr>
            <w:r>
              <w:rPr>
                <w:rFonts w:hint="eastAsia" w:ascii="Times New Roman" w:hAnsi="Times New Roman"/>
                <w:kern w:val="2"/>
              </w:rPr>
              <w:t>/</w:t>
            </w:r>
          </w:p>
        </w:tc>
        <w:tc>
          <w:tcPr>
            <w:tcW w:w="1957" w:type="dxa"/>
          </w:tcPr>
          <w:p>
            <w:pPr>
              <w:spacing w:line="280" w:lineRule="exact"/>
              <w:jc w:val="center"/>
              <w:rPr>
                <w:rFonts w:ascii="Times New Roman" w:hAnsi="Times New Roman"/>
                <w:kern w:val="2"/>
              </w:rPr>
            </w:pPr>
            <w:r>
              <w:rPr>
                <w:rFonts w:ascii="Times New Roman" w:hAnsi="Times New Roman"/>
                <w:kern w:val="2"/>
              </w:rPr>
              <w:t>75</w:t>
            </w:r>
          </w:p>
        </w:tc>
        <w:tc>
          <w:tcPr>
            <w:tcW w:w="981" w:type="dxa"/>
            <w:vMerge w:val="continue"/>
            <w:vAlign w:val="center"/>
          </w:tcPr>
          <w:p>
            <w:pPr>
              <w:spacing w:line="280" w:lineRule="exact"/>
              <w:jc w:val="center"/>
              <w:rPr>
                <w:rFonts w:ascii="Times New Roman" w:hAnsi="Times New Roman"/>
                <w:kern w:val="2"/>
              </w:rPr>
            </w:pPr>
          </w:p>
        </w:tc>
        <w:tc>
          <w:tcPr>
            <w:tcW w:w="982" w:type="dxa"/>
            <w:vAlign w:val="center"/>
          </w:tcPr>
          <w:p>
            <w:pPr>
              <w:spacing w:line="280" w:lineRule="exact"/>
              <w:jc w:val="center"/>
              <w:rPr>
                <w:rFonts w:ascii="Times New Roman" w:hAnsi="Times New Roman"/>
                <w:kern w:val="2"/>
              </w:rPr>
            </w:pPr>
            <w:r>
              <w:rPr>
                <w:rFonts w:hint="eastAsia" w:ascii="Times New Roman" w:hAnsi="Times New Roman"/>
                <w:kern w:val="2"/>
              </w:rPr>
              <w:t>5</w:t>
            </w:r>
            <w:r>
              <w:rPr>
                <w:rFonts w:ascii="Times New Roman" w:hAnsi="Times New Roman"/>
                <w:kern w:val="2"/>
              </w:rPr>
              <w:t>166827</w:t>
            </w:r>
          </w:p>
        </w:tc>
        <w:tc>
          <w:tcPr>
            <w:tcW w:w="1056" w:type="dxa"/>
            <w:vAlign w:val="center"/>
          </w:tcPr>
          <w:p>
            <w:pPr>
              <w:spacing w:line="280" w:lineRule="exact"/>
              <w:jc w:val="center"/>
              <w:rPr>
                <w:rFonts w:ascii="Times New Roman" w:hAnsi="Times New Roman"/>
                <w:kern w:val="2"/>
              </w:rPr>
            </w:pPr>
            <w:r>
              <w:rPr>
                <w:rFonts w:hint="eastAsia" w:ascii="Times New Roman" w:hAnsi="Times New Roman"/>
                <w:kern w:val="2"/>
              </w:rPr>
              <w:t>4</w:t>
            </w:r>
            <w:r>
              <w:rPr>
                <w:rFonts w:ascii="Times New Roman" w:hAnsi="Times New Roman"/>
                <w:kern w:val="2"/>
              </w:rPr>
              <w:t>4446504</w:t>
            </w:r>
          </w:p>
        </w:tc>
        <w:tc>
          <w:tcPr>
            <w:tcW w:w="1113" w:type="dxa"/>
            <w:vAlign w:val="center"/>
          </w:tcPr>
          <w:p>
            <w:pPr>
              <w:spacing w:line="280" w:lineRule="exact"/>
              <w:jc w:val="center"/>
              <w:rPr>
                <w:rFonts w:ascii="Times New Roman" w:hAnsi="Times New Roman"/>
                <w:kern w:val="2"/>
              </w:rPr>
            </w:pPr>
            <w:r>
              <w:rPr>
                <w:rFonts w:hint="eastAsia" w:ascii="Times New Roman" w:hAnsi="Times New Roman"/>
                <w:kern w:val="2"/>
              </w:rPr>
              <w:t>2</w:t>
            </w:r>
            <w:r>
              <w:rPr>
                <w:rFonts w:ascii="Times New Roman" w:hAnsi="Times New Roman"/>
                <w:kern w:val="2"/>
              </w:rPr>
              <w:t>23</w:t>
            </w:r>
          </w:p>
        </w:tc>
        <w:tc>
          <w:tcPr>
            <w:tcW w:w="1250" w:type="dxa"/>
            <w:vAlign w:val="center"/>
          </w:tcPr>
          <w:p>
            <w:pPr>
              <w:spacing w:line="280" w:lineRule="exact"/>
              <w:jc w:val="center"/>
              <w:rPr>
                <w:rFonts w:ascii="Times New Roman" w:hAnsi="Times New Roman"/>
                <w:kern w:val="2"/>
              </w:rPr>
            </w:pPr>
            <w:r>
              <w:rPr>
                <w:rFonts w:hint="eastAsia" w:ascii="Times New Roman" w:hAnsi="Times New Roman"/>
                <w:kern w:val="2"/>
              </w:rPr>
              <w:t>4</w:t>
            </w:r>
          </w:p>
        </w:tc>
        <w:tc>
          <w:tcPr>
            <w:tcW w:w="1538" w:type="dxa"/>
            <w:vAlign w:val="center"/>
          </w:tcPr>
          <w:p>
            <w:pPr>
              <w:spacing w:line="280" w:lineRule="exact"/>
              <w:jc w:val="center"/>
              <w:rPr>
                <w:rFonts w:ascii="Times New Roman" w:hAnsi="Times New Roman"/>
                <w:kern w:val="2"/>
              </w:rPr>
            </w:pPr>
            <w:r>
              <w:rPr>
                <w:rFonts w:hint="eastAsia" w:ascii="Times New Roman" w:hAnsi="Times New Roman"/>
                <w:kern w:val="2"/>
              </w:rPr>
              <w:t>5</w:t>
            </w:r>
            <w:r>
              <w:rPr>
                <w:rFonts w:ascii="Times New Roman" w:hAnsi="Times New Roman"/>
                <w:kern w:val="2"/>
              </w:rPr>
              <w:t>0</w:t>
            </w:r>
          </w:p>
        </w:tc>
        <w:tc>
          <w:tcPr>
            <w:tcW w:w="756" w:type="dxa"/>
            <w:vAlign w:val="center"/>
          </w:tcPr>
          <w:p>
            <w:pPr>
              <w:spacing w:line="280" w:lineRule="exact"/>
              <w:jc w:val="center"/>
              <w:rPr>
                <w:rFonts w:ascii="Times New Roman" w:hAnsi="Times New Roman"/>
                <w:kern w:val="2"/>
              </w:rPr>
            </w:pPr>
            <w:r>
              <w:rPr>
                <w:rFonts w:hint="eastAsia" w:ascii="Times New Roman" w:hAnsi="Times New Roman"/>
                <w:kern w:val="2"/>
              </w:rPr>
              <w:t>昼间</w:t>
            </w:r>
          </w:p>
        </w:tc>
      </w:tr>
    </w:tbl>
    <w:p>
      <w:pPr>
        <w:pStyle w:val="155"/>
        <w:spacing w:line="480" w:lineRule="exact"/>
        <w:ind w:firstLine="0" w:firstLineChars="0"/>
        <w:jc w:val="center"/>
        <w:rPr>
          <w:b/>
          <w:snapToGrid w:val="0"/>
          <w:sz w:val="21"/>
        </w:rPr>
      </w:pPr>
    </w:p>
    <w:p>
      <w:pPr>
        <w:pStyle w:val="155"/>
        <w:spacing w:line="480" w:lineRule="exact"/>
        <w:ind w:firstLine="0" w:firstLineChars="0"/>
        <w:jc w:val="center"/>
        <w:rPr>
          <w:b/>
          <w:snapToGrid w:val="0"/>
          <w:sz w:val="21"/>
        </w:rPr>
      </w:pPr>
    </w:p>
    <w:p>
      <w:pPr>
        <w:pStyle w:val="155"/>
        <w:spacing w:line="480" w:lineRule="exact"/>
        <w:ind w:firstLine="0" w:firstLineChars="0"/>
        <w:jc w:val="center"/>
        <w:rPr>
          <w:b/>
          <w:snapToGrid w:val="0"/>
          <w:sz w:val="21"/>
        </w:rPr>
      </w:pPr>
    </w:p>
    <w:p>
      <w:pPr>
        <w:pStyle w:val="155"/>
        <w:spacing w:line="480" w:lineRule="exact"/>
        <w:ind w:firstLine="0" w:firstLineChars="0"/>
        <w:jc w:val="center"/>
        <w:rPr>
          <w:b/>
          <w:snapToGrid w:val="0"/>
          <w:sz w:val="21"/>
        </w:rPr>
      </w:pPr>
    </w:p>
    <w:p>
      <w:pPr>
        <w:pStyle w:val="155"/>
        <w:ind w:firstLine="0" w:firstLineChars="0"/>
        <w:rPr>
          <w:sz w:val="18"/>
          <w:szCs w:val="18"/>
          <w:shd w:val="clear" w:color="FFFFFF" w:fill="D9D9D9"/>
        </w:rPr>
      </w:pPr>
    </w:p>
    <w:p>
      <w:pPr>
        <w:pStyle w:val="155"/>
        <w:ind w:firstLine="480"/>
        <w:rPr>
          <w:shd w:val="clear" w:color="FFFFFF" w:fill="D9D9D9"/>
        </w:rPr>
        <w:sectPr>
          <w:pgSz w:w="16839" w:h="11907" w:orient="landscape"/>
          <w:pgMar w:top="1440" w:right="1797" w:bottom="1440" w:left="1797" w:header="851" w:footer="850" w:gutter="0"/>
          <w:cols w:space="720" w:num="1"/>
          <w:docGrid w:linePitch="312" w:charSpace="0"/>
        </w:sectPr>
      </w:pPr>
    </w:p>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p>
      <w:pPr>
        <w:widowControl/>
        <w:spacing w:line="480" w:lineRule="exact"/>
        <w:outlineLvl w:val="3"/>
        <w:rPr>
          <w:rFonts w:ascii="Times New Roman" w:hAnsi="Times New Roman" w:eastAsia="黑体"/>
          <w:sz w:val="24"/>
        </w:rPr>
      </w:pPr>
      <w:bookmarkStart w:id="750" w:name="_Toc406572483"/>
      <w:bookmarkStart w:id="751" w:name="_Toc407350260"/>
      <w:bookmarkStart w:id="752" w:name="_Toc416966913"/>
      <w:bookmarkStart w:id="753" w:name="_Toc466271421"/>
      <w:bookmarkStart w:id="754" w:name="_Toc458063867"/>
      <w:bookmarkStart w:id="755" w:name="_Toc347495275"/>
      <w:bookmarkStart w:id="756" w:name="_Toc464036722"/>
      <w:bookmarkStart w:id="757" w:name="_Toc453708967"/>
      <w:bookmarkStart w:id="758" w:name="_Toc480190490"/>
      <w:bookmarkStart w:id="759" w:name="_Toc480983871"/>
      <w:bookmarkStart w:id="760" w:name="_Toc409529958"/>
      <w:bookmarkStart w:id="761" w:name="_Toc347586148"/>
      <w:bookmarkStart w:id="762" w:name="_Toc482020653"/>
      <w:bookmarkStart w:id="763" w:name="_Toc406772025"/>
      <w:bookmarkStart w:id="764" w:name="_Hlk115185929"/>
      <w:r>
        <w:rPr>
          <w:rFonts w:ascii="Times New Roman" w:hAnsi="Times New Roman" w:eastAsia="黑体"/>
          <w:sz w:val="24"/>
        </w:rPr>
        <w:t>3.5.2.4.固体废物</w:t>
      </w:r>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p>
    <w:bookmarkEnd w:id="764"/>
    <w:p>
      <w:pPr>
        <w:pStyle w:val="567"/>
        <w:spacing w:before="0" w:after="0" w:line="480" w:lineRule="exact"/>
        <w:ind w:firstLine="480" w:firstLineChars="200"/>
        <w:rPr>
          <w:rFonts w:cs="Times New Roman"/>
          <w:szCs w:val="24"/>
        </w:rPr>
      </w:pPr>
      <w:r>
        <w:rPr>
          <w:rFonts w:cs="Times New Roman"/>
          <w:szCs w:val="24"/>
        </w:rPr>
        <w:t>本项目改扩建工程固体废物包括医疗废物消毒破碎处理后的破碎废渣、废导热油、废活性炭和污水处理间污泥</w:t>
      </w:r>
      <w:r>
        <w:rPr>
          <w:rFonts w:hint="eastAsia" w:cs="Times New Roman"/>
          <w:szCs w:val="24"/>
        </w:rPr>
        <w:t>、栅渣</w:t>
      </w:r>
      <w:r>
        <w:rPr>
          <w:rFonts w:cs="Times New Roman"/>
          <w:szCs w:val="24"/>
        </w:rPr>
        <w:t>。</w:t>
      </w:r>
      <w:bookmarkStart w:id="765" w:name="_Toc476927513"/>
    </w:p>
    <w:p>
      <w:pPr>
        <w:spacing w:line="480" w:lineRule="exact"/>
        <w:ind w:firstLine="480" w:firstLineChars="200"/>
        <w:rPr>
          <w:rFonts w:ascii="Times New Roman" w:hAnsi="Times New Roman"/>
          <w:sz w:val="24"/>
          <w:szCs w:val="24"/>
        </w:rPr>
      </w:pPr>
      <w:r>
        <w:rPr>
          <w:rFonts w:ascii="Times New Roman" w:hAnsi="Times New Roman"/>
          <w:sz w:val="24"/>
          <w:szCs w:val="24"/>
        </w:rPr>
        <w:t>（1）医疗废物消毒破碎处理后的破碎废渣</w:t>
      </w:r>
    </w:p>
    <w:p>
      <w:pPr>
        <w:pStyle w:val="567"/>
        <w:spacing w:before="0" w:after="0" w:line="480" w:lineRule="exact"/>
        <w:ind w:firstLine="504"/>
        <w:rPr>
          <w:rFonts w:cs="Times New Roman"/>
          <w:szCs w:val="24"/>
        </w:rPr>
      </w:pPr>
      <w:r>
        <w:rPr>
          <w:rFonts w:cs="Times New Roman"/>
          <w:szCs w:val="24"/>
        </w:rPr>
        <w:t>根据物料平衡分析，医疗废物破碎处理后的破碎废渣产生量为6.4t/d，运送至厂址东侧双鸭山市</w:t>
      </w:r>
      <w:r>
        <w:rPr>
          <w:rFonts w:hint="eastAsia" w:cs="Times New Roman"/>
          <w:szCs w:val="24"/>
        </w:rPr>
        <w:t>生活垃圾填埋场处理</w:t>
      </w:r>
      <w:r>
        <w:rPr>
          <w:rFonts w:cs="Times New Roman"/>
          <w:szCs w:val="24"/>
        </w:rPr>
        <w:t>。</w:t>
      </w:r>
    </w:p>
    <w:p>
      <w:pPr>
        <w:spacing w:line="480" w:lineRule="exact"/>
        <w:ind w:firstLine="480" w:firstLineChars="200"/>
        <w:rPr>
          <w:rFonts w:ascii="Times New Roman" w:hAnsi="Times New Roman"/>
          <w:sz w:val="24"/>
          <w:szCs w:val="24"/>
        </w:rPr>
      </w:pPr>
      <w:r>
        <w:rPr>
          <w:rFonts w:ascii="Times New Roman" w:hAnsi="Times New Roman"/>
          <w:sz w:val="24"/>
          <w:szCs w:val="24"/>
        </w:rPr>
        <w:t>（2）废活性炭</w:t>
      </w:r>
      <w:r>
        <w:rPr>
          <w:rFonts w:hint="eastAsia" w:ascii="Times New Roman" w:hAnsi="Times New Roman"/>
          <w:sz w:val="24"/>
          <w:szCs w:val="24"/>
        </w:rPr>
        <w:t>、</w:t>
      </w:r>
      <w:r>
        <w:rPr>
          <w:rFonts w:ascii="Times New Roman" w:hAnsi="Times New Roman"/>
          <w:sz w:val="24"/>
          <w:szCs w:val="24"/>
        </w:rPr>
        <w:t>污泥</w:t>
      </w:r>
      <w:r>
        <w:rPr>
          <w:rFonts w:hint="eastAsia" w:ascii="Times New Roman" w:hAnsi="Times New Roman"/>
          <w:sz w:val="24"/>
          <w:szCs w:val="24"/>
        </w:rPr>
        <w:t>和</w:t>
      </w:r>
      <w:r>
        <w:rPr>
          <w:rFonts w:ascii="Times New Roman" w:hAnsi="Times New Roman"/>
          <w:sz w:val="24"/>
          <w:szCs w:val="24"/>
        </w:rPr>
        <w:t>栅渣</w:t>
      </w:r>
    </w:p>
    <w:p>
      <w:pPr>
        <w:spacing w:line="480" w:lineRule="exact"/>
        <w:ind w:firstLine="480" w:firstLineChars="200"/>
        <w:rPr>
          <w:rFonts w:ascii="Times New Roman" w:hAnsi="Times New Roman"/>
          <w:sz w:val="24"/>
          <w:szCs w:val="24"/>
        </w:rPr>
      </w:pPr>
      <w:r>
        <w:rPr>
          <w:rFonts w:ascii="Times New Roman" w:hAnsi="Times New Roman"/>
          <w:sz w:val="24"/>
          <w:szCs w:val="24"/>
        </w:rPr>
        <w:t>本项目废活性炭属于危险废物编号HW49其他废物-非特定行业-900-041-49含有或沾染毒性、感染性危险废物的废弃包装物、容器、过滤吸附介质，根据企业提供的资料，单套装置每半年更换1次，产生量约为9kg/a。本项目污水处理间污泥属于危险废物编号HW01医疗废物-卫生-841-001-01感染性废物，根据企业提供的资料，单套污水处理装置污泥产生量约为0.1t/a</w:t>
      </w:r>
      <w:r>
        <w:rPr>
          <w:rFonts w:hint="eastAsia" w:ascii="Times New Roman" w:hAnsi="Times New Roman"/>
          <w:sz w:val="24"/>
          <w:szCs w:val="24"/>
        </w:rPr>
        <w:t>，</w:t>
      </w:r>
      <w:r>
        <w:rPr>
          <w:rFonts w:ascii="Times New Roman" w:hAnsi="Times New Roman"/>
          <w:sz w:val="24"/>
          <w:szCs w:val="24"/>
        </w:rPr>
        <w:t>栅渣</w:t>
      </w:r>
      <w:r>
        <w:rPr>
          <w:rFonts w:hint="eastAsia" w:ascii="Times New Roman" w:hAnsi="Times New Roman"/>
          <w:sz w:val="24"/>
          <w:szCs w:val="24"/>
        </w:rPr>
        <w:t>产生量为0</w:t>
      </w:r>
      <w:r>
        <w:rPr>
          <w:rFonts w:ascii="Times New Roman" w:hAnsi="Times New Roman"/>
          <w:sz w:val="24"/>
          <w:szCs w:val="24"/>
        </w:rPr>
        <w:t>.1</w:t>
      </w:r>
      <w:r>
        <w:rPr>
          <w:rFonts w:hint="eastAsia" w:ascii="Times New Roman" w:hAnsi="Times New Roman"/>
          <w:sz w:val="24"/>
          <w:szCs w:val="24"/>
        </w:rPr>
        <w:t>t</w:t>
      </w:r>
      <w:r>
        <w:rPr>
          <w:rFonts w:ascii="Times New Roman" w:hAnsi="Times New Roman"/>
          <w:sz w:val="24"/>
          <w:szCs w:val="24"/>
        </w:rPr>
        <w:t>/</w:t>
      </w:r>
      <w:r>
        <w:rPr>
          <w:rFonts w:hint="eastAsia" w:ascii="Times New Roman" w:hAnsi="Times New Roman"/>
          <w:sz w:val="24"/>
          <w:szCs w:val="24"/>
        </w:rPr>
        <w:t>a</w:t>
      </w:r>
      <w:r>
        <w:rPr>
          <w:rFonts w:ascii="Times New Roman" w:hAnsi="Times New Roman"/>
          <w:sz w:val="24"/>
          <w:szCs w:val="24"/>
        </w:rPr>
        <w:t>。项目废活性炭和污水处理间污泥暂存于危险废物暂存间（占地面积10m</w:t>
      </w:r>
      <w:r>
        <w:rPr>
          <w:rFonts w:ascii="Times New Roman" w:hAnsi="Times New Roman"/>
          <w:sz w:val="24"/>
          <w:szCs w:val="24"/>
          <w:vertAlign w:val="superscript"/>
        </w:rPr>
        <w:t>2</w:t>
      </w:r>
      <w:r>
        <w:rPr>
          <w:rFonts w:ascii="Times New Roman" w:hAnsi="Times New Roman"/>
          <w:sz w:val="24"/>
          <w:szCs w:val="24"/>
        </w:rPr>
        <w:t>），污泥由厂区内危废暂存间暂存后和废活性炭更换后直接交由黑龙江京盛华环保科技有限公司处置。栅渣</w:t>
      </w:r>
      <w:r>
        <w:rPr>
          <w:rFonts w:hint="eastAsia" w:ascii="Times New Roman" w:hAnsi="Times New Roman"/>
          <w:sz w:val="24"/>
          <w:szCs w:val="24"/>
        </w:rPr>
        <w:t>经石灰消毒后在危险废物暂存间内存，交由黑龙江京盛华环保科技有限公司处置。</w:t>
      </w:r>
    </w:p>
    <w:p>
      <w:pPr>
        <w:spacing w:line="480" w:lineRule="exact"/>
        <w:ind w:firstLine="480" w:firstLineChars="200"/>
        <w:rPr>
          <w:rFonts w:ascii="Times New Roman" w:hAnsi="Times New Roman"/>
          <w:sz w:val="24"/>
          <w:szCs w:val="24"/>
        </w:rPr>
      </w:pPr>
      <w:r>
        <w:rPr>
          <w:rFonts w:ascii="Times New Roman" w:hAnsi="Times New Roman"/>
          <w:sz w:val="24"/>
          <w:szCs w:val="24"/>
        </w:rPr>
        <w:t>（3）废导热油</w:t>
      </w:r>
    </w:p>
    <w:p>
      <w:pPr>
        <w:spacing w:line="480" w:lineRule="exact"/>
        <w:ind w:firstLine="480" w:firstLineChars="200"/>
        <w:rPr>
          <w:rFonts w:ascii="Times New Roman" w:hAnsi="Times New Roman"/>
          <w:sz w:val="24"/>
          <w:szCs w:val="24"/>
        </w:rPr>
      </w:pPr>
      <w:r>
        <w:rPr>
          <w:rFonts w:ascii="Times New Roman" w:hAnsi="Times New Roman"/>
          <w:sz w:val="24"/>
          <w:szCs w:val="24"/>
        </w:rPr>
        <w:t>废导热油危险废物编号为HW10-900-010-10。根据企业提供资料，废导热油主要成分为十二烷基苯， 报废指标每一年测试一次。当粘度变化大于±20%；闪点变化大于±15%；酸值大于0.5mgKOH/g；残炭大于1.5W%；其综合评判指数大于80时，可进行换油。 报告报废周期暂按1年计，此外导热油在使用过程中的消耗率较低，故忽略不计。综上，废导热油产生量为240L/a，由厂区内危废暂存间暂存后及时送往黑龙江京盛华环保科技有限公司进行处理。</w:t>
      </w:r>
    </w:p>
    <w:p>
      <w:pPr>
        <w:spacing w:line="500" w:lineRule="exact"/>
        <w:ind w:firstLine="480" w:firstLineChars="200"/>
        <w:rPr>
          <w:rFonts w:ascii="Times New Roman" w:hAnsi="Times New Roman"/>
          <w:shd w:val="clear" w:color="FFFFFF" w:fill="D9D9D9"/>
        </w:rPr>
      </w:pPr>
      <w:r>
        <w:rPr>
          <w:rFonts w:ascii="Times New Roman" w:hAnsi="Times New Roman"/>
          <w:sz w:val="24"/>
        </w:rPr>
        <w:t>本项目运营期固体废物产生及排放情况</w:t>
      </w:r>
      <w:r>
        <w:rPr>
          <w:rFonts w:ascii="Times New Roman" w:hAnsi="Times New Roman"/>
          <w:kern w:val="2"/>
          <w:sz w:val="24"/>
          <w:szCs w:val="24"/>
        </w:rPr>
        <w:t>见表3.5-7。</w:t>
      </w:r>
    </w:p>
    <w:p>
      <w:pPr>
        <w:pStyle w:val="5"/>
        <w:rPr>
          <w:rFonts w:ascii="Times New Roman" w:hAnsi="Times New Roman"/>
          <w:shd w:val="clear" w:color="FFFFFF" w:fill="D9D9D9"/>
        </w:rPr>
        <w:sectPr>
          <w:pgSz w:w="11907" w:h="16839"/>
          <w:pgMar w:top="1440" w:right="1797" w:bottom="1440" w:left="1797" w:header="851" w:footer="850" w:gutter="0"/>
          <w:cols w:space="720" w:num="1"/>
          <w:docGrid w:linePitch="312" w:charSpace="0"/>
        </w:sectPr>
      </w:pPr>
    </w:p>
    <w:p>
      <w:pPr>
        <w:pStyle w:val="155"/>
        <w:spacing w:line="480" w:lineRule="exact"/>
        <w:ind w:firstLine="0" w:firstLineChars="0"/>
        <w:jc w:val="center"/>
        <w:rPr>
          <w:b/>
          <w:snapToGrid w:val="0"/>
          <w:sz w:val="21"/>
          <w:szCs w:val="21"/>
        </w:rPr>
      </w:pPr>
      <w:r>
        <w:rPr>
          <w:b/>
          <w:snapToGrid w:val="0"/>
          <w:sz w:val="21"/>
          <w:szCs w:val="21"/>
        </w:rPr>
        <w:t>表3.5-7 固体废物污染源源强核算结果及相关参数一览表</w:t>
      </w:r>
    </w:p>
    <w:tbl>
      <w:tblPr>
        <w:tblStyle w:val="77"/>
        <w:tblW w:w="5000"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5" w:type="dxa"/>
          <w:bottom w:w="15" w:type="dxa"/>
          <w:right w:w="15" w:type="dxa"/>
        </w:tblCellMar>
      </w:tblPr>
      <w:tblGrid>
        <w:gridCol w:w="1091"/>
        <w:gridCol w:w="1407"/>
        <w:gridCol w:w="1338"/>
        <w:gridCol w:w="2131"/>
        <w:gridCol w:w="1137"/>
        <w:gridCol w:w="1132"/>
        <w:gridCol w:w="1906"/>
        <w:gridCol w:w="1310"/>
        <w:gridCol w:w="1823"/>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cantSplit/>
        </w:trPr>
        <w:tc>
          <w:tcPr>
            <w:tcW w:w="1089" w:type="dxa"/>
            <w:vMerge w:val="restart"/>
            <w:tcBorders>
              <w:top w:val="single" w:color="000000" w:sz="12" w:space="0"/>
            </w:tcBorders>
            <w:vAlign w:val="center"/>
          </w:tcPr>
          <w:p>
            <w:pPr>
              <w:pStyle w:val="160"/>
              <w:contextualSpacing/>
              <w:rPr>
                <w:rFonts w:cs="Times New Roman"/>
                <w:b/>
                <w:kern w:val="0"/>
                <w:szCs w:val="21"/>
              </w:rPr>
            </w:pPr>
            <w:r>
              <w:rPr>
                <w:rFonts w:cs="Times New Roman"/>
                <w:b/>
                <w:kern w:val="0"/>
                <w:szCs w:val="21"/>
              </w:rPr>
              <w:t>工序/生产线</w:t>
            </w:r>
          </w:p>
        </w:tc>
        <w:tc>
          <w:tcPr>
            <w:tcW w:w="1404" w:type="dxa"/>
            <w:vMerge w:val="restart"/>
            <w:tcBorders>
              <w:top w:val="single" w:color="000000" w:sz="12" w:space="0"/>
            </w:tcBorders>
            <w:vAlign w:val="center"/>
          </w:tcPr>
          <w:p>
            <w:pPr>
              <w:pStyle w:val="160"/>
              <w:contextualSpacing/>
              <w:rPr>
                <w:rFonts w:cs="Times New Roman"/>
                <w:b/>
                <w:kern w:val="0"/>
                <w:szCs w:val="21"/>
              </w:rPr>
            </w:pPr>
            <w:r>
              <w:rPr>
                <w:rFonts w:cs="Times New Roman"/>
                <w:b/>
                <w:kern w:val="0"/>
                <w:szCs w:val="21"/>
              </w:rPr>
              <w:t>装置</w:t>
            </w:r>
          </w:p>
        </w:tc>
        <w:tc>
          <w:tcPr>
            <w:tcW w:w="1335" w:type="dxa"/>
            <w:vMerge w:val="restart"/>
            <w:tcBorders>
              <w:top w:val="single" w:color="000000" w:sz="12" w:space="0"/>
            </w:tcBorders>
            <w:vAlign w:val="center"/>
          </w:tcPr>
          <w:p>
            <w:pPr>
              <w:pStyle w:val="160"/>
              <w:contextualSpacing/>
              <w:rPr>
                <w:rFonts w:cs="Times New Roman"/>
                <w:b/>
                <w:kern w:val="0"/>
                <w:szCs w:val="21"/>
              </w:rPr>
            </w:pPr>
            <w:r>
              <w:rPr>
                <w:rFonts w:cs="Times New Roman"/>
                <w:b/>
                <w:kern w:val="0"/>
                <w:szCs w:val="21"/>
              </w:rPr>
              <w:t>固体废物名称</w:t>
            </w:r>
          </w:p>
        </w:tc>
        <w:tc>
          <w:tcPr>
            <w:tcW w:w="2126" w:type="dxa"/>
            <w:vMerge w:val="restart"/>
            <w:tcBorders>
              <w:top w:val="single" w:color="000000" w:sz="12" w:space="0"/>
            </w:tcBorders>
            <w:vAlign w:val="center"/>
          </w:tcPr>
          <w:p>
            <w:pPr>
              <w:pStyle w:val="160"/>
              <w:contextualSpacing/>
              <w:rPr>
                <w:rFonts w:cs="Times New Roman"/>
                <w:b/>
                <w:kern w:val="0"/>
                <w:szCs w:val="21"/>
              </w:rPr>
            </w:pPr>
            <w:r>
              <w:rPr>
                <w:rFonts w:cs="Times New Roman"/>
                <w:b/>
                <w:kern w:val="0"/>
                <w:szCs w:val="21"/>
              </w:rPr>
              <w:t>固废属性</w:t>
            </w:r>
          </w:p>
        </w:tc>
        <w:tc>
          <w:tcPr>
            <w:tcW w:w="2263" w:type="dxa"/>
            <w:gridSpan w:val="2"/>
            <w:tcBorders>
              <w:top w:val="single" w:color="000000" w:sz="12" w:space="0"/>
            </w:tcBorders>
            <w:vAlign w:val="center"/>
          </w:tcPr>
          <w:p>
            <w:pPr>
              <w:pStyle w:val="160"/>
              <w:contextualSpacing/>
              <w:rPr>
                <w:rFonts w:cs="Times New Roman"/>
                <w:b/>
                <w:kern w:val="0"/>
                <w:szCs w:val="21"/>
              </w:rPr>
            </w:pPr>
            <w:r>
              <w:rPr>
                <w:rFonts w:cs="Times New Roman"/>
                <w:b/>
                <w:kern w:val="0"/>
                <w:szCs w:val="21"/>
              </w:rPr>
              <w:t>产生情况</w:t>
            </w:r>
          </w:p>
        </w:tc>
        <w:tc>
          <w:tcPr>
            <w:tcW w:w="3209" w:type="dxa"/>
            <w:gridSpan w:val="2"/>
            <w:tcBorders>
              <w:top w:val="single" w:color="000000" w:sz="12" w:space="0"/>
            </w:tcBorders>
            <w:vAlign w:val="center"/>
          </w:tcPr>
          <w:p>
            <w:pPr>
              <w:pStyle w:val="160"/>
              <w:contextualSpacing/>
              <w:rPr>
                <w:rFonts w:cs="Times New Roman"/>
                <w:b/>
                <w:kern w:val="0"/>
                <w:szCs w:val="21"/>
              </w:rPr>
            </w:pPr>
            <w:r>
              <w:rPr>
                <w:rFonts w:cs="Times New Roman"/>
                <w:b/>
                <w:kern w:val="0"/>
                <w:szCs w:val="21"/>
              </w:rPr>
              <w:t>处理措施</w:t>
            </w:r>
          </w:p>
        </w:tc>
        <w:tc>
          <w:tcPr>
            <w:tcW w:w="1819" w:type="dxa"/>
            <w:vMerge w:val="restart"/>
            <w:tcBorders>
              <w:top w:val="single" w:color="000000" w:sz="12" w:space="0"/>
            </w:tcBorders>
            <w:vAlign w:val="center"/>
          </w:tcPr>
          <w:p>
            <w:pPr>
              <w:pStyle w:val="160"/>
              <w:contextualSpacing/>
              <w:rPr>
                <w:rFonts w:cs="Times New Roman"/>
                <w:b/>
                <w:kern w:val="0"/>
                <w:szCs w:val="21"/>
              </w:rPr>
            </w:pPr>
            <w:r>
              <w:rPr>
                <w:rFonts w:cs="Times New Roman"/>
                <w:b/>
                <w:kern w:val="0"/>
                <w:szCs w:val="21"/>
              </w:rPr>
              <w:t>最终去向</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cantSplit/>
        </w:trPr>
        <w:tc>
          <w:tcPr>
            <w:tcW w:w="1089" w:type="dxa"/>
            <w:vMerge w:val="continue"/>
            <w:vAlign w:val="center"/>
          </w:tcPr>
          <w:p>
            <w:pPr>
              <w:pStyle w:val="160"/>
              <w:contextualSpacing/>
              <w:jc w:val="both"/>
              <w:rPr>
                <w:rFonts w:cs="Times New Roman"/>
                <w:b/>
                <w:kern w:val="0"/>
                <w:szCs w:val="21"/>
              </w:rPr>
            </w:pPr>
          </w:p>
        </w:tc>
        <w:tc>
          <w:tcPr>
            <w:tcW w:w="1404" w:type="dxa"/>
            <w:vMerge w:val="continue"/>
            <w:vAlign w:val="center"/>
          </w:tcPr>
          <w:p>
            <w:pPr>
              <w:pStyle w:val="160"/>
              <w:contextualSpacing/>
              <w:jc w:val="both"/>
              <w:rPr>
                <w:rFonts w:cs="Times New Roman"/>
                <w:b/>
                <w:kern w:val="0"/>
                <w:szCs w:val="21"/>
              </w:rPr>
            </w:pPr>
          </w:p>
        </w:tc>
        <w:tc>
          <w:tcPr>
            <w:tcW w:w="1335" w:type="dxa"/>
            <w:vMerge w:val="continue"/>
            <w:vAlign w:val="center"/>
          </w:tcPr>
          <w:p>
            <w:pPr>
              <w:pStyle w:val="160"/>
              <w:contextualSpacing/>
              <w:jc w:val="both"/>
              <w:rPr>
                <w:rFonts w:cs="Times New Roman"/>
                <w:b/>
                <w:kern w:val="0"/>
                <w:szCs w:val="21"/>
              </w:rPr>
            </w:pPr>
          </w:p>
        </w:tc>
        <w:tc>
          <w:tcPr>
            <w:tcW w:w="2126" w:type="dxa"/>
            <w:vMerge w:val="continue"/>
            <w:vAlign w:val="center"/>
          </w:tcPr>
          <w:p>
            <w:pPr>
              <w:pStyle w:val="160"/>
              <w:contextualSpacing/>
              <w:jc w:val="both"/>
              <w:rPr>
                <w:rFonts w:cs="Times New Roman"/>
                <w:b/>
                <w:kern w:val="0"/>
                <w:szCs w:val="21"/>
              </w:rPr>
            </w:pPr>
          </w:p>
        </w:tc>
        <w:tc>
          <w:tcPr>
            <w:tcW w:w="1134" w:type="dxa"/>
            <w:vAlign w:val="center"/>
          </w:tcPr>
          <w:p>
            <w:pPr>
              <w:pStyle w:val="160"/>
              <w:contextualSpacing/>
              <w:jc w:val="both"/>
              <w:rPr>
                <w:rFonts w:cs="Times New Roman"/>
                <w:b/>
                <w:kern w:val="0"/>
                <w:szCs w:val="21"/>
              </w:rPr>
            </w:pPr>
            <w:r>
              <w:rPr>
                <w:rFonts w:cs="Times New Roman"/>
                <w:b/>
                <w:kern w:val="0"/>
                <w:szCs w:val="21"/>
              </w:rPr>
              <w:t>核算方法</w:t>
            </w:r>
          </w:p>
        </w:tc>
        <w:tc>
          <w:tcPr>
            <w:tcW w:w="1129" w:type="dxa"/>
            <w:vAlign w:val="center"/>
          </w:tcPr>
          <w:p>
            <w:pPr>
              <w:pStyle w:val="160"/>
              <w:contextualSpacing/>
              <w:jc w:val="both"/>
              <w:rPr>
                <w:rFonts w:cs="Times New Roman"/>
                <w:b/>
                <w:kern w:val="0"/>
                <w:szCs w:val="21"/>
              </w:rPr>
            </w:pPr>
            <w:r>
              <w:rPr>
                <w:rFonts w:cs="Times New Roman"/>
                <w:b/>
                <w:kern w:val="0"/>
                <w:szCs w:val="21"/>
              </w:rPr>
              <w:t>产生量（t/a）</w:t>
            </w:r>
          </w:p>
        </w:tc>
        <w:tc>
          <w:tcPr>
            <w:tcW w:w="1902" w:type="dxa"/>
            <w:vAlign w:val="center"/>
          </w:tcPr>
          <w:p>
            <w:pPr>
              <w:pStyle w:val="160"/>
              <w:contextualSpacing/>
              <w:jc w:val="both"/>
              <w:rPr>
                <w:rFonts w:cs="Times New Roman"/>
                <w:b/>
                <w:kern w:val="0"/>
                <w:szCs w:val="21"/>
              </w:rPr>
            </w:pPr>
            <w:r>
              <w:rPr>
                <w:rFonts w:cs="Times New Roman"/>
                <w:b/>
                <w:kern w:val="0"/>
                <w:szCs w:val="21"/>
              </w:rPr>
              <w:t>工艺</w:t>
            </w:r>
          </w:p>
        </w:tc>
        <w:tc>
          <w:tcPr>
            <w:tcW w:w="1307" w:type="dxa"/>
            <w:vAlign w:val="center"/>
          </w:tcPr>
          <w:p>
            <w:pPr>
              <w:pStyle w:val="160"/>
              <w:contextualSpacing/>
              <w:jc w:val="both"/>
              <w:rPr>
                <w:rFonts w:cs="Times New Roman"/>
                <w:b/>
                <w:kern w:val="0"/>
                <w:szCs w:val="21"/>
              </w:rPr>
            </w:pPr>
            <w:r>
              <w:rPr>
                <w:rFonts w:cs="Times New Roman"/>
                <w:b/>
                <w:kern w:val="0"/>
                <w:szCs w:val="21"/>
              </w:rPr>
              <w:t>处置量（t/a）</w:t>
            </w:r>
          </w:p>
        </w:tc>
        <w:tc>
          <w:tcPr>
            <w:tcW w:w="1819" w:type="dxa"/>
            <w:vMerge w:val="continue"/>
            <w:vAlign w:val="center"/>
          </w:tcPr>
          <w:p>
            <w:pPr>
              <w:pStyle w:val="160"/>
              <w:contextualSpacing/>
              <w:jc w:val="both"/>
              <w:rPr>
                <w:rFonts w:cs="Times New Roman"/>
                <w:kern w:val="0"/>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cantSplit/>
        </w:trPr>
        <w:tc>
          <w:tcPr>
            <w:tcW w:w="1089" w:type="dxa"/>
            <w:vAlign w:val="center"/>
          </w:tcPr>
          <w:p>
            <w:pPr>
              <w:pStyle w:val="160"/>
              <w:contextualSpacing/>
              <w:rPr>
                <w:rFonts w:cs="Times New Roman"/>
                <w:bCs/>
                <w:kern w:val="0"/>
                <w:szCs w:val="21"/>
              </w:rPr>
            </w:pPr>
            <w:r>
              <w:rPr>
                <w:rFonts w:cs="Times New Roman"/>
                <w:bCs/>
                <w:kern w:val="0"/>
                <w:szCs w:val="21"/>
              </w:rPr>
              <w:t>高温干热处理线</w:t>
            </w:r>
          </w:p>
        </w:tc>
        <w:tc>
          <w:tcPr>
            <w:tcW w:w="1404" w:type="dxa"/>
            <w:vAlign w:val="center"/>
          </w:tcPr>
          <w:p>
            <w:pPr>
              <w:pStyle w:val="160"/>
              <w:contextualSpacing/>
              <w:rPr>
                <w:rFonts w:cs="Times New Roman"/>
                <w:bCs/>
                <w:kern w:val="0"/>
                <w:szCs w:val="21"/>
              </w:rPr>
            </w:pPr>
            <w:r>
              <w:rPr>
                <w:rFonts w:cs="Times New Roman"/>
                <w:bCs/>
                <w:kern w:val="0"/>
                <w:szCs w:val="21"/>
              </w:rPr>
              <w:t>高温干热处理装置</w:t>
            </w:r>
          </w:p>
        </w:tc>
        <w:tc>
          <w:tcPr>
            <w:tcW w:w="1335" w:type="dxa"/>
            <w:vAlign w:val="center"/>
          </w:tcPr>
          <w:p>
            <w:pPr>
              <w:pStyle w:val="160"/>
              <w:contextualSpacing/>
              <w:rPr>
                <w:rFonts w:cs="Times New Roman"/>
                <w:bCs/>
                <w:kern w:val="0"/>
                <w:szCs w:val="21"/>
              </w:rPr>
            </w:pPr>
            <w:r>
              <w:rPr>
                <w:rFonts w:cs="Times New Roman"/>
                <w:kern w:val="0"/>
                <w:szCs w:val="21"/>
              </w:rPr>
              <w:t>医疗废物消毒破碎处理后的破碎废渣</w:t>
            </w:r>
          </w:p>
        </w:tc>
        <w:tc>
          <w:tcPr>
            <w:tcW w:w="2126" w:type="dxa"/>
            <w:vAlign w:val="center"/>
          </w:tcPr>
          <w:p>
            <w:pPr>
              <w:pStyle w:val="160"/>
              <w:contextualSpacing/>
              <w:rPr>
                <w:rFonts w:cs="Times New Roman"/>
                <w:bCs/>
                <w:kern w:val="0"/>
                <w:szCs w:val="21"/>
              </w:rPr>
            </w:pPr>
            <w:r>
              <w:rPr>
                <w:rFonts w:hint="eastAsia" w:cs="Times New Roman"/>
                <w:bCs/>
                <w:kern w:val="0"/>
                <w:szCs w:val="21"/>
              </w:rPr>
              <w:t>编码为：H</w:t>
            </w:r>
            <w:r>
              <w:rPr>
                <w:rFonts w:cs="Times New Roman"/>
                <w:bCs/>
                <w:kern w:val="0"/>
                <w:szCs w:val="21"/>
              </w:rPr>
              <w:t>W01</w:t>
            </w:r>
            <w:r>
              <w:rPr>
                <w:rFonts w:hint="eastAsia" w:cs="Times New Roman"/>
                <w:bCs/>
                <w:kern w:val="0"/>
                <w:szCs w:val="21"/>
              </w:rPr>
              <w:t>医疗废物-</w:t>
            </w:r>
            <w:r>
              <w:rPr>
                <w:rFonts w:cs="Times New Roman"/>
                <w:bCs/>
                <w:kern w:val="0"/>
                <w:szCs w:val="21"/>
              </w:rPr>
              <w:t>841-001-01</w:t>
            </w:r>
            <w:r>
              <w:rPr>
                <w:rFonts w:hint="eastAsia" w:cs="Times New Roman"/>
                <w:bCs/>
                <w:kern w:val="0"/>
                <w:szCs w:val="21"/>
              </w:rPr>
              <w:t>和H</w:t>
            </w:r>
            <w:r>
              <w:rPr>
                <w:rFonts w:cs="Times New Roman"/>
                <w:bCs/>
                <w:kern w:val="0"/>
                <w:szCs w:val="21"/>
              </w:rPr>
              <w:t>W01</w:t>
            </w:r>
            <w:r>
              <w:rPr>
                <w:rFonts w:hint="eastAsia" w:cs="Times New Roman"/>
                <w:bCs/>
                <w:kern w:val="0"/>
                <w:szCs w:val="21"/>
              </w:rPr>
              <w:t>医疗废物-</w:t>
            </w:r>
            <w:r>
              <w:rPr>
                <w:rFonts w:cs="Times New Roman"/>
                <w:bCs/>
                <w:kern w:val="0"/>
                <w:szCs w:val="21"/>
              </w:rPr>
              <w:t>841-002-01</w:t>
            </w:r>
            <w:r>
              <w:rPr>
                <w:rFonts w:hint="eastAsia" w:cs="Times New Roman"/>
                <w:bCs/>
                <w:kern w:val="0"/>
                <w:szCs w:val="21"/>
              </w:rPr>
              <w:t>属于危险废物，但不按危险废物进行运输，进入生活垃圾填埋场进行焚烧的处置过程不按危险废物管理</w:t>
            </w:r>
          </w:p>
        </w:tc>
        <w:tc>
          <w:tcPr>
            <w:tcW w:w="1134" w:type="dxa"/>
            <w:vAlign w:val="center"/>
          </w:tcPr>
          <w:p>
            <w:pPr>
              <w:pStyle w:val="160"/>
              <w:contextualSpacing/>
              <w:rPr>
                <w:rFonts w:cs="Times New Roman"/>
                <w:bCs/>
                <w:kern w:val="0"/>
                <w:szCs w:val="21"/>
              </w:rPr>
            </w:pPr>
            <w:r>
              <w:rPr>
                <w:rFonts w:cs="Times New Roman"/>
                <w:kern w:val="0"/>
                <w:szCs w:val="21"/>
              </w:rPr>
              <w:t>物料衡算法</w:t>
            </w:r>
          </w:p>
        </w:tc>
        <w:tc>
          <w:tcPr>
            <w:tcW w:w="1129" w:type="dxa"/>
            <w:vAlign w:val="center"/>
          </w:tcPr>
          <w:p>
            <w:pPr>
              <w:pStyle w:val="160"/>
              <w:contextualSpacing/>
              <w:rPr>
                <w:rFonts w:cs="Times New Roman"/>
                <w:bCs/>
                <w:kern w:val="0"/>
                <w:szCs w:val="21"/>
              </w:rPr>
            </w:pPr>
            <w:r>
              <w:rPr>
                <w:rFonts w:cs="Times New Roman"/>
                <w:bCs/>
                <w:kern w:val="0"/>
                <w:szCs w:val="21"/>
              </w:rPr>
              <w:t>1460</w:t>
            </w:r>
          </w:p>
        </w:tc>
        <w:tc>
          <w:tcPr>
            <w:tcW w:w="1902" w:type="dxa"/>
            <w:vAlign w:val="center"/>
          </w:tcPr>
          <w:p>
            <w:pPr>
              <w:pStyle w:val="160"/>
              <w:contextualSpacing/>
              <w:rPr>
                <w:rFonts w:cs="Times New Roman"/>
                <w:bCs/>
                <w:kern w:val="0"/>
                <w:sz w:val="20"/>
              </w:rPr>
            </w:pPr>
            <w:r>
              <w:rPr>
                <w:rFonts w:cs="Times New Roman"/>
                <w:bCs/>
                <w:kern w:val="0"/>
                <w:sz w:val="20"/>
              </w:rPr>
              <w:t>运送至厂址东侧双鸭山市垃圾填埋场</w:t>
            </w:r>
          </w:p>
        </w:tc>
        <w:tc>
          <w:tcPr>
            <w:tcW w:w="1307" w:type="dxa"/>
            <w:vAlign w:val="center"/>
          </w:tcPr>
          <w:p>
            <w:pPr>
              <w:pStyle w:val="160"/>
              <w:contextualSpacing/>
              <w:rPr>
                <w:rFonts w:cs="Times New Roman"/>
                <w:bCs/>
                <w:kern w:val="0"/>
                <w:szCs w:val="21"/>
              </w:rPr>
            </w:pPr>
            <w:r>
              <w:rPr>
                <w:rFonts w:cs="Times New Roman"/>
                <w:bCs/>
                <w:kern w:val="0"/>
                <w:szCs w:val="21"/>
              </w:rPr>
              <w:t>1460</w:t>
            </w:r>
          </w:p>
        </w:tc>
        <w:tc>
          <w:tcPr>
            <w:tcW w:w="1819" w:type="dxa"/>
            <w:vAlign w:val="center"/>
          </w:tcPr>
          <w:p>
            <w:pPr>
              <w:pStyle w:val="160"/>
              <w:contextualSpacing/>
              <w:rPr>
                <w:rFonts w:cs="Times New Roman"/>
                <w:bCs/>
                <w:kern w:val="0"/>
                <w:szCs w:val="21"/>
              </w:rPr>
            </w:pPr>
            <w:r>
              <w:rPr>
                <w:rFonts w:cs="Times New Roman"/>
                <w:bCs/>
                <w:kern w:val="0"/>
                <w:sz w:val="20"/>
              </w:rPr>
              <w:t>运送至厂址东侧双鸭山市</w:t>
            </w:r>
            <w:r>
              <w:rPr>
                <w:rFonts w:hint="eastAsia" w:cs="Times New Roman"/>
                <w:bCs/>
                <w:kern w:val="0"/>
                <w:sz w:val="20"/>
              </w:rPr>
              <w:t>生活垃圾填埋场处理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cantSplit/>
        </w:trPr>
        <w:tc>
          <w:tcPr>
            <w:tcW w:w="1089" w:type="dxa"/>
            <w:vAlign w:val="center"/>
          </w:tcPr>
          <w:p>
            <w:pPr>
              <w:pStyle w:val="160"/>
              <w:contextualSpacing/>
              <w:rPr>
                <w:rFonts w:cs="Times New Roman"/>
                <w:bCs/>
                <w:kern w:val="0"/>
                <w:szCs w:val="21"/>
              </w:rPr>
            </w:pPr>
            <w:r>
              <w:rPr>
                <w:rFonts w:cs="Times New Roman"/>
                <w:bCs/>
                <w:kern w:val="0"/>
                <w:szCs w:val="21"/>
              </w:rPr>
              <w:t>废气处理</w:t>
            </w:r>
          </w:p>
          <w:p>
            <w:pPr>
              <w:pStyle w:val="160"/>
              <w:contextualSpacing/>
              <w:rPr>
                <w:rFonts w:cs="Times New Roman"/>
                <w:bCs/>
                <w:kern w:val="0"/>
                <w:szCs w:val="21"/>
              </w:rPr>
            </w:pPr>
            <w:r>
              <w:rPr>
                <w:rFonts w:cs="Times New Roman"/>
                <w:bCs/>
                <w:kern w:val="0"/>
                <w:szCs w:val="21"/>
              </w:rPr>
              <w:t>过程</w:t>
            </w:r>
          </w:p>
        </w:tc>
        <w:tc>
          <w:tcPr>
            <w:tcW w:w="1404" w:type="dxa"/>
            <w:vAlign w:val="center"/>
          </w:tcPr>
          <w:p>
            <w:pPr>
              <w:pStyle w:val="160"/>
              <w:contextualSpacing/>
              <w:rPr>
                <w:rFonts w:cs="Times New Roman"/>
                <w:bCs/>
                <w:kern w:val="0"/>
                <w:szCs w:val="21"/>
              </w:rPr>
            </w:pPr>
            <w:r>
              <w:rPr>
                <w:rFonts w:cs="Times New Roman"/>
                <w:bCs/>
                <w:kern w:val="0"/>
                <w:szCs w:val="21"/>
              </w:rPr>
              <w:t>废气处理装置</w:t>
            </w:r>
          </w:p>
        </w:tc>
        <w:tc>
          <w:tcPr>
            <w:tcW w:w="1335" w:type="dxa"/>
            <w:vAlign w:val="center"/>
          </w:tcPr>
          <w:p>
            <w:pPr>
              <w:spacing w:line="280" w:lineRule="atLeast"/>
              <w:jc w:val="center"/>
              <w:rPr>
                <w:rFonts w:ascii="Times New Roman" w:hAnsi="Times New Roman"/>
                <w:bCs/>
              </w:rPr>
            </w:pPr>
            <w:r>
              <w:rPr>
                <w:rFonts w:ascii="Times New Roman" w:hAnsi="Times New Roman"/>
              </w:rPr>
              <w:t>废活性炭</w:t>
            </w:r>
          </w:p>
        </w:tc>
        <w:tc>
          <w:tcPr>
            <w:tcW w:w="2126" w:type="dxa"/>
            <w:vAlign w:val="center"/>
          </w:tcPr>
          <w:p>
            <w:pPr>
              <w:pStyle w:val="160"/>
              <w:contextualSpacing/>
              <w:rPr>
                <w:rFonts w:cs="Times New Roman"/>
                <w:bCs/>
                <w:kern w:val="0"/>
                <w:szCs w:val="21"/>
              </w:rPr>
            </w:pPr>
            <w:r>
              <w:rPr>
                <w:rFonts w:cs="Times New Roman"/>
                <w:bCs/>
                <w:kern w:val="0"/>
                <w:szCs w:val="21"/>
              </w:rPr>
              <w:t>HW49其他废物-非特定行业-900-041-49</w:t>
            </w:r>
          </w:p>
        </w:tc>
        <w:tc>
          <w:tcPr>
            <w:tcW w:w="1134" w:type="dxa"/>
            <w:vAlign w:val="center"/>
          </w:tcPr>
          <w:p>
            <w:pPr>
              <w:contextualSpacing/>
              <w:jc w:val="center"/>
              <w:rPr>
                <w:rFonts w:ascii="Times New Roman" w:hAnsi="Times New Roman"/>
                <w:bCs/>
              </w:rPr>
            </w:pPr>
            <w:r>
              <w:rPr>
                <w:rFonts w:ascii="Times New Roman" w:hAnsi="Times New Roman"/>
              </w:rPr>
              <w:t>类比法</w:t>
            </w:r>
          </w:p>
        </w:tc>
        <w:tc>
          <w:tcPr>
            <w:tcW w:w="1129" w:type="dxa"/>
            <w:vAlign w:val="center"/>
          </w:tcPr>
          <w:p>
            <w:pPr>
              <w:pStyle w:val="160"/>
              <w:contextualSpacing/>
              <w:rPr>
                <w:rFonts w:cs="Times New Roman"/>
                <w:bCs/>
                <w:kern w:val="0"/>
                <w:szCs w:val="21"/>
              </w:rPr>
            </w:pPr>
            <w:r>
              <w:rPr>
                <w:rFonts w:cs="Times New Roman"/>
                <w:bCs/>
                <w:kern w:val="0"/>
                <w:szCs w:val="21"/>
              </w:rPr>
              <w:t>0.009</w:t>
            </w:r>
          </w:p>
        </w:tc>
        <w:tc>
          <w:tcPr>
            <w:tcW w:w="1902" w:type="dxa"/>
            <w:vAlign w:val="center"/>
          </w:tcPr>
          <w:p>
            <w:pPr>
              <w:pStyle w:val="160"/>
              <w:contextualSpacing/>
              <w:rPr>
                <w:rFonts w:cs="Times New Roman"/>
                <w:bCs/>
                <w:kern w:val="0"/>
                <w:szCs w:val="21"/>
              </w:rPr>
            </w:pPr>
            <w:r>
              <w:rPr>
                <w:rFonts w:cs="Times New Roman"/>
                <w:bCs/>
                <w:kern w:val="0"/>
                <w:szCs w:val="21"/>
              </w:rPr>
              <w:t>交由黑龙江京盛华环保科技有限公司处置</w:t>
            </w:r>
          </w:p>
        </w:tc>
        <w:tc>
          <w:tcPr>
            <w:tcW w:w="1307" w:type="dxa"/>
            <w:vAlign w:val="center"/>
          </w:tcPr>
          <w:p>
            <w:pPr>
              <w:pStyle w:val="160"/>
              <w:contextualSpacing/>
              <w:rPr>
                <w:rFonts w:cs="Times New Roman"/>
                <w:bCs/>
                <w:kern w:val="0"/>
                <w:szCs w:val="21"/>
              </w:rPr>
            </w:pPr>
            <w:r>
              <w:rPr>
                <w:rFonts w:cs="Times New Roman"/>
                <w:bCs/>
                <w:kern w:val="0"/>
                <w:szCs w:val="21"/>
              </w:rPr>
              <w:t>0.009</w:t>
            </w:r>
          </w:p>
        </w:tc>
        <w:tc>
          <w:tcPr>
            <w:tcW w:w="1819" w:type="dxa"/>
            <w:vAlign w:val="center"/>
          </w:tcPr>
          <w:p>
            <w:pPr>
              <w:pStyle w:val="160"/>
              <w:contextualSpacing/>
              <w:rPr>
                <w:rFonts w:cs="Times New Roman"/>
                <w:bCs/>
                <w:kern w:val="0"/>
                <w:szCs w:val="21"/>
              </w:rPr>
            </w:pPr>
            <w:r>
              <w:rPr>
                <w:rFonts w:cs="Times New Roman"/>
                <w:bCs/>
                <w:kern w:val="0"/>
                <w:szCs w:val="21"/>
              </w:rPr>
              <w:t>交由黑龙江京盛华环保科技有限公司处置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cantSplit/>
        </w:trPr>
        <w:tc>
          <w:tcPr>
            <w:tcW w:w="1089" w:type="dxa"/>
            <w:vAlign w:val="center"/>
          </w:tcPr>
          <w:p>
            <w:pPr>
              <w:pStyle w:val="160"/>
              <w:contextualSpacing/>
              <w:rPr>
                <w:rFonts w:cs="Times New Roman"/>
                <w:bCs/>
                <w:kern w:val="0"/>
                <w:szCs w:val="21"/>
              </w:rPr>
            </w:pPr>
            <w:r>
              <w:rPr>
                <w:rFonts w:cs="Times New Roman"/>
                <w:bCs/>
                <w:kern w:val="0"/>
                <w:szCs w:val="21"/>
              </w:rPr>
              <w:t>污水处理</w:t>
            </w:r>
          </w:p>
        </w:tc>
        <w:tc>
          <w:tcPr>
            <w:tcW w:w="1404" w:type="dxa"/>
            <w:vAlign w:val="center"/>
          </w:tcPr>
          <w:p>
            <w:pPr>
              <w:pStyle w:val="160"/>
              <w:contextualSpacing/>
              <w:rPr>
                <w:rFonts w:cs="Times New Roman"/>
                <w:bCs/>
                <w:kern w:val="0"/>
                <w:szCs w:val="21"/>
              </w:rPr>
            </w:pPr>
            <w:r>
              <w:rPr>
                <w:rFonts w:cs="Times New Roman"/>
                <w:bCs/>
                <w:kern w:val="0"/>
                <w:szCs w:val="21"/>
              </w:rPr>
              <w:t>污水处理间</w:t>
            </w:r>
          </w:p>
        </w:tc>
        <w:tc>
          <w:tcPr>
            <w:tcW w:w="1335" w:type="dxa"/>
            <w:vAlign w:val="center"/>
          </w:tcPr>
          <w:p>
            <w:pPr>
              <w:spacing w:line="280" w:lineRule="atLeast"/>
              <w:jc w:val="center"/>
              <w:rPr>
                <w:rFonts w:ascii="Times New Roman" w:hAnsi="Times New Roman"/>
              </w:rPr>
            </w:pPr>
            <w:r>
              <w:rPr>
                <w:rFonts w:ascii="Times New Roman" w:hAnsi="Times New Roman"/>
              </w:rPr>
              <w:t>污泥</w:t>
            </w:r>
          </w:p>
        </w:tc>
        <w:tc>
          <w:tcPr>
            <w:tcW w:w="2126" w:type="dxa"/>
            <w:vMerge w:val="restart"/>
            <w:vAlign w:val="center"/>
          </w:tcPr>
          <w:p>
            <w:pPr>
              <w:pStyle w:val="160"/>
              <w:contextualSpacing/>
              <w:rPr>
                <w:rFonts w:ascii="仿宋" w:hAnsi="仿宋" w:eastAsia="仿宋" w:cs="仿宋"/>
                <w:kern w:val="0"/>
                <w:szCs w:val="21"/>
              </w:rPr>
            </w:pPr>
            <w:r>
              <w:rPr>
                <w:rFonts w:cs="Times New Roman"/>
                <w:bCs/>
                <w:kern w:val="0"/>
                <w:szCs w:val="21"/>
              </w:rPr>
              <w:t>根据《医疗机构水污染物排放标准》( GB18466-2005 )， 属于危险废物</w:t>
            </w:r>
          </w:p>
        </w:tc>
        <w:tc>
          <w:tcPr>
            <w:tcW w:w="1134" w:type="dxa"/>
            <w:vAlign w:val="center"/>
          </w:tcPr>
          <w:p>
            <w:pPr>
              <w:contextualSpacing/>
              <w:jc w:val="center"/>
              <w:rPr>
                <w:rFonts w:ascii="Times New Roman" w:hAnsi="Times New Roman"/>
              </w:rPr>
            </w:pPr>
            <w:r>
              <w:rPr>
                <w:rFonts w:ascii="Times New Roman" w:hAnsi="Times New Roman"/>
              </w:rPr>
              <w:t>类比法</w:t>
            </w:r>
          </w:p>
        </w:tc>
        <w:tc>
          <w:tcPr>
            <w:tcW w:w="1129" w:type="dxa"/>
            <w:vAlign w:val="center"/>
          </w:tcPr>
          <w:p>
            <w:pPr>
              <w:pStyle w:val="160"/>
              <w:contextualSpacing/>
              <w:rPr>
                <w:rFonts w:cs="Times New Roman"/>
                <w:bCs/>
                <w:kern w:val="0"/>
                <w:szCs w:val="21"/>
              </w:rPr>
            </w:pPr>
            <w:r>
              <w:rPr>
                <w:rFonts w:cs="Times New Roman"/>
                <w:bCs/>
                <w:kern w:val="0"/>
                <w:szCs w:val="21"/>
              </w:rPr>
              <w:t>0.1</w:t>
            </w:r>
          </w:p>
        </w:tc>
        <w:tc>
          <w:tcPr>
            <w:tcW w:w="1902" w:type="dxa"/>
            <w:vAlign w:val="center"/>
          </w:tcPr>
          <w:p>
            <w:pPr>
              <w:pStyle w:val="160"/>
              <w:contextualSpacing/>
              <w:rPr>
                <w:rFonts w:cs="Times New Roman"/>
                <w:bCs/>
                <w:kern w:val="0"/>
                <w:szCs w:val="21"/>
              </w:rPr>
            </w:pPr>
            <w:r>
              <w:rPr>
                <w:rFonts w:cs="Times New Roman"/>
                <w:bCs/>
                <w:kern w:val="0"/>
                <w:szCs w:val="21"/>
              </w:rPr>
              <w:t>交由黑龙江京盛华环保科技有限公司处置</w:t>
            </w:r>
          </w:p>
        </w:tc>
        <w:tc>
          <w:tcPr>
            <w:tcW w:w="1307" w:type="dxa"/>
            <w:vAlign w:val="center"/>
          </w:tcPr>
          <w:p>
            <w:pPr>
              <w:pStyle w:val="160"/>
              <w:contextualSpacing/>
              <w:rPr>
                <w:rFonts w:cs="Times New Roman"/>
                <w:bCs/>
                <w:kern w:val="0"/>
                <w:szCs w:val="21"/>
              </w:rPr>
            </w:pPr>
            <w:r>
              <w:rPr>
                <w:rFonts w:cs="Times New Roman"/>
                <w:bCs/>
                <w:kern w:val="0"/>
                <w:szCs w:val="21"/>
              </w:rPr>
              <w:t>0.1</w:t>
            </w:r>
          </w:p>
        </w:tc>
        <w:tc>
          <w:tcPr>
            <w:tcW w:w="1819" w:type="dxa"/>
            <w:vAlign w:val="center"/>
          </w:tcPr>
          <w:p>
            <w:pPr>
              <w:pStyle w:val="160"/>
              <w:contextualSpacing/>
              <w:rPr>
                <w:rFonts w:cs="Times New Roman"/>
              </w:rPr>
            </w:pPr>
            <w:r>
              <w:rPr>
                <w:rFonts w:cs="Times New Roman"/>
                <w:bCs/>
                <w:kern w:val="0"/>
                <w:szCs w:val="21"/>
              </w:rPr>
              <w:t>交由黑龙江京盛华环保科技有限公司处置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cantSplit/>
        </w:trPr>
        <w:tc>
          <w:tcPr>
            <w:tcW w:w="1089" w:type="dxa"/>
          </w:tcPr>
          <w:p>
            <w:pPr>
              <w:pStyle w:val="160"/>
              <w:contextualSpacing/>
              <w:rPr>
                <w:rFonts w:cs="Times New Roman"/>
                <w:bCs/>
                <w:kern w:val="0"/>
                <w:szCs w:val="21"/>
              </w:rPr>
            </w:pPr>
            <w:r>
              <w:rPr>
                <w:rFonts w:hint="eastAsia"/>
              </w:rPr>
              <w:t>污水处理</w:t>
            </w:r>
          </w:p>
        </w:tc>
        <w:tc>
          <w:tcPr>
            <w:tcW w:w="1404" w:type="dxa"/>
          </w:tcPr>
          <w:p>
            <w:pPr>
              <w:pStyle w:val="160"/>
              <w:contextualSpacing/>
              <w:rPr>
                <w:rFonts w:cs="Times New Roman"/>
                <w:bCs/>
                <w:kern w:val="0"/>
                <w:szCs w:val="21"/>
              </w:rPr>
            </w:pPr>
            <w:r>
              <w:t>污水处理间</w:t>
            </w:r>
          </w:p>
        </w:tc>
        <w:tc>
          <w:tcPr>
            <w:tcW w:w="1335" w:type="dxa"/>
          </w:tcPr>
          <w:p>
            <w:pPr>
              <w:spacing w:line="280" w:lineRule="atLeast"/>
              <w:jc w:val="center"/>
              <w:rPr>
                <w:rFonts w:ascii="Times New Roman" w:hAnsi="Times New Roman"/>
              </w:rPr>
            </w:pPr>
            <w:r>
              <w:t>栅渣</w:t>
            </w:r>
          </w:p>
        </w:tc>
        <w:tc>
          <w:tcPr>
            <w:tcW w:w="2126" w:type="dxa"/>
            <w:vMerge w:val="continue"/>
          </w:tcPr>
          <w:p>
            <w:pPr>
              <w:pStyle w:val="160"/>
              <w:contextualSpacing/>
              <w:rPr>
                <w:rFonts w:cs="Times New Roman"/>
                <w:bCs/>
                <w:kern w:val="0"/>
                <w:szCs w:val="21"/>
              </w:rPr>
            </w:pPr>
          </w:p>
        </w:tc>
        <w:tc>
          <w:tcPr>
            <w:tcW w:w="1134" w:type="dxa"/>
          </w:tcPr>
          <w:p>
            <w:pPr>
              <w:contextualSpacing/>
              <w:jc w:val="center"/>
              <w:rPr>
                <w:rFonts w:ascii="Times New Roman" w:hAnsi="Times New Roman"/>
              </w:rPr>
            </w:pPr>
            <w:r>
              <w:rPr>
                <w:rFonts w:ascii="Times New Roman" w:hAnsi="Times New Roman"/>
              </w:rPr>
              <w:t>类比法</w:t>
            </w:r>
          </w:p>
        </w:tc>
        <w:tc>
          <w:tcPr>
            <w:tcW w:w="1129" w:type="dxa"/>
          </w:tcPr>
          <w:p>
            <w:pPr>
              <w:pStyle w:val="160"/>
              <w:contextualSpacing/>
              <w:rPr>
                <w:rFonts w:cs="Times New Roman"/>
                <w:bCs/>
                <w:kern w:val="0"/>
                <w:szCs w:val="21"/>
              </w:rPr>
            </w:pPr>
            <w:r>
              <w:rPr>
                <w:rFonts w:hint="eastAsia" w:cs="Times New Roman"/>
                <w:bCs/>
                <w:kern w:val="0"/>
                <w:szCs w:val="21"/>
              </w:rPr>
              <w:t>0</w:t>
            </w:r>
            <w:r>
              <w:rPr>
                <w:rFonts w:cs="Times New Roman"/>
                <w:bCs/>
                <w:kern w:val="0"/>
                <w:szCs w:val="21"/>
              </w:rPr>
              <w:t>.1</w:t>
            </w:r>
          </w:p>
        </w:tc>
        <w:tc>
          <w:tcPr>
            <w:tcW w:w="1902" w:type="dxa"/>
          </w:tcPr>
          <w:p>
            <w:pPr>
              <w:pStyle w:val="160"/>
              <w:contextualSpacing/>
              <w:rPr>
                <w:rFonts w:cs="Times New Roman"/>
                <w:bCs/>
                <w:kern w:val="0"/>
                <w:szCs w:val="21"/>
              </w:rPr>
            </w:pPr>
            <w:r>
              <w:rPr>
                <w:rFonts w:hint="eastAsia" w:cs="Times New Roman"/>
                <w:bCs/>
                <w:kern w:val="0"/>
                <w:szCs w:val="21"/>
              </w:rPr>
              <w:t>石灰</w:t>
            </w:r>
            <w:r>
              <w:rPr>
                <w:rFonts w:cs="Times New Roman"/>
                <w:bCs/>
                <w:kern w:val="0"/>
                <w:szCs w:val="21"/>
              </w:rPr>
              <w:t>消毒后在危险废物暂存间内存</w:t>
            </w:r>
            <w:r>
              <w:rPr>
                <w:rFonts w:hint="eastAsia" w:cs="Times New Roman"/>
                <w:bCs/>
                <w:kern w:val="0"/>
                <w:szCs w:val="21"/>
              </w:rPr>
              <w:t>，</w:t>
            </w:r>
            <w:r>
              <w:rPr>
                <w:rFonts w:cs="Times New Roman"/>
                <w:bCs/>
                <w:kern w:val="0"/>
                <w:szCs w:val="21"/>
              </w:rPr>
              <w:t>交由黑龙江京盛华环保科技有限公司处置</w:t>
            </w:r>
          </w:p>
        </w:tc>
        <w:tc>
          <w:tcPr>
            <w:tcW w:w="1307" w:type="dxa"/>
          </w:tcPr>
          <w:p>
            <w:pPr>
              <w:pStyle w:val="160"/>
              <w:contextualSpacing/>
              <w:rPr>
                <w:rFonts w:cs="Times New Roman"/>
                <w:bCs/>
                <w:kern w:val="0"/>
                <w:szCs w:val="21"/>
              </w:rPr>
            </w:pPr>
            <w:r>
              <w:rPr>
                <w:rFonts w:hint="eastAsia" w:cs="Times New Roman"/>
                <w:bCs/>
                <w:kern w:val="0"/>
                <w:szCs w:val="21"/>
              </w:rPr>
              <w:t>0</w:t>
            </w:r>
            <w:r>
              <w:rPr>
                <w:rFonts w:cs="Times New Roman"/>
                <w:bCs/>
                <w:kern w:val="0"/>
                <w:szCs w:val="21"/>
              </w:rPr>
              <w:t>.1</w:t>
            </w:r>
          </w:p>
        </w:tc>
        <w:tc>
          <w:tcPr>
            <w:tcW w:w="1819" w:type="dxa"/>
            <w:vAlign w:val="center"/>
          </w:tcPr>
          <w:p>
            <w:pPr>
              <w:pStyle w:val="160"/>
              <w:contextualSpacing/>
              <w:rPr>
                <w:rFonts w:cs="Times New Roman"/>
                <w:bCs/>
                <w:kern w:val="0"/>
                <w:szCs w:val="21"/>
              </w:rPr>
            </w:pPr>
            <w:r>
              <w:rPr>
                <w:rFonts w:cs="Times New Roman"/>
                <w:bCs/>
                <w:kern w:val="0"/>
                <w:szCs w:val="21"/>
              </w:rPr>
              <w:t>交由黑龙江京盛华环保科技有限公司处置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cantSplit/>
        </w:trPr>
        <w:tc>
          <w:tcPr>
            <w:tcW w:w="1089" w:type="dxa"/>
            <w:vAlign w:val="center"/>
          </w:tcPr>
          <w:p>
            <w:pPr>
              <w:pStyle w:val="160"/>
              <w:contextualSpacing/>
              <w:rPr>
                <w:rFonts w:cs="Times New Roman"/>
                <w:bCs/>
                <w:kern w:val="0"/>
                <w:szCs w:val="21"/>
              </w:rPr>
            </w:pPr>
            <w:r>
              <w:rPr>
                <w:rFonts w:cs="Times New Roman"/>
                <w:bCs/>
                <w:kern w:val="0"/>
                <w:szCs w:val="21"/>
              </w:rPr>
              <w:t>高温干热处理线</w:t>
            </w:r>
          </w:p>
        </w:tc>
        <w:tc>
          <w:tcPr>
            <w:tcW w:w="1404" w:type="dxa"/>
            <w:vAlign w:val="center"/>
          </w:tcPr>
          <w:p>
            <w:pPr>
              <w:pStyle w:val="160"/>
              <w:contextualSpacing/>
              <w:rPr>
                <w:rFonts w:cs="Times New Roman"/>
                <w:bCs/>
                <w:kern w:val="0"/>
                <w:szCs w:val="21"/>
              </w:rPr>
            </w:pPr>
            <w:r>
              <w:rPr>
                <w:rFonts w:cs="Times New Roman"/>
                <w:bCs/>
                <w:kern w:val="0"/>
                <w:szCs w:val="21"/>
              </w:rPr>
              <w:t>导热油炉</w:t>
            </w:r>
          </w:p>
        </w:tc>
        <w:tc>
          <w:tcPr>
            <w:tcW w:w="1335" w:type="dxa"/>
            <w:vAlign w:val="center"/>
          </w:tcPr>
          <w:p>
            <w:pPr>
              <w:spacing w:line="280" w:lineRule="atLeast"/>
              <w:jc w:val="center"/>
              <w:rPr>
                <w:rFonts w:ascii="Times New Roman" w:hAnsi="Times New Roman"/>
                <w:bCs/>
              </w:rPr>
            </w:pPr>
            <w:r>
              <w:rPr>
                <w:rFonts w:ascii="Times New Roman" w:hAnsi="Times New Roman"/>
                <w:bCs/>
              </w:rPr>
              <w:t>废导热油</w:t>
            </w:r>
          </w:p>
        </w:tc>
        <w:tc>
          <w:tcPr>
            <w:tcW w:w="2126" w:type="dxa"/>
            <w:vAlign w:val="center"/>
          </w:tcPr>
          <w:p>
            <w:pPr>
              <w:widowControl/>
              <w:jc w:val="left"/>
              <w:rPr>
                <w:rFonts w:ascii="Times New Roman" w:hAnsi="Times New Roman"/>
                <w:bCs/>
              </w:rPr>
            </w:pPr>
            <w:r>
              <w:rPr>
                <w:rFonts w:ascii="Times New Roman" w:hAnsi="Times New Roman"/>
                <w:bCs/>
              </w:rPr>
              <w:t>HW10</w:t>
            </w:r>
            <w:r>
              <w:rPr>
                <w:rFonts w:hint="eastAsia" w:ascii="Times New Roman" w:hAnsi="Times New Roman"/>
                <w:bCs/>
              </w:rPr>
              <w:t>多（溴）联苯类废物</w:t>
            </w:r>
            <w:r>
              <w:rPr>
                <w:rFonts w:ascii="Times New Roman" w:hAnsi="Times New Roman"/>
                <w:bCs/>
              </w:rPr>
              <w:t>-900-010-10</w:t>
            </w:r>
          </w:p>
        </w:tc>
        <w:tc>
          <w:tcPr>
            <w:tcW w:w="1134" w:type="dxa"/>
            <w:vAlign w:val="center"/>
          </w:tcPr>
          <w:p>
            <w:pPr>
              <w:contextualSpacing/>
              <w:jc w:val="center"/>
              <w:rPr>
                <w:rFonts w:ascii="Times New Roman" w:hAnsi="Times New Roman"/>
              </w:rPr>
            </w:pPr>
            <w:r>
              <w:rPr>
                <w:rFonts w:ascii="Times New Roman" w:hAnsi="Times New Roman"/>
              </w:rPr>
              <w:t>物料衡算法</w:t>
            </w:r>
          </w:p>
        </w:tc>
        <w:tc>
          <w:tcPr>
            <w:tcW w:w="1129" w:type="dxa"/>
            <w:vAlign w:val="center"/>
          </w:tcPr>
          <w:p>
            <w:pPr>
              <w:pStyle w:val="160"/>
              <w:contextualSpacing/>
              <w:rPr>
                <w:rFonts w:cs="Times New Roman"/>
                <w:bCs/>
                <w:kern w:val="0"/>
                <w:szCs w:val="21"/>
              </w:rPr>
            </w:pPr>
            <w:r>
              <w:rPr>
                <w:rFonts w:cs="Times New Roman"/>
                <w:bCs/>
                <w:kern w:val="0"/>
                <w:szCs w:val="21"/>
              </w:rPr>
              <w:t>240L/a</w:t>
            </w:r>
          </w:p>
        </w:tc>
        <w:tc>
          <w:tcPr>
            <w:tcW w:w="1902" w:type="dxa"/>
            <w:vAlign w:val="center"/>
          </w:tcPr>
          <w:p>
            <w:pPr>
              <w:pStyle w:val="160"/>
              <w:contextualSpacing/>
              <w:rPr>
                <w:rFonts w:cs="Times New Roman"/>
                <w:bCs/>
                <w:kern w:val="0"/>
                <w:szCs w:val="21"/>
              </w:rPr>
            </w:pPr>
            <w:r>
              <w:rPr>
                <w:rFonts w:cs="Times New Roman"/>
                <w:bCs/>
                <w:kern w:val="0"/>
                <w:szCs w:val="21"/>
              </w:rPr>
              <w:t>交由黑龙江京盛华环保科技有限公司处置</w:t>
            </w:r>
          </w:p>
        </w:tc>
        <w:tc>
          <w:tcPr>
            <w:tcW w:w="1307" w:type="dxa"/>
            <w:vAlign w:val="center"/>
          </w:tcPr>
          <w:p>
            <w:pPr>
              <w:pStyle w:val="160"/>
              <w:contextualSpacing/>
              <w:rPr>
                <w:rFonts w:cs="Times New Roman"/>
                <w:bCs/>
                <w:kern w:val="0"/>
                <w:szCs w:val="21"/>
              </w:rPr>
            </w:pPr>
            <w:r>
              <w:rPr>
                <w:rFonts w:cs="Times New Roman"/>
                <w:bCs/>
                <w:kern w:val="0"/>
                <w:szCs w:val="21"/>
              </w:rPr>
              <w:t>240L/a</w:t>
            </w:r>
          </w:p>
        </w:tc>
        <w:tc>
          <w:tcPr>
            <w:tcW w:w="1819" w:type="dxa"/>
            <w:vAlign w:val="center"/>
          </w:tcPr>
          <w:p>
            <w:pPr>
              <w:pStyle w:val="160"/>
              <w:contextualSpacing/>
              <w:rPr>
                <w:rFonts w:cs="Times New Roman"/>
              </w:rPr>
            </w:pPr>
            <w:r>
              <w:rPr>
                <w:rFonts w:cs="Times New Roman"/>
                <w:bCs/>
                <w:kern w:val="0"/>
                <w:szCs w:val="21"/>
              </w:rPr>
              <w:t>交由黑龙江京盛华环保科技有限公司处置</w:t>
            </w:r>
          </w:p>
        </w:tc>
      </w:tr>
    </w:tbl>
    <w:p>
      <w:pPr>
        <w:pStyle w:val="155"/>
        <w:ind w:firstLine="0" w:firstLineChars="0"/>
      </w:pPr>
      <w:r>
        <w:rPr>
          <w:rFonts w:hint="eastAsia"/>
        </w:rPr>
        <w:t>废活性炭、污泥、</w:t>
      </w:r>
      <w:r>
        <w:t>栅渣</w:t>
      </w:r>
      <w:r>
        <w:rPr>
          <w:rFonts w:hint="eastAsia"/>
        </w:rPr>
        <w:t>和废导热油暂存于危险废物暂存间，及时</w:t>
      </w:r>
      <w:r>
        <w:rPr>
          <w:szCs w:val="24"/>
        </w:rPr>
        <w:t>及时送往黑龙江京盛华环保科技有限公司进行处理</w:t>
      </w:r>
      <w:r>
        <w:rPr>
          <w:rFonts w:hint="eastAsia"/>
          <w:szCs w:val="24"/>
        </w:rPr>
        <w:t>。危险废物暂存间</w:t>
      </w:r>
      <w:r>
        <w:rPr>
          <w:szCs w:val="24"/>
        </w:rPr>
        <w:t>参照《危险废物贮存污染控制标准》（GB18597-2001）及其修改单的相关要求，基础做防渗，</w:t>
      </w:r>
      <w:r>
        <w:rPr>
          <w:rFonts w:hint="eastAsia"/>
          <w:szCs w:val="24"/>
        </w:rPr>
        <w:t>使得</w:t>
      </w:r>
      <w:r>
        <w:rPr>
          <w:szCs w:val="24"/>
        </w:rPr>
        <w:t>防渗系数≤10</w:t>
      </w:r>
      <w:r>
        <w:rPr>
          <w:szCs w:val="24"/>
          <w:vertAlign w:val="superscript"/>
        </w:rPr>
        <w:t>-10</w:t>
      </w:r>
      <w:r>
        <w:rPr>
          <w:szCs w:val="24"/>
        </w:rPr>
        <w:t>cm/s</w:t>
      </w:r>
      <w:r>
        <w:rPr>
          <w:rFonts w:hint="eastAsia"/>
          <w:szCs w:val="24"/>
        </w:rPr>
        <w:t>，阻断污染地下水、土壤的污染途径。</w:t>
      </w:r>
    </w:p>
    <w:p>
      <w:pPr>
        <w:pStyle w:val="155"/>
        <w:ind w:firstLine="0" w:firstLineChars="0"/>
        <w:sectPr>
          <w:pgSz w:w="16839" w:h="11907" w:orient="landscape"/>
          <w:pgMar w:top="1440" w:right="1797" w:bottom="1440" w:left="1797" w:header="851" w:footer="850" w:gutter="0"/>
          <w:cols w:space="720" w:num="1"/>
          <w:docGrid w:linePitch="312" w:charSpace="0"/>
        </w:sectPr>
      </w:pPr>
    </w:p>
    <w:bookmarkEnd w:id="735"/>
    <w:bookmarkEnd w:id="765"/>
    <w:p>
      <w:pPr>
        <w:widowControl/>
        <w:spacing w:line="480" w:lineRule="exact"/>
        <w:outlineLvl w:val="3"/>
        <w:rPr>
          <w:rFonts w:ascii="Times New Roman" w:hAnsi="Times New Roman" w:eastAsia="黑体"/>
          <w:sz w:val="24"/>
        </w:rPr>
      </w:pPr>
      <w:r>
        <w:rPr>
          <w:rFonts w:ascii="Times New Roman" w:hAnsi="Times New Roman" w:eastAsia="黑体"/>
          <w:sz w:val="24"/>
        </w:rPr>
        <w:t>3.5.2.5.</w:t>
      </w:r>
      <w:r>
        <w:rPr>
          <w:rFonts w:hint="eastAsia" w:ascii="Times New Roman" w:hAnsi="Times New Roman" w:eastAsia="黑体"/>
          <w:sz w:val="24"/>
        </w:rPr>
        <w:t>地下水</w:t>
      </w:r>
    </w:p>
    <w:p>
      <w:pPr>
        <w:pStyle w:val="155"/>
        <w:spacing w:line="480" w:lineRule="exact"/>
        <w:ind w:firstLine="480"/>
      </w:pPr>
      <w:r>
        <w:rPr>
          <w:rFonts w:hint="eastAsia"/>
        </w:rPr>
        <w:t>根据《给水排水构筑物工程施工及验收规范》（</w:t>
      </w:r>
      <w:r>
        <w:t>GB50141-2008），满水试验合格标准为：钢筋混凝土结构水池渗水量不得超过2L/（m2·d），非正常状况下取其10倍计算。</w:t>
      </w:r>
    </w:p>
    <w:p>
      <w:pPr>
        <w:pStyle w:val="155"/>
        <w:spacing w:line="480" w:lineRule="exact"/>
        <w:ind w:firstLine="480"/>
      </w:pPr>
      <w:r>
        <w:t>根据《污染源源强核算技术指南 准则》（HJ884-2018）的内容，本项目废水污染源源强核算结果及相关参数一览表见表3.5-8。</w:t>
      </w:r>
    </w:p>
    <w:p>
      <w:pPr>
        <w:spacing w:line="480" w:lineRule="exact"/>
        <w:jc w:val="center"/>
        <w:rPr>
          <w:rFonts w:ascii="Times New Roman" w:hAnsi="Times New Roman"/>
          <w:b/>
          <w:snapToGrid w:val="0"/>
        </w:rPr>
      </w:pPr>
      <w:r>
        <w:rPr>
          <w:rFonts w:ascii="Times New Roman" w:hAnsi="Times New Roman"/>
          <w:b/>
          <w:snapToGrid w:val="0"/>
        </w:rPr>
        <w:t>表3.5</w:t>
      </w:r>
      <w:r>
        <w:rPr>
          <w:rFonts w:hint="eastAsia" w:ascii="Times New Roman" w:hAnsi="Times New Roman"/>
          <w:b/>
          <w:snapToGrid w:val="0"/>
        </w:rPr>
        <w:t>-</w:t>
      </w:r>
      <w:r>
        <w:rPr>
          <w:rFonts w:ascii="Times New Roman" w:hAnsi="Times New Roman"/>
          <w:b/>
          <w:snapToGrid w:val="0"/>
        </w:rPr>
        <w:t>8 地下水污染源强确定</w:t>
      </w:r>
    </w:p>
    <w:tbl>
      <w:tblPr>
        <w:tblStyle w:val="7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40"/>
        <w:gridCol w:w="1000"/>
        <w:gridCol w:w="1155"/>
        <w:gridCol w:w="1058"/>
        <w:gridCol w:w="1077"/>
        <w:gridCol w:w="1087"/>
        <w:gridCol w:w="1077"/>
        <w:gridCol w:w="97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blHeader/>
        </w:trPr>
        <w:tc>
          <w:tcPr>
            <w:tcW w:w="934" w:type="dxa"/>
            <w:vMerge w:val="restart"/>
            <w:tcMar>
              <w:left w:w="28" w:type="dxa"/>
              <w:right w:w="28" w:type="dxa"/>
            </w:tcMar>
            <w:vAlign w:val="center"/>
          </w:tcPr>
          <w:p>
            <w:pPr>
              <w:widowControl/>
              <w:spacing w:line="280" w:lineRule="exact"/>
              <w:jc w:val="center"/>
              <w:rPr>
                <w:rFonts w:ascii="Times New Roman" w:hAnsi="Times New Roman"/>
                <w:b/>
              </w:rPr>
            </w:pPr>
            <w:r>
              <w:rPr>
                <w:rFonts w:ascii="Times New Roman" w:hAnsi="Times New Roman"/>
                <w:b/>
              </w:rPr>
              <w:t>预测情景</w:t>
            </w:r>
          </w:p>
        </w:tc>
        <w:tc>
          <w:tcPr>
            <w:tcW w:w="993" w:type="dxa"/>
            <w:vMerge w:val="restart"/>
            <w:tcMar>
              <w:left w:w="28" w:type="dxa"/>
              <w:right w:w="28" w:type="dxa"/>
            </w:tcMar>
            <w:vAlign w:val="center"/>
          </w:tcPr>
          <w:p>
            <w:pPr>
              <w:widowControl/>
              <w:spacing w:line="280" w:lineRule="exact"/>
              <w:jc w:val="center"/>
              <w:rPr>
                <w:rFonts w:ascii="Times New Roman" w:hAnsi="Times New Roman"/>
                <w:b/>
              </w:rPr>
            </w:pPr>
            <w:r>
              <w:rPr>
                <w:rFonts w:ascii="Times New Roman" w:hAnsi="Times New Roman"/>
                <w:b/>
              </w:rPr>
              <w:t>渗漏面积</w:t>
            </w:r>
          </w:p>
        </w:tc>
        <w:tc>
          <w:tcPr>
            <w:tcW w:w="1147" w:type="dxa"/>
            <w:vMerge w:val="restart"/>
            <w:tcMar>
              <w:left w:w="28" w:type="dxa"/>
              <w:right w:w="28" w:type="dxa"/>
            </w:tcMar>
            <w:vAlign w:val="center"/>
          </w:tcPr>
          <w:p>
            <w:pPr>
              <w:widowControl/>
              <w:spacing w:line="280" w:lineRule="exact"/>
              <w:jc w:val="center"/>
              <w:rPr>
                <w:rFonts w:ascii="Times New Roman" w:hAnsi="Times New Roman"/>
                <w:b/>
              </w:rPr>
            </w:pPr>
            <w:r>
              <w:rPr>
                <w:rFonts w:ascii="Times New Roman" w:hAnsi="Times New Roman"/>
                <w:b/>
              </w:rPr>
              <w:t>渗漏强度</w:t>
            </w:r>
          </w:p>
        </w:tc>
        <w:tc>
          <w:tcPr>
            <w:tcW w:w="1051" w:type="dxa"/>
            <w:vMerge w:val="restart"/>
            <w:tcMar>
              <w:left w:w="28" w:type="dxa"/>
              <w:right w:w="28" w:type="dxa"/>
            </w:tcMar>
            <w:vAlign w:val="center"/>
          </w:tcPr>
          <w:p>
            <w:pPr>
              <w:widowControl/>
              <w:spacing w:line="280" w:lineRule="exact"/>
              <w:jc w:val="center"/>
              <w:rPr>
                <w:rFonts w:ascii="Times New Roman" w:hAnsi="Times New Roman"/>
                <w:b/>
              </w:rPr>
            </w:pPr>
            <w:r>
              <w:rPr>
                <w:rFonts w:ascii="Times New Roman" w:hAnsi="Times New Roman"/>
                <w:b/>
              </w:rPr>
              <w:t>渗漏量</w:t>
            </w:r>
          </w:p>
        </w:tc>
        <w:tc>
          <w:tcPr>
            <w:tcW w:w="2150" w:type="dxa"/>
            <w:gridSpan w:val="2"/>
            <w:tcMar>
              <w:left w:w="28" w:type="dxa"/>
              <w:right w:w="28" w:type="dxa"/>
            </w:tcMar>
            <w:vAlign w:val="center"/>
          </w:tcPr>
          <w:p>
            <w:pPr>
              <w:widowControl/>
              <w:spacing w:line="280" w:lineRule="exact"/>
              <w:jc w:val="center"/>
              <w:rPr>
                <w:rFonts w:ascii="Times New Roman" w:hAnsi="Times New Roman"/>
                <w:b/>
              </w:rPr>
            </w:pPr>
            <w:r>
              <w:rPr>
                <w:rFonts w:ascii="Times New Roman" w:hAnsi="Times New Roman"/>
                <w:b/>
              </w:rPr>
              <w:t>COD</w:t>
            </w:r>
          </w:p>
        </w:tc>
        <w:tc>
          <w:tcPr>
            <w:tcW w:w="2038" w:type="dxa"/>
            <w:gridSpan w:val="2"/>
            <w:tcMar>
              <w:left w:w="28" w:type="dxa"/>
              <w:right w:w="28" w:type="dxa"/>
            </w:tcMar>
            <w:vAlign w:val="center"/>
          </w:tcPr>
          <w:p>
            <w:pPr>
              <w:widowControl/>
              <w:spacing w:line="280" w:lineRule="exact"/>
              <w:jc w:val="center"/>
              <w:rPr>
                <w:rFonts w:ascii="Times New Roman" w:hAnsi="Times New Roman"/>
                <w:b/>
              </w:rPr>
            </w:pPr>
            <w:r>
              <w:rPr>
                <w:rFonts w:ascii="Times New Roman" w:hAnsi="Times New Roman"/>
                <w:b/>
              </w:rPr>
              <w:t>氨氮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blHeader/>
        </w:trPr>
        <w:tc>
          <w:tcPr>
            <w:tcW w:w="934" w:type="dxa"/>
            <w:vMerge w:val="continue"/>
            <w:tcMar>
              <w:left w:w="28" w:type="dxa"/>
              <w:right w:w="28" w:type="dxa"/>
            </w:tcMar>
            <w:vAlign w:val="center"/>
          </w:tcPr>
          <w:p>
            <w:pPr>
              <w:widowControl/>
              <w:spacing w:line="280" w:lineRule="exact"/>
              <w:jc w:val="center"/>
              <w:rPr>
                <w:rFonts w:ascii="Times New Roman" w:hAnsi="Times New Roman"/>
                <w:b/>
              </w:rPr>
            </w:pPr>
          </w:p>
        </w:tc>
        <w:tc>
          <w:tcPr>
            <w:tcW w:w="993" w:type="dxa"/>
            <w:vMerge w:val="continue"/>
            <w:tcMar>
              <w:left w:w="28" w:type="dxa"/>
              <w:right w:w="28" w:type="dxa"/>
            </w:tcMar>
            <w:vAlign w:val="center"/>
          </w:tcPr>
          <w:p>
            <w:pPr>
              <w:widowControl/>
              <w:spacing w:line="280" w:lineRule="exact"/>
              <w:jc w:val="center"/>
              <w:rPr>
                <w:rFonts w:ascii="Times New Roman" w:hAnsi="Times New Roman"/>
                <w:b/>
              </w:rPr>
            </w:pPr>
          </w:p>
        </w:tc>
        <w:tc>
          <w:tcPr>
            <w:tcW w:w="1147" w:type="dxa"/>
            <w:vMerge w:val="continue"/>
            <w:tcMar>
              <w:left w:w="28" w:type="dxa"/>
              <w:right w:w="28" w:type="dxa"/>
            </w:tcMar>
            <w:vAlign w:val="center"/>
          </w:tcPr>
          <w:p>
            <w:pPr>
              <w:widowControl/>
              <w:spacing w:line="280" w:lineRule="exact"/>
              <w:jc w:val="center"/>
              <w:rPr>
                <w:rFonts w:ascii="Times New Roman" w:hAnsi="Times New Roman"/>
                <w:b/>
              </w:rPr>
            </w:pPr>
          </w:p>
        </w:tc>
        <w:tc>
          <w:tcPr>
            <w:tcW w:w="1051" w:type="dxa"/>
            <w:vMerge w:val="continue"/>
            <w:tcMar>
              <w:left w:w="28" w:type="dxa"/>
              <w:right w:w="28" w:type="dxa"/>
            </w:tcMar>
            <w:vAlign w:val="center"/>
          </w:tcPr>
          <w:p>
            <w:pPr>
              <w:widowControl/>
              <w:spacing w:line="280" w:lineRule="exact"/>
              <w:jc w:val="center"/>
              <w:rPr>
                <w:rFonts w:ascii="Times New Roman" w:hAnsi="Times New Roman"/>
                <w:b/>
              </w:rPr>
            </w:pPr>
          </w:p>
        </w:tc>
        <w:tc>
          <w:tcPr>
            <w:tcW w:w="1070" w:type="dxa"/>
            <w:tcMar>
              <w:left w:w="28" w:type="dxa"/>
              <w:right w:w="28" w:type="dxa"/>
            </w:tcMar>
            <w:vAlign w:val="center"/>
          </w:tcPr>
          <w:p>
            <w:pPr>
              <w:widowControl/>
              <w:spacing w:line="280" w:lineRule="exact"/>
              <w:jc w:val="center"/>
              <w:rPr>
                <w:rFonts w:ascii="Times New Roman" w:hAnsi="Times New Roman"/>
                <w:b/>
              </w:rPr>
            </w:pPr>
            <w:r>
              <w:rPr>
                <w:rFonts w:ascii="Times New Roman" w:hAnsi="Times New Roman"/>
                <w:b/>
              </w:rPr>
              <w:t>进水水质</w:t>
            </w:r>
          </w:p>
        </w:tc>
        <w:tc>
          <w:tcPr>
            <w:tcW w:w="1080" w:type="dxa"/>
            <w:tcMar>
              <w:left w:w="28" w:type="dxa"/>
              <w:right w:w="28" w:type="dxa"/>
            </w:tcMar>
            <w:vAlign w:val="center"/>
          </w:tcPr>
          <w:p>
            <w:pPr>
              <w:widowControl/>
              <w:spacing w:line="280" w:lineRule="exact"/>
              <w:jc w:val="center"/>
              <w:rPr>
                <w:rFonts w:ascii="Times New Roman" w:hAnsi="Times New Roman"/>
                <w:b/>
              </w:rPr>
            </w:pPr>
            <w:r>
              <w:rPr>
                <w:rFonts w:ascii="Times New Roman" w:hAnsi="Times New Roman"/>
                <w:b/>
              </w:rPr>
              <w:t>污染物质量</w:t>
            </w:r>
          </w:p>
        </w:tc>
        <w:tc>
          <w:tcPr>
            <w:tcW w:w="1070" w:type="dxa"/>
            <w:tcMar>
              <w:left w:w="28" w:type="dxa"/>
              <w:right w:w="28" w:type="dxa"/>
            </w:tcMar>
            <w:vAlign w:val="center"/>
          </w:tcPr>
          <w:p>
            <w:pPr>
              <w:widowControl/>
              <w:spacing w:line="280" w:lineRule="exact"/>
              <w:jc w:val="center"/>
              <w:rPr>
                <w:rFonts w:ascii="Times New Roman" w:hAnsi="Times New Roman"/>
                <w:b/>
              </w:rPr>
            </w:pPr>
            <w:r>
              <w:rPr>
                <w:rFonts w:ascii="Times New Roman" w:hAnsi="Times New Roman"/>
                <w:b/>
              </w:rPr>
              <w:t>进水水质</w:t>
            </w:r>
          </w:p>
        </w:tc>
        <w:tc>
          <w:tcPr>
            <w:tcW w:w="968" w:type="dxa"/>
            <w:tcMar>
              <w:left w:w="28" w:type="dxa"/>
              <w:right w:w="28" w:type="dxa"/>
            </w:tcMar>
            <w:vAlign w:val="center"/>
          </w:tcPr>
          <w:p>
            <w:pPr>
              <w:widowControl/>
              <w:spacing w:line="280" w:lineRule="exact"/>
              <w:jc w:val="center"/>
              <w:rPr>
                <w:rFonts w:ascii="Times New Roman" w:hAnsi="Times New Roman"/>
                <w:b/>
              </w:rPr>
            </w:pPr>
            <w:r>
              <w:rPr>
                <w:rFonts w:ascii="Times New Roman" w:hAnsi="Times New Roman"/>
                <w:b/>
              </w:rPr>
              <w:t>污染物质量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blHeader/>
        </w:trPr>
        <w:tc>
          <w:tcPr>
            <w:tcW w:w="934" w:type="dxa"/>
            <w:vMerge w:val="continue"/>
            <w:tcMar>
              <w:left w:w="28" w:type="dxa"/>
              <w:right w:w="28" w:type="dxa"/>
            </w:tcMar>
            <w:vAlign w:val="center"/>
          </w:tcPr>
          <w:p>
            <w:pPr>
              <w:widowControl/>
              <w:spacing w:line="280" w:lineRule="exact"/>
              <w:jc w:val="center"/>
              <w:rPr>
                <w:rFonts w:ascii="Times New Roman" w:hAnsi="Times New Roman"/>
              </w:rPr>
            </w:pPr>
          </w:p>
        </w:tc>
        <w:tc>
          <w:tcPr>
            <w:tcW w:w="993" w:type="dxa"/>
            <w:tcMar>
              <w:left w:w="28" w:type="dxa"/>
              <w:right w:w="28" w:type="dxa"/>
            </w:tcMar>
            <w:vAlign w:val="center"/>
          </w:tcPr>
          <w:p>
            <w:pPr>
              <w:widowControl/>
              <w:spacing w:line="280" w:lineRule="exact"/>
              <w:jc w:val="center"/>
              <w:rPr>
                <w:rFonts w:ascii="Times New Roman" w:hAnsi="Times New Roman"/>
              </w:rPr>
            </w:pPr>
            <w:r>
              <w:rPr>
                <w:rFonts w:ascii="Times New Roman" w:hAnsi="Times New Roman"/>
              </w:rPr>
              <w:t>m</w:t>
            </w:r>
            <w:r>
              <w:rPr>
                <w:rFonts w:ascii="Times New Roman" w:hAnsi="Times New Roman"/>
                <w:vertAlign w:val="superscript"/>
              </w:rPr>
              <w:t>2</w:t>
            </w:r>
          </w:p>
        </w:tc>
        <w:tc>
          <w:tcPr>
            <w:tcW w:w="1147" w:type="dxa"/>
            <w:tcMar>
              <w:left w:w="28" w:type="dxa"/>
              <w:right w:w="28" w:type="dxa"/>
            </w:tcMar>
            <w:vAlign w:val="center"/>
          </w:tcPr>
          <w:p>
            <w:pPr>
              <w:widowControl/>
              <w:spacing w:line="280" w:lineRule="exact"/>
              <w:jc w:val="center"/>
              <w:rPr>
                <w:rFonts w:ascii="Times New Roman" w:hAnsi="Times New Roman"/>
              </w:rPr>
            </w:pPr>
            <w:r>
              <w:rPr>
                <w:rFonts w:ascii="Times New Roman" w:hAnsi="Times New Roman"/>
              </w:rPr>
              <w:t>L/m</w:t>
            </w:r>
            <w:r>
              <w:rPr>
                <w:rFonts w:ascii="Times New Roman" w:hAnsi="Times New Roman"/>
                <w:vertAlign w:val="superscript"/>
              </w:rPr>
              <w:t>2</w:t>
            </w:r>
            <w:r>
              <w:rPr>
                <w:rFonts w:ascii="Times New Roman" w:hAnsi="Times New Roman"/>
              </w:rPr>
              <w:t>·d</w:t>
            </w:r>
          </w:p>
        </w:tc>
        <w:tc>
          <w:tcPr>
            <w:tcW w:w="1051" w:type="dxa"/>
            <w:tcMar>
              <w:left w:w="28" w:type="dxa"/>
              <w:right w:w="28" w:type="dxa"/>
            </w:tcMar>
            <w:vAlign w:val="center"/>
          </w:tcPr>
          <w:p>
            <w:pPr>
              <w:widowControl/>
              <w:spacing w:line="280" w:lineRule="exact"/>
              <w:jc w:val="center"/>
              <w:rPr>
                <w:rFonts w:ascii="Times New Roman" w:hAnsi="Times New Roman"/>
              </w:rPr>
            </w:pPr>
            <w:r>
              <w:rPr>
                <w:rFonts w:ascii="Times New Roman" w:hAnsi="Times New Roman"/>
              </w:rPr>
              <w:t>L/d</w:t>
            </w:r>
          </w:p>
        </w:tc>
        <w:tc>
          <w:tcPr>
            <w:tcW w:w="1070" w:type="dxa"/>
            <w:tcMar>
              <w:left w:w="28" w:type="dxa"/>
              <w:right w:w="28" w:type="dxa"/>
            </w:tcMar>
            <w:vAlign w:val="center"/>
          </w:tcPr>
          <w:p>
            <w:pPr>
              <w:widowControl/>
              <w:spacing w:line="280" w:lineRule="exact"/>
              <w:jc w:val="center"/>
              <w:rPr>
                <w:rFonts w:ascii="Times New Roman" w:hAnsi="Times New Roman"/>
              </w:rPr>
            </w:pPr>
            <w:r>
              <w:rPr>
                <w:rFonts w:ascii="Times New Roman" w:hAnsi="Times New Roman"/>
              </w:rPr>
              <w:t>mg/L</w:t>
            </w:r>
          </w:p>
        </w:tc>
        <w:tc>
          <w:tcPr>
            <w:tcW w:w="1080" w:type="dxa"/>
            <w:tcMar>
              <w:left w:w="28" w:type="dxa"/>
              <w:right w:w="28" w:type="dxa"/>
            </w:tcMar>
            <w:vAlign w:val="center"/>
          </w:tcPr>
          <w:p>
            <w:pPr>
              <w:widowControl/>
              <w:spacing w:line="280" w:lineRule="exact"/>
              <w:jc w:val="center"/>
              <w:rPr>
                <w:rFonts w:ascii="Times New Roman" w:hAnsi="Times New Roman"/>
              </w:rPr>
            </w:pPr>
            <w:r>
              <w:rPr>
                <w:rFonts w:ascii="Times New Roman" w:hAnsi="Times New Roman"/>
              </w:rPr>
              <w:t>g/d</w:t>
            </w:r>
          </w:p>
        </w:tc>
        <w:tc>
          <w:tcPr>
            <w:tcW w:w="1070" w:type="dxa"/>
            <w:tcMar>
              <w:left w:w="28" w:type="dxa"/>
              <w:right w:w="28" w:type="dxa"/>
            </w:tcMar>
            <w:vAlign w:val="center"/>
          </w:tcPr>
          <w:p>
            <w:pPr>
              <w:widowControl/>
              <w:spacing w:line="280" w:lineRule="exact"/>
              <w:jc w:val="center"/>
              <w:rPr>
                <w:rFonts w:ascii="Times New Roman" w:hAnsi="Times New Roman"/>
              </w:rPr>
            </w:pPr>
            <w:r>
              <w:rPr>
                <w:rFonts w:ascii="Times New Roman" w:hAnsi="Times New Roman"/>
              </w:rPr>
              <w:t>mg/L</w:t>
            </w:r>
          </w:p>
        </w:tc>
        <w:tc>
          <w:tcPr>
            <w:tcW w:w="968" w:type="dxa"/>
            <w:tcMar>
              <w:left w:w="28" w:type="dxa"/>
              <w:right w:w="28" w:type="dxa"/>
            </w:tcMar>
            <w:vAlign w:val="center"/>
          </w:tcPr>
          <w:p>
            <w:pPr>
              <w:widowControl/>
              <w:spacing w:line="280" w:lineRule="exact"/>
              <w:jc w:val="center"/>
              <w:rPr>
                <w:rFonts w:ascii="Times New Roman" w:hAnsi="Times New Roman"/>
              </w:rPr>
            </w:pPr>
            <w:r>
              <w:rPr>
                <w:rFonts w:ascii="Times New Roman" w:hAnsi="Times New Roman"/>
              </w:rPr>
              <w:t>g/d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tblHeader/>
        </w:trPr>
        <w:tc>
          <w:tcPr>
            <w:tcW w:w="934" w:type="dxa"/>
            <w:tcMar>
              <w:left w:w="28" w:type="dxa"/>
              <w:right w:w="28" w:type="dxa"/>
            </w:tcMar>
            <w:vAlign w:val="center"/>
          </w:tcPr>
          <w:p>
            <w:pPr>
              <w:widowControl/>
              <w:spacing w:line="280" w:lineRule="exact"/>
              <w:jc w:val="center"/>
              <w:rPr>
                <w:rFonts w:ascii="Times New Roman" w:hAnsi="Times New Roman"/>
              </w:rPr>
            </w:pPr>
            <w:r>
              <w:rPr>
                <w:rFonts w:ascii="Times New Roman" w:hAnsi="Times New Roman"/>
              </w:rPr>
              <w:t>正常状况</w:t>
            </w:r>
          </w:p>
        </w:tc>
        <w:tc>
          <w:tcPr>
            <w:tcW w:w="993" w:type="dxa"/>
            <w:tcMar>
              <w:left w:w="28" w:type="dxa"/>
              <w:right w:w="28" w:type="dxa"/>
            </w:tcMar>
            <w:vAlign w:val="center"/>
          </w:tcPr>
          <w:p>
            <w:pPr>
              <w:widowControl/>
              <w:spacing w:line="280" w:lineRule="exact"/>
              <w:jc w:val="center"/>
              <w:rPr>
                <w:rFonts w:ascii="Times New Roman" w:hAnsi="Times New Roman"/>
              </w:rPr>
            </w:pPr>
            <w:r>
              <w:rPr>
                <w:rFonts w:ascii="Times New Roman" w:hAnsi="Times New Roman"/>
              </w:rPr>
              <w:t>115</w:t>
            </w:r>
          </w:p>
        </w:tc>
        <w:tc>
          <w:tcPr>
            <w:tcW w:w="1147" w:type="dxa"/>
            <w:tcMar>
              <w:left w:w="28" w:type="dxa"/>
              <w:right w:w="28" w:type="dxa"/>
            </w:tcMar>
            <w:vAlign w:val="center"/>
          </w:tcPr>
          <w:p>
            <w:pPr>
              <w:widowControl/>
              <w:spacing w:line="280" w:lineRule="exact"/>
              <w:jc w:val="center"/>
              <w:rPr>
                <w:rFonts w:ascii="Times New Roman" w:hAnsi="Times New Roman"/>
              </w:rPr>
            </w:pPr>
            <w:r>
              <w:rPr>
                <w:rFonts w:ascii="Times New Roman" w:hAnsi="Times New Roman"/>
              </w:rPr>
              <w:t>2</w:t>
            </w:r>
          </w:p>
        </w:tc>
        <w:tc>
          <w:tcPr>
            <w:tcW w:w="1051" w:type="dxa"/>
            <w:tcMar>
              <w:left w:w="28" w:type="dxa"/>
              <w:right w:w="28" w:type="dxa"/>
            </w:tcMar>
            <w:vAlign w:val="center"/>
          </w:tcPr>
          <w:p>
            <w:pPr>
              <w:widowControl/>
              <w:spacing w:line="280" w:lineRule="exact"/>
              <w:jc w:val="center"/>
              <w:rPr>
                <w:rFonts w:ascii="Times New Roman" w:hAnsi="Times New Roman"/>
              </w:rPr>
            </w:pPr>
            <w:r>
              <w:rPr>
                <w:rFonts w:ascii="Times New Roman" w:hAnsi="Times New Roman"/>
              </w:rPr>
              <w:t>230</w:t>
            </w:r>
          </w:p>
        </w:tc>
        <w:tc>
          <w:tcPr>
            <w:tcW w:w="1070" w:type="dxa"/>
            <w:tcMar>
              <w:left w:w="28" w:type="dxa"/>
              <w:right w:w="28" w:type="dxa"/>
            </w:tcMar>
            <w:vAlign w:val="center"/>
          </w:tcPr>
          <w:p>
            <w:pPr>
              <w:widowControl/>
              <w:spacing w:line="280" w:lineRule="exact"/>
              <w:jc w:val="center"/>
              <w:rPr>
                <w:rFonts w:ascii="Times New Roman" w:hAnsi="Times New Roman"/>
              </w:rPr>
            </w:pPr>
            <w:r>
              <w:rPr>
                <w:rFonts w:ascii="Times New Roman" w:hAnsi="Times New Roman"/>
              </w:rPr>
              <w:t>450</w:t>
            </w:r>
          </w:p>
        </w:tc>
        <w:tc>
          <w:tcPr>
            <w:tcW w:w="1080" w:type="dxa"/>
            <w:tcMar>
              <w:left w:w="28" w:type="dxa"/>
              <w:right w:w="28" w:type="dxa"/>
            </w:tcMar>
            <w:vAlign w:val="center"/>
          </w:tcPr>
          <w:p>
            <w:pPr>
              <w:widowControl/>
              <w:spacing w:line="280" w:lineRule="exact"/>
              <w:jc w:val="center"/>
              <w:rPr>
                <w:rFonts w:ascii="Times New Roman" w:hAnsi="Times New Roman"/>
              </w:rPr>
            </w:pPr>
            <w:r>
              <w:rPr>
                <w:rFonts w:ascii="Times New Roman" w:hAnsi="Times New Roman"/>
              </w:rPr>
              <w:t>103.5</w:t>
            </w:r>
          </w:p>
        </w:tc>
        <w:tc>
          <w:tcPr>
            <w:tcW w:w="1070" w:type="dxa"/>
            <w:tcMar>
              <w:left w:w="28" w:type="dxa"/>
              <w:right w:w="28" w:type="dxa"/>
            </w:tcMar>
            <w:vAlign w:val="center"/>
          </w:tcPr>
          <w:p>
            <w:pPr>
              <w:widowControl/>
              <w:spacing w:line="280" w:lineRule="exact"/>
              <w:jc w:val="center"/>
              <w:rPr>
                <w:rFonts w:ascii="Times New Roman" w:hAnsi="Times New Roman"/>
              </w:rPr>
            </w:pPr>
            <w:r>
              <w:rPr>
                <w:rFonts w:ascii="Times New Roman" w:hAnsi="Times New Roman"/>
              </w:rPr>
              <w:t>30</w:t>
            </w:r>
          </w:p>
        </w:tc>
        <w:tc>
          <w:tcPr>
            <w:tcW w:w="968" w:type="dxa"/>
            <w:tcMar>
              <w:left w:w="28" w:type="dxa"/>
              <w:right w:w="28" w:type="dxa"/>
            </w:tcMar>
            <w:vAlign w:val="center"/>
          </w:tcPr>
          <w:p>
            <w:pPr>
              <w:widowControl/>
              <w:spacing w:line="280" w:lineRule="exact"/>
              <w:jc w:val="center"/>
              <w:rPr>
                <w:rFonts w:ascii="Times New Roman" w:hAnsi="Times New Roman"/>
              </w:rPr>
            </w:pPr>
            <w:r>
              <w:rPr>
                <w:rFonts w:ascii="Times New Roman" w:hAnsi="Times New Roman"/>
              </w:rPr>
              <w:t>6.9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blHeader/>
        </w:trPr>
        <w:tc>
          <w:tcPr>
            <w:tcW w:w="934" w:type="dxa"/>
            <w:tcMar>
              <w:left w:w="28" w:type="dxa"/>
              <w:right w:w="28" w:type="dxa"/>
            </w:tcMar>
            <w:vAlign w:val="center"/>
          </w:tcPr>
          <w:p>
            <w:pPr>
              <w:widowControl/>
              <w:spacing w:line="280" w:lineRule="exact"/>
              <w:jc w:val="center"/>
              <w:rPr>
                <w:rFonts w:ascii="Times New Roman" w:hAnsi="Times New Roman"/>
              </w:rPr>
            </w:pPr>
            <w:r>
              <w:rPr>
                <w:rFonts w:ascii="Times New Roman" w:hAnsi="Times New Roman"/>
              </w:rPr>
              <w:t>非正常状况</w:t>
            </w:r>
          </w:p>
        </w:tc>
        <w:tc>
          <w:tcPr>
            <w:tcW w:w="993" w:type="dxa"/>
            <w:tcMar>
              <w:left w:w="28" w:type="dxa"/>
              <w:right w:w="28" w:type="dxa"/>
            </w:tcMar>
            <w:vAlign w:val="center"/>
          </w:tcPr>
          <w:p>
            <w:pPr>
              <w:widowControl/>
              <w:spacing w:line="280" w:lineRule="exact"/>
              <w:jc w:val="center"/>
              <w:rPr>
                <w:rFonts w:ascii="Times New Roman" w:hAnsi="Times New Roman"/>
              </w:rPr>
            </w:pPr>
            <w:r>
              <w:rPr>
                <w:rFonts w:ascii="Times New Roman" w:hAnsi="Times New Roman"/>
              </w:rPr>
              <w:t>115</w:t>
            </w:r>
          </w:p>
        </w:tc>
        <w:tc>
          <w:tcPr>
            <w:tcW w:w="1147" w:type="dxa"/>
            <w:tcMar>
              <w:left w:w="28" w:type="dxa"/>
              <w:right w:w="28" w:type="dxa"/>
            </w:tcMar>
            <w:vAlign w:val="center"/>
          </w:tcPr>
          <w:p>
            <w:pPr>
              <w:widowControl/>
              <w:spacing w:line="280" w:lineRule="exact"/>
              <w:jc w:val="center"/>
              <w:rPr>
                <w:rFonts w:ascii="Times New Roman" w:hAnsi="Times New Roman"/>
              </w:rPr>
            </w:pPr>
            <w:r>
              <w:rPr>
                <w:rFonts w:ascii="Times New Roman" w:hAnsi="Times New Roman"/>
              </w:rPr>
              <w:t>20</w:t>
            </w:r>
          </w:p>
        </w:tc>
        <w:tc>
          <w:tcPr>
            <w:tcW w:w="1051" w:type="dxa"/>
            <w:tcMar>
              <w:left w:w="28" w:type="dxa"/>
              <w:right w:w="28" w:type="dxa"/>
            </w:tcMar>
            <w:vAlign w:val="center"/>
          </w:tcPr>
          <w:p>
            <w:pPr>
              <w:widowControl/>
              <w:spacing w:line="280" w:lineRule="exact"/>
              <w:jc w:val="center"/>
              <w:rPr>
                <w:rFonts w:ascii="Times New Roman" w:hAnsi="Times New Roman"/>
              </w:rPr>
            </w:pPr>
            <w:r>
              <w:rPr>
                <w:rFonts w:ascii="Times New Roman" w:hAnsi="Times New Roman"/>
              </w:rPr>
              <w:t>2300</w:t>
            </w:r>
          </w:p>
        </w:tc>
        <w:tc>
          <w:tcPr>
            <w:tcW w:w="1070" w:type="dxa"/>
            <w:tcMar>
              <w:left w:w="28" w:type="dxa"/>
              <w:right w:w="28" w:type="dxa"/>
            </w:tcMar>
            <w:vAlign w:val="center"/>
          </w:tcPr>
          <w:p>
            <w:pPr>
              <w:widowControl/>
              <w:spacing w:line="280" w:lineRule="exact"/>
              <w:jc w:val="center"/>
              <w:rPr>
                <w:rFonts w:ascii="Times New Roman" w:hAnsi="Times New Roman"/>
              </w:rPr>
            </w:pPr>
            <w:r>
              <w:rPr>
                <w:rFonts w:ascii="Times New Roman" w:hAnsi="Times New Roman"/>
              </w:rPr>
              <w:t>450</w:t>
            </w:r>
          </w:p>
        </w:tc>
        <w:tc>
          <w:tcPr>
            <w:tcW w:w="1080" w:type="dxa"/>
            <w:tcMar>
              <w:left w:w="28" w:type="dxa"/>
              <w:right w:w="28" w:type="dxa"/>
            </w:tcMar>
            <w:vAlign w:val="center"/>
          </w:tcPr>
          <w:p>
            <w:pPr>
              <w:widowControl/>
              <w:spacing w:line="280" w:lineRule="exact"/>
              <w:jc w:val="center"/>
              <w:rPr>
                <w:rFonts w:ascii="Times New Roman" w:hAnsi="Times New Roman"/>
              </w:rPr>
            </w:pPr>
            <w:r>
              <w:rPr>
                <w:rFonts w:ascii="Times New Roman" w:hAnsi="Times New Roman"/>
              </w:rPr>
              <w:t>1035</w:t>
            </w:r>
          </w:p>
        </w:tc>
        <w:tc>
          <w:tcPr>
            <w:tcW w:w="1070" w:type="dxa"/>
            <w:tcMar>
              <w:left w:w="28" w:type="dxa"/>
              <w:right w:w="28" w:type="dxa"/>
            </w:tcMar>
            <w:vAlign w:val="center"/>
          </w:tcPr>
          <w:p>
            <w:pPr>
              <w:widowControl/>
              <w:spacing w:line="280" w:lineRule="exact"/>
              <w:jc w:val="center"/>
              <w:rPr>
                <w:rFonts w:ascii="Times New Roman" w:hAnsi="Times New Roman"/>
              </w:rPr>
            </w:pPr>
            <w:r>
              <w:rPr>
                <w:rFonts w:ascii="Times New Roman" w:hAnsi="Times New Roman"/>
              </w:rPr>
              <w:t>30</w:t>
            </w:r>
          </w:p>
        </w:tc>
        <w:tc>
          <w:tcPr>
            <w:tcW w:w="968" w:type="dxa"/>
            <w:tcMar>
              <w:left w:w="28" w:type="dxa"/>
              <w:right w:w="28" w:type="dxa"/>
            </w:tcMar>
            <w:vAlign w:val="center"/>
          </w:tcPr>
          <w:p>
            <w:pPr>
              <w:widowControl/>
              <w:spacing w:line="280" w:lineRule="exact"/>
              <w:jc w:val="center"/>
              <w:rPr>
                <w:rFonts w:ascii="Times New Roman" w:hAnsi="Times New Roman"/>
              </w:rPr>
            </w:pPr>
            <w:r>
              <w:rPr>
                <w:rFonts w:ascii="Times New Roman" w:hAnsi="Times New Roman"/>
              </w:rPr>
              <w:t>69</w:t>
            </w:r>
          </w:p>
        </w:tc>
      </w:tr>
    </w:tbl>
    <w:p>
      <w:pPr>
        <w:widowControl/>
        <w:spacing w:line="480" w:lineRule="exact"/>
        <w:outlineLvl w:val="3"/>
        <w:rPr>
          <w:rFonts w:ascii="Times New Roman" w:hAnsi="Times New Roman" w:eastAsia="黑体"/>
          <w:sz w:val="24"/>
        </w:rPr>
      </w:pPr>
      <w:r>
        <w:rPr>
          <w:rFonts w:ascii="Times New Roman" w:hAnsi="Times New Roman" w:eastAsia="黑体"/>
          <w:sz w:val="24"/>
        </w:rPr>
        <w:t>3.5.2.6.</w:t>
      </w:r>
      <w:r>
        <w:rPr>
          <w:rFonts w:hint="eastAsia" w:ascii="Times New Roman" w:hAnsi="Times New Roman" w:eastAsia="黑体"/>
          <w:sz w:val="24"/>
        </w:rPr>
        <w:t>土壤</w:t>
      </w:r>
    </w:p>
    <w:p>
      <w:pPr>
        <w:pStyle w:val="155"/>
        <w:spacing w:line="480" w:lineRule="exact"/>
        <w:ind w:firstLine="480"/>
      </w:pPr>
      <w:r>
        <w:rPr>
          <w:rFonts w:hint="eastAsia"/>
        </w:rPr>
        <w:t>本项目对土壤的影响主要为高温干热过程产生的废水未及时收集、地面未及时清洗而造成的垂直入渗对土壤影响；医疗废物储存过程中出现泄漏造成的垂直入渗对土壤影响。</w:t>
      </w:r>
    </w:p>
    <w:p>
      <w:pPr>
        <w:pStyle w:val="155"/>
        <w:spacing w:line="480" w:lineRule="exact"/>
        <w:ind w:firstLine="480"/>
      </w:pPr>
    </w:p>
    <w:p>
      <w:pPr>
        <w:pStyle w:val="155"/>
        <w:spacing w:line="480" w:lineRule="exact"/>
        <w:ind w:firstLine="0" w:firstLineChars="0"/>
        <w:rPr>
          <w:kern w:val="0"/>
          <w:szCs w:val="24"/>
        </w:rPr>
        <w:sectPr>
          <w:pgSz w:w="11907" w:h="16839"/>
          <w:pgMar w:top="1440" w:right="1797" w:bottom="1440" w:left="1797" w:header="851" w:footer="850" w:gutter="0"/>
          <w:cols w:space="720" w:num="1"/>
          <w:docGrid w:linePitch="312" w:charSpace="0"/>
        </w:sectPr>
      </w:pPr>
    </w:p>
    <w:p>
      <w:pPr>
        <w:pStyle w:val="155"/>
        <w:spacing w:line="480" w:lineRule="exact"/>
        <w:ind w:firstLine="0" w:firstLineChars="0"/>
      </w:pPr>
    </w:p>
    <w:p>
      <w:pPr>
        <w:pStyle w:val="3"/>
        <w:spacing w:before="120" w:beforeLines="50" w:after="120" w:afterLines="50" w:line="480" w:lineRule="exact"/>
        <w:ind w:left="-11"/>
        <w:rPr>
          <w:rFonts w:ascii="Times New Roman" w:hAnsi="Times New Roman" w:eastAsia="黑体"/>
          <w:sz w:val="30"/>
          <w:szCs w:val="30"/>
        </w:rPr>
      </w:pPr>
      <w:bookmarkStart w:id="766" w:name="_Toc116379708"/>
      <w:r>
        <w:rPr>
          <w:rFonts w:ascii="Times New Roman" w:hAnsi="Times New Roman" w:eastAsia="黑体"/>
          <w:sz w:val="30"/>
          <w:szCs w:val="30"/>
        </w:rPr>
        <w:t>环境风险识别</w:t>
      </w:r>
      <w:bookmarkEnd w:id="766"/>
    </w:p>
    <w:p>
      <w:pPr>
        <w:pStyle w:val="4"/>
        <w:spacing w:before="120" w:beforeLines="50" w:after="120" w:afterLines="50" w:line="480" w:lineRule="exact"/>
        <w:rPr>
          <w:rFonts w:ascii="Times New Roman" w:hAnsi="Times New Roman" w:eastAsia="黑体"/>
          <w:bCs/>
          <w:sz w:val="28"/>
          <w:szCs w:val="28"/>
        </w:rPr>
      </w:pPr>
      <w:bookmarkStart w:id="767" w:name="_Toc20213"/>
      <w:bookmarkStart w:id="768" w:name="_Toc1075"/>
      <w:bookmarkStart w:id="769" w:name="_Toc21619"/>
      <w:r>
        <w:rPr>
          <w:rFonts w:ascii="Times New Roman" w:hAnsi="Times New Roman" w:eastAsia="黑体"/>
          <w:bCs/>
          <w:sz w:val="28"/>
          <w:szCs w:val="28"/>
        </w:rPr>
        <w:t>风险调查</w:t>
      </w:r>
      <w:bookmarkEnd w:id="767"/>
      <w:bookmarkEnd w:id="768"/>
      <w:bookmarkEnd w:id="769"/>
    </w:p>
    <w:p>
      <w:pPr>
        <w:widowControl/>
        <w:spacing w:line="480" w:lineRule="exact"/>
        <w:outlineLvl w:val="3"/>
        <w:rPr>
          <w:rFonts w:ascii="Times New Roman" w:hAnsi="Times New Roman" w:eastAsia="黑体"/>
          <w:sz w:val="24"/>
        </w:rPr>
      </w:pPr>
      <w:r>
        <w:rPr>
          <w:rFonts w:ascii="Times New Roman" w:hAnsi="Times New Roman" w:eastAsia="黑体"/>
          <w:sz w:val="24"/>
        </w:rPr>
        <w:t>3.6.1.1.风险源调查</w:t>
      </w:r>
    </w:p>
    <w:p>
      <w:pPr>
        <w:pStyle w:val="155"/>
        <w:spacing w:line="480" w:lineRule="exact"/>
        <w:ind w:firstLine="480"/>
      </w:pPr>
      <w:r>
        <w:t>根据《建设项目环境风险评价技术导则》（HJ169-2018）“附录B重点关注的危险物质及临界量”可知，本项目所涉及的危险物质为医疗废物、氯酸钠、次氯酸钠、废活性炭</w:t>
      </w:r>
      <w:r>
        <w:rPr>
          <w:rFonts w:hint="eastAsia"/>
        </w:rPr>
        <w:t>、</w:t>
      </w:r>
      <w:r>
        <w:t>污泥</w:t>
      </w:r>
      <w:r>
        <w:rPr>
          <w:rFonts w:hint="eastAsia"/>
        </w:rPr>
        <w:t>、轻质柴油、导热油及废导热油</w:t>
      </w:r>
      <w:r>
        <w:t>。</w:t>
      </w:r>
    </w:p>
    <w:p>
      <w:pPr>
        <w:pStyle w:val="155"/>
        <w:spacing w:line="480" w:lineRule="exact"/>
        <w:ind w:firstLine="480"/>
      </w:pPr>
      <w:r>
        <w:t>（1）医疗废物</w:t>
      </w:r>
    </w:p>
    <w:p>
      <w:pPr>
        <w:pStyle w:val="155"/>
        <w:spacing w:line="480" w:lineRule="exact"/>
        <w:ind w:firstLine="480"/>
      </w:pPr>
      <w:r>
        <w:t>医疗废物是指医疗卫生机构在医疗、预防、保健以及其他相关活动中产生的具有直接或间接感染性、毒性以及其他危害的废物。医疗废物含有传染性的病原微生物、病菌和病毒，具有空间传染、急性传染和潜伏传染等毒性，其病毒细菌的危害性是生活垃圾的几十倍甚至上百倍。根据武汉市环境卫生科学研究设计院的调查资料，医疗废物中的粪大肠菌群数和细菌总数分别高达0.83×10</w:t>
      </w:r>
      <w:r>
        <w:rPr>
          <w:vertAlign w:val="superscript"/>
        </w:rPr>
        <w:t>10</w:t>
      </w:r>
      <w:r>
        <w:t>个/L和8.1×10</w:t>
      </w:r>
      <w:r>
        <w:rPr>
          <w:vertAlign w:val="superscript"/>
        </w:rPr>
        <w:t>10</w:t>
      </w:r>
      <w:r>
        <w:t>个/L，乙型肝炎表面抗源阳性率可高达89%，对人体健康和环境均有极大的危害，在《控制危险废物越境转移及处置的巴塞尔公约》和我国的《国家危险废物名录》中，均将医疗废物列为危险废物，且序号均为前三位。</w:t>
      </w:r>
    </w:p>
    <w:p>
      <w:pPr>
        <w:pStyle w:val="155"/>
        <w:spacing w:line="480" w:lineRule="exact"/>
        <w:ind w:firstLine="480"/>
      </w:pPr>
      <w:r>
        <w:t>本项目处理的医疗废物为感染性医疗废物和损伤性医疗废物，含有大量的致病菌、病毒及较多的化学毒物等，具有极强的传染性、生物毒性和腐蚀性，对医疗废物的疏忽管理，不仅会污染环境，造成大气、水体及土壤的污染，还可能会导致传染性疾病的流行，直接危害人体的健康，具体危害如下：</w:t>
      </w:r>
    </w:p>
    <w:p>
      <w:pPr>
        <w:pStyle w:val="155"/>
        <w:spacing w:line="480" w:lineRule="exact"/>
        <w:ind w:firstLine="480"/>
      </w:pPr>
      <w:r>
        <w:rPr>
          <w:rFonts w:hint="eastAsia" w:ascii="宋体" w:hAnsi="宋体" w:cs="宋体"/>
        </w:rPr>
        <w:t>①</w:t>
      </w:r>
      <w:r>
        <w:t>物理危害，主要来自锐利的物品，如碎玻璃、注射器、一次性手术刀等，物理危害不限于它们自身的危害，而是入侵了人体的保护屏障，使各种病菌进入了人体。</w:t>
      </w:r>
    </w:p>
    <w:p>
      <w:pPr>
        <w:pStyle w:val="155"/>
        <w:spacing w:line="480" w:lineRule="exact"/>
        <w:ind w:firstLine="480"/>
      </w:pPr>
      <w:r>
        <w:rPr>
          <w:rFonts w:hint="eastAsia" w:ascii="宋体" w:hAnsi="宋体" w:cs="宋体"/>
        </w:rPr>
        <w:t>②</w:t>
      </w:r>
      <w:r>
        <w:t>化学危害，包括可燃性、反应性和毒性。</w:t>
      </w:r>
    </w:p>
    <w:p>
      <w:pPr>
        <w:pStyle w:val="155"/>
        <w:spacing w:line="480" w:lineRule="exact"/>
        <w:ind w:firstLine="480"/>
      </w:pPr>
      <w:r>
        <w:rPr>
          <w:rFonts w:hint="eastAsia" w:ascii="宋体" w:hAnsi="宋体" w:cs="宋体"/>
        </w:rPr>
        <w:t>③</w:t>
      </w:r>
      <w:r>
        <w:t>微生物危害，来自于被病毒污染了的物质，比如传染源的培养基和传染病人接触过的废物。</w:t>
      </w:r>
    </w:p>
    <w:p>
      <w:pPr>
        <w:pStyle w:val="155"/>
        <w:numPr>
          <w:ilvl w:val="0"/>
          <w:numId w:val="10"/>
        </w:numPr>
        <w:spacing w:line="480" w:lineRule="exact"/>
        <w:ind w:firstLine="480"/>
      </w:pPr>
      <w:r>
        <w:t>氯酸钠</w:t>
      </w:r>
    </w:p>
    <w:p>
      <w:pPr>
        <w:pStyle w:val="155"/>
        <w:spacing w:line="480" w:lineRule="exact"/>
        <w:ind w:firstLine="480"/>
      </w:pPr>
      <w:r>
        <w:t>氯酸钠的主要理化性质及危险特性见表3.6-1。</w:t>
      </w:r>
    </w:p>
    <w:p>
      <w:pPr>
        <w:pStyle w:val="155"/>
        <w:spacing w:line="480" w:lineRule="exact"/>
        <w:ind w:firstLine="0" w:firstLineChars="0"/>
        <w:rPr>
          <w:b/>
          <w:bCs/>
          <w:sz w:val="21"/>
          <w:szCs w:val="21"/>
        </w:rPr>
      </w:pPr>
    </w:p>
    <w:p>
      <w:pPr>
        <w:pStyle w:val="155"/>
        <w:spacing w:line="480" w:lineRule="exact"/>
        <w:ind w:firstLine="0" w:firstLineChars="0"/>
        <w:jc w:val="center"/>
        <w:rPr>
          <w:b/>
          <w:bCs/>
          <w:sz w:val="21"/>
          <w:szCs w:val="21"/>
        </w:rPr>
      </w:pPr>
      <w:r>
        <w:rPr>
          <w:b/>
          <w:bCs/>
          <w:sz w:val="21"/>
          <w:szCs w:val="21"/>
        </w:rPr>
        <w:t>表3.6-1 氯酸钠的主要理化性质及危险特性</w:t>
      </w:r>
    </w:p>
    <w:p>
      <w:pPr>
        <w:pStyle w:val="155"/>
        <w:spacing w:line="240" w:lineRule="auto"/>
        <w:ind w:firstLine="0" w:firstLineChars="0"/>
      </w:pPr>
      <w:r>
        <w:drawing>
          <wp:inline distT="0" distB="0" distL="114300" distR="114300">
            <wp:extent cx="5238750" cy="6484620"/>
            <wp:effectExtent l="9525" t="9525" r="9525" b="11430"/>
            <wp:docPr id="30" name="图片 256" descr="1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56" descr="1_副本"/>
                    <pic:cNvPicPr>
                      <a:picLocks noChangeAspect="1"/>
                    </pic:cNvPicPr>
                  </pic:nvPicPr>
                  <pic:blipFill>
                    <a:blip r:embed="rId32"/>
                    <a:stretch>
                      <a:fillRect/>
                    </a:stretch>
                  </pic:blipFill>
                  <pic:spPr>
                    <a:xfrm>
                      <a:off x="0" y="0"/>
                      <a:ext cx="5238750" cy="6484620"/>
                    </a:xfrm>
                    <a:prstGeom prst="rect">
                      <a:avLst/>
                    </a:prstGeom>
                    <a:noFill/>
                    <a:ln w="9525" cap="flat" cmpd="sng">
                      <a:solidFill>
                        <a:srgbClr val="000000"/>
                      </a:solidFill>
                      <a:prstDash val="solid"/>
                      <a:miter/>
                      <a:headEnd type="none" w="med" len="med"/>
                      <a:tailEnd type="none" w="med" len="med"/>
                    </a:ln>
                  </pic:spPr>
                </pic:pic>
              </a:graphicData>
            </a:graphic>
          </wp:inline>
        </w:drawing>
      </w:r>
    </w:p>
    <w:p>
      <w:pPr>
        <w:pStyle w:val="155"/>
        <w:numPr>
          <w:ilvl w:val="0"/>
          <w:numId w:val="10"/>
        </w:numPr>
        <w:spacing w:line="480" w:lineRule="exact"/>
        <w:ind w:firstLine="480"/>
      </w:pPr>
      <w:r>
        <w:t>次氯酸钠</w:t>
      </w:r>
    </w:p>
    <w:p>
      <w:pPr>
        <w:pStyle w:val="155"/>
        <w:spacing w:line="480" w:lineRule="exact"/>
        <w:ind w:firstLine="480"/>
      </w:pPr>
      <w:r>
        <w:t>次氯酸钠的主要理化性质及危险特性见表3.6-2。</w:t>
      </w:r>
    </w:p>
    <w:p>
      <w:pPr>
        <w:pStyle w:val="155"/>
        <w:spacing w:line="480" w:lineRule="exact"/>
        <w:ind w:firstLine="0" w:firstLineChars="0"/>
        <w:rPr>
          <w:b/>
          <w:bCs/>
          <w:sz w:val="21"/>
          <w:szCs w:val="21"/>
        </w:rPr>
      </w:pPr>
    </w:p>
    <w:p>
      <w:pPr>
        <w:pStyle w:val="155"/>
        <w:spacing w:line="480" w:lineRule="exact"/>
        <w:ind w:firstLine="0" w:firstLineChars="0"/>
        <w:rPr>
          <w:b/>
          <w:bCs/>
          <w:sz w:val="21"/>
          <w:szCs w:val="21"/>
        </w:rPr>
      </w:pPr>
    </w:p>
    <w:p>
      <w:pPr>
        <w:pStyle w:val="155"/>
        <w:spacing w:line="480" w:lineRule="exact"/>
        <w:ind w:firstLine="0" w:firstLineChars="0"/>
        <w:rPr>
          <w:b/>
          <w:bCs/>
          <w:sz w:val="21"/>
          <w:szCs w:val="21"/>
        </w:rPr>
      </w:pPr>
    </w:p>
    <w:p>
      <w:pPr>
        <w:pStyle w:val="155"/>
        <w:spacing w:line="480" w:lineRule="exact"/>
        <w:ind w:firstLine="0" w:firstLineChars="0"/>
        <w:rPr>
          <w:b/>
          <w:bCs/>
          <w:sz w:val="21"/>
          <w:szCs w:val="21"/>
        </w:rPr>
      </w:pPr>
    </w:p>
    <w:p>
      <w:pPr>
        <w:pStyle w:val="155"/>
        <w:spacing w:line="480" w:lineRule="exact"/>
        <w:ind w:firstLine="0" w:firstLineChars="0"/>
        <w:jc w:val="center"/>
        <w:rPr>
          <w:b/>
          <w:bCs/>
          <w:sz w:val="21"/>
          <w:szCs w:val="21"/>
        </w:rPr>
      </w:pPr>
      <w:r>
        <w:rPr>
          <w:b/>
          <w:bCs/>
          <w:sz w:val="21"/>
          <w:szCs w:val="21"/>
        </w:rPr>
        <w:t>表3.6-2 次氯酸钠的主要理化性质及危险特性</w:t>
      </w:r>
    </w:p>
    <w:p>
      <w:pPr>
        <w:pStyle w:val="155"/>
        <w:spacing w:line="240" w:lineRule="auto"/>
        <w:ind w:firstLine="0" w:firstLineChars="0"/>
        <w:rPr>
          <w:b/>
          <w:bCs/>
          <w:sz w:val="21"/>
          <w:szCs w:val="21"/>
        </w:rPr>
      </w:pPr>
      <w:r>
        <w:drawing>
          <wp:inline distT="0" distB="0" distL="114300" distR="114300">
            <wp:extent cx="5100955" cy="6314440"/>
            <wp:effectExtent l="9525" t="9525" r="13970" b="10160"/>
            <wp:docPr id="31"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55"/>
                    <pic:cNvPicPr>
                      <a:picLocks noChangeAspect="1"/>
                    </pic:cNvPicPr>
                  </pic:nvPicPr>
                  <pic:blipFill>
                    <a:blip r:embed="rId33"/>
                    <a:stretch>
                      <a:fillRect/>
                    </a:stretch>
                  </pic:blipFill>
                  <pic:spPr>
                    <a:xfrm>
                      <a:off x="0" y="0"/>
                      <a:ext cx="5100955" cy="6314440"/>
                    </a:xfrm>
                    <a:prstGeom prst="rect">
                      <a:avLst/>
                    </a:prstGeom>
                    <a:noFill/>
                    <a:ln w="9525" cap="flat" cmpd="sng">
                      <a:solidFill>
                        <a:srgbClr val="000000"/>
                      </a:solidFill>
                      <a:prstDash val="solid"/>
                      <a:miter/>
                      <a:headEnd type="none" w="med" len="med"/>
                      <a:tailEnd type="none" w="med" len="med"/>
                    </a:ln>
                  </pic:spPr>
                </pic:pic>
              </a:graphicData>
            </a:graphic>
          </wp:inline>
        </w:drawing>
      </w:r>
    </w:p>
    <w:p>
      <w:pPr>
        <w:widowControl/>
        <w:spacing w:line="480" w:lineRule="exact"/>
        <w:outlineLvl w:val="3"/>
        <w:rPr>
          <w:rFonts w:ascii="Times New Roman" w:hAnsi="Times New Roman" w:eastAsia="黑体"/>
          <w:sz w:val="24"/>
        </w:rPr>
      </w:pPr>
      <w:r>
        <w:rPr>
          <w:rFonts w:ascii="Times New Roman" w:hAnsi="Times New Roman" w:eastAsia="黑体"/>
          <w:sz w:val="24"/>
        </w:rPr>
        <w:t>3.6.1.2.环境敏感目标调查</w:t>
      </w:r>
    </w:p>
    <w:p>
      <w:pPr>
        <w:pStyle w:val="155"/>
        <w:spacing w:line="480" w:lineRule="exact"/>
        <w:ind w:firstLine="480"/>
      </w:pPr>
      <w:r>
        <w:t>本项目环境风险敏感目标调查情况见表3.6-2。</w:t>
      </w:r>
    </w:p>
    <w:p>
      <w:pPr>
        <w:pStyle w:val="4"/>
        <w:spacing w:before="120" w:beforeLines="50" w:after="120" w:afterLines="50" w:line="480" w:lineRule="exact"/>
        <w:rPr>
          <w:rFonts w:ascii="Times New Roman" w:hAnsi="Times New Roman" w:eastAsia="黑体"/>
          <w:bCs/>
          <w:sz w:val="28"/>
          <w:szCs w:val="28"/>
        </w:rPr>
      </w:pPr>
      <w:bookmarkStart w:id="770" w:name="_Toc4620"/>
      <w:bookmarkStart w:id="771" w:name="_Toc3893"/>
      <w:bookmarkStart w:id="772" w:name="_Toc4725"/>
      <w:r>
        <w:rPr>
          <w:rFonts w:ascii="Times New Roman" w:hAnsi="Times New Roman" w:eastAsia="黑体"/>
          <w:bCs/>
          <w:sz w:val="28"/>
          <w:szCs w:val="28"/>
        </w:rPr>
        <w:t>风险识别</w:t>
      </w:r>
      <w:bookmarkEnd w:id="770"/>
      <w:bookmarkEnd w:id="771"/>
      <w:bookmarkEnd w:id="772"/>
    </w:p>
    <w:p>
      <w:pPr>
        <w:spacing w:line="480" w:lineRule="exact"/>
        <w:ind w:firstLine="480" w:firstLineChars="200"/>
        <w:rPr>
          <w:rFonts w:ascii="Times New Roman" w:hAnsi="Times New Roman"/>
          <w:sz w:val="24"/>
        </w:rPr>
      </w:pPr>
      <w:r>
        <w:rPr>
          <w:rFonts w:ascii="Times New Roman" w:hAnsi="Times New Roman"/>
          <w:sz w:val="24"/>
        </w:rPr>
        <w:t>风险识别范围包括生产设施风险识别和生产过程中所涉及的物质风险识别。生产设施风险识别范围为主要生产装置、贮运系统、公用工程系统、环保设施及辅助生产设施；物质风险识别范围包括项目涉及的原材料及辅助材料、燃料、中间产品、最终产品及生产过程中排放的“三废”污染物等。</w:t>
      </w:r>
    </w:p>
    <w:p>
      <w:pPr>
        <w:widowControl/>
        <w:spacing w:line="480" w:lineRule="exact"/>
        <w:outlineLvl w:val="3"/>
        <w:rPr>
          <w:rFonts w:ascii="Times New Roman" w:hAnsi="Times New Roman" w:eastAsia="黑体"/>
          <w:sz w:val="24"/>
        </w:rPr>
      </w:pPr>
      <w:r>
        <w:rPr>
          <w:rFonts w:ascii="Times New Roman" w:hAnsi="Times New Roman" w:eastAsia="黑体"/>
          <w:sz w:val="24"/>
        </w:rPr>
        <w:t>3.6.2.1.物质风险性识别</w:t>
      </w:r>
    </w:p>
    <w:p>
      <w:pPr>
        <w:spacing w:line="480" w:lineRule="exact"/>
        <w:ind w:firstLine="480" w:firstLineChars="200"/>
        <w:rPr>
          <w:rFonts w:ascii="Times New Roman" w:hAnsi="Times New Roman"/>
          <w:sz w:val="24"/>
        </w:rPr>
      </w:pPr>
      <w:r>
        <w:rPr>
          <w:rFonts w:ascii="Times New Roman" w:hAnsi="Times New Roman"/>
          <w:sz w:val="24"/>
        </w:rPr>
        <w:t>物质风险性识别包括主要原辅材料、燃料、中间产品、副产品、最终产品、污染物、火灾和爆炸伴生/次生物等。对照《建设项目环境风险评价技术导则》（HJ169-2018）附录B，项目氯酸钠、次氯酸钠、</w:t>
      </w:r>
      <w:r>
        <w:rPr>
          <w:rFonts w:hint="eastAsia" w:ascii="Times New Roman" w:hAnsi="Times New Roman"/>
          <w:sz w:val="24"/>
        </w:rPr>
        <w:t>导热油、废导热油、轻质柴油</w:t>
      </w:r>
      <w:r>
        <w:rPr>
          <w:rFonts w:ascii="Times New Roman" w:hAnsi="Times New Roman"/>
          <w:sz w:val="24"/>
        </w:rPr>
        <w:t>属于危险物质。</w:t>
      </w:r>
    </w:p>
    <w:p>
      <w:pPr>
        <w:spacing w:line="480" w:lineRule="exact"/>
        <w:jc w:val="center"/>
        <w:rPr>
          <w:rFonts w:ascii="Times New Roman" w:hAnsi="Times New Roman"/>
          <w:b/>
        </w:rPr>
      </w:pPr>
      <w:r>
        <w:rPr>
          <w:rFonts w:ascii="Times New Roman" w:hAnsi="Times New Roman"/>
          <w:b/>
        </w:rPr>
        <w:t>表3.6-3 建设项目</w:t>
      </w:r>
      <w:r>
        <w:rPr>
          <w:rFonts w:hint="eastAsia" w:ascii="Times New Roman" w:hAnsi="Times New Roman"/>
          <w:b/>
        </w:rPr>
        <w:t>危险物质</w:t>
      </w:r>
      <w:r>
        <w:rPr>
          <w:rFonts w:ascii="Times New Roman" w:hAnsi="Times New Roman"/>
          <w:b/>
        </w:rPr>
        <w:t>确定</w:t>
      </w:r>
    </w:p>
    <w:tbl>
      <w:tblPr>
        <w:tblStyle w:val="77"/>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773"/>
        <w:gridCol w:w="1550"/>
        <w:gridCol w:w="1459"/>
        <w:gridCol w:w="1528"/>
        <w:gridCol w:w="1528"/>
        <w:gridCol w:w="152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0" w:hRule="atLeast"/>
        </w:trPr>
        <w:tc>
          <w:tcPr>
            <w:tcW w:w="768" w:type="dxa"/>
            <w:vAlign w:val="center"/>
          </w:tcPr>
          <w:p>
            <w:pPr>
              <w:spacing w:line="280" w:lineRule="exact"/>
              <w:jc w:val="center"/>
              <w:rPr>
                <w:rFonts w:ascii="Times New Roman" w:hAnsi="Times New Roman"/>
                <w:b/>
              </w:rPr>
            </w:pPr>
            <w:r>
              <w:rPr>
                <w:rFonts w:ascii="Times New Roman" w:hAnsi="Times New Roman"/>
                <w:b/>
              </w:rPr>
              <w:t>序号</w:t>
            </w:r>
          </w:p>
        </w:tc>
        <w:tc>
          <w:tcPr>
            <w:tcW w:w="1540" w:type="dxa"/>
            <w:vAlign w:val="center"/>
          </w:tcPr>
          <w:p>
            <w:pPr>
              <w:spacing w:line="280" w:lineRule="exact"/>
              <w:jc w:val="center"/>
              <w:rPr>
                <w:rFonts w:ascii="Times New Roman" w:hAnsi="Times New Roman"/>
                <w:b/>
              </w:rPr>
            </w:pPr>
            <w:r>
              <w:rPr>
                <w:rFonts w:ascii="Times New Roman" w:hAnsi="Times New Roman"/>
                <w:b/>
              </w:rPr>
              <w:t>危险物质名称</w:t>
            </w:r>
          </w:p>
        </w:tc>
        <w:tc>
          <w:tcPr>
            <w:tcW w:w="1449" w:type="dxa"/>
            <w:vAlign w:val="center"/>
          </w:tcPr>
          <w:p>
            <w:pPr>
              <w:spacing w:line="280" w:lineRule="exact"/>
              <w:jc w:val="center"/>
              <w:rPr>
                <w:rFonts w:ascii="Times New Roman" w:hAnsi="Times New Roman"/>
                <w:b/>
              </w:rPr>
            </w:pPr>
            <w:r>
              <w:rPr>
                <w:rFonts w:ascii="Times New Roman" w:hAnsi="Times New Roman"/>
                <w:b/>
              </w:rPr>
              <w:t>CAS号</w:t>
            </w:r>
          </w:p>
        </w:tc>
        <w:tc>
          <w:tcPr>
            <w:tcW w:w="1518" w:type="dxa"/>
            <w:vAlign w:val="center"/>
          </w:tcPr>
          <w:p>
            <w:pPr>
              <w:spacing w:line="280" w:lineRule="exact"/>
              <w:jc w:val="center"/>
              <w:rPr>
                <w:rFonts w:ascii="Times New Roman" w:hAnsi="Times New Roman"/>
                <w:b/>
              </w:rPr>
            </w:pPr>
            <w:r>
              <w:rPr>
                <w:rFonts w:ascii="Times New Roman" w:hAnsi="Times New Roman"/>
                <w:b/>
              </w:rPr>
              <w:t>最大贮存量（t）</w:t>
            </w:r>
          </w:p>
        </w:tc>
        <w:tc>
          <w:tcPr>
            <w:tcW w:w="1518" w:type="dxa"/>
            <w:vAlign w:val="center"/>
          </w:tcPr>
          <w:p>
            <w:pPr>
              <w:spacing w:line="280" w:lineRule="exact"/>
              <w:jc w:val="center"/>
              <w:rPr>
                <w:rFonts w:ascii="Times New Roman" w:hAnsi="Times New Roman"/>
                <w:b/>
              </w:rPr>
            </w:pPr>
            <w:r>
              <w:rPr>
                <w:rFonts w:ascii="Times New Roman" w:hAnsi="Times New Roman"/>
                <w:b/>
              </w:rPr>
              <w:t>临界量（t）</w:t>
            </w:r>
          </w:p>
        </w:tc>
        <w:tc>
          <w:tcPr>
            <w:tcW w:w="1518" w:type="dxa"/>
            <w:vAlign w:val="center"/>
          </w:tcPr>
          <w:p>
            <w:pPr>
              <w:spacing w:line="280" w:lineRule="exact"/>
              <w:jc w:val="center"/>
              <w:rPr>
                <w:rFonts w:ascii="Times New Roman" w:hAnsi="Times New Roman"/>
                <w:b/>
              </w:rPr>
            </w:pPr>
            <w:r>
              <w:rPr>
                <w:rFonts w:ascii="Times New Roman" w:hAnsi="Times New Roman"/>
                <w:b/>
                <w:kern w:val="2"/>
              </w:rPr>
              <w:t>Q值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90" w:hRule="atLeast"/>
        </w:trPr>
        <w:tc>
          <w:tcPr>
            <w:tcW w:w="768" w:type="dxa"/>
            <w:vAlign w:val="center"/>
          </w:tcPr>
          <w:p>
            <w:pPr>
              <w:spacing w:line="280" w:lineRule="exact"/>
              <w:jc w:val="center"/>
              <w:rPr>
                <w:rFonts w:ascii="Times New Roman" w:hAnsi="Times New Roman"/>
                <w:bCs/>
              </w:rPr>
            </w:pPr>
            <w:r>
              <w:rPr>
                <w:rFonts w:ascii="Times New Roman" w:hAnsi="Times New Roman"/>
                <w:bCs/>
              </w:rPr>
              <w:t>1</w:t>
            </w:r>
          </w:p>
        </w:tc>
        <w:tc>
          <w:tcPr>
            <w:tcW w:w="1540" w:type="dxa"/>
            <w:vAlign w:val="center"/>
          </w:tcPr>
          <w:p>
            <w:pPr>
              <w:spacing w:line="280" w:lineRule="exact"/>
              <w:jc w:val="center"/>
              <w:rPr>
                <w:rFonts w:ascii="Times New Roman" w:hAnsi="Times New Roman"/>
                <w:bCs/>
              </w:rPr>
            </w:pPr>
            <w:r>
              <w:rPr>
                <w:rFonts w:ascii="Times New Roman" w:hAnsi="Times New Roman"/>
                <w:bCs/>
              </w:rPr>
              <w:t>氯酸钠</w:t>
            </w:r>
          </w:p>
        </w:tc>
        <w:tc>
          <w:tcPr>
            <w:tcW w:w="1449" w:type="dxa"/>
            <w:vAlign w:val="center"/>
          </w:tcPr>
          <w:p>
            <w:pPr>
              <w:spacing w:line="280" w:lineRule="exact"/>
              <w:jc w:val="center"/>
              <w:rPr>
                <w:rFonts w:ascii="Times New Roman" w:hAnsi="Times New Roman"/>
                <w:bCs/>
              </w:rPr>
            </w:pPr>
            <w:r>
              <w:rPr>
                <w:rFonts w:ascii="Times New Roman" w:hAnsi="Times New Roman"/>
                <w:bCs/>
              </w:rPr>
              <w:t>7775-09-9</w:t>
            </w:r>
          </w:p>
        </w:tc>
        <w:tc>
          <w:tcPr>
            <w:tcW w:w="1518" w:type="dxa"/>
            <w:vAlign w:val="center"/>
          </w:tcPr>
          <w:p>
            <w:pPr>
              <w:spacing w:line="280" w:lineRule="exact"/>
              <w:jc w:val="center"/>
              <w:rPr>
                <w:rFonts w:ascii="Times New Roman" w:hAnsi="Times New Roman"/>
                <w:bCs/>
              </w:rPr>
            </w:pPr>
            <w:r>
              <w:rPr>
                <w:rFonts w:ascii="Times New Roman" w:hAnsi="Times New Roman"/>
                <w:bCs/>
              </w:rPr>
              <w:t>0.2</w:t>
            </w:r>
          </w:p>
        </w:tc>
        <w:tc>
          <w:tcPr>
            <w:tcW w:w="1518" w:type="dxa"/>
            <w:vAlign w:val="center"/>
          </w:tcPr>
          <w:p>
            <w:pPr>
              <w:spacing w:line="280" w:lineRule="exact"/>
              <w:jc w:val="center"/>
              <w:rPr>
                <w:rFonts w:ascii="Times New Roman" w:hAnsi="Times New Roman"/>
                <w:bCs/>
              </w:rPr>
            </w:pPr>
            <w:r>
              <w:rPr>
                <w:rFonts w:ascii="Times New Roman" w:hAnsi="Times New Roman"/>
                <w:bCs/>
              </w:rPr>
              <w:t>100</w:t>
            </w:r>
          </w:p>
        </w:tc>
        <w:tc>
          <w:tcPr>
            <w:tcW w:w="1518" w:type="dxa"/>
            <w:vAlign w:val="center"/>
          </w:tcPr>
          <w:p>
            <w:pPr>
              <w:spacing w:line="280" w:lineRule="exact"/>
              <w:jc w:val="center"/>
              <w:rPr>
                <w:rFonts w:ascii="Times New Roman" w:hAnsi="Times New Roman"/>
                <w:bCs/>
              </w:rPr>
            </w:pPr>
            <w:r>
              <w:rPr>
                <w:rFonts w:ascii="Times New Roman" w:hAnsi="Times New Roman"/>
                <w:bCs/>
              </w:rPr>
              <w:t>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0" w:hRule="atLeast"/>
        </w:trPr>
        <w:tc>
          <w:tcPr>
            <w:tcW w:w="768" w:type="dxa"/>
            <w:vAlign w:val="center"/>
          </w:tcPr>
          <w:p>
            <w:pPr>
              <w:spacing w:line="280" w:lineRule="exact"/>
              <w:jc w:val="center"/>
              <w:rPr>
                <w:rFonts w:ascii="Times New Roman" w:hAnsi="Times New Roman"/>
                <w:bCs/>
              </w:rPr>
            </w:pPr>
            <w:r>
              <w:rPr>
                <w:rFonts w:ascii="Times New Roman" w:hAnsi="Times New Roman"/>
                <w:bCs/>
              </w:rPr>
              <w:t>2</w:t>
            </w:r>
          </w:p>
        </w:tc>
        <w:tc>
          <w:tcPr>
            <w:tcW w:w="1540" w:type="dxa"/>
            <w:vAlign w:val="center"/>
          </w:tcPr>
          <w:p>
            <w:pPr>
              <w:spacing w:line="280" w:lineRule="exact"/>
              <w:jc w:val="center"/>
              <w:rPr>
                <w:rFonts w:ascii="Times New Roman" w:hAnsi="Times New Roman"/>
                <w:bCs/>
              </w:rPr>
            </w:pPr>
            <w:r>
              <w:rPr>
                <w:rFonts w:ascii="Times New Roman" w:hAnsi="Times New Roman"/>
                <w:bCs/>
              </w:rPr>
              <w:t>次氯酸钠</w:t>
            </w:r>
          </w:p>
        </w:tc>
        <w:tc>
          <w:tcPr>
            <w:tcW w:w="1449" w:type="dxa"/>
            <w:vAlign w:val="center"/>
          </w:tcPr>
          <w:p>
            <w:pPr>
              <w:spacing w:line="280" w:lineRule="exact"/>
              <w:jc w:val="center"/>
              <w:rPr>
                <w:rFonts w:ascii="Times New Roman" w:hAnsi="Times New Roman"/>
                <w:bCs/>
              </w:rPr>
            </w:pPr>
            <w:r>
              <w:rPr>
                <w:rFonts w:ascii="Times New Roman" w:hAnsi="Times New Roman"/>
                <w:bCs/>
              </w:rPr>
              <w:t>7681-52-9</w:t>
            </w:r>
          </w:p>
        </w:tc>
        <w:tc>
          <w:tcPr>
            <w:tcW w:w="1518" w:type="dxa"/>
            <w:vAlign w:val="center"/>
          </w:tcPr>
          <w:p>
            <w:pPr>
              <w:spacing w:line="280" w:lineRule="exact"/>
              <w:jc w:val="center"/>
              <w:rPr>
                <w:rFonts w:ascii="Times New Roman" w:hAnsi="Times New Roman"/>
                <w:bCs/>
              </w:rPr>
            </w:pPr>
            <w:r>
              <w:rPr>
                <w:rFonts w:ascii="Times New Roman" w:hAnsi="Times New Roman"/>
                <w:bCs/>
              </w:rPr>
              <w:t>0.2</w:t>
            </w:r>
          </w:p>
        </w:tc>
        <w:tc>
          <w:tcPr>
            <w:tcW w:w="1518" w:type="dxa"/>
            <w:vAlign w:val="center"/>
          </w:tcPr>
          <w:p>
            <w:pPr>
              <w:spacing w:line="280" w:lineRule="exact"/>
              <w:jc w:val="center"/>
              <w:rPr>
                <w:rFonts w:ascii="Times New Roman" w:hAnsi="Times New Roman"/>
                <w:bCs/>
              </w:rPr>
            </w:pPr>
            <w:r>
              <w:rPr>
                <w:rFonts w:ascii="Times New Roman" w:hAnsi="Times New Roman"/>
                <w:bCs/>
              </w:rPr>
              <w:t>5</w:t>
            </w:r>
          </w:p>
        </w:tc>
        <w:tc>
          <w:tcPr>
            <w:tcW w:w="1518" w:type="dxa"/>
            <w:vAlign w:val="center"/>
          </w:tcPr>
          <w:p>
            <w:pPr>
              <w:spacing w:line="280" w:lineRule="exact"/>
              <w:jc w:val="center"/>
              <w:rPr>
                <w:rFonts w:ascii="Times New Roman" w:hAnsi="Times New Roman"/>
                <w:bCs/>
                <w:kern w:val="2"/>
              </w:rPr>
            </w:pPr>
            <w:r>
              <w:rPr>
                <w:rFonts w:ascii="Times New Roman" w:hAnsi="Times New Roman"/>
                <w:bCs/>
              </w:rPr>
              <w:t>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0" w:hRule="atLeast"/>
        </w:trPr>
        <w:tc>
          <w:tcPr>
            <w:tcW w:w="768" w:type="dxa"/>
            <w:vAlign w:val="center"/>
          </w:tcPr>
          <w:p>
            <w:pPr>
              <w:jc w:val="center"/>
              <w:rPr>
                <w:rFonts w:ascii="Times New Roman" w:hAnsi="Times New Roman"/>
              </w:rPr>
            </w:pPr>
            <w:r>
              <w:rPr>
                <w:rFonts w:ascii="Times New Roman" w:hAnsi="Times New Roman"/>
              </w:rPr>
              <w:t>3</w:t>
            </w:r>
          </w:p>
        </w:tc>
        <w:tc>
          <w:tcPr>
            <w:tcW w:w="1540" w:type="dxa"/>
            <w:vAlign w:val="center"/>
          </w:tcPr>
          <w:p>
            <w:pPr>
              <w:spacing w:line="280" w:lineRule="exact"/>
              <w:jc w:val="center"/>
              <w:rPr>
                <w:rFonts w:ascii="Times New Roman" w:hAnsi="Times New Roman"/>
                <w:bCs/>
              </w:rPr>
            </w:pPr>
            <w:r>
              <w:rPr>
                <w:rFonts w:hint="eastAsia" w:ascii="Times New Roman" w:hAnsi="Times New Roman"/>
                <w:bCs/>
              </w:rPr>
              <w:t>导热油</w:t>
            </w:r>
          </w:p>
        </w:tc>
        <w:tc>
          <w:tcPr>
            <w:tcW w:w="1449" w:type="dxa"/>
            <w:vAlign w:val="center"/>
          </w:tcPr>
          <w:p>
            <w:pPr>
              <w:spacing w:line="280" w:lineRule="exact"/>
              <w:jc w:val="center"/>
              <w:rPr>
                <w:rFonts w:ascii="Times New Roman" w:hAnsi="Times New Roman"/>
                <w:bCs/>
              </w:rPr>
            </w:pPr>
            <w:r>
              <w:rPr>
                <w:rFonts w:ascii="Times New Roman" w:hAnsi="Times New Roman"/>
                <w:bCs/>
              </w:rPr>
              <w:t>/</w:t>
            </w:r>
          </w:p>
        </w:tc>
        <w:tc>
          <w:tcPr>
            <w:tcW w:w="1518" w:type="dxa"/>
            <w:vAlign w:val="center"/>
          </w:tcPr>
          <w:p>
            <w:pPr>
              <w:spacing w:line="280" w:lineRule="exact"/>
              <w:jc w:val="center"/>
              <w:rPr>
                <w:rFonts w:ascii="Times New Roman" w:hAnsi="Times New Roman"/>
                <w:bCs/>
              </w:rPr>
            </w:pPr>
            <w:r>
              <w:rPr>
                <w:rFonts w:ascii="Times New Roman" w:hAnsi="Times New Roman"/>
                <w:bCs/>
              </w:rPr>
              <w:t>0.206</w:t>
            </w:r>
          </w:p>
        </w:tc>
        <w:tc>
          <w:tcPr>
            <w:tcW w:w="1518" w:type="dxa"/>
            <w:vAlign w:val="center"/>
          </w:tcPr>
          <w:p>
            <w:pPr>
              <w:spacing w:line="280" w:lineRule="exact"/>
              <w:jc w:val="center"/>
              <w:rPr>
                <w:rFonts w:ascii="Times New Roman" w:hAnsi="Times New Roman"/>
                <w:bCs/>
              </w:rPr>
            </w:pPr>
            <w:r>
              <w:rPr>
                <w:rFonts w:hint="eastAsia" w:ascii="Times New Roman" w:hAnsi="Times New Roman"/>
                <w:bCs/>
              </w:rPr>
              <w:t>2</w:t>
            </w:r>
            <w:r>
              <w:rPr>
                <w:rFonts w:ascii="Times New Roman" w:hAnsi="Times New Roman"/>
                <w:bCs/>
              </w:rPr>
              <w:t>500</w:t>
            </w:r>
          </w:p>
        </w:tc>
        <w:tc>
          <w:tcPr>
            <w:tcW w:w="1518" w:type="dxa"/>
            <w:vAlign w:val="center"/>
          </w:tcPr>
          <w:p>
            <w:pPr>
              <w:spacing w:line="280" w:lineRule="exact"/>
              <w:jc w:val="center"/>
              <w:rPr>
                <w:rFonts w:ascii="Times New Roman" w:hAnsi="Times New Roman"/>
                <w:bCs/>
              </w:rPr>
            </w:pPr>
            <w:r>
              <w:rPr>
                <w:rFonts w:ascii="Times New Roman" w:hAnsi="Times New Roman"/>
                <w:bCs/>
              </w:rPr>
              <w:t>0.000082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0" w:hRule="atLeast"/>
        </w:trPr>
        <w:tc>
          <w:tcPr>
            <w:tcW w:w="768" w:type="dxa"/>
            <w:vAlign w:val="center"/>
          </w:tcPr>
          <w:p>
            <w:pPr>
              <w:jc w:val="center"/>
              <w:rPr>
                <w:rFonts w:ascii="Times New Roman" w:hAnsi="Times New Roman"/>
              </w:rPr>
            </w:pPr>
            <w:r>
              <w:rPr>
                <w:rFonts w:ascii="Times New Roman" w:hAnsi="Times New Roman"/>
              </w:rPr>
              <w:t>4</w:t>
            </w:r>
          </w:p>
        </w:tc>
        <w:tc>
          <w:tcPr>
            <w:tcW w:w="1540" w:type="dxa"/>
            <w:vAlign w:val="center"/>
          </w:tcPr>
          <w:p>
            <w:pPr>
              <w:spacing w:line="280" w:lineRule="exact"/>
              <w:jc w:val="center"/>
              <w:rPr>
                <w:rFonts w:ascii="Times New Roman" w:hAnsi="Times New Roman"/>
                <w:bCs/>
              </w:rPr>
            </w:pPr>
            <w:r>
              <w:rPr>
                <w:rFonts w:hint="eastAsia" w:ascii="Times New Roman" w:hAnsi="Times New Roman"/>
                <w:bCs/>
              </w:rPr>
              <w:t>废导热油</w:t>
            </w:r>
          </w:p>
        </w:tc>
        <w:tc>
          <w:tcPr>
            <w:tcW w:w="1449" w:type="dxa"/>
            <w:vAlign w:val="center"/>
          </w:tcPr>
          <w:p>
            <w:pPr>
              <w:spacing w:line="280" w:lineRule="exact"/>
              <w:jc w:val="center"/>
              <w:rPr>
                <w:rFonts w:ascii="Times New Roman" w:hAnsi="Times New Roman"/>
                <w:bCs/>
              </w:rPr>
            </w:pPr>
            <w:r>
              <w:rPr>
                <w:rFonts w:ascii="Times New Roman" w:hAnsi="Times New Roman"/>
                <w:bCs/>
              </w:rPr>
              <w:t>/</w:t>
            </w:r>
          </w:p>
        </w:tc>
        <w:tc>
          <w:tcPr>
            <w:tcW w:w="1518" w:type="dxa"/>
            <w:vAlign w:val="center"/>
          </w:tcPr>
          <w:p>
            <w:pPr>
              <w:spacing w:line="280" w:lineRule="exact"/>
              <w:jc w:val="center"/>
              <w:rPr>
                <w:rFonts w:ascii="Times New Roman" w:hAnsi="Times New Roman"/>
                <w:bCs/>
              </w:rPr>
            </w:pPr>
            <w:r>
              <w:rPr>
                <w:rFonts w:hint="eastAsia" w:ascii="Times New Roman" w:hAnsi="Times New Roman"/>
                <w:bCs/>
              </w:rPr>
              <w:t>0</w:t>
            </w:r>
            <w:r>
              <w:rPr>
                <w:rFonts w:ascii="Times New Roman" w:hAnsi="Times New Roman"/>
                <w:bCs/>
              </w:rPr>
              <w:t>.206</w:t>
            </w:r>
          </w:p>
        </w:tc>
        <w:tc>
          <w:tcPr>
            <w:tcW w:w="1518" w:type="dxa"/>
            <w:vAlign w:val="center"/>
          </w:tcPr>
          <w:p>
            <w:pPr>
              <w:spacing w:line="280" w:lineRule="exact"/>
              <w:jc w:val="center"/>
              <w:rPr>
                <w:rFonts w:ascii="Times New Roman" w:hAnsi="Times New Roman"/>
                <w:bCs/>
              </w:rPr>
            </w:pPr>
            <w:r>
              <w:rPr>
                <w:rFonts w:hint="eastAsia" w:ascii="Times New Roman" w:hAnsi="Times New Roman"/>
                <w:bCs/>
              </w:rPr>
              <w:t>2</w:t>
            </w:r>
            <w:r>
              <w:rPr>
                <w:rFonts w:ascii="Times New Roman" w:hAnsi="Times New Roman"/>
                <w:bCs/>
              </w:rPr>
              <w:t>500</w:t>
            </w:r>
          </w:p>
        </w:tc>
        <w:tc>
          <w:tcPr>
            <w:tcW w:w="1518" w:type="dxa"/>
            <w:vAlign w:val="center"/>
          </w:tcPr>
          <w:p>
            <w:pPr>
              <w:spacing w:line="280" w:lineRule="exact"/>
              <w:jc w:val="center"/>
              <w:rPr>
                <w:rFonts w:ascii="Times New Roman" w:hAnsi="Times New Roman"/>
                <w:bCs/>
              </w:rPr>
            </w:pPr>
            <w:r>
              <w:rPr>
                <w:rFonts w:hint="eastAsia" w:ascii="Times New Roman" w:hAnsi="Times New Roman"/>
                <w:bCs/>
              </w:rPr>
              <w:t>0</w:t>
            </w:r>
            <w:r>
              <w:rPr>
                <w:rFonts w:ascii="Times New Roman" w:hAnsi="Times New Roman"/>
                <w:bCs/>
              </w:rPr>
              <w:t>.000082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0" w:hRule="atLeast"/>
        </w:trPr>
        <w:tc>
          <w:tcPr>
            <w:tcW w:w="768" w:type="dxa"/>
            <w:vAlign w:val="center"/>
          </w:tcPr>
          <w:p>
            <w:pPr>
              <w:jc w:val="center"/>
              <w:rPr>
                <w:rFonts w:ascii="Times New Roman" w:hAnsi="Times New Roman"/>
              </w:rPr>
            </w:pPr>
            <w:r>
              <w:rPr>
                <w:rFonts w:ascii="Times New Roman" w:hAnsi="Times New Roman"/>
              </w:rPr>
              <w:t>5</w:t>
            </w:r>
          </w:p>
        </w:tc>
        <w:tc>
          <w:tcPr>
            <w:tcW w:w="1540" w:type="dxa"/>
            <w:vAlign w:val="center"/>
          </w:tcPr>
          <w:p>
            <w:pPr>
              <w:spacing w:line="280" w:lineRule="exact"/>
              <w:jc w:val="center"/>
              <w:rPr>
                <w:rFonts w:ascii="Times New Roman" w:hAnsi="Times New Roman"/>
                <w:bCs/>
              </w:rPr>
            </w:pPr>
            <w:r>
              <w:rPr>
                <w:rFonts w:hint="eastAsia" w:ascii="Times New Roman" w:hAnsi="Times New Roman"/>
                <w:bCs/>
              </w:rPr>
              <w:t>轻质柴油</w:t>
            </w:r>
          </w:p>
        </w:tc>
        <w:tc>
          <w:tcPr>
            <w:tcW w:w="1449" w:type="dxa"/>
            <w:vAlign w:val="center"/>
          </w:tcPr>
          <w:p>
            <w:pPr>
              <w:spacing w:line="280" w:lineRule="exact"/>
              <w:jc w:val="center"/>
              <w:rPr>
                <w:rFonts w:ascii="Times New Roman" w:hAnsi="Times New Roman"/>
                <w:bCs/>
              </w:rPr>
            </w:pPr>
            <w:r>
              <w:rPr>
                <w:rFonts w:hint="eastAsia" w:ascii="Times New Roman" w:hAnsi="Times New Roman"/>
                <w:bCs/>
              </w:rPr>
              <w:t>/</w:t>
            </w:r>
          </w:p>
        </w:tc>
        <w:tc>
          <w:tcPr>
            <w:tcW w:w="1518" w:type="dxa"/>
            <w:vAlign w:val="center"/>
          </w:tcPr>
          <w:p>
            <w:pPr>
              <w:spacing w:line="280" w:lineRule="exact"/>
              <w:jc w:val="center"/>
              <w:rPr>
                <w:rFonts w:ascii="Times New Roman" w:hAnsi="Times New Roman"/>
                <w:bCs/>
              </w:rPr>
            </w:pPr>
            <w:r>
              <w:rPr>
                <w:rFonts w:ascii="Times New Roman" w:hAnsi="Times New Roman"/>
                <w:bCs/>
              </w:rPr>
              <w:t>0.0096</w:t>
            </w:r>
          </w:p>
        </w:tc>
        <w:tc>
          <w:tcPr>
            <w:tcW w:w="1518" w:type="dxa"/>
            <w:vAlign w:val="center"/>
          </w:tcPr>
          <w:p>
            <w:pPr>
              <w:spacing w:line="280" w:lineRule="exact"/>
              <w:jc w:val="center"/>
              <w:rPr>
                <w:rFonts w:ascii="Times New Roman" w:hAnsi="Times New Roman"/>
                <w:bCs/>
              </w:rPr>
            </w:pPr>
            <w:r>
              <w:rPr>
                <w:rFonts w:hint="eastAsia" w:ascii="Times New Roman" w:hAnsi="Times New Roman"/>
                <w:bCs/>
              </w:rPr>
              <w:t>2</w:t>
            </w:r>
            <w:r>
              <w:rPr>
                <w:rFonts w:ascii="Times New Roman" w:hAnsi="Times New Roman"/>
                <w:bCs/>
              </w:rPr>
              <w:t>500</w:t>
            </w:r>
          </w:p>
        </w:tc>
        <w:tc>
          <w:tcPr>
            <w:tcW w:w="1518" w:type="dxa"/>
            <w:vAlign w:val="center"/>
          </w:tcPr>
          <w:p>
            <w:pPr>
              <w:spacing w:line="280" w:lineRule="exact"/>
              <w:jc w:val="center"/>
              <w:rPr>
                <w:rFonts w:ascii="Times New Roman" w:hAnsi="Times New Roman"/>
                <w:bCs/>
              </w:rPr>
            </w:pPr>
            <w:r>
              <w:rPr>
                <w:rFonts w:hint="eastAsia" w:ascii="Times New Roman" w:hAnsi="Times New Roman"/>
                <w:bCs/>
              </w:rPr>
              <w:t>0</w:t>
            </w:r>
            <w:r>
              <w:rPr>
                <w:rFonts w:ascii="Times New Roman" w:hAnsi="Times New Roman"/>
                <w:bCs/>
              </w:rPr>
              <w:t>.00000384</w:t>
            </w:r>
          </w:p>
        </w:tc>
      </w:tr>
    </w:tbl>
    <w:p>
      <w:pPr>
        <w:widowControl/>
        <w:spacing w:line="480" w:lineRule="exact"/>
        <w:outlineLvl w:val="3"/>
        <w:rPr>
          <w:rFonts w:ascii="Times New Roman" w:hAnsi="Times New Roman" w:eastAsia="黑体"/>
          <w:sz w:val="24"/>
        </w:rPr>
      </w:pPr>
      <w:r>
        <w:rPr>
          <w:rFonts w:ascii="Times New Roman" w:hAnsi="Times New Roman" w:eastAsia="黑体"/>
          <w:sz w:val="24"/>
        </w:rPr>
        <w:t>3.6.2.2.生产系统危险性识别</w:t>
      </w:r>
    </w:p>
    <w:p>
      <w:pPr>
        <w:spacing w:line="480" w:lineRule="atLeast"/>
        <w:ind w:firstLine="480" w:firstLineChars="200"/>
        <w:rPr>
          <w:rFonts w:ascii="Times New Roman" w:hAnsi="Times New Roman"/>
          <w:sz w:val="24"/>
          <w:szCs w:val="24"/>
        </w:rPr>
      </w:pPr>
      <w:r>
        <w:rPr>
          <w:rFonts w:hint="eastAsia" w:ascii="Times New Roman" w:hAnsi="Times New Roman"/>
          <w:sz w:val="24"/>
          <w:szCs w:val="24"/>
        </w:rPr>
        <w:t>根据《建设项目环境风险评价技术导则》（H</w:t>
      </w:r>
      <w:r>
        <w:rPr>
          <w:rFonts w:ascii="Times New Roman" w:hAnsi="Times New Roman"/>
          <w:sz w:val="24"/>
          <w:szCs w:val="24"/>
        </w:rPr>
        <w:t>J169-2018</w:t>
      </w:r>
      <w:r>
        <w:rPr>
          <w:rFonts w:hint="eastAsia" w:ascii="Times New Roman" w:hAnsi="Times New Roman"/>
          <w:sz w:val="24"/>
          <w:szCs w:val="24"/>
        </w:rPr>
        <w:t>），7</w:t>
      </w:r>
      <w:r>
        <w:rPr>
          <w:rFonts w:ascii="Times New Roman" w:hAnsi="Times New Roman"/>
          <w:sz w:val="24"/>
          <w:szCs w:val="24"/>
        </w:rPr>
        <w:t>.1.2</w:t>
      </w:r>
      <w:r>
        <w:rPr>
          <w:rFonts w:hint="eastAsia" w:ascii="Times New Roman" w:hAnsi="Times New Roman"/>
          <w:sz w:val="24"/>
          <w:szCs w:val="24"/>
        </w:rPr>
        <w:t>生产系统危险性识别，包括主要生产装置、储运设施、公用工程和辅助生产设施，以及环境保护设施等。本项目主要识别储运系统和主要生产装置的环境保护措施。</w:t>
      </w:r>
    </w:p>
    <w:p>
      <w:pPr>
        <w:spacing w:line="480" w:lineRule="atLeast"/>
        <w:ind w:firstLine="480" w:firstLineChars="200"/>
        <w:rPr>
          <w:rFonts w:ascii="Times New Roman" w:hAnsi="Times New Roman"/>
          <w:sz w:val="24"/>
          <w:szCs w:val="24"/>
        </w:rPr>
      </w:pPr>
      <w:r>
        <w:rPr>
          <w:rFonts w:ascii="Times New Roman" w:hAnsi="Times New Roman"/>
          <w:sz w:val="24"/>
          <w:szCs w:val="24"/>
        </w:rPr>
        <w:t>（1）储运系统</w:t>
      </w:r>
    </w:p>
    <w:p>
      <w:pPr>
        <w:spacing w:line="480" w:lineRule="atLeast"/>
        <w:ind w:firstLine="480" w:firstLineChars="200"/>
        <w:rPr>
          <w:rFonts w:ascii="Times New Roman" w:hAnsi="Times New Roman"/>
          <w:sz w:val="24"/>
          <w:szCs w:val="24"/>
        </w:rPr>
      </w:pPr>
      <w:r>
        <w:rPr>
          <w:rFonts w:ascii="Times New Roman" w:hAnsi="Times New Roman"/>
          <w:sz w:val="24"/>
          <w:szCs w:val="24"/>
        </w:rPr>
        <w:t>医疗废物在收集运输过程中可能由于交通事故或周转箱破损导致医疗废物泄漏到外环境，污染土壤或经地表水体径流污染到当地地表水体，甚至危害到人群健康。医疗废物在暂时贮存过程中也有可能由于周转箱破损导致医疗废物医废泄漏。</w:t>
      </w:r>
    </w:p>
    <w:p>
      <w:pPr>
        <w:spacing w:line="480" w:lineRule="atLeast"/>
        <w:ind w:firstLine="480" w:firstLineChars="200"/>
        <w:rPr>
          <w:rFonts w:ascii="Times New Roman" w:hAnsi="Times New Roman"/>
          <w:sz w:val="24"/>
          <w:szCs w:val="24"/>
        </w:rPr>
      </w:pPr>
      <w:r>
        <w:rPr>
          <w:rFonts w:ascii="Times New Roman" w:hAnsi="Times New Roman"/>
          <w:sz w:val="24"/>
          <w:szCs w:val="24"/>
        </w:rPr>
        <w:t>（2）环境保护设施</w:t>
      </w:r>
    </w:p>
    <w:p>
      <w:pPr>
        <w:spacing w:line="480" w:lineRule="atLeast"/>
        <w:ind w:firstLine="480" w:firstLineChars="200"/>
        <w:rPr>
          <w:rFonts w:ascii="Times New Roman" w:hAnsi="Times New Roman"/>
          <w:sz w:val="24"/>
          <w:szCs w:val="24"/>
        </w:rPr>
      </w:pPr>
      <w:r>
        <w:rPr>
          <w:rFonts w:hint="eastAsia" w:cs="宋体"/>
          <w:sz w:val="24"/>
          <w:szCs w:val="24"/>
        </w:rPr>
        <w:t>①</w:t>
      </w:r>
      <w:r>
        <w:rPr>
          <w:rFonts w:ascii="Times New Roman" w:hAnsi="Times New Roman"/>
          <w:sz w:val="24"/>
          <w:szCs w:val="24"/>
        </w:rPr>
        <w:t>废气事故排放影响分析</w:t>
      </w:r>
    </w:p>
    <w:p>
      <w:pPr>
        <w:spacing w:line="480" w:lineRule="atLeast"/>
        <w:ind w:firstLine="480" w:firstLineChars="200"/>
        <w:rPr>
          <w:rFonts w:ascii="Times New Roman" w:hAnsi="Times New Roman"/>
          <w:sz w:val="24"/>
          <w:szCs w:val="24"/>
        </w:rPr>
      </w:pPr>
      <w:r>
        <w:rPr>
          <w:rFonts w:ascii="Times New Roman" w:hAnsi="Times New Roman"/>
          <w:sz w:val="24"/>
          <w:szCs w:val="24"/>
        </w:rPr>
        <w:t>废气处理设施发生故障导致废气处理不达标，则外排的废气主要含有H</w:t>
      </w:r>
      <w:r>
        <w:rPr>
          <w:rFonts w:ascii="Times New Roman" w:hAnsi="Times New Roman"/>
          <w:sz w:val="24"/>
          <w:szCs w:val="24"/>
          <w:vertAlign w:val="subscript"/>
        </w:rPr>
        <w:t>2</w:t>
      </w:r>
      <w:r>
        <w:rPr>
          <w:rFonts w:ascii="Times New Roman" w:hAnsi="Times New Roman"/>
          <w:sz w:val="24"/>
          <w:szCs w:val="24"/>
        </w:rPr>
        <w:t>S、NH</w:t>
      </w:r>
      <w:r>
        <w:rPr>
          <w:rFonts w:ascii="Times New Roman" w:hAnsi="Times New Roman"/>
          <w:sz w:val="24"/>
          <w:szCs w:val="24"/>
          <w:vertAlign w:val="subscript"/>
        </w:rPr>
        <w:t>3</w:t>
      </w:r>
      <w:r>
        <w:rPr>
          <w:rFonts w:ascii="Times New Roman" w:hAnsi="Times New Roman"/>
          <w:sz w:val="24"/>
          <w:szCs w:val="24"/>
        </w:rPr>
        <w:t>及有机废气。</w:t>
      </w:r>
    </w:p>
    <w:p>
      <w:pPr>
        <w:spacing w:line="480" w:lineRule="atLeast"/>
        <w:ind w:firstLine="480" w:firstLineChars="200"/>
        <w:rPr>
          <w:rFonts w:ascii="Times New Roman" w:hAnsi="Times New Roman"/>
          <w:sz w:val="24"/>
          <w:szCs w:val="24"/>
        </w:rPr>
      </w:pPr>
      <w:r>
        <w:rPr>
          <w:rFonts w:ascii="Times New Roman" w:hAnsi="Times New Roman"/>
          <w:sz w:val="24"/>
          <w:szCs w:val="24"/>
        </w:rPr>
        <w:t>硫化氢，分子式为H</w:t>
      </w:r>
      <w:r>
        <w:rPr>
          <w:rFonts w:ascii="Times New Roman" w:hAnsi="Times New Roman"/>
          <w:sz w:val="24"/>
          <w:szCs w:val="24"/>
          <w:vertAlign w:val="subscript"/>
        </w:rPr>
        <w:t>2</w:t>
      </w:r>
      <w:r>
        <w:rPr>
          <w:rFonts w:ascii="Times New Roman" w:hAnsi="Times New Roman"/>
          <w:sz w:val="24"/>
          <w:szCs w:val="24"/>
        </w:rPr>
        <w:t>S，分子量为34.076，标准状况下是一种易燃的酸性气体，无色，低浓度时有臭鸡蛋气味，浓度极低时便有臭味，有剧毒（L</w:t>
      </w:r>
      <w:r>
        <w:rPr>
          <w:rFonts w:ascii="Times New Roman" w:hAnsi="Times New Roman"/>
          <w:sz w:val="24"/>
          <w:szCs w:val="24"/>
          <w:vertAlign w:val="subscript"/>
        </w:rPr>
        <w:t>C50</w:t>
      </w:r>
      <w:r>
        <w:rPr>
          <w:rFonts w:ascii="Times New Roman" w:hAnsi="Times New Roman"/>
          <w:sz w:val="24"/>
          <w:szCs w:val="24"/>
        </w:rPr>
        <w:t>=444ppm&lt;500ppm）。其水溶液为氢硫酸。分子量为34.08，蒸汽压为2026.5kPa/25.5℃，闪点为&lt;-50℃，熔点是-85.5℃，沸点是-60.4℃，相对密度为（空气=1）1.19。能溶于水，易溶于醇类、石油溶剂和原油。燃点为292℃。硫化氢为易燃危化品，与空气混合能形成爆炸性混合物，遇明火、高热能引起燃烧爆炸。</w:t>
      </w:r>
    </w:p>
    <w:p>
      <w:pPr>
        <w:spacing w:line="480" w:lineRule="atLeast"/>
        <w:ind w:firstLine="480" w:firstLineChars="200"/>
        <w:rPr>
          <w:rFonts w:ascii="Times New Roman" w:hAnsi="Times New Roman"/>
          <w:sz w:val="24"/>
          <w:szCs w:val="24"/>
        </w:rPr>
      </w:pPr>
      <w:r>
        <w:rPr>
          <w:rFonts w:ascii="Times New Roman" w:hAnsi="Times New Roman"/>
          <w:sz w:val="24"/>
          <w:szCs w:val="24"/>
        </w:rPr>
        <w:t>氨气，一种有强烈的刺激气味无色气体，易被液化成无色的液体。在常温下加压即可使其液化（临界温度132.4℃，临界压力11.2兆帕，即112.2大气压），沸点-33.5℃。也易被固化成雪状固体，熔点-77.75℃。溶于水、乙醇和乙醚。在高温时会分解成氮气和氢气，有还原作用，有催化剂存在时可被氧化成一氧化氮。用于制液氮、氨水、硝酸、铵盐和胺类等。可由氮和氢直接合成而制得，能灼伤皮肤、眼睛、呼吸器官的粘膜，人吸入过多，能引起肺肿胀，以至死亡。</w:t>
      </w:r>
    </w:p>
    <w:p>
      <w:pPr>
        <w:spacing w:line="480" w:lineRule="atLeast"/>
        <w:ind w:firstLine="480" w:firstLineChars="200"/>
        <w:rPr>
          <w:rFonts w:ascii="Times New Roman" w:hAnsi="Times New Roman"/>
          <w:sz w:val="24"/>
          <w:szCs w:val="24"/>
        </w:rPr>
      </w:pPr>
      <w:r>
        <w:rPr>
          <w:rFonts w:ascii="Times New Roman" w:hAnsi="Times New Roman"/>
          <w:sz w:val="24"/>
          <w:szCs w:val="24"/>
        </w:rPr>
        <w:t>有机废气包含多种有毒有害有机物，污染空气，可造成急性中毒事件，高危行业容易引发职业病，部分有机物（如丙烯酸乙酯、甲醛）具有刺鼻气味，刺激人体引发不适。更重要的是作为前体物（如醛类、烯类）与NO</w:t>
      </w:r>
      <w:r>
        <w:rPr>
          <w:rFonts w:ascii="Times New Roman" w:hAnsi="Times New Roman"/>
          <w:sz w:val="24"/>
          <w:szCs w:val="24"/>
          <w:vertAlign w:val="subscript"/>
        </w:rPr>
        <w:t>X</w:t>
      </w:r>
      <w:r>
        <w:rPr>
          <w:rFonts w:ascii="Times New Roman" w:hAnsi="Times New Roman"/>
          <w:sz w:val="24"/>
          <w:szCs w:val="24"/>
        </w:rPr>
        <w:t>反应生产臭氧，可导致大气光化学烟雾事件产生，危害人类健康和植物生长。</w:t>
      </w:r>
    </w:p>
    <w:p>
      <w:pPr>
        <w:spacing w:line="480" w:lineRule="atLeast"/>
        <w:ind w:firstLine="480" w:firstLineChars="200"/>
        <w:rPr>
          <w:rFonts w:ascii="Times New Roman" w:hAnsi="Times New Roman"/>
          <w:sz w:val="24"/>
          <w:szCs w:val="24"/>
        </w:rPr>
      </w:pPr>
      <w:r>
        <w:rPr>
          <w:rFonts w:hint="eastAsia" w:cs="宋体"/>
          <w:sz w:val="24"/>
          <w:szCs w:val="24"/>
        </w:rPr>
        <w:t>②</w:t>
      </w:r>
      <w:r>
        <w:rPr>
          <w:rFonts w:ascii="Times New Roman" w:hAnsi="Times New Roman"/>
          <w:sz w:val="24"/>
          <w:szCs w:val="24"/>
        </w:rPr>
        <w:t>医疗废物处置过程中废水处理系统失效产生的废水事故排放分析</w:t>
      </w:r>
    </w:p>
    <w:p>
      <w:pPr>
        <w:spacing w:line="480" w:lineRule="atLeast"/>
        <w:ind w:firstLine="480" w:firstLineChars="200"/>
        <w:rPr>
          <w:rFonts w:ascii="Times New Roman" w:hAnsi="Times New Roman"/>
          <w:sz w:val="24"/>
        </w:rPr>
      </w:pPr>
      <w:r>
        <w:rPr>
          <w:rFonts w:ascii="Times New Roman" w:hAnsi="Times New Roman"/>
          <w:sz w:val="24"/>
          <w:szCs w:val="24"/>
        </w:rPr>
        <w:t>废水主要含有COD、BOD</w:t>
      </w:r>
      <w:r>
        <w:rPr>
          <w:rFonts w:ascii="Times New Roman" w:hAnsi="Times New Roman"/>
          <w:sz w:val="24"/>
          <w:szCs w:val="24"/>
          <w:vertAlign w:val="subscript"/>
        </w:rPr>
        <w:t>5</w:t>
      </w:r>
      <w:r>
        <w:rPr>
          <w:rFonts w:ascii="Times New Roman" w:hAnsi="Times New Roman"/>
          <w:sz w:val="24"/>
          <w:szCs w:val="24"/>
        </w:rPr>
        <w:t>、氨氮、SS等。如处理不当，发生泄露或渗漏，会造成区域内地表水及地下水污染，危害动植物及居民健康。危废处置中心设置了应急事故池，以收集泄漏的废水。</w:t>
      </w:r>
    </w:p>
    <w:p>
      <w:pPr>
        <w:widowControl/>
        <w:spacing w:line="480" w:lineRule="exact"/>
        <w:outlineLvl w:val="3"/>
        <w:rPr>
          <w:rFonts w:ascii="Times New Roman" w:hAnsi="Times New Roman" w:eastAsia="黑体"/>
          <w:sz w:val="24"/>
        </w:rPr>
      </w:pPr>
      <w:r>
        <w:rPr>
          <w:rFonts w:ascii="Times New Roman" w:hAnsi="Times New Roman" w:eastAsia="黑体"/>
          <w:sz w:val="24"/>
        </w:rPr>
        <w:t>3.6.2.3.贮运系统风险识别</w:t>
      </w:r>
    </w:p>
    <w:p>
      <w:pPr>
        <w:spacing w:line="480" w:lineRule="exact"/>
        <w:ind w:firstLine="480" w:firstLineChars="200"/>
        <w:rPr>
          <w:rFonts w:ascii="Times New Roman" w:hAnsi="Times New Roman"/>
          <w:sz w:val="24"/>
          <w:szCs w:val="24"/>
        </w:rPr>
      </w:pPr>
      <w:r>
        <w:rPr>
          <w:rFonts w:ascii="Times New Roman" w:hAnsi="Times New Roman"/>
          <w:sz w:val="24"/>
          <w:szCs w:val="24"/>
        </w:rPr>
        <w:t>本项目涉及运输的危险物质为医疗废物，采用陆运方式，运输过程可能存在由于交通事故导致运输车辆泄漏，从而使土壤或地表水体受到污染。危险品运输方式及环境风险事故类型详见表3.6-4。</w:t>
      </w:r>
    </w:p>
    <w:p>
      <w:pPr>
        <w:spacing w:line="480" w:lineRule="exact"/>
        <w:jc w:val="center"/>
        <w:rPr>
          <w:rFonts w:ascii="Times New Roman" w:hAnsi="Times New Roman"/>
          <w:b/>
        </w:rPr>
      </w:pPr>
      <w:r>
        <w:rPr>
          <w:rFonts w:ascii="Times New Roman" w:hAnsi="Times New Roman"/>
          <w:b/>
        </w:rPr>
        <w:t>表3.6-4 危险品运输方式及风险事故类型一览表</w:t>
      </w:r>
    </w:p>
    <w:tbl>
      <w:tblPr>
        <w:tblStyle w:val="7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708"/>
        <w:gridCol w:w="1608"/>
        <w:gridCol w:w="1684"/>
        <w:gridCol w:w="1684"/>
        <w:gridCol w:w="168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0" w:hRule="atLeast"/>
        </w:trPr>
        <w:tc>
          <w:tcPr>
            <w:tcW w:w="1709" w:type="dxa"/>
            <w:vAlign w:val="center"/>
          </w:tcPr>
          <w:p>
            <w:pPr>
              <w:spacing w:line="280" w:lineRule="exact"/>
              <w:jc w:val="center"/>
              <w:rPr>
                <w:rFonts w:ascii="Times New Roman" w:hAnsi="Times New Roman"/>
                <w:b/>
              </w:rPr>
            </w:pPr>
            <w:r>
              <w:rPr>
                <w:rFonts w:ascii="Times New Roman" w:hAnsi="Times New Roman"/>
                <w:b/>
              </w:rPr>
              <w:t>危险品名称</w:t>
            </w:r>
          </w:p>
        </w:tc>
        <w:tc>
          <w:tcPr>
            <w:tcW w:w="1608" w:type="dxa"/>
            <w:vAlign w:val="center"/>
          </w:tcPr>
          <w:p>
            <w:pPr>
              <w:spacing w:line="280" w:lineRule="exact"/>
              <w:jc w:val="center"/>
              <w:rPr>
                <w:rFonts w:ascii="Times New Roman" w:hAnsi="Times New Roman"/>
                <w:b/>
              </w:rPr>
            </w:pPr>
            <w:r>
              <w:rPr>
                <w:rFonts w:ascii="Times New Roman" w:hAnsi="Times New Roman"/>
                <w:b/>
              </w:rPr>
              <w:t>运输方式</w:t>
            </w:r>
          </w:p>
        </w:tc>
        <w:tc>
          <w:tcPr>
            <w:tcW w:w="1684" w:type="dxa"/>
            <w:vAlign w:val="center"/>
          </w:tcPr>
          <w:p>
            <w:pPr>
              <w:spacing w:line="280" w:lineRule="exact"/>
              <w:jc w:val="center"/>
              <w:rPr>
                <w:rFonts w:ascii="Times New Roman" w:hAnsi="Times New Roman"/>
                <w:b/>
              </w:rPr>
            </w:pPr>
            <w:r>
              <w:rPr>
                <w:rFonts w:ascii="Times New Roman" w:hAnsi="Times New Roman"/>
                <w:b/>
              </w:rPr>
              <w:t>运输量</w:t>
            </w:r>
          </w:p>
        </w:tc>
        <w:tc>
          <w:tcPr>
            <w:tcW w:w="1684" w:type="dxa"/>
            <w:vAlign w:val="center"/>
          </w:tcPr>
          <w:p>
            <w:pPr>
              <w:spacing w:line="280" w:lineRule="exact"/>
              <w:jc w:val="center"/>
              <w:rPr>
                <w:rFonts w:ascii="Times New Roman" w:hAnsi="Times New Roman"/>
                <w:b/>
              </w:rPr>
            </w:pPr>
            <w:r>
              <w:rPr>
                <w:rFonts w:ascii="Times New Roman" w:hAnsi="Times New Roman"/>
                <w:b/>
              </w:rPr>
              <w:t>突发性事故类型</w:t>
            </w:r>
          </w:p>
        </w:tc>
        <w:tc>
          <w:tcPr>
            <w:tcW w:w="1684" w:type="dxa"/>
            <w:vAlign w:val="center"/>
          </w:tcPr>
          <w:p>
            <w:pPr>
              <w:spacing w:line="280" w:lineRule="exact"/>
              <w:jc w:val="center"/>
              <w:rPr>
                <w:rFonts w:ascii="Times New Roman" w:hAnsi="Times New Roman"/>
                <w:b/>
              </w:rPr>
            </w:pPr>
            <w:r>
              <w:rPr>
                <w:rFonts w:ascii="Times New Roman" w:hAnsi="Times New Roman"/>
                <w:b/>
              </w:rPr>
              <w:t>突发性污染对象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0" w:hRule="atLeast"/>
        </w:trPr>
        <w:tc>
          <w:tcPr>
            <w:tcW w:w="1709" w:type="dxa"/>
            <w:vAlign w:val="center"/>
          </w:tcPr>
          <w:p>
            <w:pPr>
              <w:spacing w:line="280" w:lineRule="exact"/>
              <w:jc w:val="center"/>
              <w:rPr>
                <w:rFonts w:ascii="Times New Roman" w:hAnsi="Times New Roman"/>
                <w:bCs/>
              </w:rPr>
            </w:pPr>
            <w:r>
              <w:rPr>
                <w:rFonts w:ascii="Times New Roman" w:hAnsi="Times New Roman"/>
                <w:bCs/>
              </w:rPr>
              <w:t>医疗废物</w:t>
            </w:r>
          </w:p>
        </w:tc>
        <w:tc>
          <w:tcPr>
            <w:tcW w:w="1608" w:type="dxa"/>
            <w:vAlign w:val="center"/>
          </w:tcPr>
          <w:p>
            <w:pPr>
              <w:spacing w:line="280" w:lineRule="exact"/>
              <w:jc w:val="center"/>
              <w:rPr>
                <w:rFonts w:ascii="Times New Roman" w:hAnsi="Times New Roman"/>
                <w:bCs/>
              </w:rPr>
            </w:pPr>
            <w:r>
              <w:rPr>
                <w:rFonts w:ascii="Times New Roman" w:hAnsi="Times New Roman"/>
                <w:bCs/>
              </w:rPr>
              <w:t>专业车辆运输</w:t>
            </w:r>
          </w:p>
        </w:tc>
        <w:tc>
          <w:tcPr>
            <w:tcW w:w="1684" w:type="dxa"/>
            <w:vAlign w:val="center"/>
          </w:tcPr>
          <w:p>
            <w:pPr>
              <w:spacing w:line="280" w:lineRule="exact"/>
              <w:jc w:val="center"/>
              <w:rPr>
                <w:rFonts w:ascii="Times New Roman" w:hAnsi="Times New Roman"/>
                <w:bCs/>
              </w:rPr>
            </w:pPr>
            <w:r>
              <w:rPr>
                <w:rFonts w:ascii="Times New Roman" w:hAnsi="Times New Roman"/>
                <w:bCs/>
              </w:rPr>
              <w:t>6t/d</w:t>
            </w:r>
          </w:p>
        </w:tc>
        <w:tc>
          <w:tcPr>
            <w:tcW w:w="1684" w:type="dxa"/>
            <w:vAlign w:val="center"/>
          </w:tcPr>
          <w:p>
            <w:pPr>
              <w:spacing w:line="280" w:lineRule="exact"/>
              <w:jc w:val="center"/>
              <w:rPr>
                <w:rFonts w:ascii="Times New Roman" w:hAnsi="Times New Roman"/>
                <w:bCs/>
              </w:rPr>
            </w:pPr>
            <w:r>
              <w:rPr>
                <w:rFonts w:ascii="Times New Roman" w:hAnsi="Times New Roman"/>
                <w:bCs/>
              </w:rPr>
              <w:t>泄露</w:t>
            </w:r>
          </w:p>
        </w:tc>
        <w:tc>
          <w:tcPr>
            <w:tcW w:w="1684" w:type="dxa"/>
            <w:vAlign w:val="center"/>
          </w:tcPr>
          <w:p>
            <w:pPr>
              <w:spacing w:line="280" w:lineRule="exact"/>
              <w:jc w:val="center"/>
              <w:rPr>
                <w:rFonts w:ascii="Times New Roman" w:hAnsi="Times New Roman"/>
                <w:bCs/>
              </w:rPr>
            </w:pPr>
            <w:r>
              <w:rPr>
                <w:rFonts w:ascii="Times New Roman" w:hAnsi="Times New Roman"/>
                <w:bCs/>
              </w:rPr>
              <w:t>土壤、地表水</w:t>
            </w:r>
          </w:p>
        </w:tc>
      </w:tr>
    </w:tbl>
    <w:p>
      <w:pPr>
        <w:spacing w:line="480" w:lineRule="exact"/>
        <w:ind w:firstLine="480" w:firstLineChars="200"/>
        <w:rPr>
          <w:rFonts w:ascii="Times New Roman" w:hAnsi="Times New Roman"/>
          <w:sz w:val="24"/>
          <w:szCs w:val="24"/>
        </w:rPr>
      </w:pPr>
      <w:r>
        <w:rPr>
          <w:rFonts w:ascii="Times New Roman" w:hAnsi="Times New Roman"/>
          <w:sz w:val="24"/>
          <w:szCs w:val="24"/>
        </w:rPr>
        <w:t>在道路上，运输有危险废物的车辆发生交通事故与各种因素有关，这些因素包括：驾驶员个人因素、危险废物的运量、车次、车速、交通量、道路状况等条件；道路所在地区气候条件等因素，经分析，这种交通事故发生的频率P可用下式表达：</w:t>
      </w:r>
    </w:p>
    <w:p>
      <w:pPr>
        <w:spacing w:line="480" w:lineRule="exact"/>
        <w:rPr>
          <w:rFonts w:ascii="Times New Roman" w:hAnsi="Times New Roman"/>
          <w:sz w:val="24"/>
          <w:szCs w:val="24"/>
        </w:rPr>
      </w:pPr>
      <w:r>
        <w:rPr>
          <w:rFonts w:ascii="Times New Roman" w:hAnsi="Times New Roman"/>
          <w:sz w:val="24"/>
          <w:szCs w:val="24"/>
        </w:rPr>
        <w:t>P</w:t>
      </w:r>
      <w:r>
        <w:rPr>
          <w:rFonts w:ascii="Times New Roman" w:hAnsi="Times New Roman"/>
          <w:sz w:val="24"/>
          <w:szCs w:val="24"/>
          <w:vertAlign w:val="subscript"/>
        </w:rPr>
        <w:t>危</w:t>
      </w:r>
      <w:r>
        <w:rPr>
          <w:rFonts w:ascii="Times New Roman" w:hAnsi="Times New Roman"/>
          <w:sz w:val="24"/>
          <w:szCs w:val="24"/>
        </w:rPr>
        <w:t>=P×P</w:t>
      </w:r>
      <w:r>
        <w:rPr>
          <w:rFonts w:ascii="Times New Roman" w:hAnsi="Times New Roman"/>
          <w:sz w:val="24"/>
          <w:szCs w:val="24"/>
          <w:vertAlign w:val="subscript"/>
        </w:rPr>
        <w:t>1</w:t>
      </w:r>
      <w:r>
        <w:rPr>
          <w:rFonts w:ascii="Times New Roman" w:hAnsi="Times New Roman"/>
          <w:sz w:val="24"/>
          <w:szCs w:val="24"/>
        </w:rPr>
        <w:t>×T×L</w:t>
      </w:r>
    </w:p>
    <w:p>
      <w:pPr>
        <w:spacing w:line="480" w:lineRule="exact"/>
        <w:ind w:firstLine="480" w:firstLineChars="200"/>
        <w:rPr>
          <w:rFonts w:ascii="Times New Roman" w:hAnsi="Times New Roman"/>
          <w:sz w:val="24"/>
          <w:szCs w:val="24"/>
        </w:rPr>
      </w:pPr>
      <w:r>
        <w:rPr>
          <w:rFonts w:ascii="Times New Roman" w:hAnsi="Times New Roman"/>
          <w:sz w:val="24"/>
          <w:szCs w:val="24"/>
        </w:rPr>
        <w:t>式中：P－汽车运输事故概率，单位：次数/万吨km，由《江西省统计年鉴》近年来统计资料，取0.0046。</w:t>
      </w:r>
    </w:p>
    <w:p>
      <w:pPr>
        <w:spacing w:line="480" w:lineRule="exact"/>
        <w:ind w:firstLine="1200" w:firstLineChars="500"/>
        <w:rPr>
          <w:rFonts w:ascii="Times New Roman" w:hAnsi="Times New Roman"/>
          <w:sz w:val="24"/>
          <w:szCs w:val="24"/>
        </w:rPr>
      </w:pPr>
      <w:r>
        <w:rPr>
          <w:rFonts w:ascii="Times New Roman" w:hAnsi="Times New Roman"/>
          <w:sz w:val="24"/>
          <w:szCs w:val="24"/>
        </w:rPr>
        <w:t>P</w:t>
      </w:r>
      <w:r>
        <w:rPr>
          <w:rFonts w:ascii="Times New Roman" w:hAnsi="Times New Roman"/>
          <w:sz w:val="24"/>
          <w:szCs w:val="24"/>
          <w:vertAlign w:val="subscript"/>
        </w:rPr>
        <w:t>1</w:t>
      </w:r>
      <w:r>
        <w:rPr>
          <w:rFonts w:ascii="Times New Roman" w:hAnsi="Times New Roman"/>
          <w:sz w:val="24"/>
          <w:szCs w:val="24"/>
        </w:rPr>
        <w:t>－医疗废物运输车辆占交通量的比例，按0.001%计。</w:t>
      </w:r>
    </w:p>
    <w:p>
      <w:pPr>
        <w:spacing w:line="480" w:lineRule="exact"/>
        <w:ind w:firstLine="1200" w:firstLineChars="500"/>
        <w:rPr>
          <w:rFonts w:ascii="Times New Roman" w:hAnsi="Times New Roman"/>
          <w:sz w:val="24"/>
          <w:szCs w:val="24"/>
        </w:rPr>
      </w:pPr>
      <w:r>
        <w:rPr>
          <w:rFonts w:ascii="Times New Roman" w:hAnsi="Times New Roman"/>
          <w:sz w:val="24"/>
          <w:szCs w:val="24"/>
        </w:rPr>
        <w:t>T－医废废物运输量，按0.219万t计。</w:t>
      </w:r>
    </w:p>
    <w:p>
      <w:pPr>
        <w:spacing w:line="480" w:lineRule="exact"/>
        <w:ind w:firstLine="1200" w:firstLineChars="500"/>
        <w:rPr>
          <w:rFonts w:ascii="Times New Roman" w:hAnsi="Times New Roman"/>
          <w:sz w:val="24"/>
          <w:szCs w:val="24"/>
        </w:rPr>
      </w:pPr>
      <w:r>
        <w:rPr>
          <w:rFonts w:ascii="Times New Roman" w:hAnsi="Times New Roman"/>
          <w:sz w:val="24"/>
          <w:szCs w:val="24"/>
        </w:rPr>
        <w:t>L－运输路线的长度，按55.115万km计。</w:t>
      </w:r>
    </w:p>
    <w:p>
      <w:pPr>
        <w:spacing w:line="480" w:lineRule="exact"/>
        <w:ind w:firstLine="1200" w:firstLineChars="500"/>
        <w:rPr>
          <w:rFonts w:ascii="Times New Roman" w:hAnsi="Times New Roman"/>
          <w:sz w:val="24"/>
          <w:szCs w:val="24"/>
        </w:rPr>
      </w:pPr>
      <w:r>
        <w:rPr>
          <w:rFonts w:ascii="Times New Roman" w:hAnsi="Times New Roman"/>
          <w:sz w:val="24"/>
          <w:szCs w:val="24"/>
        </w:rPr>
        <w:t>故P</w:t>
      </w:r>
      <w:r>
        <w:rPr>
          <w:rFonts w:ascii="Times New Roman" w:hAnsi="Times New Roman"/>
          <w:sz w:val="24"/>
          <w:szCs w:val="24"/>
          <w:vertAlign w:val="subscript"/>
        </w:rPr>
        <w:t>危</w:t>
      </w:r>
      <w:r>
        <w:rPr>
          <w:rFonts w:ascii="Times New Roman" w:hAnsi="Times New Roman"/>
          <w:sz w:val="24"/>
          <w:szCs w:val="24"/>
        </w:rPr>
        <w:t>=0.0056（次/年）。</w:t>
      </w:r>
    </w:p>
    <w:p>
      <w:pPr>
        <w:spacing w:line="480" w:lineRule="exact"/>
        <w:ind w:firstLine="480" w:firstLineChars="200"/>
        <w:rPr>
          <w:rFonts w:ascii="Times New Roman" w:hAnsi="Times New Roman"/>
          <w:sz w:val="24"/>
        </w:rPr>
      </w:pPr>
      <w:r>
        <w:rPr>
          <w:rFonts w:ascii="Times New Roman" w:hAnsi="Times New Roman"/>
          <w:sz w:val="24"/>
          <w:szCs w:val="24"/>
        </w:rPr>
        <w:t>从发生运输风险事故的概率的计算结果可知，本项目发生运输风险概率很低，但一旦发生事故，会对事发点周围的人群健康和环境产生不良影响。医疗废物中感染性废物中含有大量致病微生物及传染病原，在发生交通事故时，若这些物质洒落于地，则可能会感染事故现场周围人群，影响周围人群健康。但只要在发生事故时，及时采取措施、隔离事故现场、对事故现场进行清理消毒等措施，防止医疗废物与周围人群接触，能有效地预防医疗废物影响运输路线沿线的居民的身心健康。因此必须加强医疗废物运输管理，建立完备的应急方案</w:t>
      </w:r>
      <w:r>
        <w:rPr>
          <w:rFonts w:ascii="Times New Roman" w:hAnsi="Times New Roman"/>
          <w:sz w:val="24"/>
        </w:rPr>
        <w:t>。</w:t>
      </w:r>
    </w:p>
    <w:p>
      <w:pPr>
        <w:pStyle w:val="3"/>
        <w:spacing w:before="120" w:beforeLines="50" w:after="120" w:afterLines="50" w:line="480" w:lineRule="exact"/>
        <w:ind w:left="-11"/>
        <w:rPr>
          <w:rFonts w:ascii="Times New Roman" w:hAnsi="Times New Roman" w:eastAsia="黑体"/>
          <w:sz w:val="30"/>
          <w:szCs w:val="30"/>
        </w:rPr>
      </w:pPr>
      <w:bookmarkStart w:id="773" w:name="_Toc116379709"/>
      <w:r>
        <w:rPr>
          <w:rFonts w:ascii="Times New Roman" w:hAnsi="Times New Roman" w:eastAsia="黑体"/>
          <w:sz w:val="30"/>
          <w:szCs w:val="30"/>
        </w:rPr>
        <w:t>清洁生产分析</w:t>
      </w:r>
      <w:bookmarkEnd w:id="773"/>
    </w:p>
    <w:p>
      <w:pPr>
        <w:pStyle w:val="155"/>
        <w:spacing w:line="480" w:lineRule="exact"/>
        <w:ind w:firstLine="480"/>
      </w:pPr>
      <w:r>
        <w:t>“清洁生产是指不断采取改进设计、使用清洁的能源和原料、采用先进的工艺技术与设备、改善管理、综合利用等措施，从源头削减污染，提高资源利用效率，减少或者避免生产、服务和产品使用过程中污染物的产生和排放，以减轻或者消除对人类健康和环境的危害”。因此，实施清洁生产是实现节约型社会和推进可持续发展战略的重要举措。对于本项目清洁生产评述将按照清洁生产的原理，从生产工艺与装备要求、资源能源利用指标、产品指标、污染物产生指标、废物回收利用指标、环境管理指标等六个方面进行分析，评述项目清洁生产水平。</w:t>
      </w:r>
    </w:p>
    <w:p>
      <w:pPr>
        <w:pStyle w:val="155"/>
        <w:numPr>
          <w:ilvl w:val="0"/>
          <w:numId w:val="11"/>
        </w:numPr>
        <w:spacing w:line="480" w:lineRule="exact"/>
        <w:ind w:firstLine="480"/>
      </w:pPr>
      <w:r>
        <w:t>生产工艺与装备要求</w:t>
      </w:r>
    </w:p>
    <w:p>
      <w:pPr>
        <w:pStyle w:val="155"/>
        <w:numPr>
          <w:ilvl w:val="0"/>
          <w:numId w:val="12"/>
        </w:numPr>
        <w:spacing w:line="480" w:lineRule="exact"/>
        <w:ind w:firstLineChars="0"/>
      </w:pPr>
      <w:r>
        <w:t>生产工艺</w:t>
      </w:r>
    </w:p>
    <w:p>
      <w:pPr>
        <w:pStyle w:val="155"/>
        <w:spacing w:line="480" w:lineRule="exact"/>
        <w:ind w:firstLine="480"/>
      </w:pPr>
      <w:r>
        <w:t>目前常见的医疗废物处理工艺主要包括高温干热灭菌、热解焚烧、化学消毒处理、微波消毒处理等，其各自技术特点见表3.7-1。</w:t>
      </w:r>
    </w:p>
    <w:p>
      <w:pPr>
        <w:spacing w:line="480" w:lineRule="exact"/>
        <w:jc w:val="center"/>
        <w:rPr>
          <w:rFonts w:ascii="Times New Roman" w:hAnsi="Times New Roman"/>
          <w:b/>
          <w:snapToGrid w:val="0"/>
        </w:rPr>
      </w:pPr>
      <w:r>
        <w:rPr>
          <w:rFonts w:ascii="Times New Roman" w:hAnsi="Times New Roman"/>
          <w:b/>
          <w:snapToGrid w:val="0"/>
        </w:rPr>
        <w:t>表3.7-1 常见医疗废物处理工艺对比分析</w:t>
      </w:r>
    </w:p>
    <w:tbl>
      <w:tblPr>
        <w:tblStyle w:val="7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04"/>
        <w:gridCol w:w="1844"/>
        <w:gridCol w:w="1844"/>
        <w:gridCol w:w="1844"/>
        <w:gridCol w:w="189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01" w:type="dxa"/>
            <w:vAlign w:val="center"/>
          </w:tcPr>
          <w:p>
            <w:pPr>
              <w:jc w:val="center"/>
              <w:rPr>
                <w:rFonts w:ascii="Times New Roman" w:hAnsi="Times New Roman"/>
                <w:b/>
                <w:bCs/>
              </w:rPr>
            </w:pPr>
            <w:r>
              <w:rPr>
                <w:rFonts w:ascii="Times New Roman" w:hAnsi="Times New Roman"/>
                <w:b/>
                <w:bCs/>
              </w:rPr>
              <w:t>考虑因素</w:t>
            </w:r>
          </w:p>
        </w:tc>
        <w:tc>
          <w:tcPr>
            <w:tcW w:w="1843" w:type="dxa"/>
            <w:vAlign w:val="center"/>
          </w:tcPr>
          <w:p>
            <w:pPr>
              <w:jc w:val="center"/>
              <w:rPr>
                <w:rFonts w:ascii="Times New Roman" w:hAnsi="Times New Roman"/>
                <w:b/>
                <w:bCs/>
              </w:rPr>
            </w:pPr>
            <w:r>
              <w:rPr>
                <w:rFonts w:ascii="Times New Roman" w:hAnsi="Times New Roman"/>
                <w:b/>
                <w:bCs/>
              </w:rPr>
              <w:t>高温干热灭菌</w:t>
            </w:r>
          </w:p>
        </w:tc>
        <w:tc>
          <w:tcPr>
            <w:tcW w:w="1843" w:type="dxa"/>
            <w:vAlign w:val="center"/>
          </w:tcPr>
          <w:p>
            <w:pPr>
              <w:jc w:val="center"/>
              <w:rPr>
                <w:rFonts w:ascii="Times New Roman" w:hAnsi="Times New Roman"/>
                <w:b/>
                <w:bCs/>
              </w:rPr>
            </w:pPr>
            <w:r>
              <w:rPr>
                <w:rFonts w:ascii="Times New Roman" w:hAnsi="Times New Roman"/>
                <w:b/>
                <w:bCs/>
              </w:rPr>
              <w:t>热解焚烧</w:t>
            </w:r>
          </w:p>
        </w:tc>
        <w:tc>
          <w:tcPr>
            <w:tcW w:w="1843" w:type="dxa"/>
            <w:vAlign w:val="center"/>
          </w:tcPr>
          <w:p>
            <w:pPr>
              <w:jc w:val="center"/>
              <w:rPr>
                <w:rFonts w:ascii="Times New Roman" w:hAnsi="Times New Roman"/>
                <w:b/>
                <w:bCs/>
              </w:rPr>
            </w:pPr>
            <w:r>
              <w:rPr>
                <w:rFonts w:ascii="Times New Roman" w:hAnsi="Times New Roman"/>
                <w:b/>
                <w:bCs/>
              </w:rPr>
              <w:t>化学消毒处理</w:t>
            </w:r>
          </w:p>
        </w:tc>
        <w:tc>
          <w:tcPr>
            <w:tcW w:w="1893" w:type="dxa"/>
            <w:vAlign w:val="center"/>
          </w:tcPr>
          <w:p>
            <w:pPr>
              <w:jc w:val="center"/>
              <w:rPr>
                <w:rFonts w:ascii="Times New Roman" w:hAnsi="Times New Roman"/>
                <w:b/>
                <w:bCs/>
              </w:rPr>
            </w:pPr>
            <w:r>
              <w:rPr>
                <w:rFonts w:ascii="Times New Roman" w:hAnsi="Times New Roman"/>
                <w:b/>
                <w:bCs/>
              </w:rPr>
              <w:t>微波消毒处理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01" w:type="dxa"/>
            <w:vAlign w:val="center"/>
          </w:tcPr>
          <w:p>
            <w:pPr>
              <w:rPr>
                <w:rFonts w:ascii="Times New Roman" w:hAnsi="Times New Roman"/>
              </w:rPr>
            </w:pPr>
            <w:r>
              <w:rPr>
                <w:rFonts w:ascii="Times New Roman" w:hAnsi="Times New Roman"/>
              </w:rPr>
              <w:t>适应范围</w:t>
            </w:r>
          </w:p>
        </w:tc>
        <w:tc>
          <w:tcPr>
            <w:tcW w:w="1843" w:type="dxa"/>
            <w:vAlign w:val="center"/>
          </w:tcPr>
          <w:p>
            <w:pPr>
              <w:rPr>
                <w:rFonts w:ascii="Times New Roman" w:hAnsi="Times New Roman"/>
              </w:rPr>
            </w:pPr>
            <w:r>
              <w:rPr>
                <w:rFonts w:ascii="Times New Roman" w:hAnsi="Times New Roman"/>
              </w:rPr>
              <w:t>适用于处理感染性废物和损伤性废物，不适用于处理病理性废物、药物性废物、化学性废物，不适用于处理汞和挥发性有机物含量较高的医疗废物</w:t>
            </w:r>
          </w:p>
        </w:tc>
        <w:tc>
          <w:tcPr>
            <w:tcW w:w="1843" w:type="dxa"/>
            <w:vAlign w:val="center"/>
          </w:tcPr>
          <w:p>
            <w:pPr>
              <w:rPr>
                <w:rFonts w:ascii="Times New Roman" w:hAnsi="Times New Roman"/>
              </w:rPr>
            </w:pPr>
            <w:r>
              <w:rPr>
                <w:rFonts w:ascii="Times New Roman" w:hAnsi="Times New Roman"/>
              </w:rPr>
              <w:t>适用于处置经分类收集的医疗废物，不宜处置可辨别的人体解剖性废物、放射性废弃物、高压容器、废弃的细胞毒性药品、剧毒物品、易燃易爆物品、重金属含量高的医疗废物等</w:t>
            </w:r>
          </w:p>
        </w:tc>
        <w:tc>
          <w:tcPr>
            <w:tcW w:w="1843" w:type="dxa"/>
            <w:vAlign w:val="center"/>
          </w:tcPr>
          <w:p>
            <w:pPr>
              <w:rPr>
                <w:rFonts w:ascii="Times New Roman" w:hAnsi="Times New Roman"/>
              </w:rPr>
            </w:pPr>
            <w:r>
              <w:rPr>
                <w:rFonts w:ascii="Times New Roman" w:hAnsi="Times New Roman"/>
              </w:rPr>
              <w:t>适用于处理《医疗废物分类目录》中的感染性废物、损伤性废物和病理性废物（人体器官和传染性的动物尸体等除外）</w:t>
            </w:r>
          </w:p>
        </w:tc>
        <w:tc>
          <w:tcPr>
            <w:tcW w:w="1893" w:type="dxa"/>
            <w:vAlign w:val="center"/>
          </w:tcPr>
          <w:p>
            <w:pPr>
              <w:rPr>
                <w:rFonts w:ascii="Times New Roman" w:hAnsi="Times New Roman"/>
              </w:rPr>
            </w:pPr>
            <w:r>
              <w:rPr>
                <w:rFonts w:ascii="Times New Roman" w:hAnsi="Times New Roman"/>
              </w:rPr>
              <w:t>适用于处理《医疗废物分类目录》中的感染性废物、损伤性废物和病理性废物（人体器官和传染性的动物尸体等除外）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01" w:type="dxa"/>
            <w:vAlign w:val="center"/>
          </w:tcPr>
          <w:p>
            <w:pPr>
              <w:rPr>
                <w:rFonts w:ascii="Times New Roman" w:hAnsi="Times New Roman"/>
              </w:rPr>
            </w:pPr>
            <w:r>
              <w:rPr>
                <w:rFonts w:ascii="Times New Roman" w:hAnsi="Times New Roman"/>
              </w:rPr>
              <w:t>收集要求</w:t>
            </w:r>
          </w:p>
        </w:tc>
        <w:tc>
          <w:tcPr>
            <w:tcW w:w="1843" w:type="dxa"/>
            <w:vAlign w:val="center"/>
          </w:tcPr>
          <w:p>
            <w:pPr>
              <w:rPr>
                <w:rFonts w:ascii="Times New Roman" w:hAnsi="Times New Roman"/>
              </w:rPr>
            </w:pPr>
            <w:r>
              <w:rPr>
                <w:rFonts w:ascii="Times New Roman" w:hAnsi="Times New Roman"/>
              </w:rPr>
              <w:t>感染性废物等医废分类采用不同包装袋收集，损伤性废物采用利器盒收集</w:t>
            </w:r>
          </w:p>
        </w:tc>
        <w:tc>
          <w:tcPr>
            <w:tcW w:w="1843" w:type="dxa"/>
            <w:vAlign w:val="center"/>
          </w:tcPr>
          <w:p>
            <w:pPr>
              <w:rPr>
                <w:rFonts w:ascii="Times New Roman" w:hAnsi="Times New Roman"/>
              </w:rPr>
            </w:pPr>
            <w:r>
              <w:rPr>
                <w:rFonts w:ascii="Times New Roman" w:hAnsi="Times New Roman"/>
              </w:rPr>
              <w:t>损伤性废物采用利器盒收集，其他废物采用包装袋收集</w:t>
            </w:r>
          </w:p>
        </w:tc>
        <w:tc>
          <w:tcPr>
            <w:tcW w:w="1843" w:type="dxa"/>
            <w:vAlign w:val="center"/>
          </w:tcPr>
          <w:p>
            <w:pPr>
              <w:rPr>
                <w:rFonts w:ascii="Times New Roman" w:hAnsi="Times New Roman"/>
              </w:rPr>
            </w:pPr>
            <w:r>
              <w:rPr>
                <w:rFonts w:ascii="Times New Roman" w:hAnsi="Times New Roman"/>
              </w:rPr>
              <w:t>感染性废物、病理性废物（人体器官和传染性的动物尸体等除外）采用包装袋收集，损伤性废物采用利器盒收集，其他废物另行收集、处置</w:t>
            </w:r>
          </w:p>
        </w:tc>
        <w:tc>
          <w:tcPr>
            <w:tcW w:w="1893" w:type="dxa"/>
            <w:vAlign w:val="center"/>
          </w:tcPr>
          <w:p>
            <w:pPr>
              <w:rPr>
                <w:rFonts w:ascii="Times New Roman" w:hAnsi="Times New Roman"/>
              </w:rPr>
            </w:pPr>
            <w:r>
              <w:rPr>
                <w:rFonts w:ascii="Times New Roman" w:hAnsi="Times New Roman"/>
              </w:rPr>
              <w:t>感染性废物、病理性废物（人体器官和传染性的动物尸体等除外）采用包装袋收集，损伤性废物采用利器盒收集，其他废物另行收集、处置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01" w:type="dxa"/>
            <w:vAlign w:val="center"/>
          </w:tcPr>
          <w:p>
            <w:pPr>
              <w:rPr>
                <w:rFonts w:ascii="Times New Roman" w:hAnsi="Times New Roman"/>
              </w:rPr>
            </w:pPr>
            <w:r>
              <w:rPr>
                <w:rFonts w:ascii="Times New Roman" w:hAnsi="Times New Roman"/>
              </w:rPr>
              <w:t>处置效果</w:t>
            </w:r>
          </w:p>
        </w:tc>
        <w:tc>
          <w:tcPr>
            <w:tcW w:w="1843" w:type="dxa"/>
            <w:vAlign w:val="center"/>
          </w:tcPr>
          <w:p>
            <w:pPr>
              <w:rPr>
                <w:rFonts w:ascii="Times New Roman" w:hAnsi="Times New Roman"/>
              </w:rPr>
            </w:pPr>
            <w:r>
              <w:rPr>
                <w:rFonts w:ascii="Times New Roman" w:hAnsi="Times New Roman"/>
              </w:rPr>
              <w:t>可实现无害化，减量化效果一般，若处理的废物再进行焚烧处置可实现部分能源回收</w:t>
            </w:r>
          </w:p>
        </w:tc>
        <w:tc>
          <w:tcPr>
            <w:tcW w:w="1843" w:type="dxa"/>
            <w:vAlign w:val="center"/>
          </w:tcPr>
          <w:p>
            <w:pPr>
              <w:rPr>
                <w:rFonts w:ascii="Times New Roman" w:hAnsi="Times New Roman"/>
              </w:rPr>
            </w:pPr>
            <w:r>
              <w:rPr>
                <w:rFonts w:ascii="Times New Roman" w:hAnsi="Times New Roman"/>
              </w:rPr>
              <w:t>可实现无害化，减量化效果好，但产生的危险废物还有待处置</w:t>
            </w:r>
          </w:p>
        </w:tc>
        <w:tc>
          <w:tcPr>
            <w:tcW w:w="1843" w:type="dxa"/>
            <w:vAlign w:val="center"/>
          </w:tcPr>
          <w:p>
            <w:pPr>
              <w:rPr>
                <w:rFonts w:ascii="Times New Roman" w:hAnsi="Times New Roman"/>
              </w:rPr>
            </w:pPr>
            <w:r>
              <w:rPr>
                <w:rFonts w:ascii="Times New Roman" w:hAnsi="Times New Roman"/>
              </w:rPr>
              <w:t>减量化效果差，灭菌效果没有保障</w:t>
            </w:r>
          </w:p>
        </w:tc>
        <w:tc>
          <w:tcPr>
            <w:tcW w:w="1893" w:type="dxa"/>
            <w:vAlign w:val="center"/>
          </w:tcPr>
          <w:p>
            <w:pPr>
              <w:rPr>
                <w:rFonts w:ascii="Times New Roman" w:hAnsi="Times New Roman"/>
              </w:rPr>
            </w:pPr>
            <w:r>
              <w:rPr>
                <w:rFonts w:ascii="Times New Roman" w:hAnsi="Times New Roman"/>
              </w:rPr>
              <w:t>可实现无害化，但减量化效果差，灭菌效果没有保障。如果处理的废物再进行焚烧处置可实现部分能源回收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01" w:type="dxa"/>
            <w:vAlign w:val="center"/>
          </w:tcPr>
          <w:p>
            <w:pPr>
              <w:rPr>
                <w:rFonts w:ascii="Times New Roman" w:hAnsi="Times New Roman"/>
              </w:rPr>
            </w:pPr>
            <w:r>
              <w:rPr>
                <w:rFonts w:ascii="Times New Roman" w:hAnsi="Times New Roman"/>
              </w:rPr>
              <w:t>二次污染</w:t>
            </w:r>
          </w:p>
        </w:tc>
        <w:tc>
          <w:tcPr>
            <w:tcW w:w="1843" w:type="dxa"/>
            <w:vAlign w:val="center"/>
          </w:tcPr>
          <w:p>
            <w:pPr>
              <w:rPr>
                <w:rFonts w:ascii="Times New Roman" w:hAnsi="Times New Roman"/>
              </w:rPr>
            </w:pPr>
            <w:r>
              <w:rPr>
                <w:rFonts w:ascii="Times New Roman" w:hAnsi="Times New Roman"/>
              </w:rPr>
              <w:t>废气、废液产生量很少，成分简单，配备相应的处理设施后废气、废液可达标排放，无二噁英产生</w:t>
            </w:r>
          </w:p>
        </w:tc>
        <w:tc>
          <w:tcPr>
            <w:tcW w:w="1843" w:type="dxa"/>
            <w:vAlign w:val="center"/>
          </w:tcPr>
          <w:p>
            <w:pPr>
              <w:rPr>
                <w:rFonts w:ascii="Times New Roman" w:hAnsi="Times New Roman"/>
              </w:rPr>
            </w:pPr>
            <w:r>
              <w:rPr>
                <w:rFonts w:ascii="Times New Roman" w:hAnsi="Times New Roman"/>
              </w:rPr>
              <w:t>不产生废液及焚烧型废水，但产生的废气量较大，可能有二噁英产生。易产生二次污染</w:t>
            </w:r>
          </w:p>
        </w:tc>
        <w:tc>
          <w:tcPr>
            <w:tcW w:w="1843" w:type="dxa"/>
            <w:vAlign w:val="center"/>
          </w:tcPr>
          <w:p>
            <w:pPr>
              <w:rPr>
                <w:rFonts w:ascii="Times New Roman" w:hAnsi="Times New Roman"/>
              </w:rPr>
            </w:pPr>
            <w:r>
              <w:rPr>
                <w:rFonts w:ascii="Times New Roman" w:hAnsi="Times New Roman"/>
              </w:rPr>
              <w:t>废气、废液产生量较少，配备相应的废气、废液处理设施废气、废液可达标排放，无二噁英产生</w:t>
            </w:r>
          </w:p>
        </w:tc>
        <w:tc>
          <w:tcPr>
            <w:tcW w:w="1893" w:type="dxa"/>
            <w:vAlign w:val="center"/>
          </w:tcPr>
          <w:p>
            <w:pPr>
              <w:rPr>
                <w:rFonts w:ascii="Times New Roman" w:hAnsi="Times New Roman"/>
              </w:rPr>
            </w:pPr>
            <w:r>
              <w:rPr>
                <w:rFonts w:ascii="Times New Roman" w:hAnsi="Times New Roman"/>
              </w:rPr>
              <w:t>废气、废液产生量较少，配备相应的废气、废液处理设施废气、废液可达标排放，无二噁英产生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0" w:hRule="atLeast"/>
        </w:trPr>
        <w:tc>
          <w:tcPr>
            <w:tcW w:w="1101" w:type="dxa"/>
            <w:vAlign w:val="center"/>
          </w:tcPr>
          <w:p>
            <w:pPr>
              <w:rPr>
                <w:rFonts w:ascii="Times New Roman" w:hAnsi="Times New Roman"/>
              </w:rPr>
            </w:pPr>
            <w:r>
              <w:rPr>
                <w:rFonts w:ascii="Times New Roman" w:hAnsi="Times New Roman"/>
              </w:rPr>
              <w:t>工程实例</w:t>
            </w:r>
          </w:p>
        </w:tc>
        <w:tc>
          <w:tcPr>
            <w:tcW w:w="1843" w:type="dxa"/>
            <w:vAlign w:val="center"/>
          </w:tcPr>
          <w:p>
            <w:pPr>
              <w:jc w:val="center"/>
              <w:rPr>
                <w:rFonts w:ascii="Times New Roman" w:hAnsi="Times New Roman"/>
              </w:rPr>
            </w:pPr>
            <w:r>
              <w:rPr>
                <w:rFonts w:ascii="Times New Roman" w:hAnsi="Times New Roman"/>
              </w:rPr>
              <w:t>多</w:t>
            </w:r>
          </w:p>
        </w:tc>
        <w:tc>
          <w:tcPr>
            <w:tcW w:w="1843" w:type="dxa"/>
            <w:vAlign w:val="center"/>
          </w:tcPr>
          <w:p>
            <w:pPr>
              <w:jc w:val="center"/>
              <w:rPr>
                <w:rFonts w:ascii="Times New Roman" w:hAnsi="Times New Roman"/>
              </w:rPr>
            </w:pPr>
            <w:r>
              <w:rPr>
                <w:rFonts w:ascii="Times New Roman" w:hAnsi="Times New Roman"/>
              </w:rPr>
              <w:t>多</w:t>
            </w:r>
          </w:p>
        </w:tc>
        <w:tc>
          <w:tcPr>
            <w:tcW w:w="1843" w:type="dxa"/>
            <w:vAlign w:val="center"/>
          </w:tcPr>
          <w:p>
            <w:pPr>
              <w:jc w:val="center"/>
              <w:rPr>
                <w:rFonts w:ascii="Times New Roman" w:hAnsi="Times New Roman"/>
              </w:rPr>
            </w:pPr>
            <w:r>
              <w:rPr>
                <w:rFonts w:ascii="Times New Roman" w:hAnsi="Times New Roman"/>
              </w:rPr>
              <w:t>较少</w:t>
            </w:r>
          </w:p>
        </w:tc>
        <w:tc>
          <w:tcPr>
            <w:tcW w:w="1893" w:type="dxa"/>
            <w:vAlign w:val="center"/>
          </w:tcPr>
          <w:p>
            <w:pPr>
              <w:jc w:val="center"/>
              <w:rPr>
                <w:rFonts w:ascii="Times New Roman" w:hAnsi="Times New Roman"/>
              </w:rPr>
            </w:pPr>
            <w:r>
              <w:rPr>
                <w:rFonts w:ascii="Times New Roman" w:hAnsi="Times New Roman"/>
              </w:rPr>
              <w:t>较少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01" w:type="dxa"/>
            <w:vAlign w:val="center"/>
          </w:tcPr>
          <w:p>
            <w:pPr>
              <w:rPr>
                <w:rFonts w:ascii="Times New Roman" w:hAnsi="Times New Roman"/>
              </w:rPr>
            </w:pPr>
            <w:r>
              <w:rPr>
                <w:rFonts w:ascii="Times New Roman" w:hAnsi="Times New Roman"/>
              </w:rPr>
              <w:t>投资</w:t>
            </w:r>
          </w:p>
        </w:tc>
        <w:tc>
          <w:tcPr>
            <w:tcW w:w="1843" w:type="dxa"/>
            <w:vAlign w:val="center"/>
          </w:tcPr>
          <w:p>
            <w:pPr>
              <w:jc w:val="center"/>
              <w:rPr>
                <w:rFonts w:ascii="Times New Roman" w:hAnsi="Times New Roman"/>
              </w:rPr>
            </w:pPr>
            <w:r>
              <w:rPr>
                <w:rFonts w:ascii="Times New Roman" w:hAnsi="Times New Roman"/>
              </w:rPr>
              <w:t>较低</w:t>
            </w:r>
          </w:p>
        </w:tc>
        <w:tc>
          <w:tcPr>
            <w:tcW w:w="1843" w:type="dxa"/>
            <w:vAlign w:val="center"/>
          </w:tcPr>
          <w:p>
            <w:pPr>
              <w:jc w:val="center"/>
              <w:rPr>
                <w:rFonts w:ascii="Times New Roman" w:hAnsi="Times New Roman"/>
              </w:rPr>
            </w:pPr>
            <w:r>
              <w:rPr>
                <w:rFonts w:ascii="Times New Roman" w:hAnsi="Times New Roman"/>
              </w:rPr>
              <w:t>高</w:t>
            </w:r>
          </w:p>
        </w:tc>
        <w:tc>
          <w:tcPr>
            <w:tcW w:w="1843" w:type="dxa"/>
            <w:vAlign w:val="center"/>
          </w:tcPr>
          <w:p>
            <w:pPr>
              <w:jc w:val="center"/>
              <w:rPr>
                <w:rFonts w:ascii="Times New Roman" w:hAnsi="Times New Roman"/>
              </w:rPr>
            </w:pPr>
            <w:r>
              <w:rPr>
                <w:rFonts w:ascii="Times New Roman" w:hAnsi="Times New Roman"/>
              </w:rPr>
              <w:t>与高温蒸汽法</w:t>
            </w:r>
          </w:p>
          <w:p>
            <w:pPr>
              <w:jc w:val="center"/>
              <w:rPr>
                <w:rFonts w:ascii="Times New Roman" w:hAnsi="Times New Roman"/>
              </w:rPr>
            </w:pPr>
            <w:r>
              <w:rPr>
                <w:rFonts w:ascii="Times New Roman" w:hAnsi="Times New Roman"/>
              </w:rPr>
              <w:t>持平</w:t>
            </w:r>
          </w:p>
        </w:tc>
        <w:tc>
          <w:tcPr>
            <w:tcW w:w="1893" w:type="dxa"/>
            <w:vAlign w:val="center"/>
          </w:tcPr>
          <w:p>
            <w:pPr>
              <w:jc w:val="center"/>
              <w:rPr>
                <w:rFonts w:ascii="Times New Roman" w:hAnsi="Times New Roman"/>
              </w:rPr>
            </w:pPr>
            <w:r>
              <w:rPr>
                <w:rFonts w:ascii="Times New Roman" w:hAnsi="Times New Roman"/>
              </w:rPr>
              <w:t>相对于高温蒸汽较高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0" w:hRule="atLeast"/>
        </w:trPr>
        <w:tc>
          <w:tcPr>
            <w:tcW w:w="1101" w:type="dxa"/>
            <w:vAlign w:val="center"/>
          </w:tcPr>
          <w:p>
            <w:pPr>
              <w:rPr>
                <w:rFonts w:ascii="Times New Roman" w:hAnsi="Times New Roman"/>
              </w:rPr>
            </w:pPr>
            <w:r>
              <w:rPr>
                <w:rFonts w:ascii="Times New Roman" w:hAnsi="Times New Roman"/>
              </w:rPr>
              <w:t>运营成本</w:t>
            </w:r>
          </w:p>
        </w:tc>
        <w:tc>
          <w:tcPr>
            <w:tcW w:w="1843" w:type="dxa"/>
            <w:vAlign w:val="center"/>
          </w:tcPr>
          <w:p>
            <w:pPr>
              <w:jc w:val="center"/>
              <w:rPr>
                <w:rFonts w:ascii="Times New Roman" w:hAnsi="Times New Roman"/>
              </w:rPr>
            </w:pPr>
            <w:r>
              <w:rPr>
                <w:rFonts w:ascii="Times New Roman" w:hAnsi="Times New Roman"/>
              </w:rPr>
              <w:t>较低</w:t>
            </w:r>
          </w:p>
        </w:tc>
        <w:tc>
          <w:tcPr>
            <w:tcW w:w="1843" w:type="dxa"/>
            <w:vAlign w:val="center"/>
          </w:tcPr>
          <w:p>
            <w:pPr>
              <w:jc w:val="center"/>
              <w:rPr>
                <w:rFonts w:ascii="Times New Roman" w:hAnsi="Times New Roman"/>
              </w:rPr>
            </w:pPr>
            <w:r>
              <w:rPr>
                <w:rFonts w:ascii="Times New Roman" w:hAnsi="Times New Roman"/>
              </w:rPr>
              <w:t>高</w:t>
            </w:r>
          </w:p>
        </w:tc>
        <w:tc>
          <w:tcPr>
            <w:tcW w:w="1843" w:type="dxa"/>
            <w:vAlign w:val="center"/>
          </w:tcPr>
          <w:p>
            <w:pPr>
              <w:jc w:val="center"/>
              <w:rPr>
                <w:rFonts w:ascii="Times New Roman" w:hAnsi="Times New Roman"/>
              </w:rPr>
            </w:pPr>
            <w:r>
              <w:rPr>
                <w:rFonts w:ascii="Times New Roman" w:hAnsi="Times New Roman"/>
              </w:rPr>
              <w:t>较低</w:t>
            </w:r>
          </w:p>
        </w:tc>
        <w:tc>
          <w:tcPr>
            <w:tcW w:w="1893" w:type="dxa"/>
            <w:vAlign w:val="center"/>
          </w:tcPr>
          <w:p>
            <w:pPr>
              <w:jc w:val="center"/>
              <w:rPr>
                <w:rFonts w:ascii="Times New Roman" w:hAnsi="Times New Roman"/>
              </w:rPr>
            </w:pPr>
            <w:r>
              <w:rPr>
                <w:rFonts w:ascii="Times New Roman" w:hAnsi="Times New Roman"/>
              </w:rPr>
              <w:t>高</w:t>
            </w:r>
          </w:p>
        </w:tc>
      </w:tr>
    </w:tbl>
    <w:p>
      <w:pPr>
        <w:pStyle w:val="155"/>
        <w:spacing w:line="480" w:lineRule="exact"/>
        <w:ind w:firstLine="480"/>
      </w:pPr>
      <w:r>
        <w:t>本项目采用高温干热灭菌处理医疗废物（感染性废物和操作性废物），生产工艺具有一定的先进性和可靠性，符合清洁生产理念。</w:t>
      </w:r>
    </w:p>
    <w:p>
      <w:pPr>
        <w:pStyle w:val="155"/>
        <w:spacing w:line="480" w:lineRule="exact"/>
        <w:ind w:firstLine="480"/>
      </w:pPr>
      <w:r>
        <w:rPr>
          <w:rFonts w:hint="eastAsia" w:ascii="宋体" w:hAnsi="宋体" w:cs="宋体"/>
        </w:rPr>
        <w:t>②</w:t>
      </w:r>
      <w:r>
        <w:t>生产装备</w:t>
      </w:r>
    </w:p>
    <w:p>
      <w:pPr>
        <w:pStyle w:val="155"/>
        <w:spacing w:line="480" w:lineRule="exact"/>
        <w:ind w:firstLine="480"/>
      </w:pPr>
      <w:r>
        <w:t>本项目生产设备的清洁性表现在以下方面：采用新型高效真空泵、水泵、高效传热设备，提高能量转换和能量回收率；设备和管道的布置尽量紧凑，减少散热损失和压力损失；医疗废物上料系统、传送系统、粉碎系统均采用自动化装置。</w:t>
      </w:r>
    </w:p>
    <w:p>
      <w:pPr>
        <w:pStyle w:val="155"/>
        <w:spacing w:line="480" w:lineRule="exact"/>
        <w:ind w:firstLine="480"/>
      </w:pPr>
      <w:r>
        <w:t>（2）资源能源利用指标</w:t>
      </w:r>
    </w:p>
    <w:p>
      <w:pPr>
        <w:pStyle w:val="155"/>
        <w:spacing w:line="480" w:lineRule="exact"/>
        <w:ind w:firstLine="480"/>
      </w:pPr>
      <w:r>
        <w:t>本项目原材料是清洁生产首先要考虑的问题，只有从源头加强控制和管理，减少有毒有害原材料的种类和使用量，清洁生产技术在整个产品的生命周期的改进和控制作用才能起到事半功倍的作用。</w:t>
      </w:r>
    </w:p>
    <w:p>
      <w:pPr>
        <w:pStyle w:val="155"/>
        <w:spacing w:line="480" w:lineRule="exact"/>
        <w:ind w:firstLine="480"/>
      </w:pPr>
      <w:r>
        <w:t>（3）产品指标</w:t>
      </w:r>
    </w:p>
    <w:p>
      <w:pPr>
        <w:pStyle w:val="155"/>
        <w:spacing w:line="480" w:lineRule="exact"/>
        <w:ind w:firstLine="480"/>
      </w:pPr>
      <w:r>
        <w:t>本项目为医疗废物处置工程，与一般的工业生产项目不同，没有具体的产品产出。</w:t>
      </w:r>
    </w:p>
    <w:p>
      <w:pPr>
        <w:pStyle w:val="155"/>
        <w:spacing w:line="480" w:lineRule="exact"/>
        <w:ind w:firstLine="480"/>
      </w:pPr>
      <w:r>
        <w:t>（4）污染物产生指标</w:t>
      </w:r>
    </w:p>
    <w:p>
      <w:pPr>
        <w:pStyle w:val="155"/>
        <w:spacing w:line="480" w:lineRule="exact"/>
        <w:ind w:firstLine="480"/>
      </w:pPr>
      <w:r>
        <w:t>根据工程分析，本项目针对废气、废水、噪声均采取了相应的污染防治措施，均可以实现达标排放。项目产生的破碎后的医疗废物运送至厂址东侧双鸭山市垃圾填埋场，实现了医疗废物的无害化和减量化。</w:t>
      </w:r>
    </w:p>
    <w:p>
      <w:pPr>
        <w:pStyle w:val="155"/>
        <w:spacing w:line="480" w:lineRule="exact"/>
        <w:ind w:firstLine="480"/>
      </w:pPr>
      <w:r>
        <w:t>（5）环境管理指标</w:t>
      </w:r>
    </w:p>
    <w:p>
      <w:pPr>
        <w:pStyle w:val="155"/>
        <w:spacing w:line="480" w:lineRule="exact"/>
        <w:ind w:firstLine="480"/>
      </w:pPr>
      <w:r>
        <w:rPr>
          <w:rFonts w:hint="eastAsia" w:ascii="宋体" w:hAnsi="宋体" w:cs="宋体"/>
        </w:rPr>
        <w:t>①</w:t>
      </w:r>
      <w:r>
        <w:t>本项目的产业政策和选址符合国家相关产业政策和规划要求，对各项污染均采取了有效的处理措施，污染物能够达标排放；</w:t>
      </w:r>
    </w:p>
    <w:p>
      <w:pPr>
        <w:pStyle w:val="155"/>
        <w:spacing w:line="480" w:lineRule="exact"/>
        <w:ind w:firstLine="480"/>
      </w:pPr>
      <w:r>
        <w:rPr>
          <w:rFonts w:hint="eastAsia" w:ascii="宋体" w:hAnsi="宋体" w:cs="宋体"/>
        </w:rPr>
        <w:t>②</w:t>
      </w:r>
      <w:r>
        <w:t>本项目生产过程中产生的废水和废气污染物均采取了有效的收集处理设施，危险废物均委托有资质的单位收集处理。</w:t>
      </w:r>
    </w:p>
    <w:p>
      <w:pPr>
        <w:pStyle w:val="155"/>
        <w:spacing w:line="480" w:lineRule="exact"/>
        <w:ind w:firstLine="480"/>
      </w:pPr>
      <w:r>
        <w:t>综合以上分析，本项目符合清洁生产要求，但项目在运行期间应加强医疗废物运输、处置及污染物治理的运行管理，从运行管理及末端治理上保证项目的清洁生产性。</w:t>
      </w:r>
    </w:p>
    <w:p>
      <w:pPr>
        <w:pStyle w:val="2"/>
        <w:numPr>
          <w:ilvl w:val="0"/>
          <w:numId w:val="2"/>
        </w:numPr>
        <w:ind w:left="0"/>
        <w:jc w:val="both"/>
        <w:rPr>
          <w:color w:val="auto"/>
        </w:rPr>
      </w:pPr>
      <w:bookmarkStart w:id="774" w:name="_Toc116379710"/>
      <w:r>
        <w:rPr>
          <w:color w:val="auto"/>
        </w:rPr>
        <w:t>环境现状调查与评价</w:t>
      </w:r>
      <w:bookmarkEnd w:id="774"/>
    </w:p>
    <w:p>
      <w:pPr>
        <w:pStyle w:val="3"/>
        <w:spacing w:before="120" w:beforeLines="50" w:after="120" w:afterLines="50" w:line="480" w:lineRule="exact"/>
        <w:ind w:left="-11"/>
        <w:rPr>
          <w:rFonts w:ascii="Times New Roman" w:hAnsi="Times New Roman" w:eastAsia="黑体"/>
          <w:sz w:val="30"/>
          <w:szCs w:val="30"/>
        </w:rPr>
      </w:pPr>
      <w:bookmarkStart w:id="775" w:name="_Toc116379711"/>
      <w:r>
        <w:rPr>
          <w:rFonts w:ascii="Times New Roman" w:hAnsi="Times New Roman" w:eastAsia="黑体"/>
          <w:sz w:val="30"/>
          <w:szCs w:val="30"/>
        </w:rPr>
        <w:t>自然环境概况</w:t>
      </w:r>
      <w:bookmarkEnd w:id="775"/>
    </w:p>
    <w:p>
      <w:pPr>
        <w:pStyle w:val="4"/>
        <w:spacing w:before="120" w:beforeLines="50" w:after="120" w:afterLines="50" w:line="480" w:lineRule="exact"/>
        <w:ind w:left="17"/>
        <w:rPr>
          <w:rFonts w:ascii="Times New Roman" w:hAnsi="Times New Roman" w:eastAsia="黑体"/>
          <w:sz w:val="28"/>
          <w:szCs w:val="28"/>
        </w:rPr>
      </w:pPr>
      <w:bookmarkStart w:id="776" w:name="_Toc27134304"/>
      <w:bookmarkStart w:id="777" w:name="_Toc9843810"/>
      <w:bookmarkStart w:id="778" w:name="_Toc71"/>
      <w:bookmarkStart w:id="779" w:name="_Toc535168910"/>
      <w:bookmarkStart w:id="780" w:name="_Toc486970382"/>
      <w:bookmarkStart w:id="781" w:name="_Toc497228830"/>
      <w:bookmarkStart w:id="782" w:name="_Toc487111500"/>
      <w:bookmarkStart w:id="783" w:name="_Toc25061"/>
      <w:bookmarkStart w:id="784" w:name="_Toc530655969"/>
      <w:bookmarkStart w:id="785" w:name="_Toc16471"/>
      <w:bookmarkStart w:id="786" w:name="_Toc22279"/>
      <w:bookmarkStart w:id="787" w:name="_Toc534537624"/>
      <w:bookmarkStart w:id="788" w:name="_Toc480190498"/>
      <w:bookmarkStart w:id="789" w:name="_Toc532556609"/>
      <w:bookmarkStart w:id="790" w:name="_Toc26188031"/>
      <w:bookmarkStart w:id="791" w:name="_Toc535348464"/>
      <w:bookmarkStart w:id="792" w:name="_Toc22514"/>
      <w:bookmarkStart w:id="793" w:name="_Toc480983879"/>
      <w:bookmarkStart w:id="794" w:name="_Toc482020661"/>
      <w:bookmarkStart w:id="795" w:name="_Toc527205735"/>
      <w:r>
        <w:rPr>
          <w:rFonts w:ascii="Times New Roman" w:hAnsi="Times New Roman" w:eastAsia="黑体"/>
          <w:sz w:val="28"/>
          <w:szCs w:val="28"/>
        </w:rPr>
        <w:t>地理位置</w:t>
      </w:r>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p>
    <w:p>
      <w:pPr>
        <w:pStyle w:val="528"/>
        <w:spacing w:before="0" w:after="0" w:line="480" w:lineRule="exact"/>
        <w:ind w:firstLine="480" w:firstLineChars="200"/>
        <w:rPr>
          <w:rFonts w:cs="Times New Roman"/>
          <w:szCs w:val="24"/>
        </w:rPr>
      </w:pPr>
      <w:r>
        <w:rPr>
          <w:rFonts w:cs="Times New Roman"/>
          <w:szCs w:val="24"/>
        </w:rPr>
        <w:t>双鸭山市位于黑龙江省东北部，完达山北麓三江平原，地理位置在东经130°39′～134°20′，北纬 45°39′～47°34′之间。双鸭山市距省会哈尔滨市 430km，东隔乌苏里江与俄罗斯比金市相望，南与虎林市、密山市、桦南县毗邻，西与佳木斯市相连，北与富锦市、同江市、扶远县、桦川县接壤。</w:t>
      </w:r>
    </w:p>
    <w:p>
      <w:pPr>
        <w:pStyle w:val="528"/>
        <w:spacing w:before="0" w:after="0" w:line="480" w:lineRule="exact"/>
        <w:ind w:firstLine="480" w:firstLineChars="200"/>
        <w:rPr>
          <w:rFonts w:cs="Times New Roman"/>
        </w:rPr>
        <w:sectPr>
          <w:footerReference r:id="rId16" w:type="default"/>
          <w:pgSz w:w="11907" w:h="16839"/>
          <w:pgMar w:top="1440" w:right="1797" w:bottom="1440" w:left="1797" w:header="851" w:footer="850" w:gutter="0"/>
          <w:cols w:space="720" w:num="1"/>
          <w:docGrid w:linePitch="312" w:charSpace="0"/>
        </w:sectPr>
      </w:pPr>
      <w:r>
        <w:rPr>
          <w:rFonts w:cs="Times New Roman"/>
          <w:szCs w:val="24"/>
        </w:rPr>
        <w:t>本项目位于</w:t>
      </w:r>
      <w:r>
        <w:rPr>
          <w:rFonts w:cs="Times New Roman"/>
        </w:rPr>
        <w:t>双鸭山市四方台梨花盖子沟垃圾处理场院内</w:t>
      </w:r>
      <w:r>
        <w:rPr>
          <w:rFonts w:cs="Times New Roman"/>
          <w:szCs w:val="24"/>
        </w:rPr>
        <w:t>，中心经纬度为E131°18'5.01"、N46°37'59.76"。项目厂区北侧、南侧和西侧为树林，东侧为填埋场飞灰固化区。</w:t>
      </w:r>
      <w:r>
        <w:rPr>
          <w:rFonts w:cs="Times New Roman"/>
        </w:rPr>
        <w:t>本项目地理位置图见图4.1-1。</w:t>
      </w:r>
    </w:p>
    <w:p>
      <w:pPr>
        <w:widowControl/>
        <w:rPr>
          <w:rFonts w:ascii="Times New Roman" w:hAnsi="Times New Roman"/>
          <w:sz w:val="24"/>
          <w:szCs w:val="24"/>
        </w:rPr>
      </w:pPr>
      <w:r>
        <w:rPr>
          <w:rFonts w:ascii="Times New Roman" w:hAnsi="Times New Roman"/>
          <w:sz w:val="24"/>
          <w:szCs w:val="24"/>
        </w:rPr>
        <w:drawing>
          <wp:inline distT="0" distB="0" distL="114300" distR="114300">
            <wp:extent cx="8390890" cy="5410200"/>
            <wp:effectExtent l="0" t="0" r="0" b="0"/>
            <wp:docPr id="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
                    <pic:cNvPicPr>
                      <a:picLocks noChangeAspect="1"/>
                    </pic:cNvPicPr>
                  </pic:nvPicPr>
                  <pic:blipFill>
                    <a:blip r:embed="rId34"/>
                    <a:stretch>
                      <a:fillRect/>
                    </a:stretch>
                  </pic:blipFill>
                  <pic:spPr>
                    <a:xfrm>
                      <a:off x="0" y="0"/>
                      <a:ext cx="8412210" cy="5423627"/>
                    </a:xfrm>
                    <a:prstGeom prst="rect">
                      <a:avLst/>
                    </a:prstGeom>
                    <a:noFill/>
                    <a:ln>
                      <a:noFill/>
                    </a:ln>
                  </pic:spPr>
                </pic:pic>
              </a:graphicData>
            </a:graphic>
          </wp:inline>
        </w:drawing>
      </w:r>
    </w:p>
    <w:p>
      <w:pPr>
        <w:pStyle w:val="20"/>
        <w:jc w:val="center"/>
        <w:rPr>
          <w:rFonts w:ascii="Times New Roman" w:hAnsi="Times New Roman"/>
        </w:rPr>
        <w:sectPr>
          <w:pgSz w:w="16838" w:h="11906" w:orient="landscape"/>
          <w:pgMar w:top="1440" w:right="1797" w:bottom="1440" w:left="1797" w:header="851" w:footer="992" w:gutter="0"/>
          <w:cols w:space="720" w:num="1"/>
          <w:docGrid w:linePitch="326" w:charSpace="0"/>
        </w:sectPr>
      </w:pPr>
      <w:r>
        <w:rPr>
          <w:rFonts w:ascii="Times New Roman" w:hAnsi="Times New Roman"/>
        </w:rPr>
        <w:t>图4.1-1  项目地理位置图</w:t>
      </w:r>
    </w:p>
    <w:p>
      <w:pPr>
        <w:pStyle w:val="4"/>
        <w:spacing w:before="120" w:beforeLines="50" w:after="120" w:afterLines="50" w:line="480" w:lineRule="exact"/>
        <w:ind w:left="17"/>
        <w:rPr>
          <w:rFonts w:ascii="Times New Roman" w:hAnsi="Times New Roman" w:eastAsia="黑体"/>
          <w:sz w:val="28"/>
          <w:szCs w:val="28"/>
        </w:rPr>
      </w:pPr>
      <w:bookmarkStart w:id="796" w:name="_Toc480190500"/>
      <w:bookmarkStart w:id="797" w:name="_Toc8823"/>
      <w:bookmarkStart w:id="798" w:name="_Toc5990"/>
      <w:bookmarkStart w:id="799" w:name="_Toc20516"/>
      <w:bookmarkStart w:id="800" w:name="_Toc9843811"/>
      <w:bookmarkStart w:id="801" w:name="_Toc480983881"/>
      <w:bookmarkStart w:id="802" w:name="_Toc27637"/>
      <w:bookmarkStart w:id="803" w:name="_Toc26926"/>
      <w:bookmarkStart w:id="804" w:name="_Toc535348465"/>
      <w:bookmarkStart w:id="805" w:name="_Toc497228831"/>
      <w:bookmarkStart w:id="806" w:name="_Toc27134305"/>
      <w:bookmarkStart w:id="807" w:name="_Toc487111501"/>
      <w:bookmarkStart w:id="808" w:name="_Toc26188032"/>
      <w:bookmarkStart w:id="809" w:name="_Toc527205736"/>
      <w:bookmarkStart w:id="810" w:name="_Toc535168911"/>
      <w:bookmarkStart w:id="811" w:name="_Toc534537625"/>
      <w:bookmarkStart w:id="812" w:name="_Toc482020663"/>
      <w:bookmarkStart w:id="813" w:name="_Toc532556610"/>
      <w:bookmarkStart w:id="814" w:name="_Toc486970383"/>
      <w:bookmarkStart w:id="815" w:name="_Toc530655970"/>
      <w:bookmarkStart w:id="816" w:name="_Toc480983880"/>
      <w:bookmarkStart w:id="817" w:name="_Toc480190499"/>
      <w:bookmarkStart w:id="818" w:name="_Toc482020662"/>
      <w:r>
        <w:rPr>
          <w:rFonts w:ascii="Times New Roman" w:hAnsi="Times New Roman" w:eastAsia="黑体"/>
          <w:sz w:val="28"/>
          <w:szCs w:val="28"/>
        </w:rPr>
        <w:t>地形地貌</w:t>
      </w:r>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p>
    <w:p>
      <w:pPr>
        <w:pStyle w:val="211"/>
        <w:spacing w:before="0" w:after="0" w:line="480" w:lineRule="exact"/>
        <w:ind w:firstLine="480" w:firstLineChars="200"/>
        <w:jc w:val="both"/>
        <w:rPr>
          <w:rFonts w:ascii="Times New Roman" w:hAnsi="Times New Roman" w:eastAsia="宋体"/>
          <w:spacing w:val="0"/>
          <w:sz w:val="24"/>
          <w:szCs w:val="21"/>
        </w:rPr>
      </w:pPr>
      <w:r>
        <w:rPr>
          <w:rFonts w:ascii="Times New Roman" w:hAnsi="Times New Roman" w:eastAsia="宋体"/>
          <w:spacing w:val="0"/>
          <w:sz w:val="24"/>
          <w:szCs w:val="21"/>
        </w:rPr>
        <w:t>双鸭山地势西南高、东北低，由西南向东北倾斜，西南为完达山余脉，平均海拔400~450m，最高点七星砬子海拔852.7m，南部为低山丘陵向平原过度的丘陵漫岗区，中北部及北部为松花江下游冲击平原，地势低平，东北部地势最低，平均海拔70~80m，最低处65.5m，分布有大面积沼泽湿地。境内可分为低山丘陵区、丘陵漫岗区、冲积平原区和低湿平原区四个微景观地貌单元。</w:t>
      </w:r>
    </w:p>
    <w:p>
      <w:pPr>
        <w:pStyle w:val="4"/>
        <w:spacing w:before="120" w:beforeLines="50" w:after="120" w:afterLines="50" w:line="480" w:lineRule="exact"/>
        <w:ind w:left="17"/>
        <w:rPr>
          <w:rFonts w:ascii="Times New Roman" w:hAnsi="Times New Roman" w:eastAsia="黑体"/>
          <w:sz w:val="28"/>
          <w:szCs w:val="28"/>
        </w:rPr>
      </w:pPr>
      <w:bookmarkStart w:id="819" w:name="_Toc27744"/>
      <w:bookmarkStart w:id="820" w:name="_Toc26188033"/>
      <w:bookmarkStart w:id="821" w:name="_Toc4075"/>
      <w:bookmarkStart w:id="822" w:name="_Toc22312"/>
      <w:bookmarkStart w:id="823" w:name="_Toc27134306"/>
      <w:bookmarkStart w:id="824" w:name="_Toc21246"/>
      <w:bookmarkStart w:id="825" w:name="_Toc10322"/>
      <w:bookmarkStart w:id="826" w:name="_Toc486970384"/>
      <w:bookmarkStart w:id="827" w:name="_Toc530655971"/>
      <w:bookmarkStart w:id="828" w:name="_Toc527205737"/>
      <w:bookmarkStart w:id="829" w:name="_Toc535168912"/>
      <w:bookmarkStart w:id="830" w:name="_Toc9843812"/>
      <w:bookmarkStart w:id="831" w:name="_Toc532556611"/>
      <w:bookmarkStart w:id="832" w:name="_Toc534537626"/>
      <w:bookmarkStart w:id="833" w:name="_Toc497228832"/>
      <w:bookmarkStart w:id="834" w:name="_Toc535348466"/>
      <w:bookmarkStart w:id="835" w:name="_Toc487111502"/>
      <w:r>
        <w:rPr>
          <w:rFonts w:ascii="Times New Roman" w:hAnsi="Times New Roman" w:eastAsia="黑体"/>
          <w:sz w:val="28"/>
          <w:szCs w:val="28"/>
        </w:rPr>
        <w:t>气候、气象</w:t>
      </w:r>
      <w:bookmarkEnd w:id="819"/>
      <w:bookmarkEnd w:id="820"/>
      <w:bookmarkEnd w:id="821"/>
      <w:bookmarkEnd w:id="822"/>
      <w:bookmarkEnd w:id="823"/>
      <w:bookmarkEnd w:id="824"/>
      <w:bookmarkEnd w:id="825"/>
    </w:p>
    <w:p>
      <w:pPr>
        <w:spacing w:line="480" w:lineRule="exact"/>
        <w:ind w:firstLine="480" w:firstLineChars="200"/>
        <w:rPr>
          <w:rFonts w:ascii="Times New Roman" w:hAnsi="Times New Roman"/>
          <w:sz w:val="24"/>
        </w:rPr>
      </w:pPr>
      <w:r>
        <w:rPr>
          <w:rFonts w:ascii="Times New Roman" w:hAnsi="Times New Roman"/>
          <w:sz w:val="24"/>
        </w:rPr>
        <w:t>双鸭山市地处北半球中高纬度地区，属湿润寒温带大陆性季风气候，冬季漫长而寒冷，常受西伯利亚寒流影响，夏季短促而温暖，春秋两季气候多变，且昼夜温差较大，春季回暖快而多风、干旱，秋季时有暴雨霜冻。</w:t>
      </w:r>
    </w:p>
    <w:p>
      <w:pPr>
        <w:spacing w:line="480" w:lineRule="exact"/>
        <w:ind w:firstLine="480" w:firstLineChars="200"/>
        <w:rPr>
          <w:rFonts w:ascii="Times New Roman" w:hAnsi="Times New Roman"/>
          <w:sz w:val="24"/>
        </w:rPr>
      </w:pPr>
      <w:r>
        <w:rPr>
          <w:rFonts w:ascii="Times New Roman" w:hAnsi="Times New Roman"/>
          <w:sz w:val="24"/>
        </w:rPr>
        <w:t>双鸭山市属中温带大陆季风气候。受极地大陆气团和季风的影响，四季分明，冬季寒冷干燥，夏短温热多雨。由于季风交替，春秋两季短暂，气候变化急剧，年温差较大。年平均气温3.3℃，最高气温为35.4℃，最低气温为-35.6℃；极端最高气温38.5℃，出现在6月份；极端最低气温-37.1℃，出现在1月份。年平均降雨量为540mm，降雨期集中在7-8月份；多年平均风速4.3m/s，最大风速 34m/s，主导风向为SW；多年平均降水量为523.4mm，主要集中在7、8月份，约占全年的44%，最大降水量为873mm，最小为336mm。年平均日照在2500h，无霜期平均147d，最大冻深228cm。年积温2718℃，年日照约2617h。最大冻土深度为2m左右。多年平均蒸发量1290mm（20cm蒸发皿）。日照平均时数 2605h，年平均气压1001.9Pa，冬季高，夏季低，无霜期147d。双鸭山近20年资料分析的风向玫瑰图见图4.1-2，双鸭山平均风速的月变化情况见表4.1-1，年平均温度的月变化情况见表4.1-2，风向年均频率的月变化情况见表4.1-3。</w:t>
      </w:r>
    </w:p>
    <w:p>
      <w:pPr>
        <w:pStyle w:val="136"/>
        <w:ind w:firstLine="0" w:firstLineChars="0"/>
        <w:rPr>
          <w:rFonts w:ascii="Times New Roman" w:hAnsi="Times New Roman" w:cs="Times New Roman"/>
        </w:rPr>
      </w:pPr>
      <w:r>
        <w:rPr>
          <w:rFonts w:ascii="Times New Roman" w:hAnsi="Times New Roman" w:cs="Times New Roman"/>
        </w:rPr>
        <w:drawing>
          <wp:inline distT="0" distB="0" distL="114300" distR="114300">
            <wp:extent cx="5273675" cy="3743325"/>
            <wp:effectExtent l="0" t="0" r="3175" b="9525"/>
            <wp:docPr id="3" name="图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33"/>
                    <pic:cNvPicPr>
                      <a:picLocks noChangeAspect="1"/>
                    </pic:cNvPicPr>
                  </pic:nvPicPr>
                  <pic:blipFill>
                    <a:blip r:embed="rId35"/>
                    <a:stretch>
                      <a:fillRect/>
                    </a:stretch>
                  </pic:blipFill>
                  <pic:spPr>
                    <a:xfrm>
                      <a:off x="0" y="0"/>
                      <a:ext cx="5275504" cy="3744623"/>
                    </a:xfrm>
                    <a:prstGeom prst="rect">
                      <a:avLst/>
                    </a:prstGeom>
                    <a:noFill/>
                    <a:ln>
                      <a:noFill/>
                    </a:ln>
                  </pic:spPr>
                </pic:pic>
              </a:graphicData>
            </a:graphic>
          </wp:inline>
        </w:drawing>
      </w:r>
    </w:p>
    <w:p>
      <w:pPr>
        <w:pStyle w:val="20"/>
        <w:jc w:val="center"/>
        <w:rPr>
          <w:rFonts w:ascii="Times New Roman" w:hAnsi="Times New Roman" w:eastAsia="宋体"/>
          <w:b/>
          <w:bCs/>
          <w:kern w:val="0"/>
          <w:sz w:val="21"/>
          <w:szCs w:val="21"/>
          <w:lang w:val="zh-CN"/>
        </w:rPr>
      </w:pPr>
      <w:r>
        <w:rPr>
          <w:rFonts w:ascii="Times New Roman" w:hAnsi="Times New Roman" w:eastAsia="宋体"/>
          <w:b/>
          <w:bCs/>
          <w:kern w:val="0"/>
          <w:sz w:val="21"/>
          <w:szCs w:val="21"/>
          <w:lang w:val="zh-CN"/>
        </w:rPr>
        <w:t>图4.1-2  双鸭山近20年资料分析的风向玫瑰图</w:t>
      </w:r>
    </w:p>
    <w:p>
      <w:pPr>
        <w:pStyle w:val="20"/>
        <w:jc w:val="center"/>
        <w:rPr>
          <w:rFonts w:ascii="Times New Roman" w:hAnsi="Times New Roman" w:eastAsia="宋体"/>
          <w:b/>
          <w:bCs/>
          <w:kern w:val="0"/>
          <w:sz w:val="21"/>
          <w:szCs w:val="21"/>
          <w:lang w:val="zh-CN"/>
        </w:rPr>
      </w:pPr>
    </w:p>
    <w:p>
      <w:pPr>
        <w:pStyle w:val="20"/>
        <w:jc w:val="center"/>
        <w:rPr>
          <w:rFonts w:ascii="Times New Roman" w:hAnsi="Times New Roman" w:eastAsia="宋体"/>
          <w:b/>
          <w:bCs/>
          <w:kern w:val="0"/>
          <w:sz w:val="21"/>
          <w:szCs w:val="21"/>
          <w:lang w:val="zh-CN"/>
        </w:rPr>
      </w:pPr>
      <w:r>
        <w:rPr>
          <w:rFonts w:ascii="Times New Roman" w:hAnsi="Times New Roman" w:eastAsia="宋体"/>
          <w:b/>
          <w:bCs/>
          <w:kern w:val="0"/>
          <w:sz w:val="21"/>
          <w:szCs w:val="21"/>
          <w:lang w:val="zh-CN"/>
        </w:rPr>
        <w:t>表4.1-1  双鸭山平均风速的月变化情况表</w:t>
      </w:r>
    </w:p>
    <w:tbl>
      <w:tblPr>
        <w:tblStyle w:val="77"/>
        <w:tblW w:w="0" w:type="auto"/>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105"/>
        <w:gridCol w:w="618"/>
        <w:gridCol w:w="618"/>
        <w:gridCol w:w="618"/>
        <w:gridCol w:w="618"/>
        <w:gridCol w:w="619"/>
        <w:gridCol w:w="619"/>
        <w:gridCol w:w="619"/>
        <w:gridCol w:w="619"/>
        <w:gridCol w:w="619"/>
        <w:gridCol w:w="619"/>
        <w:gridCol w:w="619"/>
        <w:gridCol w:w="619"/>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1548" w:type="dxa"/>
            <w:vAlign w:val="center"/>
          </w:tcPr>
          <w:p>
            <w:pPr>
              <w:jc w:val="center"/>
              <w:rPr>
                <w:rFonts w:ascii="Times New Roman" w:hAnsi="Times New Roman"/>
                <w:lang w:val="zh-CN"/>
              </w:rPr>
            </w:pPr>
            <w:r>
              <w:rPr>
                <w:rFonts w:ascii="Times New Roman" w:hAnsi="Times New Roman"/>
                <w:lang w:val="zh-CN"/>
              </w:rPr>
              <w:t>月份</w:t>
            </w:r>
          </w:p>
        </w:tc>
        <w:tc>
          <w:tcPr>
            <w:tcW w:w="990" w:type="dxa"/>
            <w:vAlign w:val="center"/>
          </w:tcPr>
          <w:p>
            <w:pPr>
              <w:tabs>
                <w:tab w:val="left" w:pos="565"/>
                <w:tab w:val="left" w:pos="1320"/>
                <w:tab w:val="left" w:pos="2074"/>
                <w:tab w:val="left" w:pos="2829"/>
                <w:tab w:val="left" w:pos="3584"/>
                <w:tab w:val="left" w:pos="4338"/>
                <w:tab w:val="left" w:pos="5093"/>
                <w:tab w:val="left" w:pos="5847"/>
                <w:tab w:val="left" w:pos="6602"/>
                <w:tab w:val="left" w:pos="7357"/>
                <w:tab w:val="left" w:pos="8111"/>
                <w:tab w:val="left" w:pos="8866"/>
                <w:tab w:val="left" w:pos="9621"/>
              </w:tabs>
              <w:jc w:val="center"/>
              <w:rPr>
                <w:rFonts w:ascii="Times New Roman" w:hAnsi="Times New Roman"/>
                <w:lang w:val="zh-CN"/>
              </w:rPr>
            </w:pPr>
            <w:r>
              <w:rPr>
                <w:rFonts w:ascii="Times New Roman" w:hAnsi="Times New Roman"/>
                <w:lang w:val="zh-CN"/>
              </w:rPr>
              <w:t>1月</w:t>
            </w:r>
          </w:p>
        </w:tc>
        <w:tc>
          <w:tcPr>
            <w:tcW w:w="990" w:type="dxa"/>
            <w:vAlign w:val="center"/>
          </w:tcPr>
          <w:p>
            <w:pPr>
              <w:tabs>
                <w:tab w:val="left" w:pos="565"/>
                <w:tab w:val="left" w:pos="1320"/>
                <w:tab w:val="left" w:pos="2074"/>
                <w:tab w:val="left" w:pos="2829"/>
                <w:tab w:val="left" w:pos="3584"/>
                <w:tab w:val="left" w:pos="4338"/>
                <w:tab w:val="left" w:pos="5093"/>
                <w:tab w:val="left" w:pos="5847"/>
                <w:tab w:val="left" w:pos="6602"/>
                <w:tab w:val="left" w:pos="7357"/>
                <w:tab w:val="left" w:pos="8111"/>
                <w:tab w:val="left" w:pos="8866"/>
                <w:tab w:val="left" w:pos="9621"/>
              </w:tabs>
              <w:jc w:val="center"/>
              <w:rPr>
                <w:rFonts w:ascii="Times New Roman" w:hAnsi="Times New Roman"/>
                <w:lang w:val="zh-CN"/>
              </w:rPr>
            </w:pPr>
            <w:r>
              <w:rPr>
                <w:rFonts w:ascii="Times New Roman" w:hAnsi="Times New Roman"/>
                <w:lang w:val="zh-CN"/>
              </w:rPr>
              <w:t>2月</w:t>
            </w:r>
          </w:p>
        </w:tc>
        <w:tc>
          <w:tcPr>
            <w:tcW w:w="990" w:type="dxa"/>
            <w:vAlign w:val="center"/>
          </w:tcPr>
          <w:p>
            <w:pPr>
              <w:tabs>
                <w:tab w:val="left" w:pos="565"/>
                <w:tab w:val="left" w:pos="1320"/>
                <w:tab w:val="left" w:pos="2074"/>
                <w:tab w:val="left" w:pos="2829"/>
                <w:tab w:val="left" w:pos="3584"/>
                <w:tab w:val="left" w:pos="4338"/>
                <w:tab w:val="left" w:pos="5093"/>
                <w:tab w:val="left" w:pos="5847"/>
                <w:tab w:val="left" w:pos="6602"/>
                <w:tab w:val="left" w:pos="7357"/>
                <w:tab w:val="left" w:pos="8111"/>
                <w:tab w:val="left" w:pos="8866"/>
                <w:tab w:val="left" w:pos="9621"/>
              </w:tabs>
              <w:jc w:val="center"/>
              <w:rPr>
                <w:rFonts w:ascii="Times New Roman" w:hAnsi="Times New Roman"/>
                <w:lang w:val="zh-CN"/>
              </w:rPr>
            </w:pPr>
            <w:r>
              <w:rPr>
                <w:rFonts w:ascii="Times New Roman" w:hAnsi="Times New Roman"/>
                <w:lang w:val="zh-CN"/>
              </w:rPr>
              <w:t>3月</w:t>
            </w:r>
          </w:p>
        </w:tc>
        <w:tc>
          <w:tcPr>
            <w:tcW w:w="990" w:type="dxa"/>
            <w:vAlign w:val="center"/>
          </w:tcPr>
          <w:p>
            <w:pPr>
              <w:tabs>
                <w:tab w:val="left" w:pos="565"/>
                <w:tab w:val="left" w:pos="1320"/>
                <w:tab w:val="left" w:pos="2074"/>
                <w:tab w:val="left" w:pos="2829"/>
                <w:tab w:val="left" w:pos="3584"/>
                <w:tab w:val="left" w:pos="4338"/>
                <w:tab w:val="left" w:pos="5093"/>
                <w:tab w:val="left" w:pos="5847"/>
                <w:tab w:val="left" w:pos="6602"/>
                <w:tab w:val="left" w:pos="7357"/>
                <w:tab w:val="left" w:pos="8111"/>
                <w:tab w:val="left" w:pos="8866"/>
                <w:tab w:val="left" w:pos="9621"/>
              </w:tabs>
              <w:jc w:val="center"/>
              <w:rPr>
                <w:rFonts w:ascii="Times New Roman" w:hAnsi="Times New Roman"/>
                <w:lang w:val="zh-CN"/>
              </w:rPr>
            </w:pPr>
            <w:r>
              <w:rPr>
                <w:rFonts w:ascii="Times New Roman" w:hAnsi="Times New Roman"/>
                <w:lang w:val="zh-CN"/>
              </w:rPr>
              <w:t>4月</w:t>
            </w:r>
          </w:p>
        </w:tc>
        <w:tc>
          <w:tcPr>
            <w:tcW w:w="990" w:type="dxa"/>
            <w:vAlign w:val="center"/>
          </w:tcPr>
          <w:p>
            <w:pPr>
              <w:tabs>
                <w:tab w:val="left" w:pos="565"/>
                <w:tab w:val="left" w:pos="1320"/>
                <w:tab w:val="left" w:pos="2074"/>
                <w:tab w:val="left" w:pos="2829"/>
                <w:tab w:val="left" w:pos="3584"/>
                <w:tab w:val="left" w:pos="4338"/>
                <w:tab w:val="left" w:pos="5093"/>
                <w:tab w:val="left" w:pos="5847"/>
                <w:tab w:val="left" w:pos="6602"/>
                <w:tab w:val="left" w:pos="7357"/>
                <w:tab w:val="left" w:pos="8111"/>
                <w:tab w:val="left" w:pos="8866"/>
                <w:tab w:val="left" w:pos="9621"/>
              </w:tabs>
              <w:jc w:val="center"/>
              <w:rPr>
                <w:rFonts w:ascii="Times New Roman" w:hAnsi="Times New Roman"/>
                <w:lang w:val="zh-CN"/>
              </w:rPr>
            </w:pPr>
            <w:r>
              <w:rPr>
                <w:rFonts w:ascii="Times New Roman" w:hAnsi="Times New Roman"/>
                <w:lang w:val="zh-CN"/>
              </w:rPr>
              <w:t>5月</w:t>
            </w:r>
          </w:p>
        </w:tc>
        <w:tc>
          <w:tcPr>
            <w:tcW w:w="990" w:type="dxa"/>
            <w:vAlign w:val="center"/>
          </w:tcPr>
          <w:p>
            <w:pPr>
              <w:tabs>
                <w:tab w:val="left" w:pos="565"/>
                <w:tab w:val="left" w:pos="1320"/>
                <w:tab w:val="left" w:pos="2074"/>
                <w:tab w:val="left" w:pos="2829"/>
                <w:tab w:val="left" w:pos="3584"/>
                <w:tab w:val="left" w:pos="4338"/>
                <w:tab w:val="left" w:pos="5093"/>
                <w:tab w:val="left" w:pos="5847"/>
                <w:tab w:val="left" w:pos="6602"/>
                <w:tab w:val="left" w:pos="7357"/>
                <w:tab w:val="left" w:pos="8111"/>
                <w:tab w:val="left" w:pos="8866"/>
                <w:tab w:val="left" w:pos="9621"/>
              </w:tabs>
              <w:jc w:val="center"/>
              <w:rPr>
                <w:rFonts w:ascii="Times New Roman" w:hAnsi="Times New Roman"/>
                <w:lang w:val="zh-CN"/>
              </w:rPr>
            </w:pPr>
            <w:r>
              <w:rPr>
                <w:rFonts w:ascii="Times New Roman" w:hAnsi="Times New Roman"/>
                <w:lang w:val="zh-CN"/>
              </w:rPr>
              <w:t>6月</w:t>
            </w:r>
          </w:p>
        </w:tc>
        <w:tc>
          <w:tcPr>
            <w:tcW w:w="990" w:type="dxa"/>
            <w:vAlign w:val="center"/>
          </w:tcPr>
          <w:p>
            <w:pPr>
              <w:tabs>
                <w:tab w:val="left" w:pos="565"/>
                <w:tab w:val="left" w:pos="1320"/>
                <w:tab w:val="left" w:pos="2074"/>
                <w:tab w:val="left" w:pos="2829"/>
                <w:tab w:val="left" w:pos="3584"/>
                <w:tab w:val="left" w:pos="4338"/>
                <w:tab w:val="left" w:pos="5093"/>
                <w:tab w:val="left" w:pos="5847"/>
                <w:tab w:val="left" w:pos="6602"/>
                <w:tab w:val="left" w:pos="7357"/>
                <w:tab w:val="left" w:pos="8111"/>
                <w:tab w:val="left" w:pos="8866"/>
                <w:tab w:val="left" w:pos="9621"/>
              </w:tabs>
              <w:jc w:val="center"/>
              <w:rPr>
                <w:rFonts w:ascii="Times New Roman" w:hAnsi="Times New Roman"/>
                <w:lang w:val="zh-CN"/>
              </w:rPr>
            </w:pPr>
            <w:r>
              <w:rPr>
                <w:rFonts w:ascii="Times New Roman" w:hAnsi="Times New Roman"/>
                <w:lang w:val="zh-CN"/>
              </w:rPr>
              <w:t>7月</w:t>
            </w:r>
          </w:p>
        </w:tc>
        <w:tc>
          <w:tcPr>
            <w:tcW w:w="990" w:type="dxa"/>
            <w:vAlign w:val="center"/>
          </w:tcPr>
          <w:p>
            <w:pPr>
              <w:tabs>
                <w:tab w:val="left" w:pos="565"/>
                <w:tab w:val="left" w:pos="1320"/>
                <w:tab w:val="left" w:pos="2074"/>
                <w:tab w:val="left" w:pos="2829"/>
                <w:tab w:val="left" w:pos="3584"/>
                <w:tab w:val="left" w:pos="4338"/>
                <w:tab w:val="left" w:pos="5093"/>
                <w:tab w:val="left" w:pos="5847"/>
                <w:tab w:val="left" w:pos="6602"/>
                <w:tab w:val="left" w:pos="7357"/>
                <w:tab w:val="left" w:pos="8111"/>
                <w:tab w:val="left" w:pos="8866"/>
                <w:tab w:val="left" w:pos="9621"/>
              </w:tabs>
              <w:jc w:val="center"/>
              <w:rPr>
                <w:rFonts w:ascii="Times New Roman" w:hAnsi="Times New Roman"/>
                <w:lang w:val="zh-CN"/>
              </w:rPr>
            </w:pPr>
            <w:r>
              <w:rPr>
                <w:rFonts w:ascii="Times New Roman" w:hAnsi="Times New Roman"/>
                <w:lang w:val="zh-CN"/>
              </w:rPr>
              <w:t>8月</w:t>
            </w:r>
          </w:p>
        </w:tc>
        <w:tc>
          <w:tcPr>
            <w:tcW w:w="990" w:type="dxa"/>
            <w:vAlign w:val="center"/>
          </w:tcPr>
          <w:p>
            <w:pPr>
              <w:tabs>
                <w:tab w:val="left" w:pos="565"/>
                <w:tab w:val="left" w:pos="1320"/>
                <w:tab w:val="left" w:pos="2074"/>
                <w:tab w:val="left" w:pos="2829"/>
                <w:tab w:val="left" w:pos="3584"/>
                <w:tab w:val="left" w:pos="4338"/>
                <w:tab w:val="left" w:pos="5093"/>
                <w:tab w:val="left" w:pos="5847"/>
                <w:tab w:val="left" w:pos="6602"/>
                <w:tab w:val="left" w:pos="7357"/>
                <w:tab w:val="left" w:pos="8111"/>
                <w:tab w:val="left" w:pos="8866"/>
                <w:tab w:val="left" w:pos="9621"/>
              </w:tabs>
              <w:jc w:val="center"/>
              <w:rPr>
                <w:rFonts w:ascii="Times New Roman" w:hAnsi="Times New Roman"/>
                <w:lang w:val="zh-CN"/>
              </w:rPr>
            </w:pPr>
            <w:r>
              <w:rPr>
                <w:rFonts w:ascii="Times New Roman" w:hAnsi="Times New Roman"/>
                <w:lang w:val="zh-CN"/>
              </w:rPr>
              <w:t>9月</w:t>
            </w:r>
          </w:p>
        </w:tc>
        <w:tc>
          <w:tcPr>
            <w:tcW w:w="990" w:type="dxa"/>
            <w:vAlign w:val="center"/>
          </w:tcPr>
          <w:p>
            <w:pPr>
              <w:tabs>
                <w:tab w:val="left" w:pos="565"/>
                <w:tab w:val="left" w:pos="1320"/>
                <w:tab w:val="left" w:pos="2074"/>
                <w:tab w:val="left" w:pos="2829"/>
                <w:tab w:val="left" w:pos="3584"/>
                <w:tab w:val="left" w:pos="4338"/>
                <w:tab w:val="left" w:pos="5093"/>
                <w:tab w:val="left" w:pos="5847"/>
                <w:tab w:val="left" w:pos="6602"/>
                <w:tab w:val="left" w:pos="7357"/>
                <w:tab w:val="left" w:pos="8111"/>
                <w:tab w:val="left" w:pos="8866"/>
                <w:tab w:val="left" w:pos="9621"/>
              </w:tabs>
              <w:jc w:val="center"/>
              <w:rPr>
                <w:rFonts w:ascii="Times New Roman" w:hAnsi="Times New Roman"/>
                <w:lang w:val="zh-CN"/>
              </w:rPr>
            </w:pPr>
            <w:r>
              <w:rPr>
                <w:rFonts w:ascii="Times New Roman" w:hAnsi="Times New Roman"/>
                <w:lang w:val="zh-CN"/>
              </w:rPr>
              <w:t>10月</w:t>
            </w:r>
          </w:p>
        </w:tc>
        <w:tc>
          <w:tcPr>
            <w:tcW w:w="990" w:type="dxa"/>
            <w:vAlign w:val="center"/>
          </w:tcPr>
          <w:p>
            <w:pPr>
              <w:tabs>
                <w:tab w:val="left" w:pos="565"/>
                <w:tab w:val="left" w:pos="1320"/>
                <w:tab w:val="left" w:pos="2074"/>
                <w:tab w:val="left" w:pos="2829"/>
                <w:tab w:val="left" w:pos="3584"/>
                <w:tab w:val="left" w:pos="4338"/>
                <w:tab w:val="left" w:pos="5093"/>
                <w:tab w:val="left" w:pos="5847"/>
                <w:tab w:val="left" w:pos="6602"/>
                <w:tab w:val="left" w:pos="7357"/>
                <w:tab w:val="left" w:pos="8111"/>
                <w:tab w:val="left" w:pos="8866"/>
                <w:tab w:val="left" w:pos="9621"/>
              </w:tabs>
              <w:jc w:val="center"/>
              <w:rPr>
                <w:rFonts w:ascii="Times New Roman" w:hAnsi="Times New Roman"/>
                <w:lang w:val="zh-CN"/>
              </w:rPr>
            </w:pPr>
            <w:r>
              <w:rPr>
                <w:rFonts w:ascii="Times New Roman" w:hAnsi="Times New Roman"/>
                <w:lang w:val="zh-CN"/>
              </w:rPr>
              <w:t>11月</w:t>
            </w:r>
          </w:p>
        </w:tc>
        <w:tc>
          <w:tcPr>
            <w:tcW w:w="990" w:type="dxa"/>
            <w:vAlign w:val="center"/>
          </w:tcPr>
          <w:p>
            <w:pPr>
              <w:tabs>
                <w:tab w:val="left" w:pos="565"/>
                <w:tab w:val="left" w:pos="1320"/>
                <w:tab w:val="left" w:pos="2074"/>
                <w:tab w:val="left" w:pos="2829"/>
                <w:tab w:val="left" w:pos="3584"/>
                <w:tab w:val="left" w:pos="4338"/>
                <w:tab w:val="left" w:pos="5093"/>
                <w:tab w:val="left" w:pos="5847"/>
                <w:tab w:val="left" w:pos="6602"/>
                <w:tab w:val="left" w:pos="7357"/>
                <w:tab w:val="left" w:pos="8111"/>
                <w:tab w:val="left" w:pos="8866"/>
                <w:tab w:val="left" w:pos="9621"/>
              </w:tabs>
              <w:jc w:val="center"/>
              <w:rPr>
                <w:rFonts w:ascii="Times New Roman" w:hAnsi="Times New Roman"/>
                <w:lang w:val="zh-CN"/>
              </w:rPr>
            </w:pPr>
            <w:r>
              <w:rPr>
                <w:rFonts w:ascii="Times New Roman" w:hAnsi="Times New Roman"/>
                <w:lang w:val="zh-CN"/>
              </w:rPr>
              <w:t>12月</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1548" w:type="dxa"/>
            <w:vAlign w:val="center"/>
          </w:tcPr>
          <w:p>
            <w:pPr>
              <w:jc w:val="center"/>
              <w:rPr>
                <w:rFonts w:ascii="Times New Roman" w:hAnsi="Times New Roman"/>
                <w:lang w:val="zh-CN"/>
              </w:rPr>
            </w:pPr>
            <w:r>
              <w:rPr>
                <w:rFonts w:ascii="Times New Roman" w:hAnsi="Times New Roman"/>
                <w:lang w:val="zh-CN"/>
              </w:rPr>
              <w:t>风速（m/s）</w:t>
            </w:r>
          </w:p>
        </w:tc>
        <w:tc>
          <w:tcPr>
            <w:tcW w:w="990" w:type="dxa"/>
            <w:vAlign w:val="center"/>
          </w:tcPr>
          <w:p>
            <w:pPr>
              <w:jc w:val="center"/>
              <w:rPr>
                <w:rFonts w:ascii="Times New Roman" w:hAnsi="Times New Roman"/>
                <w:lang w:val="zh-CN"/>
              </w:rPr>
            </w:pPr>
            <w:r>
              <w:rPr>
                <w:rFonts w:ascii="Times New Roman" w:hAnsi="Times New Roman"/>
                <w:lang w:val="zh-CN"/>
              </w:rPr>
              <w:t>1.9</w:t>
            </w:r>
          </w:p>
        </w:tc>
        <w:tc>
          <w:tcPr>
            <w:tcW w:w="990" w:type="dxa"/>
            <w:vAlign w:val="center"/>
          </w:tcPr>
          <w:p>
            <w:pPr>
              <w:jc w:val="center"/>
              <w:rPr>
                <w:rFonts w:ascii="Times New Roman" w:hAnsi="Times New Roman"/>
                <w:lang w:val="zh-CN"/>
              </w:rPr>
            </w:pPr>
            <w:r>
              <w:rPr>
                <w:rFonts w:ascii="Times New Roman" w:hAnsi="Times New Roman"/>
                <w:lang w:val="zh-CN"/>
              </w:rPr>
              <w:t>2.0</w:t>
            </w:r>
          </w:p>
        </w:tc>
        <w:tc>
          <w:tcPr>
            <w:tcW w:w="990" w:type="dxa"/>
            <w:vAlign w:val="center"/>
          </w:tcPr>
          <w:p>
            <w:pPr>
              <w:jc w:val="center"/>
              <w:rPr>
                <w:rFonts w:ascii="Times New Roman" w:hAnsi="Times New Roman"/>
                <w:lang w:val="zh-CN"/>
              </w:rPr>
            </w:pPr>
            <w:r>
              <w:rPr>
                <w:rFonts w:ascii="Times New Roman" w:hAnsi="Times New Roman"/>
                <w:lang w:val="zh-CN"/>
              </w:rPr>
              <w:t>2.1</w:t>
            </w:r>
          </w:p>
        </w:tc>
        <w:tc>
          <w:tcPr>
            <w:tcW w:w="990" w:type="dxa"/>
            <w:vAlign w:val="center"/>
          </w:tcPr>
          <w:p>
            <w:pPr>
              <w:jc w:val="center"/>
              <w:rPr>
                <w:rFonts w:ascii="Times New Roman" w:hAnsi="Times New Roman"/>
                <w:lang w:val="zh-CN"/>
              </w:rPr>
            </w:pPr>
            <w:r>
              <w:rPr>
                <w:rFonts w:ascii="Times New Roman" w:hAnsi="Times New Roman"/>
                <w:lang w:val="zh-CN"/>
              </w:rPr>
              <w:t>2.3</w:t>
            </w:r>
          </w:p>
        </w:tc>
        <w:tc>
          <w:tcPr>
            <w:tcW w:w="990" w:type="dxa"/>
            <w:vAlign w:val="center"/>
          </w:tcPr>
          <w:p>
            <w:pPr>
              <w:jc w:val="center"/>
              <w:rPr>
                <w:rFonts w:ascii="Times New Roman" w:hAnsi="Times New Roman"/>
                <w:lang w:val="zh-CN"/>
              </w:rPr>
            </w:pPr>
            <w:r>
              <w:rPr>
                <w:rFonts w:ascii="Times New Roman" w:hAnsi="Times New Roman"/>
                <w:lang w:val="zh-CN"/>
              </w:rPr>
              <w:t>2.0</w:t>
            </w:r>
          </w:p>
        </w:tc>
        <w:tc>
          <w:tcPr>
            <w:tcW w:w="990" w:type="dxa"/>
            <w:vAlign w:val="center"/>
          </w:tcPr>
          <w:p>
            <w:pPr>
              <w:jc w:val="center"/>
              <w:rPr>
                <w:rFonts w:ascii="Times New Roman" w:hAnsi="Times New Roman"/>
                <w:lang w:val="zh-CN"/>
              </w:rPr>
            </w:pPr>
            <w:r>
              <w:rPr>
                <w:rFonts w:ascii="Times New Roman" w:hAnsi="Times New Roman"/>
                <w:lang w:val="zh-CN"/>
              </w:rPr>
              <w:t>1.6</w:t>
            </w:r>
          </w:p>
        </w:tc>
        <w:tc>
          <w:tcPr>
            <w:tcW w:w="990" w:type="dxa"/>
            <w:vAlign w:val="center"/>
          </w:tcPr>
          <w:p>
            <w:pPr>
              <w:jc w:val="center"/>
              <w:rPr>
                <w:rFonts w:ascii="Times New Roman" w:hAnsi="Times New Roman"/>
                <w:lang w:val="zh-CN"/>
              </w:rPr>
            </w:pPr>
            <w:r>
              <w:rPr>
                <w:rFonts w:ascii="Times New Roman" w:hAnsi="Times New Roman"/>
                <w:lang w:val="zh-CN"/>
              </w:rPr>
              <w:t>1.5</w:t>
            </w:r>
          </w:p>
        </w:tc>
        <w:tc>
          <w:tcPr>
            <w:tcW w:w="990" w:type="dxa"/>
            <w:vAlign w:val="center"/>
          </w:tcPr>
          <w:p>
            <w:pPr>
              <w:jc w:val="center"/>
              <w:rPr>
                <w:rFonts w:ascii="Times New Roman" w:hAnsi="Times New Roman"/>
                <w:lang w:val="zh-CN"/>
              </w:rPr>
            </w:pPr>
            <w:r>
              <w:rPr>
                <w:rFonts w:ascii="Times New Roman" w:hAnsi="Times New Roman"/>
                <w:lang w:val="zh-CN"/>
              </w:rPr>
              <w:t>1.5</w:t>
            </w:r>
          </w:p>
        </w:tc>
        <w:tc>
          <w:tcPr>
            <w:tcW w:w="990" w:type="dxa"/>
            <w:vAlign w:val="center"/>
          </w:tcPr>
          <w:p>
            <w:pPr>
              <w:jc w:val="center"/>
              <w:rPr>
                <w:rFonts w:ascii="Times New Roman" w:hAnsi="Times New Roman"/>
                <w:lang w:val="zh-CN"/>
              </w:rPr>
            </w:pPr>
            <w:r>
              <w:rPr>
                <w:rFonts w:ascii="Times New Roman" w:hAnsi="Times New Roman"/>
                <w:lang w:val="zh-CN"/>
              </w:rPr>
              <w:t>1.7</w:t>
            </w:r>
          </w:p>
        </w:tc>
        <w:tc>
          <w:tcPr>
            <w:tcW w:w="990" w:type="dxa"/>
            <w:vAlign w:val="center"/>
          </w:tcPr>
          <w:p>
            <w:pPr>
              <w:jc w:val="center"/>
              <w:rPr>
                <w:rFonts w:ascii="Times New Roman" w:hAnsi="Times New Roman"/>
                <w:lang w:val="zh-CN"/>
              </w:rPr>
            </w:pPr>
            <w:r>
              <w:rPr>
                <w:rFonts w:ascii="Times New Roman" w:hAnsi="Times New Roman"/>
                <w:lang w:val="zh-CN"/>
              </w:rPr>
              <w:t>2.1</w:t>
            </w:r>
          </w:p>
        </w:tc>
        <w:tc>
          <w:tcPr>
            <w:tcW w:w="990" w:type="dxa"/>
            <w:vAlign w:val="center"/>
          </w:tcPr>
          <w:p>
            <w:pPr>
              <w:jc w:val="center"/>
              <w:rPr>
                <w:rFonts w:ascii="Times New Roman" w:hAnsi="Times New Roman"/>
                <w:lang w:val="zh-CN"/>
              </w:rPr>
            </w:pPr>
            <w:r>
              <w:rPr>
                <w:rFonts w:ascii="Times New Roman" w:hAnsi="Times New Roman"/>
                <w:lang w:val="zh-CN"/>
              </w:rPr>
              <w:t>2.0</w:t>
            </w:r>
          </w:p>
        </w:tc>
        <w:tc>
          <w:tcPr>
            <w:tcW w:w="990" w:type="dxa"/>
            <w:vAlign w:val="center"/>
          </w:tcPr>
          <w:p>
            <w:pPr>
              <w:jc w:val="center"/>
              <w:rPr>
                <w:rFonts w:ascii="Times New Roman" w:hAnsi="Times New Roman"/>
                <w:lang w:val="zh-CN"/>
              </w:rPr>
            </w:pPr>
            <w:r>
              <w:rPr>
                <w:rFonts w:ascii="Times New Roman" w:hAnsi="Times New Roman"/>
                <w:lang w:val="zh-CN"/>
              </w:rPr>
              <w:t>1.9</w:t>
            </w:r>
          </w:p>
        </w:tc>
      </w:tr>
    </w:tbl>
    <w:p>
      <w:pPr>
        <w:jc w:val="center"/>
        <w:rPr>
          <w:rFonts w:ascii="Times New Roman" w:hAnsi="Times New Roman"/>
          <w:b/>
          <w:bCs/>
          <w:lang w:val="zh-CN"/>
        </w:rPr>
      </w:pPr>
    </w:p>
    <w:p>
      <w:pPr>
        <w:jc w:val="center"/>
        <w:rPr>
          <w:rFonts w:ascii="Times New Roman" w:hAnsi="Times New Roman"/>
          <w:b/>
          <w:bCs/>
          <w:lang w:val="zh-CN"/>
        </w:rPr>
      </w:pPr>
      <w:r>
        <w:rPr>
          <w:rFonts w:ascii="Times New Roman" w:hAnsi="Times New Roman"/>
          <w:b/>
          <w:bCs/>
          <w:lang w:val="zh-CN"/>
        </w:rPr>
        <w:t>表4.1-2  双鸭山年平均温度的月变化情况表</w:t>
      </w:r>
    </w:p>
    <w:tbl>
      <w:tblPr>
        <w:tblStyle w:val="77"/>
        <w:tblW w:w="0" w:type="auto"/>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739"/>
        <w:gridCol w:w="712"/>
        <w:gridCol w:w="712"/>
        <w:gridCol w:w="625"/>
        <w:gridCol w:w="567"/>
        <w:gridCol w:w="654"/>
        <w:gridCol w:w="654"/>
        <w:gridCol w:w="654"/>
        <w:gridCol w:w="654"/>
        <w:gridCol w:w="654"/>
        <w:gridCol w:w="567"/>
        <w:gridCol w:w="625"/>
        <w:gridCol w:w="712"/>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1548" w:type="dxa"/>
            <w:vAlign w:val="center"/>
          </w:tcPr>
          <w:p>
            <w:pPr>
              <w:jc w:val="center"/>
              <w:rPr>
                <w:rFonts w:ascii="Times New Roman" w:hAnsi="Times New Roman"/>
                <w:lang w:val="zh-CN"/>
              </w:rPr>
            </w:pPr>
            <w:r>
              <w:rPr>
                <w:rFonts w:ascii="Times New Roman" w:hAnsi="Times New Roman"/>
                <w:lang w:val="zh-CN"/>
              </w:rPr>
              <w:t>月份</w:t>
            </w:r>
          </w:p>
        </w:tc>
        <w:tc>
          <w:tcPr>
            <w:tcW w:w="990" w:type="dxa"/>
            <w:vAlign w:val="center"/>
          </w:tcPr>
          <w:p>
            <w:pPr>
              <w:tabs>
                <w:tab w:val="left" w:pos="565"/>
                <w:tab w:val="left" w:pos="1320"/>
                <w:tab w:val="left" w:pos="2074"/>
                <w:tab w:val="left" w:pos="2829"/>
                <w:tab w:val="left" w:pos="3584"/>
                <w:tab w:val="left" w:pos="4338"/>
                <w:tab w:val="left" w:pos="5093"/>
                <w:tab w:val="left" w:pos="5847"/>
                <w:tab w:val="left" w:pos="6602"/>
                <w:tab w:val="left" w:pos="7357"/>
                <w:tab w:val="left" w:pos="8111"/>
                <w:tab w:val="left" w:pos="8866"/>
                <w:tab w:val="left" w:pos="9621"/>
              </w:tabs>
              <w:jc w:val="center"/>
              <w:rPr>
                <w:rFonts w:ascii="Times New Roman" w:hAnsi="Times New Roman"/>
                <w:lang w:val="zh-CN"/>
              </w:rPr>
            </w:pPr>
            <w:r>
              <w:rPr>
                <w:rFonts w:ascii="Times New Roman" w:hAnsi="Times New Roman"/>
                <w:lang w:val="zh-CN"/>
              </w:rPr>
              <w:t>1月</w:t>
            </w:r>
          </w:p>
        </w:tc>
        <w:tc>
          <w:tcPr>
            <w:tcW w:w="990" w:type="dxa"/>
            <w:vAlign w:val="center"/>
          </w:tcPr>
          <w:p>
            <w:pPr>
              <w:tabs>
                <w:tab w:val="left" w:pos="565"/>
                <w:tab w:val="left" w:pos="1320"/>
                <w:tab w:val="left" w:pos="2074"/>
                <w:tab w:val="left" w:pos="2829"/>
                <w:tab w:val="left" w:pos="3584"/>
                <w:tab w:val="left" w:pos="4338"/>
                <w:tab w:val="left" w:pos="5093"/>
                <w:tab w:val="left" w:pos="5847"/>
                <w:tab w:val="left" w:pos="6602"/>
                <w:tab w:val="left" w:pos="7357"/>
                <w:tab w:val="left" w:pos="8111"/>
                <w:tab w:val="left" w:pos="8866"/>
                <w:tab w:val="left" w:pos="9621"/>
              </w:tabs>
              <w:jc w:val="center"/>
              <w:rPr>
                <w:rFonts w:ascii="Times New Roman" w:hAnsi="Times New Roman"/>
                <w:lang w:val="zh-CN"/>
              </w:rPr>
            </w:pPr>
            <w:r>
              <w:rPr>
                <w:rFonts w:ascii="Times New Roman" w:hAnsi="Times New Roman"/>
                <w:lang w:val="zh-CN"/>
              </w:rPr>
              <w:t>2月</w:t>
            </w:r>
          </w:p>
        </w:tc>
        <w:tc>
          <w:tcPr>
            <w:tcW w:w="990" w:type="dxa"/>
            <w:vAlign w:val="center"/>
          </w:tcPr>
          <w:p>
            <w:pPr>
              <w:tabs>
                <w:tab w:val="left" w:pos="565"/>
                <w:tab w:val="left" w:pos="1320"/>
                <w:tab w:val="left" w:pos="2074"/>
                <w:tab w:val="left" w:pos="2829"/>
                <w:tab w:val="left" w:pos="3584"/>
                <w:tab w:val="left" w:pos="4338"/>
                <w:tab w:val="left" w:pos="5093"/>
                <w:tab w:val="left" w:pos="5847"/>
                <w:tab w:val="left" w:pos="6602"/>
                <w:tab w:val="left" w:pos="7357"/>
                <w:tab w:val="left" w:pos="8111"/>
                <w:tab w:val="left" w:pos="8866"/>
                <w:tab w:val="left" w:pos="9621"/>
              </w:tabs>
              <w:jc w:val="center"/>
              <w:rPr>
                <w:rFonts w:ascii="Times New Roman" w:hAnsi="Times New Roman"/>
                <w:lang w:val="zh-CN"/>
              </w:rPr>
            </w:pPr>
            <w:r>
              <w:rPr>
                <w:rFonts w:ascii="Times New Roman" w:hAnsi="Times New Roman"/>
                <w:lang w:val="zh-CN"/>
              </w:rPr>
              <w:t>3月</w:t>
            </w:r>
          </w:p>
        </w:tc>
        <w:tc>
          <w:tcPr>
            <w:tcW w:w="990" w:type="dxa"/>
            <w:vAlign w:val="center"/>
          </w:tcPr>
          <w:p>
            <w:pPr>
              <w:tabs>
                <w:tab w:val="left" w:pos="565"/>
                <w:tab w:val="left" w:pos="1320"/>
                <w:tab w:val="left" w:pos="2074"/>
                <w:tab w:val="left" w:pos="2829"/>
                <w:tab w:val="left" w:pos="3584"/>
                <w:tab w:val="left" w:pos="4338"/>
                <w:tab w:val="left" w:pos="5093"/>
                <w:tab w:val="left" w:pos="5847"/>
                <w:tab w:val="left" w:pos="6602"/>
                <w:tab w:val="left" w:pos="7357"/>
                <w:tab w:val="left" w:pos="8111"/>
                <w:tab w:val="left" w:pos="8866"/>
                <w:tab w:val="left" w:pos="9621"/>
              </w:tabs>
              <w:jc w:val="center"/>
              <w:rPr>
                <w:rFonts w:ascii="Times New Roman" w:hAnsi="Times New Roman"/>
                <w:lang w:val="zh-CN"/>
              </w:rPr>
            </w:pPr>
            <w:r>
              <w:rPr>
                <w:rFonts w:ascii="Times New Roman" w:hAnsi="Times New Roman"/>
                <w:lang w:val="zh-CN"/>
              </w:rPr>
              <w:t>4月</w:t>
            </w:r>
          </w:p>
        </w:tc>
        <w:tc>
          <w:tcPr>
            <w:tcW w:w="990" w:type="dxa"/>
            <w:vAlign w:val="center"/>
          </w:tcPr>
          <w:p>
            <w:pPr>
              <w:tabs>
                <w:tab w:val="left" w:pos="565"/>
                <w:tab w:val="left" w:pos="1320"/>
                <w:tab w:val="left" w:pos="2074"/>
                <w:tab w:val="left" w:pos="2829"/>
                <w:tab w:val="left" w:pos="3584"/>
                <w:tab w:val="left" w:pos="4338"/>
                <w:tab w:val="left" w:pos="5093"/>
                <w:tab w:val="left" w:pos="5847"/>
                <w:tab w:val="left" w:pos="6602"/>
                <w:tab w:val="left" w:pos="7357"/>
                <w:tab w:val="left" w:pos="8111"/>
                <w:tab w:val="left" w:pos="8866"/>
                <w:tab w:val="left" w:pos="9621"/>
              </w:tabs>
              <w:jc w:val="center"/>
              <w:rPr>
                <w:rFonts w:ascii="Times New Roman" w:hAnsi="Times New Roman"/>
                <w:lang w:val="zh-CN"/>
              </w:rPr>
            </w:pPr>
            <w:r>
              <w:rPr>
                <w:rFonts w:ascii="Times New Roman" w:hAnsi="Times New Roman"/>
                <w:lang w:val="zh-CN"/>
              </w:rPr>
              <w:t>5月</w:t>
            </w:r>
          </w:p>
        </w:tc>
        <w:tc>
          <w:tcPr>
            <w:tcW w:w="990" w:type="dxa"/>
            <w:vAlign w:val="center"/>
          </w:tcPr>
          <w:p>
            <w:pPr>
              <w:tabs>
                <w:tab w:val="left" w:pos="565"/>
                <w:tab w:val="left" w:pos="1320"/>
                <w:tab w:val="left" w:pos="2074"/>
                <w:tab w:val="left" w:pos="2829"/>
                <w:tab w:val="left" w:pos="3584"/>
                <w:tab w:val="left" w:pos="4338"/>
                <w:tab w:val="left" w:pos="5093"/>
                <w:tab w:val="left" w:pos="5847"/>
                <w:tab w:val="left" w:pos="6602"/>
                <w:tab w:val="left" w:pos="7357"/>
                <w:tab w:val="left" w:pos="8111"/>
                <w:tab w:val="left" w:pos="8866"/>
                <w:tab w:val="left" w:pos="9621"/>
              </w:tabs>
              <w:jc w:val="center"/>
              <w:rPr>
                <w:rFonts w:ascii="Times New Roman" w:hAnsi="Times New Roman"/>
                <w:lang w:val="zh-CN"/>
              </w:rPr>
            </w:pPr>
            <w:r>
              <w:rPr>
                <w:rFonts w:ascii="Times New Roman" w:hAnsi="Times New Roman"/>
                <w:lang w:val="zh-CN"/>
              </w:rPr>
              <w:t>6月</w:t>
            </w:r>
          </w:p>
        </w:tc>
        <w:tc>
          <w:tcPr>
            <w:tcW w:w="990" w:type="dxa"/>
            <w:vAlign w:val="center"/>
          </w:tcPr>
          <w:p>
            <w:pPr>
              <w:tabs>
                <w:tab w:val="left" w:pos="565"/>
                <w:tab w:val="left" w:pos="1320"/>
                <w:tab w:val="left" w:pos="2074"/>
                <w:tab w:val="left" w:pos="2829"/>
                <w:tab w:val="left" w:pos="3584"/>
                <w:tab w:val="left" w:pos="4338"/>
                <w:tab w:val="left" w:pos="5093"/>
                <w:tab w:val="left" w:pos="5847"/>
                <w:tab w:val="left" w:pos="6602"/>
                <w:tab w:val="left" w:pos="7357"/>
                <w:tab w:val="left" w:pos="8111"/>
                <w:tab w:val="left" w:pos="8866"/>
                <w:tab w:val="left" w:pos="9621"/>
              </w:tabs>
              <w:jc w:val="center"/>
              <w:rPr>
                <w:rFonts w:ascii="Times New Roman" w:hAnsi="Times New Roman"/>
                <w:lang w:val="zh-CN"/>
              </w:rPr>
            </w:pPr>
            <w:r>
              <w:rPr>
                <w:rFonts w:ascii="Times New Roman" w:hAnsi="Times New Roman"/>
                <w:lang w:val="zh-CN"/>
              </w:rPr>
              <w:t>7月</w:t>
            </w:r>
          </w:p>
        </w:tc>
        <w:tc>
          <w:tcPr>
            <w:tcW w:w="990" w:type="dxa"/>
            <w:vAlign w:val="center"/>
          </w:tcPr>
          <w:p>
            <w:pPr>
              <w:tabs>
                <w:tab w:val="left" w:pos="565"/>
                <w:tab w:val="left" w:pos="1320"/>
                <w:tab w:val="left" w:pos="2074"/>
                <w:tab w:val="left" w:pos="2829"/>
                <w:tab w:val="left" w:pos="3584"/>
                <w:tab w:val="left" w:pos="4338"/>
                <w:tab w:val="left" w:pos="5093"/>
                <w:tab w:val="left" w:pos="5847"/>
                <w:tab w:val="left" w:pos="6602"/>
                <w:tab w:val="left" w:pos="7357"/>
                <w:tab w:val="left" w:pos="8111"/>
                <w:tab w:val="left" w:pos="8866"/>
                <w:tab w:val="left" w:pos="9621"/>
              </w:tabs>
              <w:jc w:val="center"/>
              <w:rPr>
                <w:rFonts w:ascii="Times New Roman" w:hAnsi="Times New Roman"/>
                <w:lang w:val="zh-CN"/>
              </w:rPr>
            </w:pPr>
            <w:r>
              <w:rPr>
                <w:rFonts w:ascii="Times New Roman" w:hAnsi="Times New Roman"/>
                <w:lang w:val="zh-CN"/>
              </w:rPr>
              <w:t>8月</w:t>
            </w:r>
          </w:p>
        </w:tc>
        <w:tc>
          <w:tcPr>
            <w:tcW w:w="990" w:type="dxa"/>
            <w:vAlign w:val="center"/>
          </w:tcPr>
          <w:p>
            <w:pPr>
              <w:tabs>
                <w:tab w:val="left" w:pos="565"/>
                <w:tab w:val="left" w:pos="1320"/>
                <w:tab w:val="left" w:pos="2074"/>
                <w:tab w:val="left" w:pos="2829"/>
                <w:tab w:val="left" w:pos="3584"/>
                <w:tab w:val="left" w:pos="4338"/>
                <w:tab w:val="left" w:pos="5093"/>
                <w:tab w:val="left" w:pos="5847"/>
                <w:tab w:val="left" w:pos="6602"/>
                <w:tab w:val="left" w:pos="7357"/>
                <w:tab w:val="left" w:pos="8111"/>
                <w:tab w:val="left" w:pos="8866"/>
                <w:tab w:val="left" w:pos="9621"/>
              </w:tabs>
              <w:jc w:val="center"/>
              <w:rPr>
                <w:rFonts w:ascii="Times New Roman" w:hAnsi="Times New Roman"/>
                <w:lang w:val="zh-CN"/>
              </w:rPr>
            </w:pPr>
            <w:r>
              <w:rPr>
                <w:rFonts w:ascii="Times New Roman" w:hAnsi="Times New Roman"/>
                <w:lang w:val="zh-CN"/>
              </w:rPr>
              <w:t>9月</w:t>
            </w:r>
          </w:p>
        </w:tc>
        <w:tc>
          <w:tcPr>
            <w:tcW w:w="990" w:type="dxa"/>
            <w:vAlign w:val="center"/>
          </w:tcPr>
          <w:p>
            <w:pPr>
              <w:tabs>
                <w:tab w:val="left" w:pos="565"/>
                <w:tab w:val="left" w:pos="1320"/>
                <w:tab w:val="left" w:pos="2074"/>
                <w:tab w:val="left" w:pos="2829"/>
                <w:tab w:val="left" w:pos="3584"/>
                <w:tab w:val="left" w:pos="4338"/>
                <w:tab w:val="left" w:pos="5093"/>
                <w:tab w:val="left" w:pos="5847"/>
                <w:tab w:val="left" w:pos="6602"/>
                <w:tab w:val="left" w:pos="7357"/>
                <w:tab w:val="left" w:pos="8111"/>
                <w:tab w:val="left" w:pos="8866"/>
                <w:tab w:val="left" w:pos="9621"/>
              </w:tabs>
              <w:jc w:val="center"/>
              <w:rPr>
                <w:rFonts w:ascii="Times New Roman" w:hAnsi="Times New Roman"/>
                <w:lang w:val="zh-CN"/>
              </w:rPr>
            </w:pPr>
            <w:r>
              <w:rPr>
                <w:rFonts w:ascii="Times New Roman" w:hAnsi="Times New Roman"/>
                <w:lang w:val="zh-CN"/>
              </w:rPr>
              <w:t>10月</w:t>
            </w:r>
          </w:p>
        </w:tc>
        <w:tc>
          <w:tcPr>
            <w:tcW w:w="990" w:type="dxa"/>
            <w:vAlign w:val="center"/>
          </w:tcPr>
          <w:p>
            <w:pPr>
              <w:tabs>
                <w:tab w:val="left" w:pos="565"/>
                <w:tab w:val="left" w:pos="1320"/>
                <w:tab w:val="left" w:pos="2074"/>
                <w:tab w:val="left" w:pos="2829"/>
                <w:tab w:val="left" w:pos="3584"/>
                <w:tab w:val="left" w:pos="4338"/>
                <w:tab w:val="left" w:pos="5093"/>
                <w:tab w:val="left" w:pos="5847"/>
                <w:tab w:val="left" w:pos="6602"/>
                <w:tab w:val="left" w:pos="7357"/>
                <w:tab w:val="left" w:pos="8111"/>
                <w:tab w:val="left" w:pos="8866"/>
                <w:tab w:val="left" w:pos="9621"/>
              </w:tabs>
              <w:jc w:val="center"/>
              <w:rPr>
                <w:rFonts w:ascii="Times New Roman" w:hAnsi="Times New Roman"/>
                <w:lang w:val="zh-CN"/>
              </w:rPr>
            </w:pPr>
            <w:r>
              <w:rPr>
                <w:rFonts w:ascii="Times New Roman" w:hAnsi="Times New Roman"/>
                <w:lang w:val="zh-CN"/>
              </w:rPr>
              <w:t>11月</w:t>
            </w:r>
          </w:p>
        </w:tc>
        <w:tc>
          <w:tcPr>
            <w:tcW w:w="990" w:type="dxa"/>
            <w:vAlign w:val="center"/>
          </w:tcPr>
          <w:p>
            <w:pPr>
              <w:tabs>
                <w:tab w:val="left" w:pos="565"/>
                <w:tab w:val="left" w:pos="1320"/>
                <w:tab w:val="left" w:pos="2074"/>
                <w:tab w:val="left" w:pos="2829"/>
                <w:tab w:val="left" w:pos="3584"/>
                <w:tab w:val="left" w:pos="4338"/>
                <w:tab w:val="left" w:pos="5093"/>
                <w:tab w:val="left" w:pos="5847"/>
                <w:tab w:val="left" w:pos="6602"/>
                <w:tab w:val="left" w:pos="7357"/>
                <w:tab w:val="left" w:pos="8111"/>
                <w:tab w:val="left" w:pos="8866"/>
                <w:tab w:val="left" w:pos="9621"/>
              </w:tabs>
              <w:jc w:val="center"/>
              <w:rPr>
                <w:rFonts w:ascii="Times New Roman" w:hAnsi="Times New Roman"/>
                <w:lang w:val="zh-CN"/>
              </w:rPr>
            </w:pPr>
            <w:r>
              <w:rPr>
                <w:rFonts w:ascii="Times New Roman" w:hAnsi="Times New Roman"/>
                <w:lang w:val="zh-CN"/>
              </w:rPr>
              <w:t>12月</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1548" w:type="dxa"/>
            <w:vAlign w:val="center"/>
          </w:tcPr>
          <w:p>
            <w:pPr>
              <w:jc w:val="center"/>
              <w:rPr>
                <w:rFonts w:ascii="Times New Roman" w:hAnsi="Times New Roman"/>
                <w:lang w:val="zh-CN"/>
              </w:rPr>
            </w:pPr>
            <w:r>
              <w:rPr>
                <w:rFonts w:ascii="Times New Roman" w:hAnsi="Times New Roman"/>
                <w:lang w:val="zh-CN"/>
              </w:rPr>
              <w:t>气温 (℃)</w:t>
            </w:r>
          </w:p>
        </w:tc>
        <w:tc>
          <w:tcPr>
            <w:tcW w:w="990" w:type="dxa"/>
            <w:vAlign w:val="center"/>
          </w:tcPr>
          <w:p>
            <w:pPr>
              <w:jc w:val="center"/>
              <w:rPr>
                <w:rFonts w:ascii="Times New Roman" w:hAnsi="Times New Roman"/>
                <w:lang w:val="zh-CN"/>
              </w:rPr>
            </w:pPr>
            <w:r>
              <w:rPr>
                <w:rFonts w:ascii="Times New Roman" w:hAnsi="Times New Roman"/>
                <w:lang w:val="zh-CN"/>
              </w:rPr>
              <w:t>-16.3</w:t>
            </w:r>
          </w:p>
        </w:tc>
        <w:tc>
          <w:tcPr>
            <w:tcW w:w="990" w:type="dxa"/>
            <w:vAlign w:val="center"/>
          </w:tcPr>
          <w:p>
            <w:pPr>
              <w:jc w:val="center"/>
              <w:rPr>
                <w:rFonts w:ascii="Times New Roman" w:hAnsi="Times New Roman"/>
                <w:lang w:val="zh-CN"/>
              </w:rPr>
            </w:pPr>
            <w:r>
              <w:rPr>
                <w:rFonts w:ascii="Times New Roman" w:hAnsi="Times New Roman"/>
                <w:lang w:val="zh-CN"/>
              </w:rPr>
              <w:t>-12.0</w:t>
            </w:r>
          </w:p>
        </w:tc>
        <w:tc>
          <w:tcPr>
            <w:tcW w:w="990" w:type="dxa"/>
            <w:vAlign w:val="center"/>
          </w:tcPr>
          <w:p>
            <w:pPr>
              <w:jc w:val="center"/>
              <w:rPr>
                <w:rFonts w:ascii="Times New Roman" w:hAnsi="Times New Roman"/>
                <w:lang w:val="zh-CN"/>
              </w:rPr>
            </w:pPr>
            <w:r>
              <w:rPr>
                <w:rFonts w:ascii="Times New Roman" w:hAnsi="Times New Roman"/>
                <w:lang w:val="zh-CN"/>
              </w:rPr>
              <w:t>-3.3</w:t>
            </w:r>
          </w:p>
        </w:tc>
        <w:tc>
          <w:tcPr>
            <w:tcW w:w="990" w:type="dxa"/>
            <w:vAlign w:val="center"/>
          </w:tcPr>
          <w:p>
            <w:pPr>
              <w:jc w:val="center"/>
              <w:rPr>
                <w:rFonts w:ascii="Times New Roman" w:hAnsi="Times New Roman"/>
                <w:lang w:val="zh-CN"/>
              </w:rPr>
            </w:pPr>
            <w:r>
              <w:rPr>
                <w:rFonts w:ascii="Times New Roman" w:hAnsi="Times New Roman"/>
                <w:lang w:val="zh-CN"/>
              </w:rPr>
              <w:t>6.9</w:t>
            </w:r>
          </w:p>
        </w:tc>
        <w:tc>
          <w:tcPr>
            <w:tcW w:w="990" w:type="dxa"/>
            <w:vAlign w:val="center"/>
          </w:tcPr>
          <w:p>
            <w:pPr>
              <w:jc w:val="center"/>
              <w:rPr>
                <w:rFonts w:ascii="Times New Roman" w:hAnsi="Times New Roman"/>
                <w:lang w:val="zh-CN"/>
              </w:rPr>
            </w:pPr>
            <w:r>
              <w:rPr>
                <w:rFonts w:ascii="Times New Roman" w:hAnsi="Times New Roman"/>
                <w:lang w:val="zh-CN"/>
              </w:rPr>
              <w:t>14.7</w:t>
            </w:r>
          </w:p>
        </w:tc>
        <w:tc>
          <w:tcPr>
            <w:tcW w:w="990" w:type="dxa"/>
            <w:vAlign w:val="center"/>
          </w:tcPr>
          <w:p>
            <w:pPr>
              <w:jc w:val="center"/>
              <w:rPr>
                <w:rFonts w:ascii="Times New Roman" w:hAnsi="Times New Roman"/>
                <w:lang w:val="zh-CN"/>
              </w:rPr>
            </w:pPr>
            <w:r>
              <w:rPr>
                <w:rFonts w:ascii="Times New Roman" w:hAnsi="Times New Roman"/>
                <w:lang w:val="zh-CN"/>
              </w:rPr>
              <w:t>20.2</w:t>
            </w:r>
          </w:p>
        </w:tc>
        <w:tc>
          <w:tcPr>
            <w:tcW w:w="990" w:type="dxa"/>
            <w:vAlign w:val="center"/>
          </w:tcPr>
          <w:p>
            <w:pPr>
              <w:jc w:val="center"/>
              <w:rPr>
                <w:rFonts w:ascii="Times New Roman" w:hAnsi="Times New Roman"/>
                <w:lang w:val="zh-CN"/>
              </w:rPr>
            </w:pPr>
            <w:r>
              <w:rPr>
                <w:rFonts w:ascii="Times New Roman" w:hAnsi="Times New Roman"/>
                <w:lang w:val="zh-CN"/>
              </w:rPr>
              <w:t>23.1</w:t>
            </w:r>
          </w:p>
        </w:tc>
        <w:tc>
          <w:tcPr>
            <w:tcW w:w="990" w:type="dxa"/>
            <w:vAlign w:val="center"/>
          </w:tcPr>
          <w:p>
            <w:pPr>
              <w:jc w:val="center"/>
              <w:rPr>
                <w:rFonts w:ascii="Times New Roman" w:hAnsi="Times New Roman"/>
                <w:lang w:val="zh-CN"/>
              </w:rPr>
            </w:pPr>
            <w:r>
              <w:rPr>
                <w:rFonts w:ascii="Times New Roman" w:hAnsi="Times New Roman"/>
                <w:lang w:val="zh-CN"/>
              </w:rPr>
              <w:t>21.5</w:t>
            </w:r>
          </w:p>
        </w:tc>
        <w:tc>
          <w:tcPr>
            <w:tcW w:w="990" w:type="dxa"/>
            <w:vAlign w:val="center"/>
          </w:tcPr>
          <w:p>
            <w:pPr>
              <w:jc w:val="center"/>
              <w:rPr>
                <w:rFonts w:ascii="Times New Roman" w:hAnsi="Times New Roman"/>
                <w:lang w:val="zh-CN"/>
              </w:rPr>
            </w:pPr>
            <w:r>
              <w:rPr>
                <w:rFonts w:ascii="Times New Roman" w:hAnsi="Times New Roman"/>
                <w:lang w:val="zh-CN"/>
              </w:rPr>
              <w:t>15.7</w:t>
            </w:r>
          </w:p>
        </w:tc>
        <w:tc>
          <w:tcPr>
            <w:tcW w:w="990" w:type="dxa"/>
            <w:vAlign w:val="center"/>
          </w:tcPr>
          <w:p>
            <w:pPr>
              <w:jc w:val="center"/>
              <w:rPr>
                <w:rFonts w:ascii="Times New Roman" w:hAnsi="Times New Roman"/>
                <w:lang w:val="zh-CN"/>
              </w:rPr>
            </w:pPr>
            <w:r>
              <w:rPr>
                <w:rFonts w:ascii="Times New Roman" w:hAnsi="Times New Roman"/>
                <w:lang w:val="zh-CN"/>
              </w:rPr>
              <w:t>6.7</w:t>
            </w:r>
          </w:p>
        </w:tc>
        <w:tc>
          <w:tcPr>
            <w:tcW w:w="990" w:type="dxa"/>
            <w:vAlign w:val="center"/>
          </w:tcPr>
          <w:p>
            <w:pPr>
              <w:jc w:val="center"/>
              <w:rPr>
                <w:rFonts w:ascii="Times New Roman" w:hAnsi="Times New Roman"/>
                <w:lang w:val="zh-CN"/>
              </w:rPr>
            </w:pPr>
            <w:r>
              <w:rPr>
                <w:rFonts w:ascii="Times New Roman" w:hAnsi="Times New Roman"/>
                <w:lang w:val="zh-CN"/>
              </w:rPr>
              <w:t>-4.9</w:t>
            </w:r>
          </w:p>
        </w:tc>
        <w:tc>
          <w:tcPr>
            <w:tcW w:w="990" w:type="dxa"/>
            <w:vAlign w:val="center"/>
          </w:tcPr>
          <w:p>
            <w:pPr>
              <w:jc w:val="center"/>
              <w:rPr>
                <w:rFonts w:ascii="Times New Roman" w:hAnsi="Times New Roman"/>
                <w:lang w:val="zh-CN"/>
              </w:rPr>
            </w:pPr>
            <w:r>
              <w:rPr>
                <w:rFonts w:ascii="Times New Roman" w:hAnsi="Times New Roman"/>
                <w:lang w:val="zh-CN"/>
              </w:rPr>
              <w:t>-14.4</w:t>
            </w:r>
          </w:p>
        </w:tc>
      </w:tr>
    </w:tbl>
    <w:p>
      <w:pPr>
        <w:pStyle w:val="21"/>
        <w:rPr>
          <w:rFonts w:ascii="Times New Roman" w:hAnsi="Times New Roman"/>
        </w:rPr>
        <w:sectPr>
          <w:pgSz w:w="11907" w:h="16839"/>
          <w:pgMar w:top="1440" w:right="1797" w:bottom="1440" w:left="1797" w:header="851" w:footer="850" w:gutter="0"/>
          <w:cols w:space="720" w:num="1"/>
          <w:docGrid w:linePitch="312" w:charSpace="0"/>
        </w:sectPr>
      </w:pPr>
    </w:p>
    <w:p>
      <w:pPr>
        <w:jc w:val="center"/>
        <w:rPr>
          <w:rFonts w:ascii="Times New Roman" w:hAnsi="Times New Roman"/>
          <w:b/>
          <w:bCs/>
          <w:lang w:val="zh-CN"/>
        </w:rPr>
      </w:pPr>
      <w:r>
        <w:rPr>
          <w:rFonts w:ascii="Times New Roman" w:hAnsi="Times New Roman"/>
          <w:b/>
          <w:bCs/>
          <w:lang w:val="zh-CN"/>
        </w:rPr>
        <w:t>表4.1-3  双鸭山风向年均频率的月变化情况表</w:t>
      </w:r>
    </w:p>
    <w:tbl>
      <w:tblPr>
        <w:tblStyle w:val="77"/>
        <w:tblW w:w="0" w:type="auto"/>
        <w:jc w:val="center"/>
        <w:tblBorders>
          <w:top w:val="single" w:color="auto" w:sz="12" w:space="0"/>
          <w:left w:val="dotted" w:color="auto" w:sz="4" w:space="0"/>
          <w:bottom w:val="single" w:color="auto" w:sz="12" w:space="0"/>
          <w:right w:val="dotted" w:color="auto" w:sz="4" w:space="0"/>
          <w:insideH w:val="single" w:color="auto" w:sz="2" w:space="0"/>
          <w:insideV w:val="single" w:color="auto" w:sz="2" w:space="0"/>
        </w:tblBorders>
        <w:tblLayout w:type="fixed"/>
        <w:tblCellMar>
          <w:top w:w="0" w:type="dxa"/>
          <w:left w:w="30" w:type="dxa"/>
          <w:bottom w:w="0" w:type="dxa"/>
          <w:right w:w="30" w:type="dxa"/>
        </w:tblCellMar>
      </w:tblPr>
      <w:tblGrid>
        <w:gridCol w:w="1290"/>
        <w:gridCol w:w="525"/>
        <w:gridCol w:w="735"/>
        <w:gridCol w:w="720"/>
        <w:gridCol w:w="750"/>
        <w:gridCol w:w="688"/>
        <w:gridCol w:w="662"/>
        <w:gridCol w:w="840"/>
        <w:gridCol w:w="840"/>
        <w:gridCol w:w="635"/>
        <w:gridCol w:w="562"/>
        <w:gridCol w:w="823"/>
        <w:gridCol w:w="823"/>
        <w:gridCol w:w="591"/>
        <w:gridCol w:w="840"/>
        <w:gridCol w:w="840"/>
        <w:gridCol w:w="840"/>
        <w:gridCol w:w="540"/>
      </w:tblGrid>
      <w:tr>
        <w:tblPrEx>
          <w:tblBorders>
            <w:top w:val="single" w:color="auto" w:sz="12" w:space="0"/>
            <w:left w:val="dotted" w:color="auto" w:sz="4" w:space="0"/>
            <w:bottom w:val="single" w:color="auto" w:sz="12" w:space="0"/>
            <w:right w:val="dotted" w:color="auto" w:sz="4" w:space="0"/>
            <w:insideH w:val="single" w:color="auto" w:sz="2" w:space="0"/>
            <w:insideV w:val="single" w:color="auto" w:sz="2" w:space="0"/>
          </w:tblBorders>
          <w:tblCellMar>
            <w:top w:w="0" w:type="dxa"/>
            <w:left w:w="30" w:type="dxa"/>
            <w:bottom w:w="0" w:type="dxa"/>
            <w:right w:w="30" w:type="dxa"/>
          </w:tblCellMar>
        </w:tblPrEx>
        <w:trPr>
          <w:trHeight w:val="322" w:hRule="atLeast"/>
          <w:jc w:val="center"/>
        </w:trPr>
        <w:tc>
          <w:tcPr>
            <w:tcW w:w="1290" w:type="dxa"/>
            <w:vAlign w:val="center"/>
          </w:tcPr>
          <w:p>
            <w:pPr>
              <w:rPr>
                <w:rFonts w:ascii="Times New Roman" w:hAnsi="Times New Roman"/>
                <w:lang w:val="zh-CN"/>
              </w:rPr>
            </w:pPr>
            <w:r>
              <w:rPr>
                <w:rFonts w:ascii="Times New Roman" w:hAnsi="Times New Roman"/>
                <w:lang w:val="zh-CN"/>
              </w:rPr>
              <mc:AlternateContent>
                <mc:Choice Requires="wps">
                  <w:drawing>
                    <wp:anchor distT="0" distB="0" distL="114300" distR="114300" simplePos="0" relativeHeight="251668480" behindDoc="0" locked="0" layoutInCell="1" allowOverlap="1">
                      <wp:simplePos x="0" y="0"/>
                      <wp:positionH relativeFrom="column">
                        <wp:posOffset>-8255</wp:posOffset>
                      </wp:positionH>
                      <wp:positionV relativeFrom="paragraph">
                        <wp:posOffset>-1905</wp:posOffset>
                      </wp:positionV>
                      <wp:extent cx="803275" cy="619125"/>
                      <wp:effectExtent l="3175" t="3810" r="3175" b="5715"/>
                      <wp:wrapNone/>
                      <wp:docPr id="23" name="直线 334"/>
                      <wp:cNvGraphicFramePr/>
                      <a:graphic xmlns:a="http://schemas.openxmlformats.org/drawingml/2006/main">
                        <a:graphicData uri="http://schemas.microsoft.com/office/word/2010/wordprocessingShape">
                          <wps:wsp>
                            <wps:cNvCnPr/>
                            <wps:spPr>
                              <a:xfrm>
                                <a:off x="0" y="0"/>
                                <a:ext cx="803275" cy="619125"/>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直线 334" o:spid="_x0000_s1026" o:spt="20" style="position:absolute;left:0pt;margin-left:-0.65pt;margin-top:-0.15pt;height:48.75pt;width:63.25pt;z-index:251668480;mso-width-relative:page;mso-height-relative:page;" filled="f" stroked="t" coordsize="21600,21600" o:gfxdata="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13YbjtQAAAAHAQAA&#10;DwAAAAAAAAABACAAAAAiAAAAZHJzL2Rvd25yZXYueG1sUEsBAhQAFAAAAAgAh07iQGXQ43fkAQAA&#10;1gMAAA4AAAAAAAAAAQAgAAAAIwEAAGRycy9lMm9Eb2MueG1sUEsFBgAAAAAGAAYAWQEAAHkFAAAA&#10;AA==&#10;">
                      <v:fill on="f" focussize="0,0"/>
                      <v:stroke color="#000000" joinstyle="round"/>
                      <v:imagedata o:title=""/>
                      <o:lock v:ext="edit" aspectratio="f"/>
                    </v:line>
                  </w:pict>
                </mc:Fallback>
              </mc:AlternateContent>
            </w:r>
            <w:r>
              <w:rPr>
                <w:rFonts w:ascii="Times New Roman" w:hAnsi="Times New Roman"/>
                <w:lang w:val="zh-CN"/>
              </w:rPr>
              <w:t xml:space="preserve">      风向</w:t>
            </w:r>
          </w:p>
          <w:p>
            <w:pPr>
              <w:rPr>
                <w:rFonts w:ascii="Times New Roman" w:hAnsi="Times New Roman"/>
                <w:lang w:val="zh-CN"/>
              </w:rPr>
            </w:pPr>
          </w:p>
          <w:p>
            <w:pPr>
              <w:rPr>
                <w:rFonts w:ascii="Times New Roman" w:hAnsi="Times New Roman"/>
                <w:lang w:val="zh-CN"/>
              </w:rPr>
            </w:pPr>
            <w:r>
              <w:rPr>
                <w:rFonts w:ascii="Times New Roman" w:hAnsi="Times New Roman"/>
                <w:lang w:val="zh-CN"/>
              </w:rPr>
              <w:t>风频(%)</w:t>
            </w:r>
          </w:p>
        </w:tc>
        <w:tc>
          <w:tcPr>
            <w:tcW w:w="525" w:type="dxa"/>
            <w:vAlign w:val="center"/>
          </w:tcPr>
          <w:p>
            <w:pPr>
              <w:jc w:val="center"/>
              <w:rPr>
                <w:rFonts w:ascii="Times New Roman" w:hAnsi="Times New Roman"/>
                <w:lang w:val="zh-CN"/>
              </w:rPr>
            </w:pPr>
            <w:r>
              <w:rPr>
                <w:rFonts w:ascii="Times New Roman" w:hAnsi="Times New Roman"/>
                <w:lang w:val="zh-CN"/>
              </w:rPr>
              <w:t>N</w:t>
            </w:r>
          </w:p>
        </w:tc>
        <w:tc>
          <w:tcPr>
            <w:tcW w:w="735" w:type="dxa"/>
            <w:vAlign w:val="center"/>
          </w:tcPr>
          <w:p>
            <w:pPr>
              <w:jc w:val="center"/>
              <w:rPr>
                <w:rFonts w:ascii="Times New Roman" w:hAnsi="Times New Roman"/>
                <w:lang w:val="zh-CN"/>
              </w:rPr>
            </w:pPr>
            <w:r>
              <w:rPr>
                <w:rFonts w:ascii="Times New Roman" w:hAnsi="Times New Roman"/>
                <w:lang w:val="zh-CN"/>
              </w:rPr>
              <w:t>NNE</w:t>
            </w:r>
          </w:p>
        </w:tc>
        <w:tc>
          <w:tcPr>
            <w:tcW w:w="720" w:type="dxa"/>
            <w:vAlign w:val="center"/>
          </w:tcPr>
          <w:p>
            <w:pPr>
              <w:jc w:val="center"/>
              <w:rPr>
                <w:rFonts w:ascii="Times New Roman" w:hAnsi="Times New Roman"/>
                <w:lang w:val="zh-CN"/>
              </w:rPr>
            </w:pPr>
            <w:r>
              <w:rPr>
                <w:rFonts w:ascii="Times New Roman" w:hAnsi="Times New Roman"/>
                <w:lang w:val="zh-CN"/>
              </w:rPr>
              <w:t>NE</w:t>
            </w:r>
          </w:p>
        </w:tc>
        <w:tc>
          <w:tcPr>
            <w:tcW w:w="750" w:type="dxa"/>
            <w:vAlign w:val="center"/>
          </w:tcPr>
          <w:p>
            <w:pPr>
              <w:jc w:val="center"/>
              <w:rPr>
                <w:rFonts w:ascii="Times New Roman" w:hAnsi="Times New Roman"/>
                <w:lang w:val="zh-CN"/>
              </w:rPr>
            </w:pPr>
            <w:r>
              <w:rPr>
                <w:rFonts w:ascii="Times New Roman" w:hAnsi="Times New Roman"/>
                <w:lang w:val="zh-CN"/>
              </w:rPr>
              <w:t>ENE</w:t>
            </w:r>
          </w:p>
        </w:tc>
        <w:tc>
          <w:tcPr>
            <w:tcW w:w="688" w:type="dxa"/>
            <w:vAlign w:val="center"/>
          </w:tcPr>
          <w:p>
            <w:pPr>
              <w:jc w:val="center"/>
              <w:rPr>
                <w:rFonts w:ascii="Times New Roman" w:hAnsi="Times New Roman"/>
                <w:lang w:val="zh-CN"/>
              </w:rPr>
            </w:pPr>
            <w:r>
              <w:rPr>
                <w:rFonts w:ascii="Times New Roman" w:hAnsi="Times New Roman"/>
                <w:lang w:val="zh-CN"/>
              </w:rPr>
              <w:t>E</w:t>
            </w:r>
          </w:p>
        </w:tc>
        <w:tc>
          <w:tcPr>
            <w:tcW w:w="662" w:type="dxa"/>
            <w:vAlign w:val="center"/>
          </w:tcPr>
          <w:p>
            <w:pPr>
              <w:jc w:val="center"/>
              <w:rPr>
                <w:rFonts w:ascii="Times New Roman" w:hAnsi="Times New Roman"/>
                <w:lang w:val="zh-CN"/>
              </w:rPr>
            </w:pPr>
            <w:r>
              <w:rPr>
                <w:rFonts w:ascii="Times New Roman" w:hAnsi="Times New Roman"/>
                <w:lang w:val="zh-CN"/>
              </w:rPr>
              <w:t>ESE</w:t>
            </w:r>
          </w:p>
        </w:tc>
        <w:tc>
          <w:tcPr>
            <w:tcW w:w="840" w:type="dxa"/>
            <w:vAlign w:val="center"/>
          </w:tcPr>
          <w:p>
            <w:pPr>
              <w:jc w:val="center"/>
              <w:rPr>
                <w:rFonts w:ascii="Times New Roman" w:hAnsi="Times New Roman"/>
                <w:lang w:val="zh-CN"/>
              </w:rPr>
            </w:pPr>
            <w:r>
              <w:rPr>
                <w:rFonts w:ascii="Times New Roman" w:hAnsi="Times New Roman"/>
                <w:lang w:val="zh-CN"/>
              </w:rPr>
              <w:t>SE</w:t>
            </w:r>
          </w:p>
        </w:tc>
        <w:tc>
          <w:tcPr>
            <w:tcW w:w="840" w:type="dxa"/>
            <w:vAlign w:val="center"/>
          </w:tcPr>
          <w:p>
            <w:pPr>
              <w:jc w:val="center"/>
              <w:rPr>
                <w:rFonts w:ascii="Times New Roman" w:hAnsi="Times New Roman"/>
                <w:lang w:val="zh-CN"/>
              </w:rPr>
            </w:pPr>
            <w:r>
              <w:rPr>
                <w:rFonts w:ascii="Times New Roman" w:hAnsi="Times New Roman"/>
                <w:lang w:val="zh-CN"/>
              </w:rPr>
              <w:t>SSE</w:t>
            </w:r>
          </w:p>
        </w:tc>
        <w:tc>
          <w:tcPr>
            <w:tcW w:w="635" w:type="dxa"/>
            <w:vAlign w:val="center"/>
          </w:tcPr>
          <w:p>
            <w:pPr>
              <w:jc w:val="center"/>
              <w:rPr>
                <w:rFonts w:ascii="Times New Roman" w:hAnsi="Times New Roman"/>
                <w:lang w:val="zh-CN"/>
              </w:rPr>
            </w:pPr>
            <w:r>
              <w:rPr>
                <w:rFonts w:ascii="Times New Roman" w:hAnsi="Times New Roman"/>
                <w:lang w:val="zh-CN"/>
              </w:rPr>
              <w:t>S</w:t>
            </w:r>
          </w:p>
        </w:tc>
        <w:tc>
          <w:tcPr>
            <w:tcW w:w="562" w:type="dxa"/>
            <w:vAlign w:val="center"/>
          </w:tcPr>
          <w:p>
            <w:pPr>
              <w:jc w:val="center"/>
              <w:rPr>
                <w:rFonts w:ascii="Times New Roman" w:hAnsi="Times New Roman"/>
                <w:lang w:val="zh-CN"/>
              </w:rPr>
            </w:pPr>
            <w:r>
              <w:rPr>
                <w:rFonts w:ascii="Times New Roman" w:hAnsi="Times New Roman"/>
                <w:lang w:val="zh-CN"/>
              </w:rPr>
              <w:t>SSW</w:t>
            </w:r>
          </w:p>
        </w:tc>
        <w:tc>
          <w:tcPr>
            <w:tcW w:w="823" w:type="dxa"/>
            <w:vAlign w:val="center"/>
          </w:tcPr>
          <w:p>
            <w:pPr>
              <w:jc w:val="center"/>
              <w:rPr>
                <w:rFonts w:ascii="Times New Roman" w:hAnsi="Times New Roman"/>
                <w:lang w:val="zh-CN"/>
              </w:rPr>
            </w:pPr>
            <w:r>
              <w:rPr>
                <w:rFonts w:ascii="Times New Roman" w:hAnsi="Times New Roman"/>
                <w:lang w:val="zh-CN"/>
              </w:rPr>
              <w:t>SW</w:t>
            </w:r>
          </w:p>
        </w:tc>
        <w:tc>
          <w:tcPr>
            <w:tcW w:w="823" w:type="dxa"/>
            <w:vAlign w:val="center"/>
          </w:tcPr>
          <w:p>
            <w:pPr>
              <w:jc w:val="center"/>
              <w:rPr>
                <w:rFonts w:ascii="Times New Roman" w:hAnsi="Times New Roman"/>
                <w:lang w:val="zh-CN"/>
              </w:rPr>
            </w:pPr>
            <w:r>
              <w:rPr>
                <w:rFonts w:ascii="Times New Roman" w:hAnsi="Times New Roman"/>
                <w:lang w:val="zh-CN"/>
              </w:rPr>
              <w:t>WSW</w:t>
            </w:r>
          </w:p>
        </w:tc>
        <w:tc>
          <w:tcPr>
            <w:tcW w:w="591" w:type="dxa"/>
            <w:vAlign w:val="center"/>
          </w:tcPr>
          <w:p>
            <w:pPr>
              <w:jc w:val="center"/>
              <w:rPr>
                <w:rFonts w:ascii="Times New Roman" w:hAnsi="Times New Roman"/>
                <w:lang w:val="zh-CN"/>
              </w:rPr>
            </w:pPr>
            <w:r>
              <w:rPr>
                <w:rFonts w:ascii="Times New Roman" w:hAnsi="Times New Roman"/>
                <w:lang w:val="zh-CN"/>
              </w:rPr>
              <w:t>W</w:t>
            </w:r>
          </w:p>
        </w:tc>
        <w:tc>
          <w:tcPr>
            <w:tcW w:w="840" w:type="dxa"/>
            <w:vAlign w:val="center"/>
          </w:tcPr>
          <w:p>
            <w:pPr>
              <w:jc w:val="center"/>
              <w:rPr>
                <w:rFonts w:ascii="Times New Roman" w:hAnsi="Times New Roman"/>
                <w:lang w:val="zh-CN"/>
              </w:rPr>
            </w:pPr>
            <w:r>
              <w:rPr>
                <w:rFonts w:ascii="Times New Roman" w:hAnsi="Times New Roman"/>
                <w:lang w:val="zh-CN"/>
              </w:rPr>
              <w:t>WNW</w:t>
            </w:r>
          </w:p>
        </w:tc>
        <w:tc>
          <w:tcPr>
            <w:tcW w:w="840" w:type="dxa"/>
            <w:vAlign w:val="center"/>
          </w:tcPr>
          <w:p>
            <w:pPr>
              <w:jc w:val="center"/>
              <w:rPr>
                <w:rFonts w:ascii="Times New Roman" w:hAnsi="Times New Roman"/>
                <w:lang w:val="zh-CN"/>
              </w:rPr>
            </w:pPr>
            <w:r>
              <w:rPr>
                <w:rFonts w:ascii="Times New Roman" w:hAnsi="Times New Roman"/>
                <w:lang w:val="zh-CN"/>
              </w:rPr>
              <w:t>NW</w:t>
            </w:r>
          </w:p>
        </w:tc>
        <w:tc>
          <w:tcPr>
            <w:tcW w:w="840" w:type="dxa"/>
            <w:vAlign w:val="center"/>
          </w:tcPr>
          <w:p>
            <w:pPr>
              <w:jc w:val="center"/>
              <w:rPr>
                <w:rFonts w:ascii="Times New Roman" w:hAnsi="Times New Roman"/>
                <w:lang w:val="zh-CN"/>
              </w:rPr>
            </w:pPr>
            <w:r>
              <w:rPr>
                <w:rFonts w:ascii="Times New Roman" w:hAnsi="Times New Roman"/>
                <w:lang w:val="zh-CN"/>
              </w:rPr>
              <w:t>NNW</w:t>
            </w:r>
          </w:p>
        </w:tc>
        <w:tc>
          <w:tcPr>
            <w:tcW w:w="540" w:type="dxa"/>
            <w:vAlign w:val="center"/>
          </w:tcPr>
          <w:p>
            <w:pPr>
              <w:jc w:val="center"/>
              <w:rPr>
                <w:rFonts w:ascii="Times New Roman" w:hAnsi="Times New Roman"/>
                <w:lang w:val="zh-CN"/>
              </w:rPr>
            </w:pPr>
            <w:r>
              <w:rPr>
                <w:rFonts w:ascii="Times New Roman" w:hAnsi="Times New Roman"/>
                <w:lang w:val="zh-CN"/>
              </w:rPr>
              <w:t>C</w:t>
            </w:r>
          </w:p>
        </w:tc>
      </w:tr>
      <w:tr>
        <w:tblPrEx>
          <w:tblBorders>
            <w:top w:val="single" w:color="auto" w:sz="12" w:space="0"/>
            <w:left w:val="dotted" w:color="auto" w:sz="4" w:space="0"/>
            <w:bottom w:val="single" w:color="auto" w:sz="12" w:space="0"/>
            <w:right w:val="dotted" w:color="auto" w:sz="4" w:space="0"/>
            <w:insideH w:val="single" w:color="auto" w:sz="2" w:space="0"/>
            <w:insideV w:val="single" w:color="auto" w:sz="2" w:space="0"/>
          </w:tblBorders>
          <w:tblCellMar>
            <w:top w:w="0" w:type="dxa"/>
            <w:left w:w="30" w:type="dxa"/>
            <w:bottom w:w="0" w:type="dxa"/>
            <w:right w:w="30" w:type="dxa"/>
          </w:tblCellMar>
        </w:tblPrEx>
        <w:trPr>
          <w:trHeight w:val="293" w:hRule="atLeast"/>
          <w:jc w:val="center"/>
        </w:trPr>
        <w:tc>
          <w:tcPr>
            <w:tcW w:w="1290" w:type="dxa"/>
            <w:vAlign w:val="center"/>
          </w:tcPr>
          <w:p>
            <w:pPr>
              <w:jc w:val="center"/>
              <w:rPr>
                <w:rFonts w:ascii="Times New Roman" w:hAnsi="Times New Roman"/>
                <w:lang w:val="zh-CN"/>
              </w:rPr>
            </w:pPr>
            <w:r>
              <w:rPr>
                <w:rFonts w:ascii="Times New Roman" w:hAnsi="Times New Roman"/>
                <w:lang w:val="zh-CN"/>
              </w:rPr>
              <w:t>一月</w:t>
            </w:r>
          </w:p>
        </w:tc>
        <w:tc>
          <w:tcPr>
            <w:tcW w:w="525" w:type="dxa"/>
            <w:vAlign w:val="center"/>
          </w:tcPr>
          <w:p>
            <w:pPr>
              <w:jc w:val="center"/>
              <w:rPr>
                <w:rFonts w:ascii="Times New Roman" w:hAnsi="Times New Roman"/>
                <w:lang w:val="zh-CN"/>
              </w:rPr>
            </w:pPr>
            <w:r>
              <w:rPr>
                <w:rFonts w:ascii="Times New Roman" w:hAnsi="Times New Roman"/>
                <w:lang w:val="zh-CN"/>
              </w:rPr>
              <w:t>3</w:t>
            </w:r>
          </w:p>
        </w:tc>
        <w:tc>
          <w:tcPr>
            <w:tcW w:w="735" w:type="dxa"/>
            <w:vAlign w:val="center"/>
          </w:tcPr>
          <w:p>
            <w:pPr>
              <w:jc w:val="center"/>
              <w:rPr>
                <w:rFonts w:ascii="Times New Roman" w:hAnsi="Times New Roman"/>
                <w:lang w:val="zh-CN"/>
              </w:rPr>
            </w:pPr>
            <w:r>
              <w:rPr>
                <w:rFonts w:ascii="Times New Roman" w:hAnsi="Times New Roman"/>
                <w:lang w:val="zh-CN"/>
              </w:rPr>
              <w:t>2</w:t>
            </w:r>
          </w:p>
        </w:tc>
        <w:tc>
          <w:tcPr>
            <w:tcW w:w="720" w:type="dxa"/>
            <w:vAlign w:val="center"/>
          </w:tcPr>
          <w:p>
            <w:pPr>
              <w:jc w:val="center"/>
              <w:rPr>
                <w:rFonts w:ascii="Times New Roman" w:hAnsi="Times New Roman"/>
                <w:lang w:val="zh-CN"/>
              </w:rPr>
            </w:pPr>
            <w:r>
              <w:rPr>
                <w:rFonts w:ascii="Times New Roman" w:hAnsi="Times New Roman"/>
                <w:lang w:val="zh-CN"/>
              </w:rPr>
              <w:t>3</w:t>
            </w:r>
          </w:p>
        </w:tc>
        <w:tc>
          <w:tcPr>
            <w:tcW w:w="750" w:type="dxa"/>
            <w:vAlign w:val="center"/>
          </w:tcPr>
          <w:p>
            <w:pPr>
              <w:jc w:val="center"/>
              <w:rPr>
                <w:rFonts w:ascii="Times New Roman" w:hAnsi="Times New Roman"/>
                <w:lang w:val="zh-CN"/>
              </w:rPr>
            </w:pPr>
            <w:r>
              <w:rPr>
                <w:rFonts w:ascii="Times New Roman" w:hAnsi="Times New Roman"/>
                <w:lang w:val="zh-CN"/>
              </w:rPr>
              <w:t>1</w:t>
            </w:r>
          </w:p>
        </w:tc>
        <w:tc>
          <w:tcPr>
            <w:tcW w:w="688" w:type="dxa"/>
            <w:vAlign w:val="center"/>
          </w:tcPr>
          <w:p>
            <w:pPr>
              <w:jc w:val="center"/>
              <w:rPr>
                <w:rFonts w:ascii="Times New Roman" w:hAnsi="Times New Roman"/>
                <w:lang w:val="zh-CN"/>
              </w:rPr>
            </w:pPr>
            <w:r>
              <w:rPr>
                <w:rFonts w:ascii="Times New Roman" w:hAnsi="Times New Roman"/>
                <w:lang w:val="zh-CN"/>
              </w:rPr>
              <w:t>1</w:t>
            </w:r>
          </w:p>
        </w:tc>
        <w:tc>
          <w:tcPr>
            <w:tcW w:w="662" w:type="dxa"/>
            <w:vAlign w:val="center"/>
          </w:tcPr>
          <w:p>
            <w:pPr>
              <w:jc w:val="center"/>
              <w:rPr>
                <w:rFonts w:ascii="Times New Roman" w:hAnsi="Times New Roman"/>
                <w:lang w:val="zh-CN"/>
              </w:rPr>
            </w:pPr>
            <w:r>
              <w:rPr>
                <w:rFonts w:ascii="Times New Roman" w:hAnsi="Times New Roman"/>
                <w:lang w:val="zh-CN"/>
              </w:rPr>
              <w:t>0</w:t>
            </w:r>
          </w:p>
        </w:tc>
        <w:tc>
          <w:tcPr>
            <w:tcW w:w="840" w:type="dxa"/>
            <w:vAlign w:val="center"/>
          </w:tcPr>
          <w:p>
            <w:pPr>
              <w:jc w:val="center"/>
              <w:rPr>
                <w:rFonts w:ascii="Times New Roman" w:hAnsi="Times New Roman"/>
                <w:lang w:val="zh-CN"/>
              </w:rPr>
            </w:pPr>
            <w:r>
              <w:rPr>
                <w:rFonts w:ascii="Times New Roman" w:hAnsi="Times New Roman"/>
                <w:lang w:val="zh-CN"/>
              </w:rPr>
              <w:t>1</w:t>
            </w:r>
          </w:p>
        </w:tc>
        <w:tc>
          <w:tcPr>
            <w:tcW w:w="840" w:type="dxa"/>
            <w:vAlign w:val="center"/>
          </w:tcPr>
          <w:p>
            <w:pPr>
              <w:jc w:val="center"/>
              <w:rPr>
                <w:rFonts w:ascii="Times New Roman" w:hAnsi="Times New Roman"/>
                <w:lang w:val="zh-CN"/>
              </w:rPr>
            </w:pPr>
            <w:r>
              <w:rPr>
                <w:rFonts w:ascii="Times New Roman" w:hAnsi="Times New Roman"/>
                <w:lang w:val="zh-CN"/>
              </w:rPr>
              <w:t>3</w:t>
            </w:r>
          </w:p>
        </w:tc>
        <w:tc>
          <w:tcPr>
            <w:tcW w:w="635" w:type="dxa"/>
            <w:vAlign w:val="center"/>
          </w:tcPr>
          <w:p>
            <w:pPr>
              <w:jc w:val="center"/>
              <w:rPr>
                <w:rFonts w:ascii="Times New Roman" w:hAnsi="Times New Roman"/>
                <w:lang w:val="zh-CN"/>
              </w:rPr>
            </w:pPr>
            <w:r>
              <w:rPr>
                <w:rFonts w:ascii="Times New Roman" w:hAnsi="Times New Roman"/>
                <w:lang w:val="zh-CN"/>
              </w:rPr>
              <w:t>11</w:t>
            </w:r>
          </w:p>
        </w:tc>
        <w:tc>
          <w:tcPr>
            <w:tcW w:w="562" w:type="dxa"/>
            <w:vAlign w:val="center"/>
          </w:tcPr>
          <w:p>
            <w:pPr>
              <w:jc w:val="center"/>
              <w:rPr>
                <w:rFonts w:ascii="Times New Roman" w:hAnsi="Times New Roman"/>
                <w:lang w:val="zh-CN"/>
              </w:rPr>
            </w:pPr>
            <w:r>
              <w:rPr>
                <w:rFonts w:ascii="Times New Roman" w:hAnsi="Times New Roman"/>
                <w:lang w:val="zh-CN"/>
              </w:rPr>
              <w:t>14</w:t>
            </w:r>
          </w:p>
        </w:tc>
        <w:tc>
          <w:tcPr>
            <w:tcW w:w="823" w:type="dxa"/>
            <w:vAlign w:val="center"/>
          </w:tcPr>
          <w:p>
            <w:pPr>
              <w:jc w:val="center"/>
              <w:rPr>
                <w:rFonts w:ascii="Times New Roman" w:hAnsi="Times New Roman"/>
                <w:lang w:val="zh-CN"/>
              </w:rPr>
            </w:pPr>
            <w:r>
              <w:rPr>
                <w:rFonts w:ascii="Times New Roman" w:hAnsi="Times New Roman"/>
                <w:lang w:val="zh-CN"/>
              </w:rPr>
              <w:t>18</w:t>
            </w:r>
          </w:p>
        </w:tc>
        <w:tc>
          <w:tcPr>
            <w:tcW w:w="823" w:type="dxa"/>
            <w:vAlign w:val="center"/>
          </w:tcPr>
          <w:p>
            <w:pPr>
              <w:jc w:val="center"/>
              <w:rPr>
                <w:rFonts w:ascii="Times New Roman" w:hAnsi="Times New Roman"/>
                <w:lang w:val="zh-CN"/>
              </w:rPr>
            </w:pPr>
            <w:r>
              <w:rPr>
                <w:rFonts w:ascii="Times New Roman" w:hAnsi="Times New Roman"/>
                <w:lang w:val="zh-CN"/>
              </w:rPr>
              <w:t>14</w:t>
            </w:r>
          </w:p>
        </w:tc>
        <w:tc>
          <w:tcPr>
            <w:tcW w:w="591" w:type="dxa"/>
            <w:vAlign w:val="center"/>
          </w:tcPr>
          <w:p>
            <w:pPr>
              <w:jc w:val="center"/>
              <w:rPr>
                <w:rFonts w:ascii="Times New Roman" w:hAnsi="Times New Roman"/>
                <w:lang w:val="zh-CN"/>
              </w:rPr>
            </w:pPr>
            <w:r>
              <w:rPr>
                <w:rFonts w:ascii="Times New Roman" w:hAnsi="Times New Roman"/>
                <w:lang w:val="zh-CN"/>
              </w:rPr>
              <w:t>10</w:t>
            </w:r>
          </w:p>
        </w:tc>
        <w:tc>
          <w:tcPr>
            <w:tcW w:w="840" w:type="dxa"/>
            <w:vAlign w:val="center"/>
          </w:tcPr>
          <w:p>
            <w:pPr>
              <w:jc w:val="center"/>
              <w:rPr>
                <w:rFonts w:ascii="Times New Roman" w:hAnsi="Times New Roman"/>
                <w:lang w:val="zh-CN"/>
              </w:rPr>
            </w:pPr>
            <w:r>
              <w:rPr>
                <w:rFonts w:ascii="Times New Roman" w:hAnsi="Times New Roman"/>
                <w:lang w:val="zh-CN"/>
              </w:rPr>
              <w:t>5</w:t>
            </w:r>
          </w:p>
        </w:tc>
        <w:tc>
          <w:tcPr>
            <w:tcW w:w="840" w:type="dxa"/>
            <w:vAlign w:val="center"/>
          </w:tcPr>
          <w:p>
            <w:pPr>
              <w:jc w:val="center"/>
              <w:rPr>
                <w:rFonts w:ascii="Times New Roman" w:hAnsi="Times New Roman"/>
                <w:lang w:val="zh-CN"/>
              </w:rPr>
            </w:pPr>
            <w:r>
              <w:rPr>
                <w:rFonts w:ascii="Times New Roman" w:hAnsi="Times New Roman"/>
                <w:lang w:val="zh-CN"/>
              </w:rPr>
              <w:t>5</w:t>
            </w:r>
          </w:p>
        </w:tc>
        <w:tc>
          <w:tcPr>
            <w:tcW w:w="840" w:type="dxa"/>
            <w:vAlign w:val="center"/>
          </w:tcPr>
          <w:p>
            <w:pPr>
              <w:jc w:val="center"/>
              <w:rPr>
                <w:rFonts w:ascii="Times New Roman" w:hAnsi="Times New Roman"/>
                <w:lang w:val="zh-CN"/>
              </w:rPr>
            </w:pPr>
            <w:r>
              <w:rPr>
                <w:rFonts w:ascii="Times New Roman" w:hAnsi="Times New Roman"/>
                <w:lang w:val="zh-CN"/>
              </w:rPr>
              <w:t>2</w:t>
            </w:r>
          </w:p>
        </w:tc>
        <w:tc>
          <w:tcPr>
            <w:tcW w:w="540" w:type="dxa"/>
            <w:vAlign w:val="center"/>
          </w:tcPr>
          <w:p>
            <w:pPr>
              <w:jc w:val="center"/>
              <w:rPr>
                <w:rFonts w:ascii="Times New Roman" w:hAnsi="Times New Roman"/>
                <w:lang w:val="zh-CN"/>
              </w:rPr>
            </w:pPr>
            <w:r>
              <w:rPr>
                <w:rFonts w:ascii="Times New Roman" w:hAnsi="Times New Roman"/>
                <w:lang w:val="zh-CN"/>
              </w:rPr>
              <w:t>7</w:t>
            </w:r>
          </w:p>
        </w:tc>
      </w:tr>
      <w:tr>
        <w:tblPrEx>
          <w:tblBorders>
            <w:top w:val="single" w:color="auto" w:sz="12" w:space="0"/>
            <w:left w:val="dotted" w:color="auto" w:sz="4" w:space="0"/>
            <w:bottom w:val="single" w:color="auto" w:sz="12" w:space="0"/>
            <w:right w:val="dotted" w:color="auto" w:sz="4" w:space="0"/>
            <w:insideH w:val="single" w:color="auto" w:sz="2" w:space="0"/>
            <w:insideV w:val="single" w:color="auto" w:sz="2" w:space="0"/>
          </w:tblBorders>
          <w:tblCellMar>
            <w:top w:w="0" w:type="dxa"/>
            <w:left w:w="30" w:type="dxa"/>
            <w:bottom w:w="0" w:type="dxa"/>
            <w:right w:w="30" w:type="dxa"/>
          </w:tblCellMar>
        </w:tblPrEx>
        <w:trPr>
          <w:trHeight w:val="293" w:hRule="atLeast"/>
          <w:jc w:val="center"/>
        </w:trPr>
        <w:tc>
          <w:tcPr>
            <w:tcW w:w="1290" w:type="dxa"/>
            <w:vAlign w:val="center"/>
          </w:tcPr>
          <w:p>
            <w:pPr>
              <w:jc w:val="center"/>
              <w:rPr>
                <w:rFonts w:ascii="Times New Roman" w:hAnsi="Times New Roman"/>
                <w:lang w:val="zh-CN"/>
              </w:rPr>
            </w:pPr>
            <w:r>
              <w:rPr>
                <w:rFonts w:ascii="Times New Roman" w:hAnsi="Times New Roman"/>
                <w:lang w:val="zh-CN"/>
              </w:rPr>
              <w:t>二月</w:t>
            </w:r>
          </w:p>
        </w:tc>
        <w:tc>
          <w:tcPr>
            <w:tcW w:w="525" w:type="dxa"/>
            <w:vAlign w:val="center"/>
          </w:tcPr>
          <w:p>
            <w:pPr>
              <w:jc w:val="center"/>
              <w:rPr>
                <w:rFonts w:ascii="Times New Roman" w:hAnsi="Times New Roman"/>
                <w:lang w:val="zh-CN"/>
              </w:rPr>
            </w:pPr>
            <w:r>
              <w:rPr>
                <w:rFonts w:ascii="Times New Roman" w:hAnsi="Times New Roman"/>
                <w:lang w:val="zh-CN"/>
              </w:rPr>
              <w:t>5</w:t>
            </w:r>
          </w:p>
        </w:tc>
        <w:tc>
          <w:tcPr>
            <w:tcW w:w="735" w:type="dxa"/>
            <w:vAlign w:val="center"/>
          </w:tcPr>
          <w:p>
            <w:pPr>
              <w:jc w:val="center"/>
              <w:rPr>
                <w:rFonts w:ascii="Times New Roman" w:hAnsi="Times New Roman"/>
                <w:lang w:val="zh-CN"/>
              </w:rPr>
            </w:pPr>
            <w:r>
              <w:rPr>
                <w:rFonts w:ascii="Times New Roman" w:hAnsi="Times New Roman"/>
                <w:lang w:val="zh-CN"/>
              </w:rPr>
              <w:t>3</w:t>
            </w:r>
          </w:p>
        </w:tc>
        <w:tc>
          <w:tcPr>
            <w:tcW w:w="720" w:type="dxa"/>
            <w:vAlign w:val="center"/>
          </w:tcPr>
          <w:p>
            <w:pPr>
              <w:jc w:val="center"/>
              <w:rPr>
                <w:rFonts w:ascii="Times New Roman" w:hAnsi="Times New Roman"/>
                <w:lang w:val="zh-CN"/>
              </w:rPr>
            </w:pPr>
            <w:r>
              <w:rPr>
                <w:rFonts w:ascii="Times New Roman" w:hAnsi="Times New Roman"/>
                <w:lang w:val="zh-CN"/>
              </w:rPr>
              <w:t>3</w:t>
            </w:r>
          </w:p>
        </w:tc>
        <w:tc>
          <w:tcPr>
            <w:tcW w:w="750" w:type="dxa"/>
            <w:vAlign w:val="center"/>
          </w:tcPr>
          <w:p>
            <w:pPr>
              <w:jc w:val="center"/>
              <w:rPr>
                <w:rFonts w:ascii="Times New Roman" w:hAnsi="Times New Roman"/>
                <w:lang w:val="zh-CN"/>
              </w:rPr>
            </w:pPr>
            <w:r>
              <w:rPr>
                <w:rFonts w:ascii="Times New Roman" w:hAnsi="Times New Roman"/>
                <w:lang w:val="zh-CN"/>
              </w:rPr>
              <w:t>1</w:t>
            </w:r>
          </w:p>
        </w:tc>
        <w:tc>
          <w:tcPr>
            <w:tcW w:w="688" w:type="dxa"/>
            <w:vAlign w:val="center"/>
          </w:tcPr>
          <w:p>
            <w:pPr>
              <w:jc w:val="center"/>
              <w:rPr>
                <w:rFonts w:ascii="Times New Roman" w:hAnsi="Times New Roman"/>
                <w:lang w:val="zh-CN"/>
              </w:rPr>
            </w:pPr>
            <w:r>
              <w:rPr>
                <w:rFonts w:ascii="Times New Roman" w:hAnsi="Times New Roman"/>
                <w:lang w:val="zh-CN"/>
              </w:rPr>
              <w:t>1</w:t>
            </w:r>
          </w:p>
        </w:tc>
        <w:tc>
          <w:tcPr>
            <w:tcW w:w="662" w:type="dxa"/>
            <w:vAlign w:val="center"/>
          </w:tcPr>
          <w:p>
            <w:pPr>
              <w:jc w:val="center"/>
              <w:rPr>
                <w:rFonts w:ascii="Times New Roman" w:hAnsi="Times New Roman"/>
                <w:lang w:val="zh-CN"/>
              </w:rPr>
            </w:pPr>
            <w:r>
              <w:rPr>
                <w:rFonts w:ascii="Times New Roman" w:hAnsi="Times New Roman"/>
                <w:lang w:val="zh-CN"/>
              </w:rPr>
              <w:t>1</w:t>
            </w:r>
          </w:p>
        </w:tc>
        <w:tc>
          <w:tcPr>
            <w:tcW w:w="840" w:type="dxa"/>
            <w:vAlign w:val="center"/>
          </w:tcPr>
          <w:p>
            <w:pPr>
              <w:jc w:val="center"/>
              <w:rPr>
                <w:rFonts w:ascii="Times New Roman" w:hAnsi="Times New Roman"/>
                <w:lang w:val="zh-CN"/>
              </w:rPr>
            </w:pPr>
            <w:r>
              <w:rPr>
                <w:rFonts w:ascii="Times New Roman" w:hAnsi="Times New Roman"/>
                <w:lang w:val="zh-CN"/>
              </w:rPr>
              <w:t>1</w:t>
            </w:r>
          </w:p>
        </w:tc>
        <w:tc>
          <w:tcPr>
            <w:tcW w:w="840" w:type="dxa"/>
            <w:vAlign w:val="center"/>
          </w:tcPr>
          <w:p>
            <w:pPr>
              <w:jc w:val="center"/>
              <w:rPr>
                <w:rFonts w:ascii="Times New Roman" w:hAnsi="Times New Roman"/>
                <w:lang w:val="zh-CN"/>
              </w:rPr>
            </w:pPr>
            <w:r>
              <w:rPr>
                <w:rFonts w:ascii="Times New Roman" w:hAnsi="Times New Roman"/>
                <w:lang w:val="zh-CN"/>
              </w:rPr>
              <w:t>3</w:t>
            </w:r>
          </w:p>
        </w:tc>
        <w:tc>
          <w:tcPr>
            <w:tcW w:w="635" w:type="dxa"/>
            <w:vAlign w:val="center"/>
          </w:tcPr>
          <w:p>
            <w:pPr>
              <w:jc w:val="center"/>
              <w:rPr>
                <w:rFonts w:ascii="Times New Roman" w:hAnsi="Times New Roman"/>
                <w:lang w:val="zh-CN"/>
              </w:rPr>
            </w:pPr>
            <w:r>
              <w:rPr>
                <w:rFonts w:ascii="Times New Roman" w:hAnsi="Times New Roman"/>
                <w:lang w:val="zh-CN"/>
              </w:rPr>
              <w:t>9</w:t>
            </w:r>
          </w:p>
        </w:tc>
        <w:tc>
          <w:tcPr>
            <w:tcW w:w="562" w:type="dxa"/>
            <w:vAlign w:val="center"/>
          </w:tcPr>
          <w:p>
            <w:pPr>
              <w:jc w:val="center"/>
              <w:rPr>
                <w:rFonts w:ascii="Times New Roman" w:hAnsi="Times New Roman"/>
                <w:lang w:val="zh-CN"/>
              </w:rPr>
            </w:pPr>
            <w:r>
              <w:rPr>
                <w:rFonts w:ascii="Times New Roman" w:hAnsi="Times New Roman"/>
                <w:lang w:val="zh-CN"/>
              </w:rPr>
              <w:t>12</w:t>
            </w:r>
          </w:p>
        </w:tc>
        <w:tc>
          <w:tcPr>
            <w:tcW w:w="823" w:type="dxa"/>
            <w:vAlign w:val="center"/>
          </w:tcPr>
          <w:p>
            <w:pPr>
              <w:jc w:val="center"/>
              <w:rPr>
                <w:rFonts w:ascii="Times New Roman" w:hAnsi="Times New Roman"/>
                <w:lang w:val="zh-CN"/>
              </w:rPr>
            </w:pPr>
            <w:r>
              <w:rPr>
                <w:rFonts w:ascii="Times New Roman" w:hAnsi="Times New Roman"/>
                <w:lang w:val="zh-CN"/>
              </w:rPr>
              <w:t>16</w:t>
            </w:r>
          </w:p>
        </w:tc>
        <w:tc>
          <w:tcPr>
            <w:tcW w:w="823" w:type="dxa"/>
            <w:vAlign w:val="center"/>
          </w:tcPr>
          <w:p>
            <w:pPr>
              <w:jc w:val="center"/>
              <w:rPr>
                <w:rFonts w:ascii="Times New Roman" w:hAnsi="Times New Roman"/>
                <w:lang w:val="zh-CN"/>
              </w:rPr>
            </w:pPr>
            <w:r>
              <w:rPr>
                <w:rFonts w:ascii="Times New Roman" w:hAnsi="Times New Roman"/>
                <w:lang w:val="zh-CN"/>
              </w:rPr>
              <w:t>15</w:t>
            </w:r>
          </w:p>
        </w:tc>
        <w:tc>
          <w:tcPr>
            <w:tcW w:w="591" w:type="dxa"/>
            <w:vAlign w:val="center"/>
          </w:tcPr>
          <w:p>
            <w:pPr>
              <w:jc w:val="center"/>
              <w:rPr>
                <w:rFonts w:ascii="Times New Roman" w:hAnsi="Times New Roman"/>
                <w:lang w:val="zh-CN"/>
              </w:rPr>
            </w:pPr>
            <w:r>
              <w:rPr>
                <w:rFonts w:ascii="Times New Roman" w:hAnsi="Times New Roman"/>
                <w:lang w:val="zh-CN"/>
              </w:rPr>
              <w:t>12</w:t>
            </w:r>
          </w:p>
        </w:tc>
        <w:tc>
          <w:tcPr>
            <w:tcW w:w="840" w:type="dxa"/>
            <w:vAlign w:val="center"/>
          </w:tcPr>
          <w:p>
            <w:pPr>
              <w:jc w:val="center"/>
              <w:rPr>
                <w:rFonts w:ascii="Times New Roman" w:hAnsi="Times New Roman"/>
                <w:lang w:val="zh-CN"/>
              </w:rPr>
            </w:pPr>
            <w:r>
              <w:rPr>
                <w:rFonts w:ascii="Times New Roman" w:hAnsi="Times New Roman"/>
                <w:lang w:val="zh-CN"/>
              </w:rPr>
              <w:t>5</w:t>
            </w:r>
          </w:p>
        </w:tc>
        <w:tc>
          <w:tcPr>
            <w:tcW w:w="840" w:type="dxa"/>
            <w:vAlign w:val="center"/>
          </w:tcPr>
          <w:p>
            <w:pPr>
              <w:jc w:val="center"/>
              <w:rPr>
                <w:rFonts w:ascii="Times New Roman" w:hAnsi="Times New Roman"/>
                <w:lang w:val="zh-CN"/>
              </w:rPr>
            </w:pPr>
            <w:r>
              <w:rPr>
                <w:rFonts w:ascii="Times New Roman" w:hAnsi="Times New Roman"/>
                <w:lang w:val="zh-CN"/>
              </w:rPr>
              <w:t>6</w:t>
            </w:r>
          </w:p>
        </w:tc>
        <w:tc>
          <w:tcPr>
            <w:tcW w:w="840" w:type="dxa"/>
            <w:vAlign w:val="center"/>
          </w:tcPr>
          <w:p>
            <w:pPr>
              <w:jc w:val="center"/>
              <w:rPr>
                <w:rFonts w:ascii="Times New Roman" w:hAnsi="Times New Roman"/>
                <w:lang w:val="zh-CN"/>
              </w:rPr>
            </w:pPr>
            <w:r>
              <w:rPr>
                <w:rFonts w:ascii="Times New Roman" w:hAnsi="Times New Roman"/>
                <w:lang w:val="zh-CN"/>
              </w:rPr>
              <w:t>3</w:t>
            </w:r>
          </w:p>
        </w:tc>
        <w:tc>
          <w:tcPr>
            <w:tcW w:w="540" w:type="dxa"/>
            <w:vAlign w:val="center"/>
          </w:tcPr>
          <w:p>
            <w:pPr>
              <w:jc w:val="center"/>
              <w:rPr>
                <w:rFonts w:ascii="Times New Roman" w:hAnsi="Times New Roman"/>
                <w:lang w:val="zh-CN"/>
              </w:rPr>
            </w:pPr>
            <w:r>
              <w:rPr>
                <w:rFonts w:ascii="Times New Roman" w:hAnsi="Times New Roman"/>
                <w:lang w:val="zh-CN"/>
              </w:rPr>
              <w:t>4</w:t>
            </w:r>
          </w:p>
        </w:tc>
      </w:tr>
      <w:tr>
        <w:tblPrEx>
          <w:tblBorders>
            <w:top w:val="single" w:color="auto" w:sz="12" w:space="0"/>
            <w:left w:val="dotted" w:color="auto" w:sz="4" w:space="0"/>
            <w:bottom w:val="single" w:color="auto" w:sz="12" w:space="0"/>
            <w:right w:val="dotted" w:color="auto" w:sz="4" w:space="0"/>
            <w:insideH w:val="single" w:color="auto" w:sz="2" w:space="0"/>
            <w:insideV w:val="single" w:color="auto" w:sz="2" w:space="0"/>
          </w:tblBorders>
          <w:tblCellMar>
            <w:top w:w="0" w:type="dxa"/>
            <w:left w:w="30" w:type="dxa"/>
            <w:bottom w:w="0" w:type="dxa"/>
            <w:right w:w="30" w:type="dxa"/>
          </w:tblCellMar>
        </w:tblPrEx>
        <w:trPr>
          <w:trHeight w:val="293" w:hRule="atLeast"/>
          <w:jc w:val="center"/>
        </w:trPr>
        <w:tc>
          <w:tcPr>
            <w:tcW w:w="1290" w:type="dxa"/>
            <w:vAlign w:val="center"/>
          </w:tcPr>
          <w:p>
            <w:pPr>
              <w:jc w:val="center"/>
              <w:rPr>
                <w:rFonts w:ascii="Times New Roman" w:hAnsi="Times New Roman"/>
                <w:lang w:val="zh-CN"/>
              </w:rPr>
            </w:pPr>
            <w:r>
              <w:rPr>
                <w:rFonts w:ascii="Times New Roman" w:hAnsi="Times New Roman"/>
                <w:lang w:val="zh-CN"/>
              </w:rPr>
              <w:t>三月</w:t>
            </w:r>
          </w:p>
        </w:tc>
        <w:tc>
          <w:tcPr>
            <w:tcW w:w="525" w:type="dxa"/>
            <w:vAlign w:val="center"/>
          </w:tcPr>
          <w:p>
            <w:pPr>
              <w:jc w:val="center"/>
              <w:rPr>
                <w:rFonts w:ascii="Times New Roman" w:hAnsi="Times New Roman"/>
                <w:lang w:val="zh-CN"/>
              </w:rPr>
            </w:pPr>
            <w:r>
              <w:rPr>
                <w:rFonts w:ascii="Times New Roman" w:hAnsi="Times New Roman"/>
                <w:lang w:val="zh-CN"/>
              </w:rPr>
              <w:t>6</w:t>
            </w:r>
          </w:p>
        </w:tc>
        <w:tc>
          <w:tcPr>
            <w:tcW w:w="735" w:type="dxa"/>
            <w:vAlign w:val="center"/>
          </w:tcPr>
          <w:p>
            <w:pPr>
              <w:jc w:val="center"/>
              <w:rPr>
                <w:rFonts w:ascii="Times New Roman" w:hAnsi="Times New Roman"/>
                <w:lang w:val="zh-CN"/>
              </w:rPr>
            </w:pPr>
            <w:r>
              <w:rPr>
                <w:rFonts w:ascii="Times New Roman" w:hAnsi="Times New Roman"/>
                <w:lang w:val="zh-CN"/>
              </w:rPr>
              <w:t>3</w:t>
            </w:r>
          </w:p>
        </w:tc>
        <w:tc>
          <w:tcPr>
            <w:tcW w:w="720" w:type="dxa"/>
            <w:vAlign w:val="center"/>
          </w:tcPr>
          <w:p>
            <w:pPr>
              <w:jc w:val="center"/>
              <w:rPr>
                <w:rFonts w:ascii="Times New Roman" w:hAnsi="Times New Roman"/>
                <w:lang w:val="zh-CN"/>
              </w:rPr>
            </w:pPr>
            <w:r>
              <w:rPr>
                <w:rFonts w:ascii="Times New Roman" w:hAnsi="Times New Roman"/>
                <w:lang w:val="zh-CN"/>
              </w:rPr>
              <w:t>3</w:t>
            </w:r>
          </w:p>
        </w:tc>
        <w:tc>
          <w:tcPr>
            <w:tcW w:w="750" w:type="dxa"/>
            <w:vAlign w:val="center"/>
          </w:tcPr>
          <w:p>
            <w:pPr>
              <w:jc w:val="center"/>
              <w:rPr>
                <w:rFonts w:ascii="Times New Roman" w:hAnsi="Times New Roman"/>
                <w:lang w:val="zh-CN"/>
              </w:rPr>
            </w:pPr>
            <w:r>
              <w:rPr>
                <w:rFonts w:ascii="Times New Roman" w:hAnsi="Times New Roman"/>
                <w:lang w:val="zh-CN"/>
              </w:rPr>
              <w:t>2</w:t>
            </w:r>
          </w:p>
        </w:tc>
        <w:tc>
          <w:tcPr>
            <w:tcW w:w="688" w:type="dxa"/>
            <w:vAlign w:val="center"/>
          </w:tcPr>
          <w:p>
            <w:pPr>
              <w:jc w:val="center"/>
              <w:rPr>
                <w:rFonts w:ascii="Times New Roman" w:hAnsi="Times New Roman"/>
                <w:lang w:val="zh-CN"/>
              </w:rPr>
            </w:pPr>
            <w:r>
              <w:rPr>
                <w:rFonts w:ascii="Times New Roman" w:hAnsi="Times New Roman"/>
                <w:lang w:val="zh-CN"/>
              </w:rPr>
              <w:t>2</w:t>
            </w:r>
          </w:p>
        </w:tc>
        <w:tc>
          <w:tcPr>
            <w:tcW w:w="662" w:type="dxa"/>
            <w:vAlign w:val="center"/>
          </w:tcPr>
          <w:p>
            <w:pPr>
              <w:jc w:val="center"/>
              <w:rPr>
                <w:rFonts w:ascii="Times New Roman" w:hAnsi="Times New Roman"/>
                <w:lang w:val="zh-CN"/>
              </w:rPr>
            </w:pPr>
            <w:r>
              <w:rPr>
                <w:rFonts w:ascii="Times New Roman" w:hAnsi="Times New Roman"/>
                <w:lang w:val="zh-CN"/>
              </w:rPr>
              <w:t>1</w:t>
            </w:r>
          </w:p>
        </w:tc>
        <w:tc>
          <w:tcPr>
            <w:tcW w:w="840" w:type="dxa"/>
            <w:vAlign w:val="center"/>
          </w:tcPr>
          <w:p>
            <w:pPr>
              <w:jc w:val="center"/>
              <w:rPr>
                <w:rFonts w:ascii="Times New Roman" w:hAnsi="Times New Roman"/>
                <w:lang w:val="zh-CN"/>
              </w:rPr>
            </w:pPr>
            <w:r>
              <w:rPr>
                <w:rFonts w:ascii="Times New Roman" w:hAnsi="Times New Roman"/>
                <w:lang w:val="zh-CN"/>
              </w:rPr>
              <w:t>2</w:t>
            </w:r>
          </w:p>
        </w:tc>
        <w:tc>
          <w:tcPr>
            <w:tcW w:w="840" w:type="dxa"/>
            <w:vAlign w:val="center"/>
          </w:tcPr>
          <w:p>
            <w:pPr>
              <w:jc w:val="center"/>
              <w:rPr>
                <w:rFonts w:ascii="Times New Roman" w:hAnsi="Times New Roman"/>
                <w:lang w:val="zh-CN"/>
              </w:rPr>
            </w:pPr>
            <w:r>
              <w:rPr>
                <w:rFonts w:ascii="Times New Roman" w:hAnsi="Times New Roman"/>
                <w:lang w:val="zh-CN"/>
              </w:rPr>
              <w:t>2</w:t>
            </w:r>
          </w:p>
        </w:tc>
        <w:tc>
          <w:tcPr>
            <w:tcW w:w="635" w:type="dxa"/>
            <w:vAlign w:val="center"/>
          </w:tcPr>
          <w:p>
            <w:pPr>
              <w:jc w:val="center"/>
              <w:rPr>
                <w:rFonts w:ascii="Times New Roman" w:hAnsi="Times New Roman"/>
                <w:lang w:val="zh-CN"/>
              </w:rPr>
            </w:pPr>
            <w:r>
              <w:rPr>
                <w:rFonts w:ascii="Times New Roman" w:hAnsi="Times New Roman"/>
                <w:lang w:val="zh-CN"/>
              </w:rPr>
              <w:t>5</w:t>
            </w:r>
          </w:p>
        </w:tc>
        <w:tc>
          <w:tcPr>
            <w:tcW w:w="562" w:type="dxa"/>
            <w:vAlign w:val="center"/>
          </w:tcPr>
          <w:p>
            <w:pPr>
              <w:jc w:val="center"/>
              <w:rPr>
                <w:rFonts w:ascii="Times New Roman" w:hAnsi="Times New Roman"/>
                <w:lang w:val="zh-CN"/>
              </w:rPr>
            </w:pPr>
            <w:r>
              <w:rPr>
                <w:rFonts w:ascii="Times New Roman" w:hAnsi="Times New Roman"/>
                <w:lang w:val="zh-CN"/>
              </w:rPr>
              <w:t>9</w:t>
            </w:r>
          </w:p>
        </w:tc>
        <w:tc>
          <w:tcPr>
            <w:tcW w:w="823" w:type="dxa"/>
            <w:vAlign w:val="center"/>
          </w:tcPr>
          <w:p>
            <w:pPr>
              <w:jc w:val="center"/>
              <w:rPr>
                <w:rFonts w:ascii="Times New Roman" w:hAnsi="Times New Roman"/>
                <w:lang w:val="zh-CN"/>
              </w:rPr>
            </w:pPr>
            <w:r>
              <w:rPr>
                <w:rFonts w:ascii="Times New Roman" w:hAnsi="Times New Roman"/>
                <w:lang w:val="zh-CN"/>
              </w:rPr>
              <w:t>13</w:t>
            </w:r>
          </w:p>
        </w:tc>
        <w:tc>
          <w:tcPr>
            <w:tcW w:w="823" w:type="dxa"/>
            <w:vAlign w:val="center"/>
          </w:tcPr>
          <w:p>
            <w:pPr>
              <w:jc w:val="center"/>
              <w:rPr>
                <w:rFonts w:ascii="Times New Roman" w:hAnsi="Times New Roman"/>
                <w:lang w:val="zh-CN"/>
              </w:rPr>
            </w:pPr>
            <w:r>
              <w:rPr>
                <w:rFonts w:ascii="Times New Roman" w:hAnsi="Times New Roman"/>
                <w:lang w:val="zh-CN"/>
              </w:rPr>
              <w:t>12</w:t>
            </w:r>
          </w:p>
        </w:tc>
        <w:tc>
          <w:tcPr>
            <w:tcW w:w="591" w:type="dxa"/>
            <w:vAlign w:val="center"/>
          </w:tcPr>
          <w:p>
            <w:pPr>
              <w:jc w:val="center"/>
              <w:rPr>
                <w:rFonts w:ascii="Times New Roman" w:hAnsi="Times New Roman"/>
                <w:lang w:val="zh-CN"/>
              </w:rPr>
            </w:pPr>
            <w:r>
              <w:rPr>
                <w:rFonts w:ascii="Times New Roman" w:hAnsi="Times New Roman"/>
                <w:lang w:val="zh-CN"/>
              </w:rPr>
              <w:t>13</w:t>
            </w:r>
          </w:p>
        </w:tc>
        <w:tc>
          <w:tcPr>
            <w:tcW w:w="840" w:type="dxa"/>
            <w:vAlign w:val="center"/>
          </w:tcPr>
          <w:p>
            <w:pPr>
              <w:jc w:val="center"/>
              <w:rPr>
                <w:rFonts w:ascii="Times New Roman" w:hAnsi="Times New Roman"/>
                <w:lang w:val="zh-CN"/>
              </w:rPr>
            </w:pPr>
            <w:r>
              <w:rPr>
                <w:rFonts w:ascii="Times New Roman" w:hAnsi="Times New Roman"/>
                <w:lang w:val="zh-CN"/>
              </w:rPr>
              <w:t>7</w:t>
            </w:r>
          </w:p>
        </w:tc>
        <w:tc>
          <w:tcPr>
            <w:tcW w:w="840" w:type="dxa"/>
            <w:vAlign w:val="center"/>
          </w:tcPr>
          <w:p>
            <w:pPr>
              <w:jc w:val="center"/>
              <w:rPr>
                <w:rFonts w:ascii="Times New Roman" w:hAnsi="Times New Roman"/>
                <w:lang w:val="zh-CN"/>
              </w:rPr>
            </w:pPr>
            <w:r>
              <w:rPr>
                <w:rFonts w:ascii="Times New Roman" w:hAnsi="Times New Roman"/>
                <w:lang w:val="zh-CN"/>
              </w:rPr>
              <w:t>7</w:t>
            </w:r>
          </w:p>
        </w:tc>
        <w:tc>
          <w:tcPr>
            <w:tcW w:w="840" w:type="dxa"/>
            <w:vAlign w:val="center"/>
          </w:tcPr>
          <w:p>
            <w:pPr>
              <w:jc w:val="center"/>
              <w:rPr>
                <w:rFonts w:ascii="Times New Roman" w:hAnsi="Times New Roman"/>
                <w:lang w:val="zh-CN"/>
              </w:rPr>
            </w:pPr>
            <w:r>
              <w:rPr>
                <w:rFonts w:ascii="Times New Roman" w:hAnsi="Times New Roman"/>
                <w:lang w:val="zh-CN"/>
              </w:rPr>
              <w:t>4</w:t>
            </w:r>
          </w:p>
        </w:tc>
        <w:tc>
          <w:tcPr>
            <w:tcW w:w="540" w:type="dxa"/>
            <w:vAlign w:val="center"/>
          </w:tcPr>
          <w:p>
            <w:pPr>
              <w:jc w:val="center"/>
              <w:rPr>
                <w:rFonts w:ascii="Times New Roman" w:hAnsi="Times New Roman"/>
                <w:lang w:val="zh-CN"/>
              </w:rPr>
            </w:pPr>
            <w:r>
              <w:rPr>
                <w:rFonts w:ascii="Times New Roman" w:hAnsi="Times New Roman"/>
                <w:lang w:val="zh-CN"/>
              </w:rPr>
              <w:t>9</w:t>
            </w:r>
          </w:p>
        </w:tc>
      </w:tr>
      <w:tr>
        <w:tblPrEx>
          <w:tblBorders>
            <w:top w:val="single" w:color="auto" w:sz="12" w:space="0"/>
            <w:left w:val="dotted" w:color="auto" w:sz="4" w:space="0"/>
            <w:bottom w:val="single" w:color="auto" w:sz="12" w:space="0"/>
            <w:right w:val="dotted" w:color="auto" w:sz="4" w:space="0"/>
            <w:insideH w:val="single" w:color="auto" w:sz="2" w:space="0"/>
            <w:insideV w:val="single" w:color="auto" w:sz="2" w:space="0"/>
          </w:tblBorders>
          <w:tblCellMar>
            <w:top w:w="0" w:type="dxa"/>
            <w:left w:w="30" w:type="dxa"/>
            <w:bottom w:w="0" w:type="dxa"/>
            <w:right w:w="30" w:type="dxa"/>
          </w:tblCellMar>
        </w:tblPrEx>
        <w:trPr>
          <w:trHeight w:val="293" w:hRule="atLeast"/>
          <w:jc w:val="center"/>
        </w:trPr>
        <w:tc>
          <w:tcPr>
            <w:tcW w:w="1290" w:type="dxa"/>
            <w:vAlign w:val="center"/>
          </w:tcPr>
          <w:p>
            <w:pPr>
              <w:jc w:val="center"/>
              <w:rPr>
                <w:rFonts w:ascii="Times New Roman" w:hAnsi="Times New Roman"/>
                <w:lang w:val="zh-CN"/>
              </w:rPr>
            </w:pPr>
            <w:r>
              <w:rPr>
                <w:rFonts w:ascii="Times New Roman" w:hAnsi="Times New Roman"/>
                <w:lang w:val="zh-CN"/>
              </w:rPr>
              <w:t>四月</w:t>
            </w:r>
          </w:p>
        </w:tc>
        <w:tc>
          <w:tcPr>
            <w:tcW w:w="525" w:type="dxa"/>
            <w:vAlign w:val="center"/>
          </w:tcPr>
          <w:p>
            <w:pPr>
              <w:jc w:val="center"/>
              <w:rPr>
                <w:rFonts w:ascii="Times New Roman" w:hAnsi="Times New Roman"/>
                <w:lang w:val="zh-CN"/>
              </w:rPr>
            </w:pPr>
            <w:r>
              <w:rPr>
                <w:rFonts w:ascii="Times New Roman" w:hAnsi="Times New Roman"/>
                <w:lang w:val="zh-CN"/>
              </w:rPr>
              <w:t>6</w:t>
            </w:r>
          </w:p>
        </w:tc>
        <w:tc>
          <w:tcPr>
            <w:tcW w:w="735" w:type="dxa"/>
            <w:vAlign w:val="center"/>
          </w:tcPr>
          <w:p>
            <w:pPr>
              <w:jc w:val="center"/>
              <w:rPr>
                <w:rFonts w:ascii="Times New Roman" w:hAnsi="Times New Roman"/>
                <w:lang w:val="zh-CN"/>
              </w:rPr>
            </w:pPr>
            <w:r>
              <w:rPr>
                <w:rFonts w:ascii="Times New Roman" w:hAnsi="Times New Roman"/>
                <w:lang w:val="zh-CN"/>
              </w:rPr>
              <w:t>3</w:t>
            </w:r>
          </w:p>
        </w:tc>
        <w:tc>
          <w:tcPr>
            <w:tcW w:w="720" w:type="dxa"/>
            <w:vAlign w:val="center"/>
          </w:tcPr>
          <w:p>
            <w:pPr>
              <w:jc w:val="center"/>
              <w:rPr>
                <w:rFonts w:ascii="Times New Roman" w:hAnsi="Times New Roman"/>
                <w:lang w:val="zh-CN"/>
              </w:rPr>
            </w:pPr>
            <w:r>
              <w:rPr>
                <w:rFonts w:ascii="Times New Roman" w:hAnsi="Times New Roman"/>
                <w:lang w:val="zh-CN"/>
              </w:rPr>
              <w:t>4</w:t>
            </w:r>
          </w:p>
        </w:tc>
        <w:tc>
          <w:tcPr>
            <w:tcW w:w="750" w:type="dxa"/>
            <w:vAlign w:val="center"/>
          </w:tcPr>
          <w:p>
            <w:pPr>
              <w:jc w:val="center"/>
              <w:rPr>
                <w:rFonts w:ascii="Times New Roman" w:hAnsi="Times New Roman"/>
                <w:lang w:val="zh-CN"/>
              </w:rPr>
            </w:pPr>
            <w:r>
              <w:rPr>
                <w:rFonts w:ascii="Times New Roman" w:hAnsi="Times New Roman"/>
                <w:lang w:val="zh-CN"/>
              </w:rPr>
              <w:t>3</w:t>
            </w:r>
          </w:p>
        </w:tc>
        <w:tc>
          <w:tcPr>
            <w:tcW w:w="688" w:type="dxa"/>
            <w:vAlign w:val="center"/>
          </w:tcPr>
          <w:p>
            <w:pPr>
              <w:jc w:val="center"/>
              <w:rPr>
                <w:rFonts w:ascii="Times New Roman" w:hAnsi="Times New Roman"/>
                <w:lang w:val="zh-CN"/>
              </w:rPr>
            </w:pPr>
            <w:r>
              <w:rPr>
                <w:rFonts w:ascii="Times New Roman" w:hAnsi="Times New Roman"/>
                <w:lang w:val="zh-CN"/>
              </w:rPr>
              <w:t>3</w:t>
            </w:r>
          </w:p>
        </w:tc>
        <w:tc>
          <w:tcPr>
            <w:tcW w:w="662" w:type="dxa"/>
            <w:vAlign w:val="center"/>
          </w:tcPr>
          <w:p>
            <w:pPr>
              <w:jc w:val="center"/>
              <w:rPr>
                <w:rFonts w:ascii="Times New Roman" w:hAnsi="Times New Roman"/>
                <w:lang w:val="zh-CN"/>
              </w:rPr>
            </w:pPr>
            <w:r>
              <w:rPr>
                <w:rFonts w:ascii="Times New Roman" w:hAnsi="Times New Roman"/>
                <w:lang w:val="zh-CN"/>
              </w:rPr>
              <w:t>3</w:t>
            </w:r>
          </w:p>
        </w:tc>
        <w:tc>
          <w:tcPr>
            <w:tcW w:w="840" w:type="dxa"/>
            <w:vAlign w:val="center"/>
          </w:tcPr>
          <w:p>
            <w:pPr>
              <w:jc w:val="center"/>
              <w:rPr>
                <w:rFonts w:ascii="Times New Roman" w:hAnsi="Times New Roman"/>
                <w:lang w:val="zh-CN"/>
              </w:rPr>
            </w:pPr>
            <w:r>
              <w:rPr>
                <w:rFonts w:ascii="Times New Roman" w:hAnsi="Times New Roman"/>
                <w:lang w:val="zh-CN"/>
              </w:rPr>
              <w:t>3</w:t>
            </w:r>
          </w:p>
        </w:tc>
        <w:tc>
          <w:tcPr>
            <w:tcW w:w="840" w:type="dxa"/>
            <w:vAlign w:val="center"/>
          </w:tcPr>
          <w:p>
            <w:pPr>
              <w:jc w:val="center"/>
              <w:rPr>
                <w:rFonts w:ascii="Times New Roman" w:hAnsi="Times New Roman"/>
                <w:lang w:val="zh-CN"/>
              </w:rPr>
            </w:pPr>
            <w:r>
              <w:rPr>
                <w:rFonts w:ascii="Times New Roman" w:hAnsi="Times New Roman"/>
                <w:lang w:val="zh-CN"/>
              </w:rPr>
              <w:t>3</w:t>
            </w:r>
          </w:p>
        </w:tc>
        <w:tc>
          <w:tcPr>
            <w:tcW w:w="635" w:type="dxa"/>
            <w:vAlign w:val="center"/>
          </w:tcPr>
          <w:p>
            <w:pPr>
              <w:jc w:val="center"/>
              <w:rPr>
                <w:rFonts w:ascii="Times New Roman" w:hAnsi="Times New Roman"/>
                <w:lang w:val="zh-CN"/>
              </w:rPr>
            </w:pPr>
            <w:r>
              <w:rPr>
                <w:rFonts w:ascii="Times New Roman" w:hAnsi="Times New Roman"/>
                <w:lang w:val="zh-CN"/>
              </w:rPr>
              <w:t>7</w:t>
            </w:r>
          </w:p>
        </w:tc>
        <w:tc>
          <w:tcPr>
            <w:tcW w:w="562" w:type="dxa"/>
            <w:vAlign w:val="center"/>
          </w:tcPr>
          <w:p>
            <w:pPr>
              <w:jc w:val="center"/>
              <w:rPr>
                <w:rFonts w:ascii="Times New Roman" w:hAnsi="Times New Roman"/>
                <w:lang w:val="zh-CN"/>
              </w:rPr>
            </w:pPr>
            <w:r>
              <w:rPr>
                <w:rFonts w:ascii="Times New Roman" w:hAnsi="Times New Roman"/>
                <w:lang w:val="zh-CN"/>
              </w:rPr>
              <w:t>9</w:t>
            </w:r>
          </w:p>
        </w:tc>
        <w:tc>
          <w:tcPr>
            <w:tcW w:w="823" w:type="dxa"/>
            <w:vAlign w:val="center"/>
          </w:tcPr>
          <w:p>
            <w:pPr>
              <w:jc w:val="center"/>
              <w:rPr>
                <w:rFonts w:ascii="Times New Roman" w:hAnsi="Times New Roman"/>
                <w:lang w:val="zh-CN"/>
              </w:rPr>
            </w:pPr>
            <w:r>
              <w:rPr>
                <w:rFonts w:ascii="Times New Roman" w:hAnsi="Times New Roman"/>
                <w:lang w:val="zh-CN"/>
              </w:rPr>
              <w:t>12</w:t>
            </w:r>
          </w:p>
        </w:tc>
        <w:tc>
          <w:tcPr>
            <w:tcW w:w="823" w:type="dxa"/>
            <w:vAlign w:val="center"/>
          </w:tcPr>
          <w:p>
            <w:pPr>
              <w:jc w:val="center"/>
              <w:rPr>
                <w:rFonts w:ascii="Times New Roman" w:hAnsi="Times New Roman"/>
                <w:lang w:val="zh-CN"/>
              </w:rPr>
            </w:pPr>
            <w:r>
              <w:rPr>
                <w:rFonts w:ascii="Times New Roman" w:hAnsi="Times New Roman"/>
                <w:lang w:val="zh-CN"/>
              </w:rPr>
              <w:t>12</w:t>
            </w:r>
          </w:p>
        </w:tc>
        <w:tc>
          <w:tcPr>
            <w:tcW w:w="591" w:type="dxa"/>
            <w:vAlign w:val="center"/>
          </w:tcPr>
          <w:p>
            <w:pPr>
              <w:jc w:val="center"/>
              <w:rPr>
                <w:rFonts w:ascii="Times New Roman" w:hAnsi="Times New Roman"/>
                <w:lang w:val="zh-CN"/>
              </w:rPr>
            </w:pPr>
            <w:r>
              <w:rPr>
                <w:rFonts w:ascii="Times New Roman" w:hAnsi="Times New Roman"/>
                <w:lang w:val="zh-CN"/>
              </w:rPr>
              <w:t>9</w:t>
            </w:r>
          </w:p>
        </w:tc>
        <w:tc>
          <w:tcPr>
            <w:tcW w:w="840" w:type="dxa"/>
            <w:vAlign w:val="center"/>
          </w:tcPr>
          <w:p>
            <w:pPr>
              <w:jc w:val="center"/>
              <w:rPr>
                <w:rFonts w:ascii="Times New Roman" w:hAnsi="Times New Roman"/>
                <w:lang w:val="zh-CN"/>
              </w:rPr>
            </w:pPr>
            <w:r>
              <w:rPr>
                <w:rFonts w:ascii="Times New Roman" w:hAnsi="Times New Roman"/>
                <w:lang w:val="zh-CN"/>
              </w:rPr>
              <w:t>5</w:t>
            </w:r>
          </w:p>
        </w:tc>
        <w:tc>
          <w:tcPr>
            <w:tcW w:w="840" w:type="dxa"/>
            <w:vAlign w:val="center"/>
          </w:tcPr>
          <w:p>
            <w:pPr>
              <w:jc w:val="center"/>
              <w:rPr>
                <w:rFonts w:ascii="Times New Roman" w:hAnsi="Times New Roman"/>
                <w:lang w:val="zh-CN"/>
              </w:rPr>
            </w:pPr>
            <w:r>
              <w:rPr>
                <w:rFonts w:ascii="Times New Roman" w:hAnsi="Times New Roman"/>
                <w:lang w:val="zh-CN"/>
              </w:rPr>
              <w:t>6</w:t>
            </w:r>
          </w:p>
        </w:tc>
        <w:tc>
          <w:tcPr>
            <w:tcW w:w="840" w:type="dxa"/>
            <w:vAlign w:val="center"/>
          </w:tcPr>
          <w:p>
            <w:pPr>
              <w:jc w:val="center"/>
              <w:rPr>
                <w:rFonts w:ascii="Times New Roman" w:hAnsi="Times New Roman"/>
                <w:lang w:val="zh-CN"/>
              </w:rPr>
            </w:pPr>
            <w:r>
              <w:rPr>
                <w:rFonts w:ascii="Times New Roman" w:hAnsi="Times New Roman"/>
                <w:lang w:val="zh-CN"/>
              </w:rPr>
              <w:t>5</w:t>
            </w:r>
          </w:p>
        </w:tc>
        <w:tc>
          <w:tcPr>
            <w:tcW w:w="540" w:type="dxa"/>
            <w:vAlign w:val="center"/>
          </w:tcPr>
          <w:p>
            <w:pPr>
              <w:jc w:val="center"/>
              <w:rPr>
                <w:rFonts w:ascii="Times New Roman" w:hAnsi="Times New Roman"/>
                <w:lang w:val="zh-CN"/>
              </w:rPr>
            </w:pPr>
            <w:r>
              <w:rPr>
                <w:rFonts w:ascii="Times New Roman" w:hAnsi="Times New Roman"/>
                <w:lang w:val="zh-CN"/>
              </w:rPr>
              <w:t>7</w:t>
            </w:r>
          </w:p>
        </w:tc>
      </w:tr>
      <w:tr>
        <w:tblPrEx>
          <w:tblBorders>
            <w:top w:val="single" w:color="auto" w:sz="12" w:space="0"/>
            <w:left w:val="dotted" w:color="auto" w:sz="4" w:space="0"/>
            <w:bottom w:val="single" w:color="auto" w:sz="12" w:space="0"/>
            <w:right w:val="dotted" w:color="auto" w:sz="4" w:space="0"/>
            <w:insideH w:val="single" w:color="auto" w:sz="2" w:space="0"/>
            <w:insideV w:val="single" w:color="auto" w:sz="2" w:space="0"/>
          </w:tblBorders>
          <w:tblCellMar>
            <w:top w:w="0" w:type="dxa"/>
            <w:left w:w="30" w:type="dxa"/>
            <w:bottom w:w="0" w:type="dxa"/>
            <w:right w:w="30" w:type="dxa"/>
          </w:tblCellMar>
        </w:tblPrEx>
        <w:trPr>
          <w:trHeight w:val="293" w:hRule="atLeast"/>
          <w:jc w:val="center"/>
        </w:trPr>
        <w:tc>
          <w:tcPr>
            <w:tcW w:w="1290" w:type="dxa"/>
            <w:vAlign w:val="center"/>
          </w:tcPr>
          <w:p>
            <w:pPr>
              <w:jc w:val="center"/>
              <w:rPr>
                <w:rFonts w:ascii="Times New Roman" w:hAnsi="Times New Roman"/>
                <w:lang w:val="zh-CN"/>
              </w:rPr>
            </w:pPr>
            <w:r>
              <w:rPr>
                <w:rFonts w:ascii="Times New Roman" w:hAnsi="Times New Roman"/>
                <w:lang w:val="zh-CN"/>
              </w:rPr>
              <w:t>五月</w:t>
            </w:r>
          </w:p>
        </w:tc>
        <w:tc>
          <w:tcPr>
            <w:tcW w:w="525" w:type="dxa"/>
            <w:vAlign w:val="center"/>
          </w:tcPr>
          <w:p>
            <w:pPr>
              <w:jc w:val="center"/>
              <w:rPr>
                <w:rFonts w:ascii="Times New Roman" w:hAnsi="Times New Roman"/>
                <w:lang w:val="zh-CN"/>
              </w:rPr>
            </w:pPr>
            <w:r>
              <w:rPr>
                <w:rFonts w:ascii="Times New Roman" w:hAnsi="Times New Roman"/>
                <w:lang w:val="zh-CN"/>
              </w:rPr>
              <w:t>5</w:t>
            </w:r>
          </w:p>
        </w:tc>
        <w:tc>
          <w:tcPr>
            <w:tcW w:w="735" w:type="dxa"/>
            <w:vAlign w:val="center"/>
          </w:tcPr>
          <w:p>
            <w:pPr>
              <w:jc w:val="center"/>
              <w:rPr>
                <w:rFonts w:ascii="Times New Roman" w:hAnsi="Times New Roman"/>
                <w:lang w:val="zh-CN"/>
              </w:rPr>
            </w:pPr>
            <w:r>
              <w:rPr>
                <w:rFonts w:ascii="Times New Roman" w:hAnsi="Times New Roman"/>
                <w:lang w:val="zh-CN"/>
              </w:rPr>
              <w:t>3</w:t>
            </w:r>
          </w:p>
        </w:tc>
        <w:tc>
          <w:tcPr>
            <w:tcW w:w="720" w:type="dxa"/>
            <w:vAlign w:val="center"/>
          </w:tcPr>
          <w:p>
            <w:pPr>
              <w:jc w:val="center"/>
              <w:rPr>
                <w:rFonts w:ascii="Times New Roman" w:hAnsi="Times New Roman"/>
                <w:lang w:val="zh-CN"/>
              </w:rPr>
            </w:pPr>
            <w:r>
              <w:rPr>
                <w:rFonts w:ascii="Times New Roman" w:hAnsi="Times New Roman"/>
                <w:lang w:val="zh-CN"/>
              </w:rPr>
              <w:t>5</w:t>
            </w:r>
          </w:p>
        </w:tc>
        <w:tc>
          <w:tcPr>
            <w:tcW w:w="750" w:type="dxa"/>
            <w:vAlign w:val="center"/>
          </w:tcPr>
          <w:p>
            <w:pPr>
              <w:jc w:val="center"/>
              <w:rPr>
                <w:rFonts w:ascii="Times New Roman" w:hAnsi="Times New Roman"/>
                <w:lang w:val="zh-CN"/>
              </w:rPr>
            </w:pPr>
            <w:r>
              <w:rPr>
                <w:rFonts w:ascii="Times New Roman" w:hAnsi="Times New Roman"/>
                <w:lang w:val="zh-CN"/>
              </w:rPr>
              <w:t>3</w:t>
            </w:r>
          </w:p>
        </w:tc>
        <w:tc>
          <w:tcPr>
            <w:tcW w:w="688" w:type="dxa"/>
            <w:vAlign w:val="center"/>
          </w:tcPr>
          <w:p>
            <w:pPr>
              <w:jc w:val="center"/>
              <w:rPr>
                <w:rFonts w:ascii="Times New Roman" w:hAnsi="Times New Roman"/>
                <w:lang w:val="zh-CN"/>
              </w:rPr>
            </w:pPr>
            <w:r>
              <w:rPr>
                <w:rFonts w:ascii="Times New Roman" w:hAnsi="Times New Roman"/>
                <w:lang w:val="zh-CN"/>
              </w:rPr>
              <w:t>3</w:t>
            </w:r>
          </w:p>
        </w:tc>
        <w:tc>
          <w:tcPr>
            <w:tcW w:w="662" w:type="dxa"/>
            <w:vAlign w:val="center"/>
          </w:tcPr>
          <w:p>
            <w:pPr>
              <w:jc w:val="center"/>
              <w:rPr>
                <w:rFonts w:ascii="Times New Roman" w:hAnsi="Times New Roman"/>
                <w:lang w:val="zh-CN"/>
              </w:rPr>
            </w:pPr>
            <w:r>
              <w:rPr>
                <w:rFonts w:ascii="Times New Roman" w:hAnsi="Times New Roman"/>
                <w:lang w:val="zh-CN"/>
              </w:rPr>
              <w:t>3</w:t>
            </w:r>
          </w:p>
        </w:tc>
        <w:tc>
          <w:tcPr>
            <w:tcW w:w="840" w:type="dxa"/>
            <w:vAlign w:val="center"/>
          </w:tcPr>
          <w:p>
            <w:pPr>
              <w:jc w:val="center"/>
              <w:rPr>
                <w:rFonts w:ascii="Times New Roman" w:hAnsi="Times New Roman"/>
                <w:lang w:val="zh-CN"/>
              </w:rPr>
            </w:pPr>
            <w:r>
              <w:rPr>
                <w:rFonts w:ascii="Times New Roman" w:hAnsi="Times New Roman"/>
                <w:lang w:val="zh-CN"/>
              </w:rPr>
              <w:t>4</w:t>
            </w:r>
          </w:p>
        </w:tc>
        <w:tc>
          <w:tcPr>
            <w:tcW w:w="840" w:type="dxa"/>
            <w:vAlign w:val="center"/>
          </w:tcPr>
          <w:p>
            <w:pPr>
              <w:jc w:val="center"/>
              <w:rPr>
                <w:rFonts w:ascii="Times New Roman" w:hAnsi="Times New Roman"/>
                <w:lang w:val="zh-CN"/>
              </w:rPr>
            </w:pPr>
            <w:r>
              <w:rPr>
                <w:rFonts w:ascii="Times New Roman" w:hAnsi="Times New Roman"/>
                <w:lang w:val="zh-CN"/>
              </w:rPr>
              <w:t>5</w:t>
            </w:r>
          </w:p>
        </w:tc>
        <w:tc>
          <w:tcPr>
            <w:tcW w:w="635" w:type="dxa"/>
            <w:vAlign w:val="center"/>
          </w:tcPr>
          <w:p>
            <w:pPr>
              <w:jc w:val="center"/>
              <w:rPr>
                <w:rFonts w:ascii="Times New Roman" w:hAnsi="Times New Roman"/>
                <w:lang w:val="zh-CN"/>
              </w:rPr>
            </w:pPr>
            <w:r>
              <w:rPr>
                <w:rFonts w:ascii="Times New Roman" w:hAnsi="Times New Roman"/>
                <w:lang w:val="zh-CN"/>
              </w:rPr>
              <w:t>8</w:t>
            </w:r>
          </w:p>
        </w:tc>
        <w:tc>
          <w:tcPr>
            <w:tcW w:w="562" w:type="dxa"/>
            <w:vAlign w:val="center"/>
          </w:tcPr>
          <w:p>
            <w:pPr>
              <w:jc w:val="center"/>
              <w:rPr>
                <w:rFonts w:ascii="Times New Roman" w:hAnsi="Times New Roman"/>
                <w:lang w:val="zh-CN"/>
              </w:rPr>
            </w:pPr>
            <w:r>
              <w:rPr>
                <w:rFonts w:ascii="Times New Roman" w:hAnsi="Times New Roman"/>
                <w:lang w:val="zh-CN"/>
              </w:rPr>
              <w:t>11</w:t>
            </w:r>
          </w:p>
        </w:tc>
        <w:tc>
          <w:tcPr>
            <w:tcW w:w="823" w:type="dxa"/>
            <w:vAlign w:val="center"/>
          </w:tcPr>
          <w:p>
            <w:pPr>
              <w:jc w:val="center"/>
              <w:rPr>
                <w:rFonts w:ascii="Times New Roman" w:hAnsi="Times New Roman"/>
                <w:lang w:val="zh-CN"/>
              </w:rPr>
            </w:pPr>
            <w:r>
              <w:rPr>
                <w:rFonts w:ascii="Times New Roman" w:hAnsi="Times New Roman"/>
                <w:lang w:val="zh-CN"/>
              </w:rPr>
              <w:t>13</w:t>
            </w:r>
          </w:p>
        </w:tc>
        <w:tc>
          <w:tcPr>
            <w:tcW w:w="823" w:type="dxa"/>
            <w:vAlign w:val="center"/>
          </w:tcPr>
          <w:p>
            <w:pPr>
              <w:jc w:val="center"/>
              <w:rPr>
                <w:rFonts w:ascii="Times New Roman" w:hAnsi="Times New Roman"/>
                <w:lang w:val="zh-CN"/>
              </w:rPr>
            </w:pPr>
            <w:r>
              <w:rPr>
                <w:rFonts w:ascii="Times New Roman" w:hAnsi="Times New Roman"/>
                <w:lang w:val="zh-CN"/>
              </w:rPr>
              <w:t>11</w:t>
            </w:r>
          </w:p>
        </w:tc>
        <w:tc>
          <w:tcPr>
            <w:tcW w:w="591" w:type="dxa"/>
            <w:vAlign w:val="center"/>
          </w:tcPr>
          <w:p>
            <w:pPr>
              <w:jc w:val="center"/>
              <w:rPr>
                <w:rFonts w:ascii="Times New Roman" w:hAnsi="Times New Roman"/>
                <w:lang w:val="zh-CN"/>
              </w:rPr>
            </w:pPr>
            <w:r>
              <w:rPr>
                <w:rFonts w:ascii="Times New Roman" w:hAnsi="Times New Roman"/>
                <w:lang w:val="zh-CN"/>
              </w:rPr>
              <w:t>7</w:t>
            </w:r>
          </w:p>
        </w:tc>
        <w:tc>
          <w:tcPr>
            <w:tcW w:w="840" w:type="dxa"/>
            <w:vAlign w:val="center"/>
          </w:tcPr>
          <w:p>
            <w:pPr>
              <w:jc w:val="center"/>
              <w:rPr>
                <w:rFonts w:ascii="Times New Roman" w:hAnsi="Times New Roman"/>
                <w:lang w:val="zh-CN"/>
              </w:rPr>
            </w:pPr>
            <w:r>
              <w:rPr>
                <w:rFonts w:ascii="Times New Roman" w:hAnsi="Times New Roman"/>
                <w:lang w:val="zh-CN"/>
              </w:rPr>
              <w:t>3</w:t>
            </w:r>
          </w:p>
        </w:tc>
        <w:tc>
          <w:tcPr>
            <w:tcW w:w="840" w:type="dxa"/>
            <w:vAlign w:val="center"/>
          </w:tcPr>
          <w:p>
            <w:pPr>
              <w:jc w:val="center"/>
              <w:rPr>
                <w:rFonts w:ascii="Times New Roman" w:hAnsi="Times New Roman"/>
                <w:lang w:val="zh-CN"/>
              </w:rPr>
            </w:pPr>
            <w:r>
              <w:rPr>
                <w:rFonts w:ascii="Times New Roman" w:hAnsi="Times New Roman"/>
                <w:lang w:val="zh-CN"/>
              </w:rPr>
              <w:t>4</w:t>
            </w:r>
          </w:p>
        </w:tc>
        <w:tc>
          <w:tcPr>
            <w:tcW w:w="840" w:type="dxa"/>
            <w:vAlign w:val="center"/>
          </w:tcPr>
          <w:p>
            <w:pPr>
              <w:jc w:val="center"/>
              <w:rPr>
                <w:rFonts w:ascii="Times New Roman" w:hAnsi="Times New Roman"/>
                <w:lang w:val="zh-CN"/>
              </w:rPr>
            </w:pPr>
            <w:r>
              <w:rPr>
                <w:rFonts w:ascii="Times New Roman" w:hAnsi="Times New Roman"/>
                <w:lang w:val="zh-CN"/>
              </w:rPr>
              <w:t>3</w:t>
            </w:r>
          </w:p>
        </w:tc>
        <w:tc>
          <w:tcPr>
            <w:tcW w:w="540" w:type="dxa"/>
            <w:vAlign w:val="center"/>
          </w:tcPr>
          <w:p>
            <w:pPr>
              <w:jc w:val="center"/>
              <w:rPr>
                <w:rFonts w:ascii="Times New Roman" w:hAnsi="Times New Roman"/>
                <w:lang w:val="zh-CN"/>
              </w:rPr>
            </w:pPr>
            <w:r>
              <w:rPr>
                <w:rFonts w:ascii="Times New Roman" w:hAnsi="Times New Roman"/>
                <w:lang w:val="zh-CN"/>
              </w:rPr>
              <w:t>9</w:t>
            </w:r>
          </w:p>
        </w:tc>
      </w:tr>
      <w:tr>
        <w:tblPrEx>
          <w:tblBorders>
            <w:top w:val="single" w:color="auto" w:sz="12" w:space="0"/>
            <w:left w:val="dotted" w:color="auto" w:sz="4" w:space="0"/>
            <w:bottom w:val="single" w:color="auto" w:sz="12" w:space="0"/>
            <w:right w:val="dotted" w:color="auto" w:sz="4" w:space="0"/>
            <w:insideH w:val="single" w:color="auto" w:sz="2" w:space="0"/>
            <w:insideV w:val="single" w:color="auto" w:sz="2" w:space="0"/>
          </w:tblBorders>
          <w:tblCellMar>
            <w:top w:w="0" w:type="dxa"/>
            <w:left w:w="30" w:type="dxa"/>
            <w:bottom w:w="0" w:type="dxa"/>
            <w:right w:w="30" w:type="dxa"/>
          </w:tblCellMar>
        </w:tblPrEx>
        <w:trPr>
          <w:trHeight w:val="293" w:hRule="atLeast"/>
          <w:jc w:val="center"/>
        </w:trPr>
        <w:tc>
          <w:tcPr>
            <w:tcW w:w="1290" w:type="dxa"/>
            <w:vAlign w:val="center"/>
          </w:tcPr>
          <w:p>
            <w:pPr>
              <w:jc w:val="center"/>
              <w:rPr>
                <w:rFonts w:ascii="Times New Roman" w:hAnsi="Times New Roman"/>
                <w:lang w:val="zh-CN"/>
              </w:rPr>
            </w:pPr>
            <w:r>
              <w:rPr>
                <w:rFonts w:ascii="Times New Roman" w:hAnsi="Times New Roman"/>
                <w:lang w:val="zh-CN"/>
              </w:rPr>
              <w:t>六月</w:t>
            </w:r>
          </w:p>
        </w:tc>
        <w:tc>
          <w:tcPr>
            <w:tcW w:w="525" w:type="dxa"/>
            <w:vAlign w:val="center"/>
          </w:tcPr>
          <w:p>
            <w:pPr>
              <w:jc w:val="center"/>
              <w:rPr>
                <w:rFonts w:ascii="Times New Roman" w:hAnsi="Times New Roman"/>
                <w:lang w:val="zh-CN"/>
              </w:rPr>
            </w:pPr>
            <w:r>
              <w:rPr>
                <w:rFonts w:ascii="Times New Roman" w:hAnsi="Times New Roman"/>
                <w:lang w:val="zh-CN"/>
              </w:rPr>
              <w:t>5</w:t>
            </w:r>
          </w:p>
        </w:tc>
        <w:tc>
          <w:tcPr>
            <w:tcW w:w="735" w:type="dxa"/>
            <w:vAlign w:val="center"/>
          </w:tcPr>
          <w:p>
            <w:pPr>
              <w:jc w:val="center"/>
              <w:rPr>
                <w:rFonts w:ascii="Times New Roman" w:hAnsi="Times New Roman"/>
                <w:lang w:val="zh-CN"/>
              </w:rPr>
            </w:pPr>
            <w:r>
              <w:rPr>
                <w:rFonts w:ascii="Times New Roman" w:hAnsi="Times New Roman"/>
                <w:lang w:val="zh-CN"/>
              </w:rPr>
              <w:t>3</w:t>
            </w:r>
          </w:p>
        </w:tc>
        <w:tc>
          <w:tcPr>
            <w:tcW w:w="720" w:type="dxa"/>
            <w:vAlign w:val="center"/>
          </w:tcPr>
          <w:p>
            <w:pPr>
              <w:jc w:val="center"/>
              <w:rPr>
                <w:rFonts w:ascii="Times New Roman" w:hAnsi="Times New Roman"/>
                <w:lang w:val="zh-CN"/>
              </w:rPr>
            </w:pPr>
            <w:r>
              <w:rPr>
                <w:rFonts w:ascii="Times New Roman" w:hAnsi="Times New Roman"/>
                <w:lang w:val="zh-CN"/>
              </w:rPr>
              <w:t>5</w:t>
            </w:r>
          </w:p>
        </w:tc>
        <w:tc>
          <w:tcPr>
            <w:tcW w:w="750" w:type="dxa"/>
            <w:vAlign w:val="center"/>
          </w:tcPr>
          <w:p>
            <w:pPr>
              <w:jc w:val="center"/>
              <w:rPr>
                <w:rFonts w:ascii="Times New Roman" w:hAnsi="Times New Roman"/>
                <w:lang w:val="zh-CN"/>
              </w:rPr>
            </w:pPr>
            <w:r>
              <w:rPr>
                <w:rFonts w:ascii="Times New Roman" w:hAnsi="Times New Roman"/>
                <w:lang w:val="zh-CN"/>
              </w:rPr>
              <w:t>5</w:t>
            </w:r>
          </w:p>
        </w:tc>
        <w:tc>
          <w:tcPr>
            <w:tcW w:w="688" w:type="dxa"/>
            <w:vAlign w:val="center"/>
          </w:tcPr>
          <w:p>
            <w:pPr>
              <w:jc w:val="center"/>
              <w:rPr>
                <w:rFonts w:ascii="Times New Roman" w:hAnsi="Times New Roman"/>
                <w:lang w:val="zh-CN"/>
              </w:rPr>
            </w:pPr>
            <w:r>
              <w:rPr>
                <w:rFonts w:ascii="Times New Roman" w:hAnsi="Times New Roman"/>
                <w:lang w:val="zh-CN"/>
              </w:rPr>
              <w:t>4</w:t>
            </w:r>
          </w:p>
        </w:tc>
        <w:tc>
          <w:tcPr>
            <w:tcW w:w="662" w:type="dxa"/>
            <w:vAlign w:val="center"/>
          </w:tcPr>
          <w:p>
            <w:pPr>
              <w:jc w:val="center"/>
              <w:rPr>
                <w:rFonts w:ascii="Times New Roman" w:hAnsi="Times New Roman"/>
                <w:lang w:val="zh-CN"/>
              </w:rPr>
            </w:pPr>
            <w:r>
              <w:rPr>
                <w:rFonts w:ascii="Times New Roman" w:hAnsi="Times New Roman"/>
                <w:lang w:val="zh-CN"/>
              </w:rPr>
              <w:t>2</w:t>
            </w:r>
          </w:p>
        </w:tc>
        <w:tc>
          <w:tcPr>
            <w:tcW w:w="840" w:type="dxa"/>
            <w:vAlign w:val="center"/>
          </w:tcPr>
          <w:p>
            <w:pPr>
              <w:jc w:val="center"/>
              <w:rPr>
                <w:rFonts w:ascii="Times New Roman" w:hAnsi="Times New Roman"/>
                <w:lang w:val="zh-CN"/>
              </w:rPr>
            </w:pPr>
            <w:r>
              <w:rPr>
                <w:rFonts w:ascii="Times New Roman" w:hAnsi="Times New Roman"/>
                <w:lang w:val="zh-CN"/>
              </w:rPr>
              <w:t>5</w:t>
            </w:r>
          </w:p>
        </w:tc>
        <w:tc>
          <w:tcPr>
            <w:tcW w:w="840" w:type="dxa"/>
            <w:vAlign w:val="center"/>
          </w:tcPr>
          <w:p>
            <w:pPr>
              <w:jc w:val="center"/>
              <w:rPr>
                <w:rFonts w:ascii="Times New Roman" w:hAnsi="Times New Roman"/>
                <w:lang w:val="zh-CN"/>
              </w:rPr>
            </w:pPr>
            <w:r>
              <w:rPr>
                <w:rFonts w:ascii="Times New Roman" w:hAnsi="Times New Roman"/>
                <w:lang w:val="zh-CN"/>
              </w:rPr>
              <w:t>5</w:t>
            </w:r>
          </w:p>
        </w:tc>
        <w:tc>
          <w:tcPr>
            <w:tcW w:w="635" w:type="dxa"/>
            <w:vAlign w:val="center"/>
          </w:tcPr>
          <w:p>
            <w:pPr>
              <w:jc w:val="center"/>
              <w:rPr>
                <w:rFonts w:ascii="Times New Roman" w:hAnsi="Times New Roman"/>
                <w:lang w:val="zh-CN"/>
              </w:rPr>
            </w:pPr>
            <w:r>
              <w:rPr>
                <w:rFonts w:ascii="Times New Roman" w:hAnsi="Times New Roman"/>
                <w:lang w:val="zh-CN"/>
              </w:rPr>
              <w:t>9</w:t>
            </w:r>
          </w:p>
        </w:tc>
        <w:tc>
          <w:tcPr>
            <w:tcW w:w="562" w:type="dxa"/>
            <w:vAlign w:val="center"/>
          </w:tcPr>
          <w:p>
            <w:pPr>
              <w:jc w:val="center"/>
              <w:rPr>
                <w:rFonts w:ascii="Times New Roman" w:hAnsi="Times New Roman"/>
                <w:lang w:val="zh-CN"/>
              </w:rPr>
            </w:pPr>
            <w:r>
              <w:rPr>
                <w:rFonts w:ascii="Times New Roman" w:hAnsi="Times New Roman"/>
                <w:lang w:val="zh-CN"/>
              </w:rPr>
              <w:t>11</w:t>
            </w:r>
          </w:p>
        </w:tc>
        <w:tc>
          <w:tcPr>
            <w:tcW w:w="823" w:type="dxa"/>
            <w:vAlign w:val="center"/>
          </w:tcPr>
          <w:p>
            <w:pPr>
              <w:jc w:val="center"/>
              <w:rPr>
                <w:rFonts w:ascii="Times New Roman" w:hAnsi="Times New Roman"/>
                <w:lang w:val="zh-CN"/>
              </w:rPr>
            </w:pPr>
            <w:r>
              <w:rPr>
                <w:rFonts w:ascii="Times New Roman" w:hAnsi="Times New Roman"/>
                <w:lang w:val="zh-CN"/>
              </w:rPr>
              <w:t>13</w:t>
            </w:r>
          </w:p>
        </w:tc>
        <w:tc>
          <w:tcPr>
            <w:tcW w:w="823" w:type="dxa"/>
            <w:vAlign w:val="center"/>
          </w:tcPr>
          <w:p>
            <w:pPr>
              <w:jc w:val="center"/>
              <w:rPr>
                <w:rFonts w:ascii="Times New Roman" w:hAnsi="Times New Roman"/>
                <w:lang w:val="zh-CN"/>
              </w:rPr>
            </w:pPr>
            <w:r>
              <w:rPr>
                <w:rFonts w:ascii="Times New Roman" w:hAnsi="Times New Roman"/>
                <w:lang w:val="zh-CN"/>
              </w:rPr>
              <w:t>10</w:t>
            </w:r>
          </w:p>
        </w:tc>
        <w:tc>
          <w:tcPr>
            <w:tcW w:w="591" w:type="dxa"/>
            <w:vAlign w:val="center"/>
          </w:tcPr>
          <w:p>
            <w:pPr>
              <w:jc w:val="center"/>
              <w:rPr>
                <w:rFonts w:ascii="Times New Roman" w:hAnsi="Times New Roman"/>
                <w:lang w:val="zh-CN"/>
              </w:rPr>
            </w:pPr>
            <w:r>
              <w:rPr>
                <w:rFonts w:ascii="Times New Roman" w:hAnsi="Times New Roman"/>
                <w:lang w:val="zh-CN"/>
              </w:rPr>
              <w:t>6</w:t>
            </w:r>
          </w:p>
        </w:tc>
        <w:tc>
          <w:tcPr>
            <w:tcW w:w="840" w:type="dxa"/>
            <w:vAlign w:val="center"/>
          </w:tcPr>
          <w:p>
            <w:pPr>
              <w:jc w:val="center"/>
              <w:rPr>
                <w:rFonts w:ascii="Times New Roman" w:hAnsi="Times New Roman"/>
                <w:lang w:val="zh-CN"/>
              </w:rPr>
            </w:pPr>
            <w:r>
              <w:rPr>
                <w:rFonts w:ascii="Times New Roman" w:hAnsi="Times New Roman"/>
                <w:lang w:val="zh-CN"/>
              </w:rPr>
              <w:t>2</w:t>
            </w:r>
          </w:p>
        </w:tc>
        <w:tc>
          <w:tcPr>
            <w:tcW w:w="840" w:type="dxa"/>
            <w:vAlign w:val="center"/>
          </w:tcPr>
          <w:p>
            <w:pPr>
              <w:jc w:val="center"/>
              <w:rPr>
                <w:rFonts w:ascii="Times New Roman" w:hAnsi="Times New Roman"/>
                <w:lang w:val="zh-CN"/>
              </w:rPr>
            </w:pPr>
            <w:r>
              <w:rPr>
                <w:rFonts w:ascii="Times New Roman" w:hAnsi="Times New Roman"/>
                <w:lang w:val="zh-CN"/>
              </w:rPr>
              <w:t>3</w:t>
            </w:r>
          </w:p>
        </w:tc>
        <w:tc>
          <w:tcPr>
            <w:tcW w:w="840" w:type="dxa"/>
            <w:vAlign w:val="center"/>
          </w:tcPr>
          <w:p>
            <w:pPr>
              <w:jc w:val="center"/>
              <w:rPr>
                <w:rFonts w:ascii="Times New Roman" w:hAnsi="Times New Roman"/>
                <w:lang w:val="zh-CN"/>
              </w:rPr>
            </w:pPr>
            <w:r>
              <w:rPr>
                <w:rFonts w:ascii="Times New Roman" w:hAnsi="Times New Roman"/>
                <w:lang w:val="zh-CN"/>
              </w:rPr>
              <w:t>2</w:t>
            </w:r>
          </w:p>
        </w:tc>
        <w:tc>
          <w:tcPr>
            <w:tcW w:w="540" w:type="dxa"/>
            <w:vAlign w:val="center"/>
          </w:tcPr>
          <w:p>
            <w:pPr>
              <w:jc w:val="center"/>
              <w:rPr>
                <w:rFonts w:ascii="Times New Roman" w:hAnsi="Times New Roman"/>
                <w:lang w:val="zh-CN"/>
              </w:rPr>
            </w:pPr>
            <w:r>
              <w:rPr>
                <w:rFonts w:ascii="Times New Roman" w:hAnsi="Times New Roman"/>
                <w:lang w:val="zh-CN"/>
              </w:rPr>
              <w:t>10</w:t>
            </w:r>
          </w:p>
        </w:tc>
      </w:tr>
      <w:tr>
        <w:tblPrEx>
          <w:tblBorders>
            <w:top w:val="single" w:color="auto" w:sz="12" w:space="0"/>
            <w:left w:val="dotted" w:color="auto" w:sz="4" w:space="0"/>
            <w:bottom w:val="single" w:color="auto" w:sz="12" w:space="0"/>
            <w:right w:val="dotted" w:color="auto" w:sz="4" w:space="0"/>
            <w:insideH w:val="single" w:color="auto" w:sz="2" w:space="0"/>
            <w:insideV w:val="single" w:color="auto" w:sz="2" w:space="0"/>
          </w:tblBorders>
          <w:tblCellMar>
            <w:top w:w="0" w:type="dxa"/>
            <w:left w:w="30" w:type="dxa"/>
            <w:bottom w:w="0" w:type="dxa"/>
            <w:right w:w="30" w:type="dxa"/>
          </w:tblCellMar>
        </w:tblPrEx>
        <w:trPr>
          <w:trHeight w:val="293" w:hRule="atLeast"/>
          <w:jc w:val="center"/>
        </w:trPr>
        <w:tc>
          <w:tcPr>
            <w:tcW w:w="1290" w:type="dxa"/>
            <w:vAlign w:val="center"/>
          </w:tcPr>
          <w:p>
            <w:pPr>
              <w:jc w:val="center"/>
              <w:rPr>
                <w:rFonts w:ascii="Times New Roman" w:hAnsi="Times New Roman"/>
                <w:lang w:val="zh-CN"/>
              </w:rPr>
            </w:pPr>
            <w:r>
              <w:rPr>
                <w:rFonts w:ascii="Times New Roman" w:hAnsi="Times New Roman"/>
                <w:lang w:val="zh-CN"/>
              </w:rPr>
              <w:t>七月</w:t>
            </w:r>
          </w:p>
        </w:tc>
        <w:tc>
          <w:tcPr>
            <w:tcW w:w="525" w:type="dxa"/>
            <w:vAlign w:val="center"/>
          </w:tcPr>
          <w:p>
            <w:pPr>
              <w:jc w:val="center"/>
              <w:rPr>
                <w:rFonts w:ascii="Times New Roman" w:hAnsi="Times New Roman"/>
                <w:lang w:val="zh-CN"/>
              </w:rPr>
            </w:pPr>
            <w:r>
              <w:rPr>
                <w:rFonts w:ascii="Times New Roman" w:hAnsi="Times New Roman"/>
                <w:lang w:val="zh-CN"/>
              </w:rPr>
              <w:t>3</w:t>
            </w:r>
          </w:p>
        </w:tc>
        <w:tc>
          <w:tcPr>
            <w:tcW w:w="735" w:type="dxa"/>
            <w:vAlign w:val="center"/>
          </w:tcPr>
          <w:p>
            <w:pPr>
              <w:jc w:val="center"/>
              <w:rPr>
                <w:rFonts w:ascii="Times New Roman" w:hAnsi="Times New Roman"/>
                <w:lang w:val="zh-CN"/>
              </w:rPr>
            </w:pPr>
            <w:r>
              <w:rPr>
                <w:rFonts w:ascii="Times New Roman" w:hAnsi="Times New Roman"/>
                <w:lang w:val="zh-CN"/>
              </w:rPr>
              <w:t>3</w:t>
            </w:r>
          </w:p>
        </w:tc>
        <w:tc>
          <w:tcPr>
            <w:tcW w:w="720" w:type="dxa"/>
            <w:vAlign w:val="center"/>
          </w:tcPr>
          <w:p>
            <w:pPr>
              <w:jc w:val="center"/>
              <w:rPr>
                <w:rFonts w:ascii="Times New Roman" w:hAnsi="Times New Roman"/>
                <w:lang w:val="zh-CN"/>
              </w:rPr>
            </w:pPr>
            <w:r>
              <w:rPr>
                <w:rFonts w:ascii="Times New Roman" w:hAnsi="Times New Roman"/>
                <w:lang w:val="zh-CN"/>
              </w:rPr>
              <w:t>4</w:t>
            </w:r>
          </w:p>
        </w:tc>
        <w:tc>
          <w:tcPr>
            <w:tcW w:w="750" w:type="dxa"/>
            <w:vAlign w:val="center"/>
          </w:tcPr>
          <w:p>
            <w:pPr>
              <w:jc w:val="center"/>
              <w:rPr>
                <w:rFonts w:ascii="Times New Roman" w:hAnsi="Times New Roman"/>
                <w:lang w:val="zh-CN"/>
              </w:rPr>
            </w:pPr>
            <w:r>
              <w:rPr>
                <w:rFonts w:ascii="Times New Roman" w:hAnsi="Times New Roman"/>
                <w:lang w:val="zh-CN"/>
              </w:rPr>
              <w:t>4</w:t>
            </w:r>
          </w:p>
        </w:tc>
        <w:tc>
          <w:tcPr>
            <w:tcW w:w="688" w:type="dxa"/>
            <w:vAlign w:val="center"/>
          </w:tcPr>
          <w:p>
            <w:pPr>
              <w:jc w:val="center"/>
              <w:rPr>
                <w:rFonts w:ascii="Times New Roman" w:hAnsi="Times New Roman"/>
                <w:lang w:val="zh-CN"/>
              </w:rPr>
            </w:pPr>
            <w:r>
              <w:rPr>
                <w:rFonts w:ascii="Times New Roman" w:hAnsi="Times New Roman"/>
                <w:lang w:val="zh-CN"/>
              </w:rPr>
              <w:t>4</w:t>
            </w:r>
          </w:p>
        </w:tc>
        <w:tc>
          <w:tcPr>
            <w:tcW w:w="662" w:type="dxa"/>
            <w:vAlign w:val="center"/>
          </w:tcPr>
          <w:p>
            <w:pPr>
              <w:jc w:val="center"/>
              <w:rPr>
                <w:rFonts w:ascii="Times New Roman" w:hAnsi="Times New Roman"/>
                <w:lang w:val="zh-CN"/>
              </w:rPr>
            </w:pPr>
            <w:r>
              <w:rPr>
                <w:rFonts w:ascii="Times New Roman" w:hAnsi="Times New Roman"/>
                <w:lang w:val="zh-CN"/>
              </w:rPr>
              <w:t>4</w:t>
            </w:r>
          </w:p>
        </w:tc>
        <w:tc>
          <w:tcPr>
            <w:tcW w:w="840" w:type="dxa"/>
            <w:vAlign w:val="center"/>
          </w:tcPr>
          <w:p>
            <w:pPr>
              <w:jc w:val="center"/>
              <w:rPr>
                <w:rFonts w:ascii="Times New Roman" w:hAnsi="Times New Roman"/>
                <w:lang w:val="zh-CN"/>
              </w:rPr>
            </w:pPr>
            <w:r>
              <w:rPr>
                <w:rFonts w:ascii="Times New Roman" w:hAnsi="Times New Roman"/>
                <w:lang w:val="zh-CN"/>
              </w:rPr>
              <w:t>5</w:t>
            </w:r>
          </w:p>
        </w:tc>
        <w:tc>
          <w:tcPr>
            <w:tcW w:w="840" w:type="dxa"/>
            <w:vAlign w:val="center"/>
          </w:tcPr>
          <w:p>
            <w:pPr>
              <w:jc w:val="center"/>
              <w:rPr>
                <w:rFonts w:ascii="Times New Roman" w:hAnsi="Times New Roman"/>
                <w:lang w:val="zh-CN"/>
              </w:rPr>
            </w:pPr>
            <w:r>
              <w:rPr>
                <w:rFonts w:ascii="Times New Roman" w:hAnsi="Times New Roman"/>
                <w:lang w:val="zh-CN"/>
              </w:rPr>
              <w:t>6</w:t>
            </w:r>
          </w:p>
        </w:tc>
        <w:tc>
          <w:tcPr>
            <w:tcW w:w="635" w:type="dxa"/>
            <w:vAlign w:val="center"/>
          </w:tcPr>
          <w:p>
            <w:pPr>
              <w:jc w:val="center"/>
              <w:rPr>
                <w:rFonts w:ascii="Times New Roman" w:hAnsi="Times New Roman"/>
                <w:lang w:val="zh-CN"/>
              </w:rPr>
            </w:pPr>
            <w:r>
              <w:rPr>
                <w:rFonts w:ascii="Times New Roman" w:hAnsi="Times New Roman"/>
                <w:lang w:val="zh-CN"/>
              </w:rPr>
              <w:t>9</w:t>
            </w:r>
          </w:p>
        </w:tc>
        <w:tc>
          <w:tcPr>
            <w:tcW w:w="562" w:type="dxa"/>
            <w:vAlign w:val="center"/>
          </w:tcPr>
          <w:p>
            <w:pPr>
              <w:jc w:val="center"/>
              <w:rPr>
                <w:rFonts w:ascii="Times New Roman" w:hAnsi="Times New Roman"/>
                <w:lang w:val="zh-CN"/>
              </w:rPr>
            </w:pPr>
            <w:r>
              <w:rPr>
                <w:rFonts w:ascii="Times New Roman" w:hAnsi="Times New Roman"/>
                <w:lang w:val="zh-CN"/>
              </w:rPr>
              <w:t>11</w:t>
            </w:r>
          </w:p>
        </w:tc>
        <w:tc>
          <w:tcPr>
            <w:tcW w:w="823" w:type="dxa"/>
            <w:vAlign w:val="center"/>
          </w:tcPr>
          <w:p>
            <w:pPr>
              <w:jc w:val="center"/>
              <w:rPr>
                <w:rFonts w:ascii="Times New Roman" w:hAnsi="Times New Roman"/>
                <w:lang w:val="zh-CN"/>
              </w:rPr>
            </w:pPr>
            <w:r>
              <w:rPr>
                <w:rFonts w:ascii="Times New Roman" w:hAnsi="Times New Roman"/>
                <w:lang w:val="zh-CN"/>
              </w:rPr>
              <w:t>14</w:t>
            </w:r>
          </w:p>
        </w:tc>
        <w:tc>
          <w:tcPr>
            <w:tcW w:w="823" w:type="dxa"/>
            <w:vAlign w:val="center"/>
          </w:tcPr>
          <w:p>
            <w:pPr>
              <w:jc w:val="center"/>
              <w:rPr>
                <w:rFonts w:ascii="Times New Roman" w:hAnsi="Times New Roman"/>
                <w:lang w:val="zh-CN"/>
              </w:rPr>
            </w:pPr>
            <w:r>
              <w:rPr>
                <w:rFonts w:ascii="Times New Roman" w:hAnsi="Times New Roman"/>
                <w:lang w:val="zh-CN"/>
              </w:rPr>
              <w:t>9</w:t>
            </w:r>
          </w:p>
        </w:tc>
        <w:tc>
          <w:tcPr>
            <w:tcW w:w="591" w:type="dxa"/>
            <w:vAlign w:val="center"/>
          </w:tcPr>
          <w:p>
            <w:pPr>
              <w:jc w:val="center"/>
              <w:rPr>
                <w:rFonts w:ascii="Times New Roman" w:hAnsi="Times New Roman"/>
                <w:lang w:val="zh-CN"/>
              </w:rPr>
            </w:pPr>
            <w:r>
              <w:rPr>
                <w:rFonts w:ascii="Times New Roman" w:hAnsi="Times New Roman"/>
                <w:lang w:val="zh-CN"/>
              </w:rPr>
              <w:t>5</w:t>
            </w:r>
          </w:p>
        </w:tc>
        <w:tc>
          <w:tcPr>
            <w:tcW w:w="840" w:type="dxa"/>
            <w:vAlign w:val="center"/>
          </w:tcPr>
          <w:p>
            <w:pPr>
              <w:jc w:val="center"/>
              <w:rPr>
                <w:rFonts w:ascii="Times New Roman" w:hAnsi="Times New Roman"/>
                <w:lang w:val="zh-CN"/>
              </w:rPr>
            </w:pPr>
            <w:r>
              <w:rPr>
                <w:rFonts w:ascii="Times New Roman" w:hAnsi="Times New Roman"/>
                <w:lang w:val="zh-CN"/>
              </w:rPr>
              <w:t>2</w:t>
            </w:r>
          </w:p>
        </w:tc>
        <w:tc>
          <w:tcPr>
            <w:tcW w:w="840" w:type="dxa"/>
            <w:vAlign w:val="center"/>
          </w:tcPr>
          <w:p>
            <w:pPr>
              <w:jc w:val="center"/>
              <w:rPr>
                <w:rFonts w:ascii="Times New Roman" w:hAnsi="Times New Roman"/>
                <w:lang w:val="zh-CN"/>
              </w:rPr>
            </w:pPr>
            <w:r>
              <w:rPr>
                <w:rFonts w:ascii="Times New Roman" w:hAnsi="Times New Roman"/>
                <w:lang w:val="zh-CN"/>
              </w:rPr>
              <w:t>2</w:t>
            </w:r>
          </w:p>
        </w:tc>
        <w:tc>
          <w:tcPr>
            <w:tcW w:w="840" w:type="dxa"/>
            <w:vAlign w:val="center"/>
          </w:tcPr>
          <w:p>
            <w:pPr>
              <w:jc w:val="center"/>
              <w:rPr>
                <w:rFonts w:ascii="Times New Roman" w:hAnsi="Times New Roman"/>
                <w:lang w:val="zh-CN"/>
              </w:rPr>
            </w:pPr>
            <w:r>
              <w:rPr>
                <w:rFonts w:ascii="Times New Roman" w:hAnsi="Times New Roman"/>
                <w:lang w:val="zh-CN"/>
              </w:rPr>
              <w:t>2</w:t>
            </w:r>
          </w:p>
        </w:tc>
        <w:tc>
          <w:tcPr>
            <w:tcW w:w="540" w:type="dxa"/>
            <w:vAlign w:val="center"/>
          </w:tcPr>
          <w:p>
            <w:pPr>
              <w:jc w:val="center"/>
              <w:rPr>
                <w:rFonts w:ascii="Times New Roman" w:hAnsi="Times New Roman"/>
                <w:lang w:val="zh-CN"/>
              </w:rPr>
            </w:pPr>
            <w:r>
              <w:rPr>
                <w:rFonts w:ascii="Times New Roman" w:hAnsi="Times New Roman"/>
                <w:lang w:val="zh-CN"/>
              </w:rPr>
              <w:t>13</w:t>
            </w:r>
          </w:p>
        </w:tc>
      </w:tr>
      <w:tr>
        <w:tblPrEx>
          <w:tblBorders>
            <w:top w:val="single" w:color="auto" w:sz="12" w:space="0"/>
            <w:left w:val="dotted" w:color="auto" w:sz="4" w:space="0"/>
            <w:bottom w:val="single" w:color="auto" w:sz="12" w:space="0"/>
            <w:right w:val="dotted" w:color="auto" w:sz="4" w:space="0"/>
            <w:insideH w:val="single" w:color="auto" w:sz="2" w:space="0"/>
            <w:insideV w:val="single" w:color="auto" w:sz="2" w:space="0"/>
          </w:tblBorders>
          <w:tblCellMar>
            <w:top w:w="0" w:type="dxa"/>
            <w:left w:w="30" w:type="dxa"/>
            <w:bottom w:w="0" w:type="dxa"/>
            <w:right w:w="30" w:type="dxa"/>
          </w:tblCellMar>
        </w:tblPrEx>
        <w:trPr>
          <w:trHeight w:val="293" w:hRule="atLeast"/>
          <w:jc w:val="center"/>
        </w:trPr>
        <w:tc>
          <w:tcPr>
            <w:tcW w:w="1290" w:type="dxa"/>
            <w:vAlign w:val="center"/>
          </w:tcPr>
          <w:p>
            <w:pPr>
              <w:jc w:val="center"/>
              <w:rPr>
                <w:rFonts w:ascii="Times New Roman" w:hAnsi="Times New Roman"/>
                <w:lang w:val="zh-CN"/>
              </w:rPr>
            </w:pPr>
            <w:r>
              <w:rPr>
                <w:rFonts w:ascii="Times New Roman" w:hAnsi="Times New Roman"/>
                <w:lang w:val="zh-CN"/>
              </w:rPr>
              <w:t>八月</w:t>
            </w:r>
          </w:p>
        </w:tc>
        <w:tc>
          <w:tcPr>
            <w:tcW w:w="525" w:type="dxa"/>
            <w:vAlign w:val="center"/>
          </w:tcPr>
          <w:p>
            <w:pPr>
              <w:jc w:val="center"/>
              <w:rPr>
                <w:rFonts w:ascii="Times New Roman" w:hAnsi="Times New Roman"/>
                <w:lang w:val="zh-CN"/>
              </w:rPr>
            </w:pPr>
            <w:r>
              <w:rPr>
                <w:rFonts w:ascii="Times New Roman" w:hAnsi="Times New Roman"/>
                <w:lang w:val="zh-CN"/>
              </w:rPr>
              <w:t>4</w:t>
            </w:r>
          </w:p>
        </w:tc>
        <w:tc>
          <w:tcPr>
            <w:tcW w:w="735" w:type="dxa"/>
            <w:vAlign w:val="center"/>
          </w:tcPr>
          <w:p>
            <w:pPr>
              <w:jc w:val="center"/>
              <w:rPr>
                <w:rFonts w:ascii="Times New Roman" w:hAnsi="Times New Roman"/>
                <w:lang w:val="zh-CN"/>
              </w:rPr>
            </w:pPr>
            <w:r>
              <w:rPr>
                <w:rFonts w:ascii="Times New Roman" w:hAnsi="Times New Roman"/>
                <w:lang w:val="zh-CN"/>
              </w:rPr>
              <w:t>4</w:t>
            </w:r>
          </w:p>
        </w:tc>
        <w:tc>
          <w:tcPr>
            <w:tcW w:w="720" w:type="dxa"/>
            <w:vAlign w:val="center"/>
          </w:tcPr>
          <w:p>
            <w:pPr>
              <w:jc w:val="center"/>
              <w:rPr>
                <w:rFonts w:ascii="Times New Roman" w:hAnsi="Times New Roman"/>
                <w:lang w:val="zh-CN"/>
              </w:rPr>
            </w:pPr>
            <w:r>
              <w:rPr>
                <w:rFonts w:ascii="Times New Roman" w:hAnsi="Times New Roman"/>
                <w:lang w:val="zh-CN"/>
              </w:rPr>
              <w:t>5</w:t>
            </w:r>
          </w:p>
        </w:tc>
        <w:tc>
          <w:tcPr>
            <w:tcW w:w="750" w:type="dxa"/>
            <w:vAlign w:val="center"/>
          </w:tcPr>
          <w:p>
            <w:pPr>
              <w:jc w:val="center"/>
              <w:rPr>
                <w:rFonts w:ascii="Times New Roman" w:hAnsi="Times New Roman"/>
                <w:lang w:val="zh-CN"/>
              </w:rPr>
            </w:pPr>
            <w:r>
              <w:rPr>
                <w:rFonts w:ascii="Times New Roman" w:hAnsi="Times New Roman"/>
                <w:lang w:val="zh-CN"/>
              </w:rPr>
              <w:t>3</w:t>
            </w:r>
          </w:p>
        </w:tc>
        <w:tc>
          <w:tcPr>
            <w:tcW w:w="688" w:type="dxa"/>
            <w:vAlign w:val="center"/>
          </w:tcPr>
          <w:p>
            <w:pPr>
              <w:jc w:val="center"/>
              <w:rPr>
                <w:rFonts w:ascii="Times New Roman" w:hAnsi="Times New Roman"/>
                <w:lang w:val="zh-CN"/>
              </w:rPr>
            </w:pPr>
            <w:r>
              <w:rPr>
                <w:rFonts w:ascii="Times New Roman" w:hAnsi="Times New Roman"/>
                <w:lang w:val="zh-CN"/>
              </w:rPr>
              <w:t>2</w:t>
            </w:r>
          </w:p>
        </w:tc>
        <w:tc>
          <w:tcPr>
            <w:tcW w:w="662" w:type="dxa"/>
            <w:vAlign w:val="center"/>
          </w:tcPr>
          <w:p>
            <w:pPr>
              <w:jc w:val="center"/>
              <w:rPr>
                <w:rFonts w:ascii="Times New Roman" w:hAnsi="Times New Roman"/>
                <w:lang w:val="zh-CN"/>
              </w:rPr>
            </w:pPr>
            <w:r>
              <w:rPr>
                <w:rFonts w:ascii="Times New Roman" w:hAnsi="Times New Roman"/>
                <w:lang w:val="zh-CN"/>
              </w:rPr>
              <w:t>2</w:t>
            </w:r>
          </w:p>
        </w:tc>
        <w:tc>
          <w:tcPr>
            <w:tcW w:w="840" w:type="dxa"/>
            <w:vAlign w:val="center"/>
          </w:tcPr>
          <w:p>
            <w:pPr>
              <w:jc w:val="center"/>
              <w:rPr>
                <w:rFonts w:ascii="Times New Roman" w:hAnsi="Times New Roman"/>
                <w:lang w:val="zh-CN"/>
              </w:rPr>
            </w:pPr>
            <w:r>
              <w:rPr>
                <w:rFonts w:ascii="Times New Roman" w:hAnsi="Times New Roman"/>
                <w:lang w:val="zh-CN"/>
              </w:rPr>
              <w:t>3</w:t>
            </w:r>
          </w:p>
        </w:tc>
        <w:tc>
          <w:tcPr>
            <w:tcW w:w="840" w:type="dxa"/>
            <w:vAlign w:val="center"/>
          </w:tcPr>
          <w:p>
            <w:pPr>
              <w:jc w:val="center"/>
              <w:rPr>
                <w:rFonts w:ascii="Times New Roman" w:hAnsi="Times New Roman"/>
                <w:lang w:val="zh-CN"/>
              </w:rPr>
            </w:pPr>
            <w:r>
              <w:rPr>
                <w:rFonts w:ascii="Times New Roman" w:hAnsi="Times New Roman"/>
                <w:lang w:val="zh-CN"/>
              </w:rPr>
              <w:t>4</w:t>
            </w:r>
          </w:p>
        </w:tc>
        <w:tc>
          <w:tcPr>
            <w:tcW w:w="635" w:type="dxa"/>
            <w:vAlign w:val="center"/>
          </w:tcPr>
          <w:p>
            <w:pPr>
              <w:jc w:val="center"/>
              <w:rPr>
                <w:rFonts w:ascii="Times New Roman" w:hAnsi="Times New Roman"/>
                <w:lang w:val="zh-CN"/>
              </w:rPr>
            </w:pPr>
            <w:r>
              <w:rPr>
                <w:rFonts w:ascii="Times New Roman" w:hAnsi="Times New Roman"/>
                <w:lang w:val="zh-CN"/>
              </w:rPr>
              <w:t>7</w:t>
            </w:r>
          </w:p>
        </w:tc>
        <w:tc>
          <w:tcPr>
            <w:tcW w:w="562" w:type="dxa"/>
            <w:vAlign w:val="center"/>
          </w:tcPr>
          <w:p>
            <w:pPr>
              <w:jc w:val="center"/>
              <w:rPr>
                <w:rFonts w:ascii="Times New Roman" w:hAnsi="Times New Roman"/>
                <w:lang w:val="zh-CN"/>
              </w:rPr>
            </w:pPr>
            <w:r>
              <w:rPr>
                <w:rFonts w:ascii="Times New Roman" w:hAnsi="Times New Roman"/>
                <w:lang w:val="zh-CN"/>
              </w:rPr>
              <w:t>11</w:t>
            </w:r>
          </w:p>
        </w:tc>
        <w:tc>
          <w:tcPr>
            <w:tcW w:w="823" w:type="dxa"/>
            <w:vAlign w:val="center"/>
          </w:tcPr>
          <w:p>
            <w:pPr>
              <w:jc w:val="center"/>
              <w:rPr>
                <w:rFonts w:ascii="Times New Roman" w:hAnsi="Times New Roman"/>
                <w:lang w:val="zh-CN"/>
              </w:rPr>
            </w:pPr>
            <w:r>
              <w:rPr>
                <w:rFonts w:ascii="Times New Roman" w:hAnsi="Times New Roman"/>
                <w:lang w:val="zh-CN"/>
              </w:rPr>
              <w:t>16</w:t>
            </w:r>
          </w:p>
        </w:tc>
        <w:tc>
          <w:tcPr>
            <w:tcW w:w="823" w:type="dxa"/>
            <w:vAlign w:val="center"/>
          </w:tcPr>
          <w:p>
            <w:pPr>
              <w:jc w:val="center"/>
              <w:rPr>
                <w:rFonts w:ascii="Times New Roman" w:hAnsi="Times New Roman"/>
                <w:lang w:val="zh-CN"/>
              </w:rPr>
            </w:pPr>
            <w:r>
              <w:rPr>
                <w:rFonts w:ascii="Times New Roman" w:hAnsi="Times New Roman"/>
                <w:lang w:val="zh-CN"/>
              </w:rPr>
              <w:t>12</w:t>
            </w:r>
          </w:p>
        </w:tc>
        <w:tc>
          <w:tcPr>
            <w:tcW w:w="591" w:type="dxa"/>
            <w:vAlign w:val="center"/>
          </w:tcPr>
          <w:p>
            <w:pPr>
              <w:jc w:val="center"/>
              <w:rPr>
                <w:rFonts w:ascii="Times New Roman" w:hAnsi="Times New Roman"/>
                <w:lang w:val="zh-CN"/>
              </w:rPr>
            </w:pPr>
            <w:r>
              <w:rPr>
                <w:rFonts w:ascii="Times New Roman" w:hAnsi="Times New Roman"/>
                <w:lang w:val="zh-CN"/>
              </w:rPr>
              <w:t>6</w:t>
            </w:r>
          </w:p>
        </w:tc>
        <w:tc>
          <w:tcPr>
            <w:tcW w:w="840" w:type="dxa"/>
            <w:vAlign w:val="center"/>
          </w:tcPr>
          <w:p>
            <w:pPr>
              <w:jc w:val="center"/>
              <w:rPr>
                <w:rFonts w:ascii="Times New Roman" w:hAnsi="Times New Roman"/>
                <w:lang w:val="zh-CN"/>
              </w:rPr>
            </w:pPr>
            <w:r>
              <w:rPr>
                <w:rFonts w:ascii="Times New Roman" w:hAnsi="Times New Roman"/>
                <w:lang w:val="zh-CN"/>
              </w:rPr>
              <w:t>3</w:t>
            </w:r>
          </w:p>
        </w:tc>
        <w:tc>
          <w:tcPr>
            <w:tcW w:w="840" w:type="dxa"/>
            <w:vAlign w:val="center"/>
          </w:tcPr>
          <w:p>
            <w:pPr>
              <w:jc w:val="center"/>
              <w:rPr>
                <w:rFonts w:ascii="Times New Roman" w:hAnsi="Times New Roman"/>
                <w:lang w:val="zh-CN"/>
              </w:rPr>
            </w:pPr>
            <w:r>
              <w:rPr>
                <w:rFonts w:ascii="Times New Roman" w:hAnsi="Times New Roman"/>
                <w:lang w:val="zh-CN"/>
              </w:rPr>
              <w:t>3</w:t>
            </w:r>
          </w:p>
        </w:tc>
        <w:tc>
          <w:tcPr>
            <w:tcW w:w="840" w:type="dxa"/>
            <w:vAlign w:val="center"/>
          </w:tcPr>
          <w:p>
            <w:pPr>
              <w:jc w:val="center"/>
              <w:rPr>
                <w:rFonts w:ascii="Times New Roman" w:hAnsi="Times New Roman"/>
                <w:lang w:val="zh-CN"/>
              </w:rPr>
            </w:pPr>
            <w:r>
              <w:rPr>
                <w:rFonts w:ascii="Times New Roman" w:hAnsi="Times New Roman"/>
                <w:lang w:val="zh-CN"/>
              </w:rPr>
              <w:t>2</w:t>
            </w:r>
          </w:p>
        </w:tc>
        <w:tc>
          <w:tcPr>
            <w:tcW w:w="540" w:type="dxa"/>
            <w:vAlign w:val="center"/>
          </w:tcPr>
          <w:p>
            <w:pPr>
              <w:jc w:val="center"/>
              <w:rPr>
                <w:rFonts w:ascii="Times New Roman" w:hAnsi="Times New Roman"/>
                <w:lang w:val="zh-CN"/>
              </w:rPr>
            </w:pPr>
            <w:r>
              <w:rPr>
                <w:rFonts w:ascii="Times New Roman" w:hAnsi="Times New Roman"/>
                <w:lang w:val="zh-CN"/>
              </w:rPr>
              <w:t>13</w:t>
            </w:r>
          </w:p>
        </w:tc>
      </w:tr>
      <w:tr>
        <w:tblPrEx>
          <w:tblBorders>
            <w:top w:val="single" w:color="auto" w:sz="12" w:space="0"/>
            <w:left w:val="dotted" w:color="auto" w:sz="4" w:space="0"/>
            <w:bottom w:val="single" w:color="auto" w:sz="12" w:space="0"/>
            <w:right w:val="dotted" w:color="auto" w:sz="4" w:space="0"/>
            <w:insideH w:val="single" w:color="auto" w:sz="2" w:space="0"/>
            <w:insideV w:val="single" w:color="auto" w:sz="2" w:space="0"/>
          </w:tblBorders>
          <w:tblCellMar>
            <w:top w:w="0" w:type="dxa"/>
            <w:left w:w="30" w:type="dxa"/>
            <w:bottom w:w="0" w:type="dxa"/>
            <w:right w:w="30" w:type="dxa"/>
          </w:tblCellMar>
        </w:tblPrEx>
        <w:trPr>
          <w:trHeight w:val="293" w:hRule="atLeast"/>
          <w:jc w:val="center"/>
        </w:trPr>
        <w:tc>
          <w:tcPr>
            <w:tcW w:w="1290" w:type="dxa"/>
            <w:vAlign w:val="center"/>
          </w:tcPr>
          <w:p>
            <w:pPr>
              <w:jc w:val="center"/>
              <w:rPr>
                <w:rFonts w:ascii="Times New Roman" w:hAnsi="Times New Roman"/>
                <w:lang w:val="zh-CN"/>
              </w:rPr>
            </w:pPr>
            <w:r>
              <w:rPr>
                <w:rFonts w:ascii="Times New Roman" w:hAnsi="Times New Roman"/>
                <w:lang w:val="zh-CN"/>
              </w:rPr>
              <w:t>九月</w:t>
            </w:r>
          </w:p>
        </w:tc>
        <w:tc>
          <w:tcPr>
            <w:tcW w:w="525" w:type="dxa"/>
            <w:vAlign w:val="center"/>
          </w:tcPr>
          <w:p>
            <w:pPr>
              <w:jc w:val="center"/>
              <w:rPr>
                <w:rFonts w:ascii="Times New Roman" w:hAnsi="Times New Roman"/>
                <w:lang w:val="zh-CN"/>
              </w:rPr>
            </w:pPr>
            <w:r>
              <w:rPr>
                <w:rFonts w:ascii="Times New Roman" w:hAnsi="Times New Roman"/>
                <w:lang w:val="zh-CN"/>
              </w:rPr>
              <w:t>4</w:t>
            </w:r>
          </w:p>
        </w:tc>
        <w:tc>
          <w:tcPr>
            <w:tcW w:w="735" w:type="dxa"/>
            <w:vAlign w:val="center"/>
          </w:tcPr>
          <w:p>
            <w:pPr>
              <w:jc w:val="center"/>
              <w:rPr>
                <w:rFonts w:ascii="Times New Roman" w:hAnsi="Times New Roman"/>
                <w:lang w:val="zh-CN"/>
              </w:rPr>
            </w:pPr>
            <w:r>
              <w:rPr>
                <w:rFonts w:ascii="Times New Roman" w:hAnsi="Times New Roman"/>
                <w:lang w:val="zh-CN"/>
              </w:rPr>
              <w:t>2</w:t>
            </w:r>
          </w:p>
        </w:tc>
        <w:tc>
          <w:tcPr>
            <w:tcW w:w="720" w:type="dxa"/>
            <w:vAlign w:val="center"/>
          </w:tcPr>
          <w:p>
            <w:pPr>
              <w:jc w:val="center"/>
              <w:rPr>
                <w:rFonts w:ascii="Times New Roman" w:hAnsi="Times New Roman"/>
                <w:lang w:val="zh-CN"/>
              </w:rPr>
            </w:pPr>
            <w:r>
              <w:rPr>
                <w:rFonts w:ascii="Times New Roman" w:hAnsi="Times New Roman"/>
                <w:lang w:val="zh-CN"/>
              </w:rPr>
              <w:t>3</w:t>
            </w:r>
          </w:p>
        </w:tc>
        <w:tc>
          <w:tcPr>
            <w:tcW w:w="750" w:type="dxa"/>
            <w:vAlign w:val="center"/>
          </w:tcPr>
          <w:p>
            <w:pPr>
              <w:jc w:val="center"/>
              <w:rPr>
                <w:rFonts w:ascii="Times New Roman" w:hAnsi="Times New Roman"/>
                <w:lang w:val="zh-CN"/>
              </w:rPr>
            </w:pPr>
            <w:r>
              <w:rPr>
                <w:rFonts w:ascii="Times New Roman" w:hAnsi="Times New Roman"/>
                <w:lang w:val="zh-CN"/>
              </w:rPr>
              <w:t>1</w:t>
            </w:r>
          </w:p>
        </w:tc>
        <w:tc>
          <w:tcPr>
            <w:tcW w:w="688" w:type="dxa"/>
            <w:vAlign w:val="center"/>
          </w:tcPr>
          <w:p>
            <w:pPr>
              <w:jc w:val="center"/>
              <w:rPr>
                <w:rFonts w:ascii="Times New Roman" w:hAnsi="Times New Roman"/>
                <w:lang w:val="zh-CN"/>
              </w:rPr>
            </w:pPr>
            <w:r>
              <w:rPr>
                <w:rFonts w:ascii="Times New Roman" w:hAnsi="Times New Roman"/>
                <w:lang w:val="zh-CN"/>
              </w:rPr>
              <w:t>2</w:t>
            </w:r>
          </w:p>
        </w:tc>
        <w:tc>
          <w:tcPr>
            <w:tcW w:w="662" w:type="dxa"/>
            <w:vAlign w:val="center"/>
          </w:tcPr>
          <w:p>
            <w:pPr>
              <w:jc w:val="center"/>
              <w:rPr>
                <w:rFonts w:ascii="Times New Roman" w:hAnsi="Times New Roman"/>
                <w:lang w:val="zh-CN"/>
              </w:rPr>
            </w:pPr>
            <w:r>
              <w:rPr>
                <w:rFonts w:ascii="Times New Roman" w:hAnsi="Times New Roman"/>
                <w:lang w:val="zh-CN"/>
              </w:rPr>
              <w:t>1</w:t>
            </w:r>
          </w:p>
        </w:tc>
        <w:tc>
          <w:tcPr>
            <w:tcW w:w="840" w:type="dxa"/>
            <w:vAlign w:val="center"/>
          </w:tcPr>
          <w:p>
            <w:pPr>
              <w:jc w:val="center"/>
              <w:rPr>
                <w:rFonts w:ascii="Times New Roman" w:hAnsi="Times New Roman"/>
                <w:lang w:val="zh-CN"/>
              </w:rPr>
            </w:pPr>
            <w:r>
              <w:rPr>
                <w:rFonts w:ascii="Times New Roman" w:hAnsi="Times New Roman"/>
                <w:lang w:val="zh-CN"/>
              </w:rPr>
              <w:t>3</w:t>
            </w:r>
          </w:p>
        </w:tc>
        <w:tc>
          <w:tcPr>
            <w:tcW w:w="840" w:type="dxa"/>
            <w:vAlign w:val="center"/>
          </w:tcPr>
          <w:p>
            <w:pPr>
              <w:jc w:val="center"/>
              <w:rPr>
                <w:rFonts w:ascii="Times New Roman" w:hAnsi="Times New Roman"/>
                <w:lang w:val="zh-CN"/>
              </w:rPr>
            </w:pPr>
            <w:r>
              <w:rPr>
                <w:rFonts w:ascii="Times New Roman" w:hAnsi="Times New Roman"/>
                <w:lang w:val="zh-CN"/>
              </w:rPr>
              <w:t>3</w:t>
            </w:r>
          </w:p>
        </w:tc>
        <w:tc>
          <w:tcPr>
            <w:tcW w:w="635" w:type="dxa"/>
            <w:vAlign w:val="center"/>
          </w:tcPr>
          <w:p>
            <w:pPr>
              <w:jc w:val="center"/>
              <w:rPr>
                <w:rFonts w:ascii="Times New Roman" w:hAnsi="Times New Roman"/>
                <w:lang w:val="zh-CN"/>
              </w:rPr>
            </w:pPr>
            <w:r>
              <w:rPr>
                <w:rFonts w:ascii="Times New Roman" w:hAnsi="Times New Roman"/>
                <w:lang w:val="zh-CN"/>
              </w:rPr>
              <w:t>9</w:t>
            </w:r>
          </w:p>
        </w:tc>
        <w:tc>
          <w:tcPr>
            <w:tcW w:w="562" w:type="dxa"/>
            <w:vAlign w:val="center"/>
          </w:tcPr>
          <w:p>
            <w:pPr>
              <w:jc w:val="center"/>
              <w:rPr>
                <w:rFonts w:ascii="Times New Roman" w:hAnsi="Times New Roman"/>
                <w:lang w:val="zh-CN"/>
              </w:rPr>
            </w:pPr>
            <w:r>
              <w:rPr>
                <w:rFonts w:ascii="Times New Roman" w:hAnsi="Times New Roman"/>
                <w:lang w:val="zh-CN"/>
              </w:rPr>
              <w:t>13</w:t>
            </w:r>
          </w:p>
        </w:tc>
        <w:tc>
          <w:tcPr>
            <w:tcW w:w="823" w:type="dxa"/>
            <w:vAlign w:val="center"/>
          </w:tcPr>
          <w:p>
            <w:pPr>
              <w:jc w:val="center"/>
              <w:rPr>
                <w:rFonts w:ascii="Times New Roman" w:hAnsi="Times New Roman"/>
                <w:lang w:val="zh-CN"/>
              </w:rPr>
            </w:pPr>
            <w:r>
              <w:rPr>
                <w:rFonts w:ascii="Times New Roman" w:hAnsi="Times New Roman"/>
                <w:lang w:val="zh-CN"/>
              </w:rPr>
              <w:t>18</w:t>
            </w:r>
          </w:p>
        </w:tc>
        <w:tc>
          <w:tcPr>
            <w:tcW w:w="823" w:type="dxa"/>
            <w:vAlign w:val="center"/>
          </w:tcPr>
          <w:p>
            <w:pPr>
              <w:jc w:val="center"/>
              <w:rPr>
                <w:rFonts w:ascii="Times New Roman" w:hAnsi="Times New Roman"/>
                <w:lang w:val="zh-CN"/>
              </w:rPr>
            </w:pPr>
            <w:r>
              <w:rPr>
                <w:rFonts w:ascii="Times New Roman" w:hAnsi="Times New Roman"/>
                <w:lang w:val="zh-CN"/>
              </w:rPr>
              <w:t>14</w:t>
            </w:r>
          </w:p>
        </w:tc>
        <w:tc>
          <w:tcPr>
            <w:tcW w:w="591" w:type="dxa"/>
            <w:vAlign w:val="center"/>
          </w:tcPr>
          <w:p>
            <w:pPr>
              <w:jc w:val="center"/>
              <w:rPr>
                <w:rFonts w:ascii="Times New Roman" w:hAnsi="Times New Roman"/>
                <w:lang w:val="zh-CN"/>
              </w:rPr>
            </w:pPr>
            <w:r>
              <w:rPr>
                <w:rFonts w:ascii="Times New Roman" w:hAnsi="Times New Roman"/>
                <w:lang w:val="zh-CN"/>
              </w:rPr>
              <w:t>8</w:t>
            </w:r>
          </w:p>
        </w:tc>
        <w:tc>
          <w:tcPr>
            <w:tcW w:w="840" w:type="dxa"/>
            <w:vAlign w:val="center"/>
          </w:tcPr>
          <w:p>
            <w:pPr>
              <w:jc w:val="center"/>
              <w:rPr>
                <w:rFonts w:ascii="Times New Roman" w:hAnsi="Times New Roman"/>
                <w:lang w:val="zh-CN"/>
              </w:rPr>
            </w:pPr>
            <w:r>
              <w:rPr>
                <w:rFonts w:ascii="Times New Roman" w:hAnsi="Times New Roman"/>
                <w:lang w:val="zh-CN"/>
              </w:rPr>
              <w:t>4</w:t>
            </w:r>
          </w:p>
        </w:tc>
        <w:tc>
          <w:tcPr>
            <w:tcW w:w="840" w:type="dxa"/>
            <w:vAlign w:val="center"/>
          </w:tcPr>
          <w:p>
            <w:pPr>
              <w:jc w:val="center"/>
              <w:rPr>
                <w:rFonts w:ascii="Times New Roman" w:hAnsi="Times New Roman"/>
                <w:lang w:val="zh-CN"/>
              </w:rPr>
            </w:pPr>
            <w:r>
              <w:rPr>
                <w:rFonts w:ascii="Times New Roman" w:hAnsi="Times New Roman"/>
                <w:lang w:val="zh-CN"/>
              </w:rPr>
              <w:t>5</w:t>
            </w:r>
          </w:p>
        </w:tc>
        <w:tc>
          <w:tcPr>
            <w:tcW w:w="840" w:type="dxa"/>
            <w:vAlign w:val="center"/>
          </w:tcPr>
          <w:p>
            <w:pPr>
              <w:jc w:val="center"/>
              <w:rPr>
                <w:rFonts w:ascii="Times New Roman" w:hAnsi="Times New Roman"/>
                <w:lang w:val="zh-CN"/>
              </w:rPr>
            </w:pPr>
            <w:r>
              <w:rPr>
                <w:rFonts w:ascii="Times New Roman" w:hAnsi="Times New Roman"/>
                <w:lang w:val="zh-CN"/>
              </w:rPr>
              <w:t>3</w:t>
            </w:r>
          </w:p>
        </w:tc>
        <w:tc>
          <w:tcPr>
            <w:tcW w:w="540" w:type="dxa"/>
            <w:vAlign w:val="center"/>
          </w:tcPr>
          <w:p>
            <w:pPr>
              <w:jc w:val="center"/>
              <w:rPr>
                <w:rFonts w:ascii="Times New Roman" w:hAnsi="Times New Roman"/>
                <w:lang w:val="zh-CN"/>
              </w:rPr>
            </w:pPr>
            <w:r>
              <w:rPr>
                <w:rFonts w:ascii="Times New Roman" w:hAnsi="Times New Roman"/>
                <w:lang w:val="zh-CN"/>
              </w:rPr>
              <w:t>7</w:t>
            </w:r>
          </w:p>
        </w:tc>
      </w:tr>
      <w:tr>
        <w:tblPrEx>
          <w:tblBorders>
            <w:top w:val="single" w:color="auto" w:sz="12" w:space="0"/>
            <w:left w:val="dotted" w:color="auto" w:sz="4" w:space="0"/>
            <w:bottom w:val="single" w:color="auto" w:sz="12" w:space="0"/>
            <w:right w:val="dotted" w:color="auto" w:sz="4" w:space="0"/>
            <w:insideH w:val="single" w:color="auto" w:sz="2" w:space="0"/>
            <w:insideV w:val="single" w:color="auto" w:sz="2" w:space="0"/>
          </w:tblBorders>
          <w:tblCellMar>
            <w:top w:w="0" w:type="dxa"/>
            <w:left w:w="30" w:type="dxa"/>
            <w:bottom w:w="0" w:type="dxa"/>
            <w:right w:w="30" w:type="dxa"/>
          </w:tblCellMar>
        </w:tblPrEx>
        <w:trPr>
          <w:trHeight w:val="293" w:hRule="atLeast"/>
          <w:jc w:val="center"/>
        </w:trPr>
        <w:tc>
          <w:tcPr>
            <w:tcW w:w="1290" w:type="dxa"/>
            <w:vAlign w:val="center"/>
          </w:tcPr>
          <w:p>
            <w:pPr>
              <w:jc w:val="center"/>
              <w:rPr>
                <w:rFonts w:ascii="Times New Roman" w:hAnsi="Times New Roman"/>
                <w:lang w:val="zh-CN"/>
              </w:rPr>
            </w:pPr>
            <w:r>
              <w:rPr>
                <w:rFonts w:ascii="Times New Roman" w:hAnsi="Times New Roman"/>
                <w:lang w:val="zh-CN"/>
              </w:rPr>
              <w:t>十月</w:t>
            </w:r>
          </w:p>
        </w:tc>
        <w:tc>
          <w:tcPr>
            <w:tcW w:w="525" w:type="dxa"/>
            <w:vAlign w:val="center"/>
          </w:tcPr>
          <w:p>
            <w:pPr>
              <w:jc w:val="center"/>
              <w:rPr>
                <w:rFonts w:ascii="Times New Roman" w:hAnsi="Times New Roman"/>
                <w:lang w:val="zh-CN"/>
              </w:rPr>
            </w:pPr>
            <w:r>
              <w:rPr>
                <w:rFonts w:ascii="Times New Roman" w:hAnsi="Times New Roman"/>
                <w:lang w:val="zh-CN"/>
              </w:rPr>
              <w:t>5</w:t>
            </w:r>
          </w:p>
        </w:tc>
        <w:tc>
          <w:tcPr>
            <w:tcW w:w="735" w:type="dxa"/>
            <w:vAlign w:val="center"/>
          </w:tcPr>
          <w:p>
            <w:pPr>
              <w:jc w:val="center"/>
              <w:rPr>
                <w:rFonts w:ascii="Times New Roman" w:hAnsi="Times New Roman"/>
                <w:lang w:val="zh-CN"/>
              </w:rPr>
            </w:pPr>
            <w:r>
              <w:rPr>
                <w:rFonts w:ascii="Times New Roman" w:hAnsi="Times New Roman"/>
                <w:lang w:val="zh-CN"/>
              </w:rPr>
              <w:t>2</w:t>
            </w:r>
          </w:p>
        </w:tc>
        <w:tc>
          <w:tcPr>
            <w:tcW w:w="720" w:type="dxa"/>
            <w:vAlign w:val="center"/>
          </w:tcPr>
          <w:p>
            <w:pPr>
              <w:jc w:val="center"/>
              <w:rPr>
                <w:rFonts w:ascii="Times New Roman" w:hAnsi="Times New Roman"/>
                <w:lang w:val="zh-CN"/>
              </w:rPr>
            </w:pPr>
            <w:r>
              <w:rPr>
                <w:rFonts w:ascii="Times New Roman" w:hAnsi="Times New Roman"/>
                <w:lang w:val="zh-CN"/>
              </w:rPr>
              <w:t>3</w:t>
            </w:r>
          </w:p>
        </w:tc>
        <w:tc>
          <w:tcPr>
            <w:tcW w:w="750" w:type="dxa"/>
            <w:vAlign w:val="center"/>
          </w:tcPr>
          <w:p>
            <w:pPr>
              <w:jc w:val="center"/>
              <w:rPr>
                <w:rFonts w:ascii="Times New Roman" w:hAnsi="Times New Roman"/>
                <w:lang w:val="zh-CN"/>
              </w:rPr>
            </w:pPr>
            <w:r>
              <w:rPr>
                <w:rFonts w:ascii="Times New Roman" w:hAnsi="Times New Roman"/>
                <w:lang w:val="zh-CN"/>
              </w:rPr>
              <w:t>1</w:t>
            </w:r>
          </w:p>
        </w:tc>
        <w:tc>
          <w:tcPr>
            <w:tcW w:w="688" w:type="dxa"/>
            <w:vAlign w:val="center"/>
          </w:tcPr>
          <w:p>
            <w:pPr>
              <w:jc w:val="center"/>
              <w:rPr>
                <w:rFonts w:ascii="Times New Roman" w:hAnsi="Times New Roman"/>
                <w:lang w:val="zh-CN"/>
              </w:rPr>
            </w:pPr>
            <w:r>
              <w:rPr>
                <w:rFonts w:ascii="Times New Roman" w:hAnsi="Times New Roman"/>
                <w:lang w:val="zh-CN"/>
              </w:rPr>
              <w:t>1</w:t>
            </w:r>
          </w:p>
        </w:tc>
        <w:tc>
          <w:tcPr>
            <w:tcW w:w="662" w:type="dxa"/>
            <w:vAlign w:val="center"/>
          </w:tcPr>
          <w:p>
            <w:pPr>
              <w:jc w:val="center"/>
              <w:rPr>
                <w:rFonts w:ascii="Times New Roman" w:hAnsi="Times New Roman"/>
                <w:lang w:val="zh-CN"/>
              </w:rPr>
            </w:pPr>
            <w:r>
              <w:rPr>
                <w:rFonts w:ascii="Times New Roman" w:hAnsi="Times New Roman"/>
                <w:lang w:val="zh-CN"/>
              </w:rPr>
              <w:t>1</w:t>
            </w:r>
          </w:p>
        </w:tc>
        <w:tc>
          <w:tcPr>
            <w:tcW w:w="840" w:type="dxa"/>
            <w:vAlign w:val="center"/>
          </w:tcPr>
          <w:p>
            <w:pPr>
              <w:jc w:val="center"/>
              <w:rPr>
                <w:rFonts w:ascii="Times New Roman" w:hAnsi="Times New Roman"/>
                <w:lang w:val="zh-CN"/>
              </w:rPr>
            </w:pPr>
            <w:r>
              <w:rPr>
                <w:rFonts w:ascii="Times New Roman" w:hAnsi="Times New Roman"/>
                <w:lang w:val="zh-CN"/>
              </w:rPr>
              <w:t>2</w:t>
            </w:r>
          </w:p>
        </w:tc>
        <w:tc>
          <w:tcPr>
            <w:tcW w:w="840" w:type="dxa"/>
            <w:vAlign w:val="center"/>
          </w:tcPr>
          <w:p>
            <w:pPr>
              <w:jc w:val="center"/>
              <w:rPr>
                <w:rFonts w:ascii="Times New Roman" w:hAnsi="Times New Roman"/>
                <w:lang w:val="zh-CN"/>
              </w:rPr>
            </w:pPr>
            <w:r>
              <w:rPr>
                <w:rFonts w:ascii="Times New Roman" w:hAnsi="Times New Roman"/>
                <w:lang w:val="zh-CN"/>
              </w:rPr>
              <w:t>3</w:t>
            </w:r>
          </w:p>
        </w:tc>
        <w:tc>
          <w:tcPr>
            <w:tcW w:w="635" w:type="dxa"/>
            <w:vAlign w:val="center"/>
          </w:tcPr>
          <w:p>
            <w:pPr>
              <w:jc w:val="center"/>
              <w:rPr>
                <w:rFonts w:ascii="Times New Roman" w:hAnsi="Times New Roman"/>
                <w:lang w:val="zh-CN"/>
              </w:rPr>
            </w:pPr>
            <w:r>
              <w:rPr>
                <w:rFonts w:ascii="Times New Roman" w:hAnsi="Times New Roman"/>
                <w:lang w:val="zh-CN"/>
              </w:rPr>
              <w:t>7</w:t>
            </w:r>
          </w:p>
        </w:tc>
        <w:tc>
          <w:tcPr>
            <w:tcW w:w="562" w:type="dxa"/>
            <w:vAlign w:val="center"/>
          </w:tcPr>
          <w:p>
            <w:pPr>
              <w:jc w:val="center"/>
              <w:rPr>
                <w:rFonts w:ascii="Times New Roman" w:hAnsi="Times New Roman"/>
                <w:lang w:val="zh-CN"/>
              </w:rPr>
            </w:pPr>
            <w:r>
              <w:rPr>
                <w:rFonts w:ascii="Times New Roman" w:hAnsi="Times New Roman"/>
                <w:lang w:val="zh-CN"/>
              </w:rPr>
              <w:t>11</w:t>
            </w:r>
          </w:p>
        </w:tc>
        <w:tc>
          <w:tcPr>
            <w:tcW w:w="823" w:type="dxa"/>
            <w:vAlign w:val="center"/>
          </w:tcPr>
          <w:p>
            <w:pPr>
              <w:jc w:val="center"/>
              <w:rPr>
                <w:rFonts w:ascii="Times New Roman" w:hAnsi="Times New Roman"/>
                <w:lang w:val="zh-CN"/>
              </w:rPr>
            </w:pPr>
            <w:r>
              <w:rPr>
                <w:rFonts w:ascii="Times New Roman" w:hAnsi="Times New Roman"/>
                <w:lang w:val="zh-CN"/>
              </w:rPr>
              <w:t>18</w:t>
            </w:r>
          </w:p>
        </w:tc>
        <w:tc>
          <w:tcPr>
            <w:tcW w:w="823" w:type="dxa"/>
            <w:vAlign w:val="center"/>
          </w:tcPr>
          <w:p>
            <w:pPr>
              <w:jc w:val="center"/>
              <w:rPr>
                <w:rFonts w:ascii="Times New Roman" w:hAnsi="Times New Roman"/>
                <w:lang w:val="zh-CN"/>
              </w:rPr>
            </w:pPr>
            <w:r>
              <w:rPr>
                <w:rFonts w:ascii="Times New Roman" w:hAnsi="Times New Roman"/>
                <w:lang w:val="zh-CN"/>
              </w:rPr>
              <w:t>16</w:t>
            </w:r>
          </w:p>
        </w:tc>
        <w:tc>
          <w:tcPr>
            <w:tcW w:w="591" w:type="dxa"/>
            <w:vAlign w:val="center"/>
          </w:tcPr>
          <w:p>
            <w:pPr>
              <w:jc w:val="center"/>
              <w:rPr>
                <w:rFonts w:ascii="Times New Roman" w:hAnsi="Times New Roman"/>
                <w:lang w:val="zh-CN"/>
              </w:rPr>
            </w:pPr>
            <w:r>
              <w:rPr>
                <w:rFonts w:ascii="Times New Roman" w:hAnsi="Times New Roman"/>
                <w:lang w:val="zh-CN"/>
              </w:rPr>
              <w:t>11</w:t>
            </w:r>
          </w:p>
        </w:tc>
        <w:tc>
          <w:tcPr>
            <w:tcW w:w="840" w:type="dxa"/>
            <w:vAlign w:val="center"/>
          </w:tcPr>
          <w:p>
            <w:pPr>
              <w:jc w:val="center"/>
              <w:rPr>
                <w:rFonts w:ascii="Times New Roman" w:hAnsi="Times New Roman"/>
                <w:lang w:val="zh-CN"/>
              </w:rPr>
            </w:pPr>
            <w:r>
              <w:rPr>
                <w:rFonts w:ascii="Times New Roman" w:hAnsi="Times New Roman"/>
                <w:lang w:val="zh-CN"/>
              </w:rPr>
              <w:t>6</w:t>
            </w:r>
          </w:p>
        </w:tc>
        <w:tc>
          <w:tcPr>
            <w:tcW w:w="840" w:type="dxa"/>
            <w:vAlign w:val="center"/>
          </w:tcPr>
          <w:p>
            <w:pPr>
              <w:jc w:val="center"/>
              <w:rPr>
                <w:rFonts w:ascii="Times New Roman" w:hAnsi="Times New Roman"/>
                <w:lang w:val="zh-CN"/>
              </w:rPr>
            </w:pPr>
            <w:r>
              <w:rPr>
                <w:rFonts w:ascii="Times New Roman" w:hAnsi="Times New Roman"/>
                <w:lang w:val="zh-CN"/>
              </w:rPr>
              <w:t>5</w:t>
            </w:r>
          </w:p>
        </w:tc>
        <w:tc>
          <w:tcPr>
            <w:tcW w:w="840" w:type="dxa"/>
            <w:vAlign w:val="center"/>
          </w:tcPr>
          <w:p>
            <w:pPr>
              <w:jc w:val="center"/>
              <w:rPr>
                <w:rFonts w:ascii="Times New Roman" w:hAnsi="Times New Roman"/>
                <w:lang w:val="zh-CN"/>
              </w:rPr>
            </w:pPr>
            <w:r>
              <w:rPr>
                <w:rFonts w:ascii="Times New Roman" w:hAnsi="Times New Roman"/>
                <w:lang w:val="zh-CN"/>
              </w:rPr>
              <w:t>3</w:t>
            </w:r>
          </w:p>
        </w:tc>
        <w:tc>
          <w:tcPr>
            <w:tcW w:w="540" w:type="dxa"/>
            <w:vAlign w:val="center"/>
          </w:tcPr>
          <w:p>
            <w:pPr>
              <w:jc w:val="center"/>
              <w:rPr>
                <w:rFonts w:ascii="Times New Roman" w:hAnsi="Times New Roman"/>
                <w:lang w:val="zh-CN"/>
              </w:rPr>
            </w:pPr>
            <w:r>
              <w:rPr>
                <w:rFonts w:ascii="Times New Roman" w:hAnsi="Times New Roman"/>
                <w:lang w:val="zh-CN"/>
              </w:rPr>
              <w:t>5</w:t>
            </w:r>
          </w:p>
        </w:tc>
      </w:tr>
      <w:tr>
        <w:tblPrEx>
          <w:tblBorders>
            <w:top w:val="single" w:color="auto" w:sz="12" w:space="0"/>
            <w:left w:val="dotted" w:color="auto" w:sz="4" w:space="0"/>
            <w:bottom w:val="single" w:color="auto" w:sz="12" w:space="0"/>
            <w:right w:val="dotted" w:color="auto" w:sz="4" w:space="0"/>
            <w:insideH w:val="single" w:color="auto" w:sz="2" w:space="0"/>
            <w:insideV w:val="single" w:color="auto" w:sz="2" w:space="0"/>
          </w:tblBorders>
          <w:tblCellMar>
            <w:top w:w="0" w:type="dxa"/>
            <w:left w:w="30" w:type="dxa"/>
            <w:bottom w:w="0" w:type="dxa"/>
            <w:right w:w="30" w:type="dxa"/>
          </w:tblCellMar>
        </w:tblPrEx>
        <w:trPr>
          <w:trHeight w:val="293" w:hRule="atLeast"/>
          <w:jc w:val="center"/>
        </w:trPr>
        <w:tc>
          <w:tcPr>
            <w:tcW w:w="1290" w:type="dxa"/>
            <w:vAlign w:val="center"/>
          </w:tcPr>
          <w:p>
            <w:pPr>
              <w:jc w:val="center"/>
              <w:rPr>
                <w:rFonts w:ascii="Times New Roman" w:hAnsi="Times New Roman"/>
                <w:lang w:val="zh-CN"/>
              </w:rPr>
            </w:pPr>
            <w:r>
              <w:rPr>
                <w:rFonts w:ascii="Times New Roman" w:hAnsi="Times New Roman"/>
                <w:lang w:val="zh-CN"/>
              </w:rPr>
              <w:t>十一月</w:t>
            </w:r>
          </w:p>
        </w:tc>
        <w:tc>
          <w:tcPr>
            <w:tcW w:w="525" w:type="dxa"/>
            <w:vAlign w:val="center"/>
          </w:tcPr>
          <w:p>
            <w:pPr>
              <w:jc w:val="center"/>
              <w:rPr>
                <w:rFonts w:ascii="Times New Roman" w:hAnsi="Times New Roman"/>
                <w:lang w:val="zh-CN"/>
              </w:rPr>
            </w:pPr>
            <w:r>
              <w:rPr>
                <w:rFonts w:ascii="Times New Roman" w:hAnsi="Times New Roman"/>
                <w:lang w:val="zh-CN"/>
              </w:rPr>
              <w:t>5</w:t>
            </w:r>
          </w:p>
        </w:tc>
        <w:tc>
          <w:tcPr>
            <w:tcW w:w="735" w:type="dxa"/>
            <w:vAlign w:val="center"/>
          </w:tcPr>
          <w:p>
            <w:pPr>
              <w:jc w:val="center"/>
              <w:rPr>
                <w:rFonts w:ascii="Times New Roman" w:hAnsi="Times New Roman"/>
                <w:lang w:val="zh-CN"/>
              </w:rPr>
            </w:pPr>
            <w:r>
              <w:rPr>
                <w:rFonts w:ascii="Times New Roman" w:hAnsi="Times New Roman"/>
                <w:lang w:val="zh-CN"/>
              </w:rPr>
              <w:t>2</w:t>
            </w:r>
          </w:p>
        </w:tc>
        <w:tc>
          <w:tcPr>
            <w:tcW w:w="720" w:type="dxa"/>
            <w:vAlign w:val="center"/>
          </w:tcPr>
          <w:p>
            <w:pPr>
              <w:jc w:val="center"/>
              <w:rPr>
                <w:rFonts w:ascii="Times New Roman" w:hAnsi="Times New Roman"/>
                <w:lang w:val="zh-CN"/>
              </w:rPr>
            </w:pPr>
            <w:r>
              <w:rPr>
                <w:rFonts w:ascii="Times New Roman" w:hAnsi="Times New Roman"/>
                <w:lang w:val="zh-CN"/>
              </w:rPr>
              <w:t>3</w:t>
            </w:r>
          </w:p>
        </w:tc>
        <w:tc>
          <w:tcPr>
            <w:tcW w:w="750" w:type="dxa"/>
            <w:vAlign w:val="center"/>
          </w:tcPr>
          <w:p>
            <w:pPr>
              <w:jc w:val="center"/>
              <w:rPr>
                <w:rFonts w:ascii="Times New Roman" w:hAnsi="Times New Roman"/>
                <w:lang w:val="zh-CN"/>
              </w:rPr>
            </w:pPr>
            <w:r>
              <w:rPr>
                <w:rFonts w:ascii="Times New Roman" w:hAnsi="Times New Roman"/>
                <w:lang w:val="zh-CN"/>
              </w:rPr>
              <w:t>1</w:t>
            </w:r>
          </w:p>
        </w:tc>
        <w:tc>
          <w:tcPr>
            <w:tcW w:w="688" w:type="dxa"/>
            <w:vAlign w:val="center"/>
          </w:tcPr>
          <w:p>
            <w:pPr>
              <w:jc w:val="center"/>
              <w:rPr>
                <w:rFonts w:ascii="Times New Roman" w:hAnsi="Times New Roman"/>
                <w:lang w:val="zh-CN"/>
              </w:rPr>
            </w:pPr>
            <w:r>
              <w:rPr>
                <w:rFonts w:ascii="Times New Roman" w:hAnsi="Times New Roman"/>
                <w:lang w:val="zh-CN"/>
              </w:rPr>
              <w:t>1</w:t>
            </w:r>
          </w:p>
        </w:tc>
        <w:tc>
          <w:tcPr>
            <w:tcW w:w="662" w:type="dxa"/>
            <w:vAlign w:val="center"/>
          </w:tcPr>
          <w:p>
            <w:pPr>
              <w:jc w:val="center"/>
              <w:rPr>
                <w:rFonts w:ascii="Times New Roman" w:hAnsi="Times New Roman"/>
                <w:lang w:val="zh-CN"/>
              </w:rPr>
            </w:pPr>
            <w:r>
              <w:rPr>
                <w:rFonts w:ascii="Times New Roman" w:hAnsi="Times New Roman"/>
                <w:lang w:val="zh-CN"/>
              </w:rPr>
              <w:t>1</w:t>
            </w:r>
          </w:p>
        </w:tc>
        <w:tc>
          <w:tcPr>
            <w:tcW w:w="840" w:type="dxa"/>
            <w:vAlign w:val="center"/>
          </w:tcPr>
          <w:p>
            <w:pPr>
              <w:jc w:val="center"/>
              <w:rPr>
                <w:rFonts w:ascii="Times New Roman" w:hAnsi="Times New Roman"/>
                <w:lang w:val="zh-CN"/>
              </w:rPr>
            </w:pPr>
            <w:r>
              <w:rPr>
                <w:rFonts w:ascii="Times New Roman" w:hAnsi="Times New Roman"/>
                <w:lang w:val="zh-CN"/>
              </w:rPr>
              <w:t>1</w:t>
            </w:r>
          </w:p>
        </w:tc>
        <w:tc>
          <w:tcPr>
            <w:tcW w:w="840" w:type="dxa"/>
            <w:vAlign w:val="center"/>
          </w:tcPr>
          <w:p>
            <w:pPr>
              <w:jc w:val="center"/>
              <w:rPr>
                <w:rFonts w:ascii="Times New Roman" w:hAnsi="Times New Roman"/>
                <w:lang w:val="zh-CN"/>
              </w:rPr>
            </w:pPr>
            <w:r>
              <w:rPr>
                <w:rFonts w:ascii="Times New Roman" w:hAnsi="Times New Roman"/>
                <w:lang w:val="zh-CN"/>
              </w:rPr>
              <w:t>2</w:t>
            </w:r>
          </w:p>
        </w:tc>
        <w:tc>
          <w:tcPr>
            <w:tcW w:w="635" w:type="dxa"/>
            <w:vAlign w:val="center"/>
          </w:tcPr>
          <w:p>
            <w:pPr>
              <w:jc w:val="center"/>
              <w:rPr>
                <w:rFonts w:ascii="Times New Roman" w:hAnsi="Times New Roman"/>
                <w:lang w:val="zh-CN"/>
              </w:rPr>
            </w:pPr>
            <w:r>
              <w:rPr>
                <w:rFonts w:ascii="Times New Roman" w:hAnsi="Times New Roman"/>
                <w:lang w:val="zh-CN"/>
              </w:rPr>
              <w:t>6</w:t>
            </w:r>
          </w:p>
        </w:tc>
        <w:tc>
          <w:tcPr>
            <w:tcW w:w="562" w:type="dxa"/>
            <w:vAlign w:val="center"/>
          </w:tcPr>
          <w:p>
            <w:pPr>
              <w:jc w:val="center"/>
              <w:rPr>
                <w:rFonts w:ascii="Times New Roman" w:hAnsi="Times New Roman"/>
                <w:lang w:val="zh-CN"/>
              </w:rPr>
            </w:pPr>
            <w:r>
              <w:rPr>
                <w:rFonts w:ascii="Times New Roman" w:hAnsi="Times New Roman"/>
                <w:lang w:val="zh-CN"/>
              </w:rPr>
              <w:t>10</w:t>
            </w:r>
          </w:p>
        </w:tc>
        <w:tc>
          <w:tcPr>
            <w:tcW w:w="823" w:type="dxa"/>
            <w:vAlign w:val="center"/>
          </w:tcPr>
          <w:p>
            <w:pPr>
              <w:jc w:val="center"/>
              <w:rPr>
                <w:rFonts w:ascii="Times New Roman" w:hAnsi="Times New Roman"/>
                <w:lang w:val="zh-CN"/>
              </w:rPr>
            </w:pPr>
            <w:r>
              <w:rPr>
                <w:rFonts w:ascii="Times New Roman" w:hAnsi="Times New Roman"/>
                <w:lang w:val="zh-CN"/>
              </w:rPr>
              <w:t>16</w:t>
            </w:r>
          </w:p>
        </w:tc>
        <w:tc>
          <w:tcPr>
            <w:tcW w:w="823" w:type="dxa"/>
            <w:vAlign w:val="center"/>
          </w:tcPr>
          <w:p>
            <w:pPr>
              <w:jc w:val="center"/>
              <w:rPr>
                <w:rFonts w:ascii="Times New Roman" w:hAnsi="Times New Roman"/>
                <w:lang w:val="zh-CN"/>
              </w:rPr>
            </w:pPr>
            <w:r>
              <w:rPr>
                <w:rFonts w:ascii="Times New Roman" w:hAnsi="Times New Roman"/>
                <w:lang w:val="zh-CN"/>
              </w:rPr>
              <w:t>16</w:t>
            </w:r>
          </w:p>
        </w:tc>
        <w:tc>
          <w:tcPr>
            <w:tcW w:w="591" w:type="dxa"/>
            <w:vAlign w:val="center"/>
          </w:tcPr>
          <w:p>
            <w:pPr>
              <w:jc w:val="center"/>
              <w:rPr>
                <w:rFonts w:ascii="Times New Roman" w:hAnsi="Times New Roman"/>
                <w:lang w:val="zh-CN"/>
              </w:rPr>
            </w:pPr>
            <w:r>
              <w:rPr>
                <w:rFonts w:ascii="Times New Roman" w:hAnsi="Times New Roman"/>
                <w:lang w:val="zh-CN"/>
              </w:rPr>
              <w:t>13</w:t>
            </w:r>
          </w:p>
        </w:tc>
        <w:tc>
          <w:tcPr>
            <w:tcW w:w="840" w:type="dxa"/>
            <w:vAlign w:val="center"/>
          </w:tcPr>
          <w:p>
            <w:pPr>
              <w:jc w:val="center"/>
              <w:rPr>
                <w:rFonts w:ascii="Times New Roman" w:hAnsi="Times New Roman"/>
                <w:lang w:val="zh-CN"/>
              </w:rPr>
            </w:pPr>
            <w:r>
              <w:rPr>
                <w:rFonts w:ascii="Times New Roman" w:hAnsi="Times New Roman"/>
                <w:lang w:val="zh-CN"/>
              </w:rPr>
              <w:t>6</w:t>
            </w:r>
          </w:p>
        </w:tc>
        <w:tc>
          <w:tcPr>
            <w:tcW w:w="840" w:type="dxa"/>
            <w:vAlign w:val="center"/>
          </w:tcPr>
          <w:p>
            <w:pPr>
              <w:jc w:val="center"/>
              <w:rPr>
                <w:rFonts w:ascii="Times New Roman" w:hAnsi="Times New Roman"/>
                <w:lang w:val="zh-CN"/>
              </w:rPr>
            </w:pPr>
            <w:r>
              <w:rPr>
                <w:rFonts w:ascii="Times New Roman" w:hAnsi="Times New Roman"/>
                <w:lang w:val="zh-CN"/>
              </w:rPr>
              <w:t>6</w:t>
            </w:r>
          </w:p>
        </w:tc>
        <w:tc>
          <w:tcPr>
            <w:tcW w:w="840" w:type="dxa"/>
            <w:vAlign w:val="center"/>
          </w:tcPr>
          <w:p>
            <w:pPr>
              <w:jc w:val="center"/>
              <w:rPr>
                <w:rFonts w:ascii="Times New Roman" w:hAnsi="Times New Roman"/>
                <w:lang w:val="zh-CN"/>
              </w:rPr>
            </w:pPr>
            <w:r>
              <w:rPr>
                <w:rFonts w:ascii="Times New Roman" w:hAnsi="Times New Roman"/>
                <w:lang w:val="zh-CN"/>
              </w:rPr>
              <w:t>3</w:t>
            </w:r>
          </w:p>
        </w:tc>
        <w:tc>
          <w:tcPr>
            <w:tcW w:w="540" w:type="dxa"/>
            <w:vAlign w:val="center"/>
          </w:tcPr>
          <w:p>
            <w:pPr>
              <w:jc w:val="center"/>
              <w:rPr>
                <w:rFonts w:ascii="Times New Roman" w:hAnsi="Times New Roman"/>
                <w:lang w:val="zh-CN"/>
              </w:rPr>
            </w:pPr>
            <w:r>
              <w:rPr>
                <w:rFonts w:ascii="Times New Roman" w:hAnsi="Times New Roman"/>
                <w:lang w:val="zh-CN"/>
              </w:rPr>
              <w:t>8</w:t>
            </w:r>
          </w:p>
        </w:tc>
      </w:tr>
      <w:tr>
        <w:tblPrEx>
          <w:tblBorders>
            <w:top w:val="single" w:color="auto" w:sz="12" w:space="0"/>
            <w:left w:val="dotted" w:color="auto" w:sz="4" w:space="0"/>
            <w:bottom w:val="single" w:color="auto" w:sz="12" w:space="0"/>
            <w:right w:val="dotted" w:color="auto" w:sz="4" w:space="0"/>
            <w:insideH w:val="single" w:color="auto" w:sz="2" w:space="0"/>
            <w:insideV w:val="single" w:color="auto" w:sz="2" w:space="0"/>
          </w:tblBorders>
          <w:tblCellMar>
            <w:top w:w="0" w:type="dxa"/>
            <w:left w:w="30" w:type="dxa"/>
            <w:bottom w:w="0" w:type="dxa"/>
            <w:right w:w="30" w:type="dxa"/>
          </w:tblCellMar>
        </w:tblPrEx>
        <w:trPr>
          <w:trHeight w:val="293" w:hRule="atLeast"/>
          <w:jc w:val="center"/>
        </w:trPr>
        <w:tc>
          <w:tcPr>
            <w:tcW w:w="1290" w:type="dxa"/>
            <w:vAlign w:val="center"/>
          </w:tcPr>
          <w:p>
            <w:pPr>
              <w:jc w:val="center"/>
              <w:rPr>
                <w:rFonts w:ascii="Times New Roman" w:hAnsi="Times New Roman"/>
                <w:lang w:val="zh-CN"/>
              </w:rPr>
            </w:pPr>
            <w:r>
              <w:rPr>
                <w:rFonts w:ascii="Times New Roman" w:hAnsi="Times New Roman"/>
                <w:lang w:val="zh-CN"/>
              </w:rPr>
              <w:t>十二月</w:t>
            </w:r>
          </w:p>
        </w:tc>
        <w:tc>
          <w:tcPr>
            <w:tcW w:w="525" w:type="dxa"/>
            <w:vAlign w:val="center"/>
          </w:tcPr>
          <w:p>
            <w:pPr>
              <w:jc w:val="center"/>
              <w:rPr>
                <w:rFonts w:ascii="Times New Roman" w:hAnsi="Times New Roman"/>
                <w:lang w:val="zh-CN"/>
              </w:rPr>
            </w:pPr>
            <w:r>
              <w:rPr>
                <w:rFonts w:ascii="Times New Roman" w:hAnsi="Times New Roman"/>
                <w:lang w:val="zh-CN"/>
              </w:rPr>
              <w:t>4</w:t>
            </w:r>
          </w:p>
        </w:tc>
        <w:tc>
          <w:tcPr>
            <w:tcW w:w="735" w:type="dxa"/>
            <w:vAlign w:val="center"/>
          </w:tcPr>
          <w:p>
            <w:pPr>
              <w:jc w:val="center"/>
              <w:rPr>
                <w:rFonts w:ascii="Times New Roman" w:hAnsi="Times New Roman"/>
                <w:lang w:val="zh-CN"/>
              </w:rPr>
            </w:pPr>
            <w:r>
              <w:rPr>
                <w:rFonts w:ascii="Times New Roman" w:hAnsi="Times New Roman"/>
                <w:lang w:val="zh-CN"/>
              </w:rPr>
              <w:t>3</w:t>
            </w:r>
          </w:p>
        </w:tc>
        <w:tc>
          <w:tcPr>
            <w:tcW w:w="720" w:type="dxa"/>
            <w:vAlign w:val="center"/>
          </w:tcPr>
          <w:p>
            <w:pPr>
              <w:jc w:val="center"/>
              <w:rPr>
                <w:rFonts w:ascii="Times New Roman" w:hAnsi="Times New Roman"/>
                <w:lang w:val="zh-CN"/>
              </w:rPr>
            </w:pPr>
            <w:r>
              <w:rPr>
                <w:rFonts w:ascii="Times New Roman" w:hAnsi="Times New Roman"/>
                <w:lang w:val="zh-CN"/>
              </w:rPr>
              <w:t>3</w:t>
            </w:r>
          </w:p>
        </w:tc>
        <w:tc>
          <w:tcPr>
            <w:tcW w:w="750" w:type="dxa"/>
            <w:vAlign w:val="center"/>
          </w:tcPr>
          <w:p>
            <w:pPr>
              <w:jc w:val="center"/>
              <w:rPr>
                <w:rFonts w:ascii="Times New Roman" w:hAnsi="Times New Roman"/>
                <w:lang w:val="zh-CN"/>
              </w:rPr>
            </w:pPr>
            <w:r>
              <w:rPr>
                <w:rFonts w:ascii="Times New Roman" w:hAnsi="Times New Roman"/>
                <w:lang w:val="zh-CN"/>
              </w:rPr>
              <w:t>2</w:t>
            </w:r>
          </w:p>
        </w:tc>
        <w:tc>
          <w:tcPr>
            <w:tcW w:w="688" w:type="dxa"/>
            <w:vAlign w:val="center"/>
          </w:tcPr>
          <w:p>
            <w:pPr>
              <w:jc w:val="center"/>
              <w:rPr>
                <w:rFonts w:ascii="Times New Roman" w:hAnsi="Times New Roman"/>
                <w:lang w:val="zh-CN"/>
              </w:rPr>
            </w:pPr>
            <w:r>
              <w:rPr>
                <w:rFonts w:ascii="Times New Roman" w:hAnsi="Times New Roman"/>
                <w:lang w:val="zh-CN"/>
              </w:rPr>
              <w:t>1</w:t>
            </w:r>
          </w:p>
        </w:tc>
        <w:tc>
          <w:tcPr>
            <w:tcW w:w="662" w:type="dxa"/>
            <w:vAlign w:val="center"/>
          </w:tcPr>
          <w:p>
            <w:pPr>
              <w:jc w:val="center"/>
              <w:rPr>
                <w:rFonts w:ascii="Times New Roman" w:hAnsi="Times New Roman"/>
                <w:lang w:val="zh-CN"/>
              </w:rPr>
            </w:pPr>
            <w:r>
              <w:rPr>
                <w:rFonts w:ascii="Times New Roman" w:hAnsi="Times New Roman"/>
                <w:lang w:val="zh-CN"/>
              </w:rPr>
              <w:t>1</w:t>
            </w:r>
          </w:p>
        </w:tc>
        <w:tc>
          <w:tcPr>
            <w:tcW w:w="840" w:type="dxa"/>
            <w:vAlign w:val="center"/>
          </w:tcPr>
          <w:p>
            <w:pPr>
              <w:jc w:val="center"/>
              <w:rPr>
                <w:rFonts w:ascii="Times New Roman" w:hAnsi="Times New Roman"/>
                <w:lang w:val="zh-CN"/>
              </w:rPr>
            </w:pPr>
            <w:r>
              <w:rPr>
                <w:rFonts w:ascii="Times New Roman" w:hAnsi="Times New Roman"/>
                <w:lang w:val="zh-CN"/>
              </w:rPr>
              <w:t>1</w:t>
            </w:r>
          </w:p>
        </w:tc>
        <w:tc>
          <w:tcPr>
            <w:tcW w:w="840" w:type="dxa"/>
            <w:vAlign w:val="center"/>
          </w:tcPr>
          <w:p>
            <w:pPr>
              <w:jc w:val="center"/>
              <w:rPr>
                <w:rFonts w:ascii="Times New Roman" w:hAnsi="Times New Roman"/>
                <w:lang w:val="zh-CN"/>
              </w:rPr>
            </w:pPr>
            <w:r>
              <w:rPr>
                <w:rFonts w:ascii="Times New Roman" w:hAnsi="Times New Roman"/>
                <w:lang w:val="zh-CN"/>
              </w:rPr>
              <w:t>2</w:t>
            </w:r>
          </w:p>
        </w:tc>
        <w:tc>
          <w:tcPr>
            <w:tcW w:w="635" w:type="dxa"/>
            <w:vAlign w:val="center"/>
          </w:tcPr>
          <w:p>
            <w:pPr>
              <w:jc w:val="center"/>
              <w:rPr>
                <w:rFonts w:ascii="Times New Roman" w:hAnsi="Times New Roman"/>
                <w:lang w:val="zh-CN"/>
              </w:rPr>
            </w:pPr>
            <w:r>
              <w:rPr>
                <w:rFonts w:ascii="Times New Roman" w:hAnsi="Times New Roman"/>
                <w:lang w:val="zh-CN"/>
              </w:rPr>
              <w:t>8</w:t>
            </w:r>
          </w:p>
        </w:tc>
        <w:tc>
          <w:tcPr>
            <w:tcW w:w="562" w:type="dxa"/>
            <w:vAlign w:val="center"/>
          </w:tcPr>
          <w:p>
            <w:pPr>
              <w:jc w:val="center"/>
              <w:rPr>
                <w:rFonts w:ascii="Times New Roman" w:hAnsi="Times New Roman"/>
                <w:lang w:val="zh-CN"/>
              </w:rPr>
            </w:pPr>
            <w:r>
              <w:rPr>
                <w:rFonts w:ascii="Times New Roman" w:hAnsi="Times New Roman"/>
                <w:lang w:val="zh-CN"/>
              </w:rPr>
              <w:t>12</w:t>
            </w:r>
          </w:p>
        </w:tc>
        <w:tc>
          <w:tcPr>
            <w:tcW w:w="823" w:type="dxa"/>
            <w:vAlign w:val="center"/>
          </w:tcPr>
          <w:p>
            <w:pPr>
              <w:jc w:val="center"/>
              <w:rPr>
                <w:rFonts w:ascii="Times New Roman" w:hAnsi="Times New Roman"/>
                <w:lang w:val="zh-CN"/>
              </w:rPr>
            </w:pPr>
            <w:r>
              <w:rPr>
                <w:rFonts w:ascii="Times New Roman" w:hAnsi="Times New Roman"/>
                <w:lang w:val="zh-CN"/>
              </w:rPr>
              <w:t>17</w:t>
            </w:r>
          </w:p>
        </w:tc>
        <w:tc>
          <w:tcPr>
            <w:tcW w:w="823" w:type="dxa"/>
            <w:vAlign w:val="center"/>
          </w:tcPr>
          <w:p>
            <w:pPr>
              <w:jc w:val="center"/>
              <w:rPr>
                <w:rFonts w:ascii="Times New Roman" w:hAnsi="Times New Roman"/>
                <w:lang w:val="zh-CN"/>
              </w:rPr>
            </w:pPr>
            <w:r>
              <w:rPr>
                <w:rFonts w:ascii="Times New Roman" w:hAnsi="Times New Roman"/>
                <w:lang w:val="zh-CN"/>
              </w:rPr>
              <w:t>16</w:t>
            </w:r>
          </w:p>
        </w:tc>
        <w:tc>
          <w:tcPr>
            <w:tcW w:w="591" w:type="dxa"/>
            <w:vAlign w:val="center"/>
          </w:tcPr>
          <w:p>
            <w:pPr>
              <w:jc w:val="center"/>
              <w:rPr>
                <w:rFonts w:ascii="Times New Roman" w:hAnsi="Times New Roman"/>
                <w:lang w:val="zh-CN"/>
              </w:rPr>
            </w:pPr>
            <w:r>
              <w:rPr>
                <w:rFonts w:ascii="Times New Roman" w:hAnsi="Times New Roman"/>
                <w:lang w:val="zh-CN"/>
              </w:rPr>
              <w:t>12</w:t>
            </w:r>
          </w:p>
        </w:tc>
        <w:tc>
          <w:tcPr>
            <w:tcW w:w="840" w:type="dxa"/>
            <w:vAlign w:val="center"/>
          </w:tcPr>
          <w:p>
            <w:pPr>
              <w:jc w:val="center"/>
              <w:rPr>
                <w:rFonts w:ascii="Times New Roman" w:hAnsi="Times New Roman"/>
                <w:lang w:val="zh-CN"/>
              </w:rPr>
            </w:pPr>
            <w:r>
              <w:rPr>
                <w:rFonts w:ascii="Times New Roman" w:hAnsi="Times New Roman"/>
                <w:lang w:val="zh-CN"/>
              </w:rPr>
              <w:t>5</w:t>
            </w:r>
          </w:p>
        </w:tc>
        <w:tc>
          <w:tcPr>
            <w:tcW w:w="840" w:type="dxa"/>
            <w:vAlign w:val="center"/>
          </w:tcPr>
          <w:p>
            <w:pPr>
              <w:jc w:val="center"/>
              <w:rPr>
                <w:rFonts w:ascii="Times New Roman" w:hAnsi="Times New Roman"/>
                <w:lang w:val="zh-CN"/>
              </w:rPr>
            </w:pPr>
            <w:r>
              <w:rPr>
                <w:rFonts w:ascii="Times New Roman" w:hAnsi="Times New Roman"/>
                <w:lang w:val="zh-CN"/>
              </w:rPr>
              <w:t>4</w:t>
            </w:r>
          </w:p>
        </w:tc>
        <w:tc>
          <w:tcPr>
            <w:tcW w:w="840" w:type="dxa"/>
            <w:vAlign w:val="center"/>
          </w:tcPr>
          <w:p>
            <w:pPr>
              <w:jc w:val="center"/>
              <w:rPr>
                <w:rFonts w:ascii="Times New Roman" w:hAnsi="Times New Roman"/>
                <w:lang w:val="zh-CN"/>
              </w:rPr>
            </w:pPr>
            <w:r>
              <w:rPr>
                <w:rFonts w:ascii="Times New Roman" w:hAnsi="Times New Roman"/>
                <w:lang w:val="zh-CN"/>
              </w:rPr>
              <w:t>2</w:t>
            </w:r>
          </w:p>
        </w:tc>
        <w:tc>
          <w:tcPr>
            <w:tcW w:w="540" w:type="dxa"/>
            <w:vAlign w:val="center"/>
          </w:tcPr>
          <w:p>
            <w:pPr>
              <w:jc w:val="center"/>
              <w:rPr>
                <w:rFonts w:ascii="Times New Roman" w:hAnsi="Times New Roman"/>
                <w:lang w:val="zh-CN"/>
              </w:rPr>
            </w:pPr>
            <w:r>
              <w:rPr>
                <w:rFonts w:ascii="Times New Roman" w:hAnsi="Times New Roman"/>
                <w:lang w:val="zh-CN"/>
              </w:rPr>
              <w:t>7</w:t>
            </w:r>
          </w:p>
        </w:tc>
      </w:tr>
      <w:tr>
        <w:tblPrEx>
          <w:tblBorders>
            <w:top w:val="single" w:color="auto" w:sz="12" w:space="0"/>
            <w:left w:val="dotted" w:color="auto" w:sz="4" w:space="0"/>
            <w:bottom w:val="single" w:color="auto" w:sz="12" w:space="0"/>
            <w:right w:val="dotted" w:color="auto" w:sz="4" w:space="0"/>
            <w:insideH w:val="single" w:color="auto" w:sz="2" w:space="0"/>
            <w:insideV w:val="single" w:color="auto" w:sz="2" w:space="0"/>
          </w:tblBorders>
          <w:tblCellMar>
            <w:top w:w="0" w:type="dxa"/>
            <w:left w:w="30" w:type="dxa"/>
            <w:bottom w:w="0" w:type="dxa"/>
            <w:right w:w="30" w:type="dxa"/>
          </w:tblCellMar>
        </w:tblPrEx>
        <w:trPr>
          <w:trHeight w:val="293" w:hRule="atLeast"/>
          <w:jc w:val="center"/>
        </w:trPr>
        <w:tc>
          <w:tcPr>
            <w:tcW w:w="1290" w:type="dxa"/>
            <w:vAlign w:val="center"/>
          </w:tcPr>
          <w:p>
            <w:pPr>
              <w:jc w:val="center"/>
              <w:rPr>
                <w:rFonts w:ascii="Times New Roman" w:hAnsi="Times New Roman"/>
                <w:lang w:val="zh-CN"/>
              </w:rPr>
            </w:pPr>
            <w:r>
              <w:rPr>
                <w:rFonts w:ascii="Times New Roman" w:hAnsi="Times New Roman"/>
                <w:lang w:val="zh-CN"/>
              </w:rPr>
              <w:t>年</w:t>
            </w:r>
          </w:p>
        </w:tc>
        <w:tc>
          <w:tcPr>
            <w:tcW w:w="525" w:type="dxa"/>
            <w:vAlign w:val="center"/>
          </w:tcPr>
          <w:p>
            <w:pPr>
              <w:jc w:val="center"/>
              <w:rPr>
                <w:rFonts w:ascii="Times New Roman" w:hAnsi="Times New Roman"/>
                <w:lang w:val="zh-CN"/>
              </w:rPr>
            </w:pPr>
            <w:r>
              <w:rPr>
                <w:rFonts w:ascii="Times New Roman" w:hAnsi="Times New Roman"/>
                <w:lang w:val="zh-CN"/>
              </w:rPr>
              <w:t>5</w:t>
            </w:r>
          </w:p>
        </w:tc>
        <w:tc>
          <w:tcPr>
            <w:tcW w:w="735" w:type="dxa"/>
            <w:vAlign w:val="center"/>
          </w:tcPr>
          <w:p>
            <w:pPr>
              <w:jc w:val="center"/>
              <w:rPr>
                <w:rFonts w:ascii="Times New Roman" w:hAnsi="Times New Roman"/>
                <w:lang w:val="zh-CN"/>
              </w:rPr>
            </w:pPr>
            <w:r>
              <w:rPr>
                <w:rFonts w:ascii="Times New Roman" w:hAnsi="Times New Roman"/>
                <w:lang w:val="zh-CN"/>
              </w:rPr>
              <w:t>3</w:t>
            </w:r>
          </w:p>
        </w:tc>
        <w:tc>
          <w:tcPr>
            <w:tcW w:w="720" w:type="dxa"/>
            <w:vAlign w:val="center"/>
          </w:tcPr>
          <w:p>
            <w:pPr>
              <w:jc w:val="center"/>
              <w:rPr>
                <w:rFonts w:ascii="Times New Roman" w:hAnsi="Times New Roman"/>
                <w:lang w:val="zh-CN"/>
              </w:rPr>
            </w:pPr>
            <w:r>
              <w:rPr>
                <w:rFonts w:ascii="Times New Roman" w:hAnsi="Times New Roman"/>
                <w:lang w:val="zh-CN"/>
              </w:rPr>
              <w:t>4</w:t>
            </w:r>
          </w:p>
        </w:tc>
        <w:tc>
          <w:tcPr>
            <w:tcW w:w="750" w:type="dxa"/>
            <w:vAlign w:val="center"/>
          </w:tcPr>
          <w:p>
            <w:pPr>
              <w:jc w:val="center"/>
              <w:rPr>
                <w:rFonts w:ascii="Times New Roman" w:hAnsi="Times New Roman"/>
                <w:lang w:val="zh-CN"/>
              </w:rPr>
            </w:pPr>
            <w:r>
              <w:rPr>
                <w:rFonts w:ascii="Times New Roman" w:hAnsi="Times New Roman"/>
                <w:lang w:val="zh-CN"/>
              </w:rPr>
              <w:t>2</w:t>
            </w:r>
          </w:p>
        </w:tc>
        <w:tc>
          <w:tcPr>
            <w:tcW w:w="688" w:type="dxa"/>
            <w:vAlign w:val="center"/>
          </w:tcPr>
          <w:p>
            <w:pPr>
              <w:jc w:val="center"/>
              <w:rPr>
                <w:rFonts w:ascii="Times New Roman" w:hAnsi="Times New Roman"/>
                <w:lang w:val="zh-CN"/>
              </w:rPr>
            </w:pPr>
            <w:r>
              <w:rPr>
                <w:rFonts w:ascii="Times New Roman" w:hAnsi="Times New Roman"/>
                <w:lang w:val="zh-CN"/>
              </w:rPr>
              <w:t>2</w:t>
            </w:r>
          </w:p>
        </w:tc>
        <w:tc>
          <w:tcPr>
            <w:tcW w:w="662" w:type="dxa"/>
            <w:vAlign w:val="center"/>
          </w:tcPr>
          <w:p>
            <w:pPr>
              <w:jc w:val="center"/>
              <w:rPr>
                <w:rFonts w:ascii="Times New Roman" w:hAnsi="Times New Roman"/>
                <w:lang w:val="zh-CN"/>
              </w:rPr>
            </w:pPr>
            <w:r>
              <w:rPr>
                <w:rFonts w:ascii="Times New Roman" w:hAnsi="Times New Roman"/>
                <w:lang w:val="zh-CN"/>
              </w:rPr>
              <w:t>2</w:t>
            </w:r>
          </w:p>
        </w:tc>
        <w:tc>
          <w:tcPr>
            <w:tcW w:w="840" w:type="dxa"/>
            <w:vAlign w:val="center"/>
          </w:tcPr>
          <w:p>
            <w:pPr>
              <w:jc w:val="center"/>
              <w:rPr>
                <w:rFonts w:ascii="Times New Roman" w:hAnsi="Times New Roman"/>
                <w:lang w:val="zh-CN"/>
              </w:rPr>
            </w:pPr>
            <w:r>
              <w:rPr>
                <w:rFonts w:ascii="Times New Roman" w:hAnsi="Times New Roman"/>
                <w:lang w:val="zh-CN"/>
              </w:rPr>
              <w:t>3</w:t>
            </w:r>
          </w:p>
        </w:tc>
        <w:tc>
          <w:tcPr>
            <w:tcW w:w="840" w:type="dxa"/>
            <w:vAlign w:val="center"/>
          </w:tcPr>
          <w:p>
            <w:pPr>
              <w:jc w:val="center"/>
              <w:rPr>
                <w:rFonts w:ascii="Times New Roman" w:hAnsi="Times New Roman"/>
                <w:lang w:val="zh-CN"/>
              </w:rPr>
            </w:pPr>
            <w:r>
              <w:rPr>
                <w:rFonts w:ascii="Times New Roman" w:hAnsi="Times New Roman"/>
                <w:lang w:val="zh-CN"/>
              </w:rPr>
              <w:t>3</w:t>
            </w:r>
          </w:p>
        </w:tc>
        <w:tc>
          <w:tcPr>
            <w:tcW w:w="635" w:type="dxa"/>
            <w:vAlign w:val="center"/>
          </w:tcPr>
          <w:p>
            <w:pPr>
              <w:jc w:val="center"/>
              <w:rPr>
                <w:rFonts w:ascii="Times New Roman" w:hAnsi="Times New Roman"/>
                <w:lang w:val="zh-CN"/>
              </w:rPr>
            </w:pPr>
            <w:r>
              <w:rPr>
                <w:rFonts w:ascii="Times New Roman" w:hAnsi="Times New Roman"/>
                <w:lang w:val="zh-CN"/>
              </w:rPr>
              <w:t>8</w:t>
            </w:r>
          </w:p>
        </w:tc>
        <w:tc>
          <w:tcPr>
            <w:tcW w:w="562" w:type="dxa"/>
            <w:vAlign w:val="center"/>
          </w:tcPr>
          <w:p>
            <w:pPr>
              <w:jc w:val="center"/>
              <w:rPr>
                <w:rFonts w:ascii="Times New Roman" w:hAnsi="Times New Roman"/>
                <w:lang w:val="zh-CN"/>
              </w:rPr>
            </w:pPr>
            <w:r>
              <w:rPr>
                <w:rFonts w:ascii="Times New Roman" w:hAnsi="Times New Roman"/>
                <w:lang w:val="zh-CN"/>
              </w:rPr>
              <w:t>11</w:t>
            </w:r>
          </w:p>
        </w:tc>
        <w:tc>
          <w:tcPr>
            <w:tcW w:w="823" w:type="dxa"/>
            <w:vAlign w:val="center"/>
          </w:tcPr>
          <w:p>
            <w:pPr>
              <w:jc w:val="center"/>
              <w:rPr>
                <w:rFonts w:ascii="Times New Roman" w:hAnsi="Times New Roman"/>
                <w:lang w:val="zh-CN"/>
              </w:rPr>
            </w:pPr>
            <w:r>
              <w:rPr>
                <w:rFonts w:ascii="Times New Roman" w:hAnsi="Times New Roman"/>
                <w:lang w:val="zh-CN"/>
              </w:rPr>
              <w:t>15</w:t>
            </w:r>
          </w:p>
        </w:tc>
        <w:tc>
          <w:tcPr>
            <w:tcW w:w="823" w:type="dxa"/>
            <w:vAlign w:val="center"/>
          </w:tcPr>
          <w:p>
            <w:pPr>
              <w:jc w:val="center"/>
              <w:rPr>
                <w:rFonts w:ascii="Times New Roman" w:hAnsi="Times New Roman"/>
                <w:lang w:val="zh-CN"/>
              </w:rPr>
            </w:pPr>
            <w:r>
              <w:rPr>
                <w:rFonts w:ascii="Times New Roman" w:hAnsi="Times New Roman"/>
                <w:lang w:val="zh-CN"/>
              </w:rPr>
              <w:t>13</w:t>
            </w:r>
          </w:p>
        </w:tc>
        <w:tc>
          <w:tcPr>
            <w:tcW w:w="591" w:type="dxa"/>
            <w:vAlign w:val="center"/>
          </w:tcPr>
          <w:p>
            <w:pPr>
              <w:jc w:val="center"/>
              <w:rPr>
                <w:rFonts w:ascii="Times New Roman" w:hAnsi="Times New Roman"/>
                <w:lang w:val="zh-CN"/>
              </w:rPr>
            </w:pPr>
            <w:r>
              <w:rPr>
                <w:rFonts w:ascii="Times New Roman" w:hAnsi="Times New Roman"/>
                <w:lang w:val="zh-CN"/>
              </w:rPr>
              <w:t>9</w:t>
            </w:r>
          </w:p>
        </w:tc>
        <w:tc>
          <w:tcPr>
            <w:tcW w:w="840" w:type="dxa"/>
            <w:vAlign w:val="center"/>
          </w:tcPr>
          <w:p>
            <w:pPr>
              <w:jc w:val="center"/>
              <w:rPr>
                <w:rFonts w:ascii="Times New Roman" w:hAnsi="Times New Roman"/>
                <w:lang w:val="zh-CN"/>
              </w:rPr>
            </w:pPr>
            <w:r>
              <w:rPr>
                <w:rFonts w:ascii="Times New Roman" w:hAnsi="Times New Roman"/>
                <w:lang w:val="zh-CN"/>
              </w:rPr>
              <w:t>4</w:t>
            </w:r>
          </w:p>
        </w:tc>
        <w:tc>
          <w:tcPr>
            <w:tcW w:w="840" w:type="dxa"/>
            <w:vAlign w:val="center"/>
          </w:tcPr>
          <w:p>
            <w:pPr>
              <w:jc w:val="center"/>
              <w:rPr>
                <w:rFonts w:ascii="Times New Roman" w:hAnsi="Times New Roman"/>
                <w:lang w:val="zh-CN"/>
              </w:rPr>
            </w:pPr>
            <w:r>
              <w:rPr>
                <w:rFonts w:ascii="Times New Roman" w:hAnsi="Times New Roman"/>
                <w:lang w:val="zh-CN"/>
              </w:rPr>
              <w:t>5</w:t>
            </w:r>
          </w:p>
        </w:tc>
        <w:tc>
          <w:tcPr>
            <w:tcW w:w="840" w:type="dxa"/>
            <w:vAlign w:val="center"/>
          </w:tcPr>
          <w:p>
            <w:pPr>
              <w:jc w:val="center"/>
              <w:rPr>
                <w:rFonts w:ascii="Times New Roman" w:hAnsi="Times New Roman"/>
                <w:lang w:val="zh-CN"/>
              </w:rPr>
            </w:pPr>
            <w:r>
              <w:rPr>
                <w:rFonts w:ascii="Times New Roman" w:hAnsi="Times New Roman"/>
                <w:lang w:val="zh-CN"/>
              </w:rPr>
              <w:t>3</w:t>
            </w:r>
          </w:p>
        </w:tc>
        <w:tc>
          <w:tcPr>
            <w:tcW w:w="540" w:type="dxa"/>
            <w:vAlign w:val="center"/>
          </w:tcPr>
          <w:p>
            <w:pPr>
              <w:jc w:val="center"/>
              <w:rPr>
                <w:rFonts w:ascii="Times New Roman" w:hAnsi="Times New Roman"/>
                <w:lang w:val="zh-CN"/>
              </w:rPr>
            </w:pPr>
            <w:r>
              <w:rPr>
                <w:rFonts w:ascii="Times New Roman" w:hAnsi="Times New Roman"/>
                <w:lang w:val="zh-CN"/>
              </w:rPr>
              <w:t>8</w:t>
            </w:r>
          </w:p>
        </w:tc>
      </w:tr>
    </w:tbl>
    <w:p>
      <w:pPr>
        <w:pStyle w:val="21"/>
        <w:ind w:firstLine="0"/>
        <w:rPr>
          <w:rFonts w:ascii="Times New Roman" w:hAnsi="Times New Roman"/>
        </w:rPr>
        <w:sectPr>
          <w:pgSz w:w="16839" w:h="11907" w:orient="landscape"/>
          <w:pgMar w:top="1440" w:right="1797" w:bottom="1440" w:left="1797" w:header="851" w:footer="850" w:gutter="0"/>
          <w:cols w:space="720" w:num="1"/>
          <w:docGrid w:linePitch="312" w:charSpace="0"/>
        </w:sectPr>
      </w:pPr>
    </w:p>
    <w:p>
      <w:pPr>
        <w:pStyle w:val="4"/>
        <w:spacing w:before="120" w:beforeLines="50" w:after="120" w:afterLines="50" w:line="480" w:lineRule="exact"/>
        <w:ind w:left="17"/>
        <w:rPr>
          <w:rFonts w:ascii="Times New Roman" w:hAnsi="Times New Roman" w:eastAsia="黑体"/>
          <w:sz w:val="28"/>
          <w:szCs w:val="28"/>
        </w:rPr>
      </w:pPr>
      <w:bookmarkStart w:id="836" w:name="_Toc13775"/>
      <w:bookmarkStart w:id="837" w:name="_Toc11708"/>
      <w:r>
        <w:rPr>
          <w:rFonts w:ascii="Times New Roman" w:hAnsi="Times New Roman" w:eastAsia="黑体"/>
          <w:sz w:val="28"/>
          <w:szCs w:val="28"/>
        </w:rPr>
        <w:t>地表水</w:t>
      </w:r>
      <w:bookmarkEnd w:id="836"/>
      <w:bookmarkEnd w:id="837"/>
    </w:p>
    <w:p>
      <w:pPr>
        <w:spacing w:line="480" w:lineRule="exact"/>
        <w:ind w:firstLine="480" w:firstLineChars="200"/>
        <w:rPr>
          <w:rFonts w:ascii="Times New Roman" w:hAnsi="Times New Roman"/>
          <w:sz w:val="24"/>
        </w:rPr>
      </w:pPr>
      <w:r>
        <w:rPr>
          <w:rFonts w:ascii="Times New Roman" w:hAnsi="Times New Roman"/>
          <w:sz w:val="24"/>
        </w:rPr>
        <w:t>双鸭山市境内有大小河流百条，大都属于老龄期河道，河床窄小，无自然湖泊，主要河流有安邦河、二道河、小黄河、（外）七星河、挠力河。安邦河属松花江水系，由南向北注入松花江；二道河、小黄河、七星河、挠力河属于乌苏里江水系，由西向东流入乌苏里江。安邦河是松花江下游右岸一级支流，属季节性河流。发源于完达山余脉，七星砬子东分水岭北麓，自南向北流经双鸭山市、集贤县福利镇至桦川县境内,由桦川县新河宫汇入松花江。干流全长167km,主要支流有马蹄河、柳树河、小安邦河、哈达密河4条。安邦河干流福利镇以上为山丘区河流，属完达山北麓之低山丘陵区，大部分为森林植被；在福利镇以下进入平原区，主要是山前平原及松花江滩地，大部分被开垦为耕地，地势平缓，自然河道衰老，河道窄浅，无明显河槽，形成无尾河，汛期常洪水泛滥。80年代后进行了大规模整治，开挖新河，就近流入松花江，两岸筑堤，成为灌溉河流。安邦河流域总面积原为2755km</w:t>
      </w:r>
      <w:r>
        <w:rPr>
          <w:rFonts w:ascii="Times New Roman" w:hAnsi="Times New Roman"/>
          <w:sz w:val="24"/>
          <w:vertAlign w:val="superscript"/>
        </w:rPr>
        <w:t>2</w:t>
      </w:r>
      <w:r>
        <w:rPr>
          <w:rFonts w:ascii="Times New Roman" w:hAnsi="Times New Roman"/>
          <w:sz w:val="24"/>
        </w:rPr>
        <w:t>，经治理后集水面积变为1679km</w:t>
      </w:r>
      <w:r>
        <w:rPr>
          <w:rFonts w:ascii="Times New Roman" w:hAnsi="Times New Roman"/>
          <w:sz w:val="24"/>
          <w:vertAlign w:val="superscript"/>
        </w:rPr>
        <w:t>2</w:t>
      </w:r>
      <w:r>
        <w:rPr>
          <w:rFonts w:ascii="Times New Roman" w:hAnsi="Times New Roman"/>
          <w:sz w:val="24"/>
        </w:rPr>
        <w:t>，福利屯水文站以上山丘集水面积 547km</w:t>
      </w:r>
      <w:r>
        <w:rPr>
          <w:rFonts w:ascii="Times New Roman" w:hAnsi="Times New Roman"/>
          <w:sz w:val="24"/>
          <w:vertAlign w:val="superscript"/>
        </w:rPr>
        <w:t>2</w:t>
      </w:r>
      <w:r>
        <w:rPr>
          <w:rFonts w:ascii="Times New Roman" w:hAnsi="Times New Roman"/>
          <w:sz w:val="24"/>
        </w:rPr>
        <w:t>。安邦河干流中上游段经由定国山水库、 双鸭山岭东区、 尖山区过滚兔岭进入集贤县境内的福利镇，主河道长约20km，双鸭山市以上控制面积为 455km</w:t>
      </w:r>
      <w:r>
        <w:rPr>
          <w:rFonts w:ascii="Times New Roman" w:hAnsi="Times New Roman"/>
          <w:sz w:val="24"/>
          <w:vertAlign w:val="superscript"/>
        </w:rPr>
        <w:t>2</w:t>
      </w:r>
      <w:r>
        <w:rPr>
          <w:rFonts w:ascii="Times New Roman" w:hAnsi="Times New Roman"/>
          <w:sz w:val="24"/>
        </w:rPr>
        <w:t>。双鸭山煤田已开发矿井由西至东有岭西、岭东、四方台、宝山、东保卫、七星、双阳及新安矿等八个矿井，均为国有煤矿。除岭西、岭东和宝山矿已闭坑外其余5个矿仍为生产矿井，它们都分布于低山丘陵地区，区域内有三条河流，西部的安邦河，中部的扁石河及东部的七星河。整个区域内水文地质条件属简单～较复杂型。</w:t>
      </w:r>
    </w:p>
    <w:p>
      <w:pPr>
        <w:spacing w:line="480" w:lineRule="exact"/>
        <w:ind w:firstLine="480" w:firstLineChars="200"/>
        <w:rPr>
          <w:rFonts w:ascii="Times New Roman" w:hAnsi="Times New Roman"/>
          <w:sz w:val="24"/>
        </w:rPr>
      </w:pPr>
      <w:r>
        <w:rPr>
          <w:rFonts w:ascii="Times New Roman" w:hAnsi="Times New Roman"/>
          <w:sz w:val="24"/>
        </w:rPr>
        <w:t>评价区域地表水系图详见图 4.1-3。</w:t>
      </w:r>
    </w:p>
    <w:p>
      <w:pPr>
        <w:pStyle w:val="136"/>
        <w:ind w:firstLine="0" w:firstLineChars="0"/>
        <w:jc w:val="center"/>
        <w:rPr>
          <w:rFonts w:ascii="Times New Roman" w:hAnsi="Times New Roman" w:cs="Times New Roman"/>
        </w:rPr>
      </w:pPr>
      <w:r>
        <w:rPr>
          <w:rFonts w:ascii="Times New Roman" w:hAnsi="Times New Roman" w:cs="Times New Roman"/>
        </w:rPr>
        <w:drawing>
          <wp:inline distT="0" distB="0" distL="114300" distR="114300">
            <wp:extent cx="4491355" cy="3819525"/>
            <wp:effectExtent l="0" t="0" r="4445" b="0"/>
            <wp:docPr id="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
                    <pic:cNvPicPr>
                      <a:picLocks noChangeAspect="1"/>
                    </pic:cNvPicPr>
                  </pic:nvPicPr>
                  <pic:blipFill>
                    <a:blip r:embed="rId36"/>
                    <a:stretch>
                      <a:fillRect/>
                    </a:stretch>
                  </pic:blipFill>
                  <pic:spPr>
                    <a:xfrm>
                      <a:off x="0" y="0"/>
                      <a:ext cx="4491355" cy="3819525"/>
                    </a:xfrm>
                    <a:prstGeom prst="rect">
                      <a:avLst/>
                    </a:prstGeom>
                    <a:noFill/>
                    <a:ln>
                      <a:noFill/>
                    </a:ln>
                  </pic:spPr>
                </pic:pic>
              </a:graphicData>
            </a:graphic>
          </wp:inline>
        </w:drawing>
      </w:r>
    </w:p>
    <w:p>
      <w:pPr>
        <w:pStyle w:val="20"/>
        <w:jc w:val="center"/>
        <w:rPr>
          <w:rFonts w:ascii="Times New Roman" w:hAnsi="Times New Roman" w:eastAsia="宋体"/>
          <w:b/>
          <w:bCs/>
          <w:kern w:val="0"/>
          <w:sz w:val="21"/>
          <w:szCs w:val="21"/>
          <w:lang w:val="zh-CN"/>
        </w:rPr>
      </w:pPr>
      <w:r>
        <w:rPr>
          <w:rFonts w:ascii="Times New Roman" w:hAnsi="Times New Roman" w:eastAsia="宋体"/>
          <w:b/>
          <w:bCs/>
          <w:kern w:val="0"/>
          <w:sz w:val="21"/>
          <w:szCs w:val="21"/>
          <w:lang w:val="zh-CN"/>
        </w:rPr>
        <w:t>图4.1-3  双鸭山市区域水系图</w:t>
      </w:r>
    </w:p>
    <w:p>
      <w:pPr>
        <w:pStyle w:val="4"/>
        <w:spacing w:before="120" w:beforeLines="50" w:after="120" w:afterLines="50" w:line="480" w:lineRule="exact"/>
        <w:ind w:left="17"/>
        <w:rPr>
          <w:rFonts w:ascii="Times New Roman" w:hAnsi="Times New Roman" w:eastAsia="黑体"/>
          <w:sz w:val="28"/>
          <w:szCs w:val="28"/>
        </w:rPr>
      </w:pPr>
      <w:bookmarkStart w:id="838" w:name="_Toc31262"/>
      <w:bookmarkStart w:id="839" w:name="_Toc27016"/>
      <w:r>
        <w:rPr>
          <w:rFonts w:ascii="Times New Roman" w:hAnsi="Times New Roman" w:eastAsia="黑体"/>
          <w:sz w:val="28"/>
          <w:szCs w:val="28"/>
        </w:rPr>
        <w:t>水文地质</w:t>
      </w:r>
      <w:bookmarkEnd w:id="838"/>
      <w:bookmarkEnd w:id="839"/>
    </w:p>
    <w:p>
      <w:pPr>
        <w:widowControl/>
        <w:spacing w:line="480" w:lineRule="exact"/>
        <w:outlineLvl w:val="3"/>
        <w:rPr>
          <w:rFonts w:ascii="Times New Roman" w:hAnsi="Times New Roman" w:eastAsia="黑体"/>
          <w:sz w:val="24"/>
        </w:rPr>
      </w:pPr>
      <w:r>
        <w:rPr>
          <w:rFonts w:ascii="Times New Roman" w:hAnsi="Times New Roman" w:eastAsia="黑体"/>
          <w:sz w:val="24"/>
        </w:rPr>
        <w:t>4.1.5.1.地质特征</w:t>
      </w:r>
    </w:p>
    <w:p>
      <w:pPr>
        <w:spacing w:line="480" w:lineRule="exact"/>
        <w:ind w:firstLine="480" w:firstLineChars="200"/>
        <w:rPr>
          <w:rFonts w:ascii="Times New Roman" w:hAnsi="Times New Roman"/>
          <w:sz w:val="24"/>
        </w:rPr>
      </w:pPr>
      <w:r>
        <w:rPr>
          <w:rFonts w:ascii="Times New Roman" w:hAnsi="Times New Roman"/>
          <w:sz w:val="24"/>
        </w:rPr>
        <w:t>双鸭山市区地质构造分为下、中、上三个构造层，中层为上侏罗系的以陆相碎屑岩为主的煤系地层和白垩系的陆相火山碎屑岩组成，两者呈平行不整接触，上侏罗系成北西西方向分布于尖山区，除安邦河谷外均为山地，土质为棕壤土，以下为碎石层。拟建场地上部地层为第四系冲积地层，下部为侏罗系砂岩地层，各岩土层从上至下可分为六层、依次为：</w:t>
      </w:r>
    </w:p>
    <w:p>
      <w:pPr>
        <w:spacing w:line="480" w:lineRule="exact"/>
        <w:ind w:firstLine="480" w:firstLineChars="200"/>
        <w:rPr>
          <w:rFonts w:ascii="Times New Roman" w:hAnsi="Times New Roman"/>
          <w:sz w:val="24"/>
        </w:rPr>
      </w:pPr>
      <w:r>
        <w:rPr>
          <w:rFonts w:ascii="Times New Roman" w:hAnsi="Times New Roman"/>
          <w:sz w:val="24"/>
        </w:rPr>
        <w:t>第一层：耕土，黑色、可塑、稍有光滑、干强度中等、韧性中等，无摇震反应，含少量的植物碎屑，该层厚度为0.5米。</w:t>
      </w:r>
    </w:p>
    <w:p>
      <w:pPr>
        <w:spacing w:line="480" w:lineRule="exact"/>
        <w:ind w:firstLine="480" w:firstLineChars="200"/>
        <w:rPr>
          <w:rFonts w:ascii="Times New Roman" w:hAnsi="Times New Roman"/>
          <w:sz w:val="24"/>
        </w:rPr>
      </w:pPr>
      <w:r>
        <w:rPr>
          <w:rFonts w:ascii="Times New Roman" w:hAnsi="Times New Roman"/>
          <w:sz w:val="24"/>
        </w:rPr>
        <w:t>第二层：粘土，黄褐色，可塑、光滑、干强度高、韧性高、无摇震反应，该层厚度为2.5-3.0米。地基承载力特征值fk=180千帕。</w:t>
      </w:r>
    </w:p>
    <w:p>
      <w:pPr>
        <w:spacing w:line="480" w:lineRule="exact"/>
        <w:ind w:firstLine="480" w:firstLineChars="200"/>
        <w:rPr>
          <w:rFonts w:ascii="Times New Roman" w:hAnsi="Times New Roman"/>
          <w:sz w:val="24"/>
        </w:rPr>
      </w:pPr>
      <w:r>
        <w:rPr>
          <w:rFonts w:ascii="Times New Roman" w:hAnsi="Times New Roman"/>
          <w:sz w:val="24"/>
        </w:rPr>
        <w:t>第三层：粉质粘土，黄褐色、硬塑、稍有光滑、干强度中等、韧性中等，无摇震反应，该层厚度为4.0-4.5米。地基承载力特征值fk=230-240千帕。</w:t>
      </w:r>
    </w:p>
    <w:p>
      <w:pPr>
        <w:spacing w:line="480" w:lineRule="exact"/>
        <w:ind w:firstLine="480" w:firstLineChars="200"/>
        <w:rPr>
          <w:rFonts w:ascii="Times New Roman" w:hAnsi="Times New Roman"/>
          <w:sz w:val="24"/>
        </w:rPr>
      </w:pPr>
      <w:r>
        <w:rPr>
          <w:rFonts w:ascii="Times New Roman" w:hAnsi="Times New Roman"/>
          <w:sz w:val="24"/>
        </w:rPr>
        <w:t>第四层：粉质粘土，黄褐色、硬塑、稍有光滑、干强度中等、韧性中等，无摇震反应，该层厚度为5.0-6.0米。地基承载力特征值fk=260千帕。</w:t>
      </w:r>
    </w:p>
    <w:p>
      <w:pPr>
        <w:spacing w:line="480" w:lineRule="exact"/>
        <w:ind w:firstLine="480" w:firstLineChars="200"/>
        <w:rPr>
          <w:rFonts w:ascii="Times New Roman" w:hAnsi="Times New Roman"/>
          <w:sz w:val="24"/>
        </w:rPr>
      </w:pPr>
      <w:r>
        <w:rPr>
          <w:rFonts w:ascii="Times New Roman" w:hAnsi="Times New Roman"/>
          <w:sz w:val="24"/>
        </w:rPr>
        <w:t>第五层：气风化砂岩，黄褐色、黄色，散体结构，结构大部被破坏，含有较多的母岩颗粒，用镐可挖，干钻可钻进。该层厚度为0.6-1.0米，地基承载力特征值fk=300千帕。</w:t>
      </w:r>
    </w:p>
    <w:p>
      <w:pPr>
        <w:spacing w:line="480" w:lineRule="exact"/>
        <w:ind w:firstLine="480" w:firstLineChars="200"/>
        <w:rPr>
          <w:rFonts w:ascii="Times New Roman" w:hAnsi="Times New Roman"/>
          <w:sz w:val="24"/>
        </w:rPr>
      </w:pPr>
      <w:r>
        <w:rPr>
          <w:rFonts w:ascii="Times New Roman" w:hAnsi="Times New Roman"/>
          <w:sz w:val="24"/>
        </w:rPr>
        <w:t>第六层：强风化粗砂层，黄褐色、黄色，碎裂结构，风化裂隙，岩体破碎，主要成分为长石、石英，用镐难挖，干钻不易钻进。</w:t>
      </w:r>
    </w:p>
    <w:p>
      <w:pPr>
        <w:spacing w:line="480" w:lineRule="exact"/>
        <w:ind w:firstLine="480" w:firstLineChars="200"/>
        <w:rPr>
          <w:rFonts w:ascii="Times New Roman" w:hAnsi="Times New Roman"/>
          <w:sz w:val="24"/>
        </w:rPr>
      </w:pPr>
      <w:r>
        <w:rPr>
          <w:rFonts w:ascii="Times New Roman" w:hAnsi="Times New Roman"/>
          <w:sz w:val="24"/>
        </w:rPr>
        <w:t>本地区抗震设防烈度&lt;6度，基本地震加速度值&lt;0.05g。抗震设防烈度为6度。设计地震分组为第一组。根据国家标准《建筑抗震设计规范》（GB50011-2001）的规定，从场地土的性质判定，属于中软土～中硬土，场地类别为</w:t>
      </w:r>
      <w:r>
        <w:rPr>
          <w:rFonts w:ascii="Times New Roman" w:hAnsi="Times New Roman"/>
          <w:sz w:val="24"/>
        </w:rPr>
        <w:fldChar w:fldCharType="begin"/>
      </w:r>
      <w:r>
        <w:rPr>
          <w:rFonts w:ascii="Times New Roman" w:hAnsi="Times New Roman"/>
          <w:sz w:val="24"/>
        </w:rPr>
        <w:instrText xml:space="preserve"> = 3 \* ROMAN </w:instrText>
      </w:r>
      <w:r>
        <w:rPr>
          <w:rFonts w:ascii="Times New Roman" w:hAnsi="Times New Roman"/>
          <w:sz w:val="24"/>
        </w:rPr>
        <w:fldChar w:fldCharType="separate"/>
      </w:r>
      <w:r>
        <w:rPr>
          <w:rFonts w:ascii="Times New Roman" w:hAnsi="Times New Roman"/>
          <w:sz w:val="24"/>
        </w:rPr>
        <w:t>III</w:t>
      </w:r>
      <w:r>
        <w:rPr>
          <w:rFonts w:ascii="Times New Roman" w:hAnsi="Times New Roman"/>
          <w:sz w:val="24"/>
        </w:rPr>
        <w:fldChar w:fldCharType="end"/>
      </w:r>
      <w:r>
        <w:rPr>
          <w:rFonts w:ascii="Times New Roman" w:hAnsi="Times New Roman"/>
          <w:sz w:val="24"/>
        </w:rPr>
        <w:t>类，属于抗震有利地段。</w:t>
      </w:r>
    </w:p>
    <w:p>
      <w:pPr>
        <w:widowControl/>
        <w:spacing w:line="480" w:lineRule="exact"/>
        <w:outlineLvl w:val="3"/>
        <w:rPr>
          <w:rFonts w:ascii="Times New Roman" w:hAnsi="Times New Roman" w:eastAsia="黑体"/>
          <w:sz w:val="24"/>
        </w:rPr>
      </w:pPr>
      <w:r>
        <w:rPr>
          <w:rFonts w:ascii="Times New Roman" w:hAnsi="Times New Roman" w:eastAsia="黑体"/>
          <w:sz w:val="24"/>
        </w:rPr>
        <w:t>4.1.5.3.水文地质特征</w:t>
      </w:r>
    </w:p>
    <w:p>
      <w:pPr>
        <w:spacing w:line="480" w:lineRule="exact"/>
        <w:ind w:firstLine="480" w:firstLineChars="200"/>
        <w:rPr>
          <w:rFonts w:ascii="Times New Roman" w:hAnsi="Times New Roman"/>
          <w:sz w:val="24"/>
        </w:rPr>
      </w:pPr>
      <w:r>
        <w:rPr>
          <w:rFonts w:ascii="Times New Roman" w:hAnsi="Times New Roman"/>
          <w:sz w:val="24"/>
        </w:rPr>
        <w:t>评价区位于双鸭山市东部。含水层类型为第四系砂砾石孔隙潜水和基岩风化裂隙水，详见水文地质图 4</w:t>
      </w:r>
      <w:r>
        <w:rPr>
          <w:rFonts w:hint="eastAsia" w:ascii="Times New Roman" w:hAnsi="Times New Roman"/>
          <w:sz w:val="24"/>
        </w:rPr>
        <w:t>.</w:t>
      </w:r>
      <w:r>
        <w:rPr>
          <w:rFonts w:ascii="Times New Roman" w:hAnsi="Times New Roman"/>
          <w:sz w:val="24"/>
        </w:rPr>
        <w:t>1-4。现将评价区各含水层分述如下：</w:t>
      </w:r>
    </w:p>
    <w:p>
      <w:pPr>
        <w:spacing w:line="480" w:lineRule="exact"/>
        <w:ind w:firstLine="480" w:firstLineChars="200"/>
        <w:rPr>
          <w:rFonts w:ascii="Times New Roman" w:hAnsi="Times New Roman"/>
          <w:sz w:val="24"/>
        </w:rPr>
      </w:pPr>
      <w:r>
        <w:rPr>
          <w:rFonts w:hint="eastAsia" w:cs="宋体"/>
          <w:sz w:val="24"/>
        </w:rPr>
        <w:t>①</w:t>
      </w:r>
      <w:r>
        <w:rPr>
          <w:rFonts w:ascii="Times New Roman" w:hAnsi="Times New Roman"/>
          <w:sz w:val="24"/>
        </w:rPr>
        <w:t>基岩风化裂隙水</w:t>
      </w:r>
    </w:p>
    <w:p>
      <w:pPr>
        <w:spacing w:line="480" w:lineRule="exact"/>
        <w:ind w:firstLine="480" w:firstLineChars="200"/>
        <w:rPr>
          <w:rFonts w:ascii="Times New Roman" w:hAnsi="Times New Roman"/>
          <w:sz w:val="24"/>
        </w:rPr>
      </w:pPr>
      <w:r>
        <w:rPr>
          <w:rFonts w:ascii="Times New Roman" w:hAnsi="Times New Roman"/>
          <w:sz w:val="24"/>
        </w:rPr>
        <w:t>分布在评价区的低山丘陵区，地下水上覆薄层粉质粘土，且分布不连续，具有潜水特征。基岩风化裂隙水含水层岩性主要为兴东期花岗岩、元古界变质岩及中生界碎屑岩，风化裂隙发育，为地下水提供了良好的补径排通道。风化带厚度与岩性有关，一般碎屑岩风化厚度达 35-55m，泉水流量一般为50-100m</w:t>
      </w:r>
      <w:r>
        <w:rPr>
          <w:rFonts w:ascii="Times New Roman" w:hAnsi="Times New Roman"/>
          <w:sz w:val="24"/>
          <w:vertAlign w:val="superscript"/>
        </w:rPr>
        <w:t>3</w:t>
      </w:r>
      <w:r>
        <w:rPr>
          <w:rFonts w:ascii="Times New Roman" w:hAnsi="Times New Roman"/>
          <w:sz w:val="24"/>
        </w:rPr>
        <w:t>/d，评价区内基岩风化裂隙水渗透系系数为0.35m/d；变质岩节理片理较为发育，风化作用亦较强烈，但部分地区为后来次生矿物所充填，减弱了其富水性，泉水涌水量一般为 0.5-43m</w:t>
      </w:r>
      <w:r>
        <w:rPr>
          <w:rFonts w:ascii="Times New Roman" w:hAnsi="Times New Roman"/>
          <w:sz w:val="24"/>
          <w:vertAlign w:val="superscript"/>
        </w:rPr>
        <w:t>3</w:t>
      </w:r>
      <w:r>
        <w:rPr>
          <w:rFonts w:ascii="Times New Roman" w:hAnsi="Times New Roman"/>
          <w:sz w:val="24"/>
        </w:rPr>
        <w:t>/d；花岗岩风化裂隙发育，岩层透水性良好，一般泉水涌水量为5-85m</w:t>
      </w:r>
      <w:r>
        <w:rPr>
          <w:rFonts w:ascii="Times New Roman" w:hAnsi="Times New Roman"/>
          <w:sz w:val="24"/>
          <w:vertAlign w:val="superscript"/>
        </w:rPr>
        <w:t>3</w:t>
      </w:r>
      <w:r>
        <w:rPr>
          <w:rFonts w:ascii="Times New Roman" w:hAnsi="Times New Roman"/>
          <w:sz w:val="24"/>
        </w:rPr>
        <w:t>/d。该区地下水化学类型主要为HCO3-Ca或HCO3-Ca·Mg型，矿化度小于0.1g/l。</w:t>
      </w:r>
    </w:p>
    <w:p>
      <w:pPr>
        <w:pStyle w:val="136"/>
        <w:ind w:firstLine="480"/>
        <w:rPr>
          <w:rFonts w:ascii="Times New Roman" w:hAnsi="Times New Roman" w:cs="Times New Roman"/>
          <w:sz w:val="21"/>
        </w:rPr>
      </w:pPr>
      <w:r>
        <w:rPr>
          <w:rFonts w:hint="eastAsia"/>
          <w:szCs w:val="24"/>
        </w:rPr>
        <w:t>②</w:t>
      </w:r>
      <w:r>
        <w:rPr>
          <w:rFonts w:ascii="Times New Roman" w:hAnsi="Times New Roman" w:cs="Times New Roman"/>
          <w:szCs w:val="24"/>
        </w:rPr>
        <w:t>第四系砂砾石孔隙潜水</w:t>
      </w:r>
    </w:p>
    <w:p>
      <w:pPr>
        <w:pStyle w:val="136"/>
        <w:ind w:firstLine="480"/>
        <w:rPr>
          <w:rFonts w:ascii="Times New Roman" w:hAnsi="Times New Roman" w:cs="Times New Roman"/>
        </w:rPr>
        <w:sectPr>
          <w:pgSz w:w="11907" w:h="16839"/>
          <w:pgMar w:top="1440" w:right="1797" w:bottom="1440" w:left="1797" w:header="851" w:footer="850" w:gutter="0"/>
          <w:cols w:space="720" w:num="1"/>
          <w:docGrid w:linePitch="312" w:charSpace="0"/>
        </w:sectPr>
      </w:pPr>
      <w:r>
        <w:rPr>
          <w:rFonts w:ascii="Times New Roman" w:hAnsi="Times New Roman" w:cs="Times New Roman"/>
        </w:rPr>
        <w:t>主要分布在北部低平原区沟谷两侧，在含水层上部覆盖一层不连续的黑褐、棕黄、灰黄褐色粉质粘土，地下水不具承压性质。含水层岩性主要为中粗砂及含砾中粗砂等，厚度 10-40m，平均厚20m左右含水层，从上游至下游和支流至主流逐渐增厚，颗粒从上游方向至下游方向逐渐由粗变细，即由砂砾石渐变到含砾中粗砂，含砾中粗砂渐变到中细砂。地下水水位埋深2-10m不等，地下水类型为潜水。此区地下水资源丰富，单井涌水量一般为1000-5000m</w:t>
      </w:r>
      <w:r>
        <w:rPr>
          <w:rFonts w:ascii="Times New Roman" w:hAnsi="Times New Roman" w:cs="Times New Roman"/>
          <w:vertAlign w:val="superscript"/>
        </w:rPr>
        <w:t>3</w:t>
      </w:r>
      <w:r>
        <w:rPr>
          <w:rFonts w:ascii="Times New Roman" w:hAnsi="Times New Roman" w:cs="Times New Roman"/>
        </w:rPr>
        <w:t>/d。地下水化学类型为HCO</w:t>
      </w:r>
      <w:r>
        <w:rPr>
          <w:rFonts w:ascii="Times New Roman" w:hAnsi="Times New Roman" w:cs="Times New Roman"/>
          <w:vertAlign w:val="subscript"/>
        </w:rPr>
        <w:t>3</w:t>
      </w:r>
      <w:r>
        <w:rPr>
          <w:rFonts w:ascii="Times New Roman" w:hAnsi="Times New Roman" w:cs="Times New Roman"/>
        </w:rPr>
        <w:t>-Ca型，矿化度一般小于0.5g/l，为低矿化淡水，是本区居民生活及农田灌溉的主要供水层之一。</w:t>
      </w:r>
    </w:p>
    <w:p>
      <w:pPr>
        <w:pStyle w:val="155"/>
        <w:spacing w:line="240" w:lineRule="auto"/>
        <w:ind w:firstLine="0" w:firstLineChars="0"/>
        <w:jc w:val="center"/>
        <w:rPr>
          <w:shd w:val="clear" w:color="FFFFFF" w:fill="D9D9D9"/>
        </w:rPr>
      </w:pPr>
      <w:r>
        <w:drawing>
          <wp:inline distT="0" distB="0" distL="0" distR="0">
            <wp:extent cx="8410575" cy="5433060"/>
            <wp:effectExtent l="0" t="0" r="9525"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37"/>
                    <a:stretch>
                      <a:fillRect/>
                    </a:stretch>
                  </pic:blipFill>
                  <pic:spPr>
                    <a:xfrm>
                      <a:off x="0" y="0"/>
                      <a:ext cx="8410575" cy="5433060"/>
                    </a:xfrm>
                    <a:prstGeom prst="rect">
                      <a:avLst/>
                    </a:prstGeom>
                  </pic:spPr>
                </pic:pic>
              </a:graphicData>
            </a:graphic>
          </wp:inline>
        </w:drawing>
      </w:r>
    </w:p>
    <w:p>
      <w:pPr>
        <w:pStyle w:val="155"/>
        <w:spacing w:line="240" w:lineRule="auto"/>
        <w:ind w:firstLine="0" w:firstLineChars="0"/>
        <w:jc w:val="center"/>
        <w:rPr>
          <w:b/>
          <w:sz w:val="21"/>
          <w:szCs w:val="21"/>
        </w:rPr>
        <w:sectPr>
          <w:pgSz w:w="16839" w:h="11907" w:orient="landscape"/>
          <w:pgMar w:top="1440" w:right="1797" w:bottom="1440" w:left="1797" w:header="851" w:footer="850" w:gutter="0"/>
          <w:cols w:space="720" w:num="1"/>
          <w:docGrid w:linePitch="312" w:charSpace="0"/>
        </w:sectPr>
      </w:pPr>
      <w:r>
        <w:rPr>
          <w:b/>
          <w:sz w:val="21"/>
          <w:szCs w:val="21"/>
        </w:rPr>
        <w:t>图4.1-4 评价区水文地质图</w:t>
      </w:r>
    </w:p>
    <w:p>
      <w:pPr>
        <w:widowControl/>
        <w:spacing w:line="480" w:lineRule="exact"/>
        <w:outlineLvl w:val="3"/>
        <w:rPr>
          <w:rFonts w:ascii="Times New Roman" w:hAnsi="Times New Roman" w:eastAsia="黑体"/>
          <w:sz w:val="24"/>
        </w:rPr>
      </w:pPr>
      <w:r>
        <w:rPr>
          <w:rFonts w:ascii="Times New Roman" w:hAnsi="Times New Roman" w:eastAsia="黑体"/>
          <w:sz w:val="24"/>
        </w:rPr>
        <w:t>4.1.5.4.地下水的补给、径流和排泄条件</w:t>
      </w:r>
    </w:p>
    <w:p>
      <w:pPr>
        <w:pStyle w:val="136"/>
        <w:spacing w:line="480" w:lineRule="exact"/>
        <w:ind w:firstLine="480"/>
        <w:rPr>
          <w:rFonts w:ascii="Times New Roman" w:hAnsi="Times New Roman" w:cs="Times New Roman"/>
        </w:rPr>
      </w:pPr>
      <w:r>
        <w:rPr>
          <w:rFonts w:ascii="Times New Roman" w:hAnsi="Times New Roman" w:cs="Times New Roman"/>
        </w:rPr>
        <w:t>该区地下水总的流向为由南向北。南部低山丘陵区，地下水唯一补给来源是大气降水，大气降水部分沿地势形成地表径流，其余渗入地下水形成风化裂隙水。该区地下水排泄方式包括：部分在山前地带或坡角溢出成泉排泄，部分以潜流形式向下游补给。低平原区地形平缓，表层粉质粘土或粘土较薄，有利于大气降水入渗补给地下水，此外还存在丰水期河流等地表水体的下渗补给，其排泄方式主要是向邻区的地下水侧向径流排泄，另外人工开采也是区内地下水排泄方式之一。</w:t>
      </w:r>
    </w:p>
    <w:p>
      <w:pPr>
        <w:pStyle w:val="136"/>
        <w:spacing w:line="480" w:lineRule="exact"/>
        <w:ind w:firstLine="480"/>
        <w:rPr>
          <w:rFonts w:ascii="Times New Roman" w:hAnsi="Times New Roman" w:cs="Times New Roman"/>
        </w:rPr>
      </w:pPr>
      <w:r>
        <w:rPr>
          <w:rFonts w:ascii="Times New Roman" w:hAnsi="Times New Roman" w:cs="Times New Roman"/>
        </w:rPr>
        <w:t>根据资料显示，评价区地下水水位最低在2-5月，地下水埋深一般为4.0-12.0m， 在 8-9 月达到最高，地下水埋深一般为1.5-9.0m左右。地下水位动态呈现季节性变化规律，每年2-5月地表蒸发量开始增强而降水量依然较小，季节性冻土层开始融化，地下水尚未得到降水和溶化雪水的有效补给，水位较低；此后，降水量不断增加，渗入补给量随之加大，地下水水位开始普遍上升，并随着降水量增大，地下水水位上升速度加快，至8-9月达到峰值；从9月底开始，降水量不断减少，地下水水位开始缓慢下降，11月地表开始冻结，直到翌年4-5月份冻土融化为止，地下水都处于下降状态。一般情况下每年7-8月为雨季，地下水水位应出现在此阶段，但由于含水层上覆一层粉质粘土，为大气降水渗入起到滞缓作用，因此地下水水位峰值比大气降水期滞后。</w:t>
      </w:r>
    </w:p>
    <w:bookmarkEnd w:id="816"/>
    <w:bookmarkEnd w:id="817"/>
    <w:bookmarkEnd w:id="818"/>
    <w:bookmarkEnd w:id="826"/>
    <w:bookmarkEnd w:id="827"/>
    <w:bookmarkEnd w:id="828"/>
    <w:bookmarkEnd w:id="829"/>
    <w:bookmarkEnd w:id="830"/>
    <w:bookmarkEnd w:id="831"/>
    <w:bookmarkEnd w:id="832"/>
    <w:bookmarkEnd w:id="833"/>
    <w:bookmarkEnd w:id="834"/>
    <w:bookmarkEnd w:id="835"/>
    <w:p>
      <w:pPr>
        <w:pStyle w:val="4"/>
        <w:spacing w:before="120" w:beforeLines="50" w:after="120" w:afterLines="50" w:line="480" w:lineRule="exact"/>
        <w:ind w:left="17"/>
        <w:rPr>
          <w:rFonts w:ascii="Times New Roman" w:hAnsi="Times New Roman" w:eastAsia="黑体"/>
          <w:sz w:val="28"/>
          <w:szCs w:val="28"/>
        </w:rPr>
      </w:pPr>
      <w:bookmarkStart w:id="840" w:name="_Toc13889"/>
      <w:bookmarkStart w:id="841" w:name="_Toc17149"/>
      <w:bookmarkStart w:id="842" w:name="_Toc6826"/>
      <w:bookmarkStart w:id="843" w:name="_Toc6714"/>
      <w:bookmarkStart w:id="844" w:name="_Toc19362"/>
      <w:bookmarkStart w:id="845" w:name="_Toc26188035"/>
      <w:bookmarkStart w:id="846" w:name="_Toc27134308"/>
      <w:bookmarkStart w:id="847" w:name="_Toc9843813"/>
      <w:r>
        <w:rPr>
          <w:rFonts w:ascii="Times New Roman" w:hAnsi="Times New Roman" w:eastAsia="黑体"/>
          <w:sz w:val="28"/>
          <w:szCs w:val="28"/>
        </w:rPr>
        <w:t>土壤</w:t>
      </w:r>
      <w:bookmarkEnd w:id="840"/>
      <w:bookmarkEnd w:id="841"/>
      <w:bookmarkEnd w:id="842"/>
      <w:bookmarkEnd w:id="843"/>
      <w:bookmarkEnd w:id="844"/>
      <w:bookmarkEnd w:id="845"/>
      <w:bookmarkEnd w:id="846"/>
    </w:p>
    <w:p>
      <w:pPr>
        <w:pStyle w:val="155"/>
        <w:spacing w:line="480" w:lineRule="exact"/>
        <w:ind w:firstLine="480"/>
      </w:pPr>
      <w:r>
        <w:t>本区内的土类主要分类有冷凉淋溶土，占比为60%，湿润均腐土，占比为30%。</w:t>
      </w:r>
    </w:p>
    <w:p>
      <w:pPr>
        <w:rPr>
          <w:rFonts w:ascii="Times New Roman" w:hAnsi="Times New Roman"/>
        </w:rPr>
      </w:pPr>
      <w:r>
        <w:rPr>
          <w:rFonts w:ascii="Times New Roman" w:hAnsi="Times New Roman"/>
        </w:rPr>
        <w:drawing>
          <wp:inline distT="0" distB="0" distL="114300" distR="114300">
            <wp:extent cx="5499735" cy="3636010"/>
            <wp:effectExtent l="0" t="0" r="5715" b="2540"/>
            <wp:docPr id="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
                    <pic:cNvPicPr>
                      <a:picLocks noChangeAspect="1"/>
                    </pic:cNvPicPr>
                  </pic:nvPicPr>
                  <pic:blipFill>
                    <a:blip r:embed="rId38"/>
                    <a:stretch>
                      <a:fillRect/>
                    </a:stretch>
                  </pic:blipFill>
                  <pic:spPr>
                    <a:xfrm>
                      <a:off x="0" y="0"/>
                      <a:ext cx="5546683" cy="3667161"/>
                    </a:xfrm>
                    <a:prstGeom prst="rect">
                      <a:avLst/>
                    </a:prstGeom>
                    <a:noFill/>
                    <a:ln>
                      <a:noFill/>
                    </a:ln>
                  </pic:spPr>
                </pic:pic>
              </a:graphicData>
            </a:graphic>
          </wp:inline>
        </w:drawing>
      </w:r>
    </w:p>
    <w:p>
      <w:pPr>
        <w:spacing w:line="480" w:lineRule="exact"/>
        <w:jc w:val="center"/>
        <w:rPr>
          <w:rFonts w:ascii="Times New Roman" w:hAnsi="Times New Roman"/>
        </w:rPr>
      </w:pPr>
      <w:r>
        <w:rPr>
          <w:rFonts w:ascii="Times New Roman" w:hAnsi="Times New Roman"/>
          <w:b/>
        </w:rPr>
        <w:t>图4.1-5 土壤类型图</w:t>
      </w:r>
    </w:p>
    <w:bookmarkEnd w:id="847"/>
    <w:p>
      <w:pPr>
        <w:pStyle w:val="3"/>
        <w:spacing w:before="120" w:beforeLines="50" w:after="120" w:afterLines="50" w:line="480" w:lineRule="exact"/>
        <w:ind w:left="-11"/>
        <w:rPr>
          <w:rFonts w:ascii="Times New Roman" w:hAnsi="Times New Roman" w:eastAsia="黑体"/>
          <w:sz w:val="30"/>
          <w:szCs w:val="30"/>
        </w:rPr>
      </w:pPr>
      <w:bookmarkStart w:id="848" w:name="_Toc116379712"/>
      <w:r>
        <w:rPr>
          <w:rFonts w:ascii="Times New Roman" w:hAnsi="Times New Roman" w:eastAsia="黑体"/>
          <w:sz w:val="30"/>
          <w:szCs w:val="30"/>
        </w:rPr>
        <w:t>环境质量现状调查与评价</w:t>
      </w:r>
      <w:bookmarkEnd w:id="848"/>
    </w:p>
    <w:p>
      <w:pPr>
        <w:pStyle w:val="4"/>
        <w:spacing w:before="120" w:beforeLines="50" w:after="120" w:afterLines="50" w:line="480" w:lineRule="exact"/>
        <w:ind w:left="17"/>
        <w:rPr>
          <w:rFonts w:ascii="Times New Roman" w:hAnsi="Times New Roman" w:eastAsia="黑体"/>
          <w:sz w:val="28"/>
          <w:szCs w:val="28"/>
        </w:rPr>
      </w:pPr>
      <w:bookmarkStart w:id="849" w:name="_Toc10162"/>
      <w:bookmarkStart w:id="850" w:name="_Toc30456"/>
      <w:bookmarkStart w:id="851" w:name="_Toc26188038"/>
      <w:bookmarkStart w:id="852" w:name="_Toc27134311"/>
      <w:bookmarkStart w:id="853" w:name="_Toc4549"/>
      <w:bookmarkStart w:id="854" w:name="_Toc13398"/>
      <w:bookmarkStart w:id="855" w:name="_Toc20525"/>
      <w:bookmarkStart w:id="856" w:name="_Toc9843817"/>
      <w:r>
        <w:rPr>
          <w:rFonts w:ascii="Times New Roman" w:hAnsi="Times New Roman" w:eastAsia="黑体"/>
          <w:sz w:val="28"/>
          <w:szCs w:val="28"/>
        </w:rPr>
        <w:t>环境空气质量现状评价</w:t>
      </w:r>
      <w:bookmarkEnd w:id="849"/>
      <w:bookmarkEnd w:id="850"/>
      <w:bookmarkEnd w:id="851"/>
      <w:bookmarkEnd w:id="852"/>
      <w:bookmarkEnd w:id="853"/>
      <w:bookmarkEnd w:id="854"/>
      <w:bookmarkEnd w:id="855"/>
      <w:bookmarkEnd w:id="856"/>
    </w:p>
    <w:p>
      <w:p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本次环境空气质量现状数据来自双鸭山市生态环境局公布的《2020年双鸭山市环境空气质量状况》，黑龙江省华裕检测技术有限公司</w:t>
      </w:r>
      <w:r>
        <w:rPr>
          <w:rFonts w:ascii="Times New Roman" w:hAnsi="Times New Roman"/>
          <w:sz w:val="24"/>
          <w:szCs w:val="24"/>
        </w:rPr>
        <w:t>2022年5月20日~2022年5月26日对本项目的监测数据</w:t>
      </w:r>
      <w:r>
        <w:rPr>
          <w:rFonts w:ascii="Times New Roman" w:hAnsi="Times New Roman"/>
          <w:kern w:val="2"/>
          <w:sz w:val="24"/>
          <w:szCs w:val="20"/>
        </w:rPr>
        <w:t>。</w:t>
      </w:r>
    </w:p>
    <w:p>
      <w:pPr>
        <w:tabs>
          <w:tab w:val="left" w:pos="4536"/>
        </w:tabs>
        <w:spacing w:line="480" w:lineRule="exact"/>
        <w:ind w:firstLine="480" w:firstLineChars="200"/>
        <w:rPr>
          <w:rFonts w:ascii="Times New Roman" w:hAnsi="Times New Roman"/>
          <w:kern w:val="2"/>
          <w:sz w:val="24"/>
          <w:szCs w:val="20"/>
        </w:rPr>
      </w:pPr>
      <w:r>
        <w:rPr>
          <w:rFonts w:ascii="Times New Roman" w:hAnsi="Times New Roman"/>
          <w:kern w:val="2"/>
          <w:sz w:val="24"/>
          <w:szCs w:val="20"/>
        </w:rPr>
        <w:t>双鸭山市基本污染物监测因子有SO</w:t>
      </w:r>
      <w:r>
        <w:rPr>
          <w:rFonts w:ascii="Times New Roman" w:hAnsi="Times New Roman"/>
          <w:kern w:val="2"/>
          <w:sz w:val="24"/>
          <w:szCs w:val="20"/>
          <w:vertAlign w:val="subscript"/>
        </w:rPr>
        <w:t>2</w:t>
      </w:r>
      <w:r>
        <w:rPr>
          <w:rFonts w:ascii="Times New Roman" w:hAnsi="Times New Roman"/>
          <w:kern w:val="2"/>
          <w:sz w:val="24"/>
          <w:szCs w:val="20"/>
        </w:rPr>
        <w:t>、NO</w:t>
      </w:r>
      <w:r>
        <w:rPr>
          <w:rFonts w:ascii="Times New Roman" w:hAnsi="Times New Roman"/>
          <w:kern w:val="2"/>
          <w:sz w:val="24"/>
          <w:szCs w:val="20"/>
          <w:vertAlign w:val="subscript"/>
        </w:rPr>
        <w:t>2</w:t>
      </w:r>
      <w:r>
        <w:rPr>
          <w:rFonts w:ascii="Times New Roman" w:hAnsi="Times New Roman"/>
          <w:kern w:val="2"/>
          <w:sz w:val="24"/>
          <w:szCs w:val="20"/>
        </w:rPr>
        <w:t>、PM</w:t>
      </w:r>
      <w:r>
        <w:rPr>
          <w:rFonts w:ascii="Times New Roman" w:hAnsi="Times New Roman"/>
          <w:kern w:val="2"/>
          <w:sz w:val="24"/>
          <w:szCs w:val="20"/>
          <w:vertAlign w:val="subscript"/>
        </w:rPr>
        <w:t>10</w:t>
      </w:r>
      <w:r>
        <w:rPr>
          <w:rFonts w:ascii="Times New Roman" w:hAnsi="Times New Roman"/>
          <w:kern w:val="2"/>
          <w:sz w:val="24"/>
          <w:szCs w:val="20"/>
        </w:rPr>
        <w:t>、PM</w:t>
      </w:r>
      <w:r>
        <w:rPr>
          <w:rFonts w:ascii="Times New Roman" w:hAnsi="Times New Roman"/>
          <w:kern w:val="2"/>
          <w:sz w:val="24"/>
          <w:szCs w:val="20"/>
          <w:vertAlign w:val="subscript"/>
        </w:rPr>
        <w:t>2.5</w:t>
      </w:r>
      <w:r>
        <w:rPr>
          <w:rFonts w:ascii="Times New Roman" w:hAnsi="Times New Roman"/>
          <w:kern w:val="2"/>
          <w:sz w:val="24"/>
          <w:szCs w:val="20"/>
        </w:rPr>
        <w:t>、CO和O</w:t>
      </w:r>
      <w:r>
        <w:rPr>
          <w:rFonts w:ascii="Times New Roman" w:hAnsi="Times New Roman"/>
          <w:kern w:val="2"/>
          <w:sz w:val="24"/>
          <w:szCs w:val="20"/>
          <w:vertAlign w:val="subscript"/>
        </w:rPr>
        <w:t>3</w:t>
      </w:r>
      <w:r>
        <w:rPr>
          <w:rFonts w:ascii="Times New Roman" w:hAnsi="Times New Roman"/>
          <w:kern w:val="2"/>
          <w:sz w:val="24"/>
          <w:szCs w:val="20"/>
        </w:rPr>
        <w:t>；补充监测因子为TSP、TVOC、非甲烷总烃、氨、硫化氢、臭气浓度。本项目大气环境影响评价工作等级为二级，根据《环境影响评价技术导则—大气环境》（HJ2.2-2018）中监测布点以近20年统计的当地的主导风向为轴向，在厂址及下风向5km范围内设置1~2个监测点，本项目共取2个监测点数据。</w:t>
      </w:r>
    </w:p>
    <w:p>
      <w:pPr>
        <w:widowControl/>
        <w:spacing w:line="480" w:lineRule="exact"/>
        <w:outlineLvl w:val="3"/>
        <w:rPr>
          <w:rFonts w:ascii="Times New Roman" w:hAnsi="Times New Roman" w:eastAsia="黑体"/>
          <w:sz w:val="24"/>
        </w:rPr>
      </w:pPr>
      <w:bookmarkStart w:id="857" w:name="_Toc535348470"/>
      <w:r>
        <w:rPr>
          <w:rFonts w:ascii="Times New Roman" w:hAnsi="Times New Roman" w:eastAsia="黑体"/>
          <w:sz w:val="28"/>
          <w:szCs w:val="28"/>
        </w:rPr>
        <w:t>4.2.1.1.</w:t>
      </w:r>
      <w:bookmarkEnd w:id="857"/>
      <w:r>
        <w:rPr>
          <w:rFonts w:ascii="Times New Roman" w:hAnsi="Times New Roman" w:eastAsia="黑体"/>
          <w:sz w:val="28"/>
          <w:szCs w:val="28"/>
        </w:rPr>
        <w:t>空气质量达标区判定</w:t>
      </w:r>
    </w:p>
    <w:p>
      <w:pPr>
        <w:tabs>
          <w:tab w:val="left" w:pos="4536"/>
        </w:tabs>
        <w:spacing w:line="480" w:lineRule="exact"/>
        <w:ind w:firstLine="480" w:firstLineChars="200"/>
        <w:rPr>
          <w:rFonts w:ascii="Times New Roman" w:hAnsi="Times New Roman"/>
          <w:kern w:val="2"/>
          <w:sz w:val="24"/>
          <w:szCs w:val="20"/>
        </w:rPr>
      </w:pPr>
      <w:bookmarkStart w:id="858" w:name="_Toc482020667"/>
      <w:bookmarkStart w:id="859" w:name="_Toc527205740"/>
      <w:bookmarkStart w:id="860" w:name="_Toc487111506"/>
      <w:bookmarkStart w:id="861" w:name="_Toc458063876"/>
      <w:bookmarkStart w:id="862" w:name="_Toc466271430"/>
      <w:bookmarkStart w:id="863" w:name="_Toc486970388"/>
      <w:bookmarkStart w:id="864" w:name="_Toc406772053"/>
      <w:bookmarkStart w:id="865" w:name="_Toc530655974"/>
      <w:bookmarkStart w:id="866" w:name="_Toc416966923"/>
      <w:bookmarkStart w:id="867" w:name="_Toc480190504"/>
      <w:bookmarkStart w:id="868" w:name="_Toc464036731"/>
      <w:bookmarkStart w:id="869" w:name="_Toc532556614"/>
      <w:bookmarkStart w:id="870" w:name="_Toc407350279"/>
      <w:bookmarkStart w:id="871" w:name="_Toc535348471"/>
      <w:bookmarkStart w:id="872" w:name="_Toc534537631"/>
      <w:bookmarkStart w:id="873" w:name="_Toc409529968"/>
      <w:bookmarkStart w:id="874" w:name="_Toc453708976"/>
      <w:bookmarkStart w:id="875" w:name="_Toc480983885"/>
      <w:bookmarkStart w:id="876" w:name="_Toc406572511"/>
      <w:bookmarkStart w:id="877" w:name="_Toc497228836"/>
      <w:bookmarkStart w:id="878" w:name="_Toc535168917"/>
      <w:r>
        <w:rPr>
          <w:rFonts w:ascii="Times New Roman" w:hAnsi="Times New Roman"/>
          <w:kern w:val="2"/>
          <w:sz w:val="24"/>
          <w:szCs w:val="20"/>
        </w:rPr>
        <w:t>本项目所在区域属于二类环境空气质量功能区，执行国家《环境空气质量标准》（GB3095-2012）中的二级标准。根据</w:t>
      </w:r>
      <w:r>
        <w:rPr>
          <w:rFonts w:hint="eastAsia" w:ascii="Times New Roman" w:hAnsi="Times New Roman"/>
          <w:kern w:val="2"/>
          <w:sz w:val="24"/>
          <w:szCs w:val="20"/>
        </w:rPr>
        <w:t>《双鸭山市2020年环境空气质量报告》显示</w:t>
      </w:r>
      <w:r>
        <w:rPr>
          <w:rFonts w:ascii="Times New Roman" w:hAnsi="Times New Roman"/>
          <w:kern w:val="2"/>
          <w:sz w:val="24"/>
          <w:szCs w:val="20"/>
        </w:rPr>
        <w:t>，双鸭山市2020年SO</w:t>
      </w:r>
      <w:r>
        <w:rPr>
          <w:rFonts w:ascii="Times New Roman" w:hAnsi="Times New Roman"/>
          <w:kern w:val="2"/>
          <w:sz w:val="24"/>
          <w:szCs w:val="20"/>
          <w:vertAlign w:val="subscript"/>
        </w:rPr>
        <w:t>2</w:t>
      </w:r>
      <w:r>
        <w:rPr>
          <w:rFonts w:ascii="Times New Roman" w:hAnsi="Times New Roman"/>
          <w:kern w:val="2"/>
          <w:sz w:val="24"/>
          <w:szCs w:val="20"/>
        </w:rPr>
        <w:t>、NO</w:t>
      </w:r>
      <w:r>
        <w:rPr>
          <w:rFonts w:ascii="Times New Roman" w:hAnsi="Times New Roman"/>
          <w:kern w:val="2"/>
          <w:sz w:val="24"/>
          <w:szCs w:val="20"/>
          <w:vertAlign w:val="subscript"/>
        </w:rPr>
        <w:t>2</w:t>
      </w:r>
      <w:r>
        <w:rPr>
          <w:rFonts w:ascii="Times New Roman" w:hAnsi="Times New Roman"/>
          <w:kern w:val="2"/>
          <w:sz w:val="24"/>
          <w:szCs w:val="20"/>
        </w:rPr>
        <w:t>、PM</w:t>
      </w:r>
      <w:r>
        <w:rPr>
          <w:rFonts w:ascii="Times New Roman" w:hAnsi="Times New Roman"/>
          <w:kern w:val="2"/>
          <w:sz w:val="24"/>
          <w:szCs w:val="20"/>
          <w:vertAlign w:val="subscript"/>
        </w:rPr>
        <w:t>10</w:t>
      </w:r>
      <w:r>
        <w:rPr>
          <w:rFonts w:ascii="Times New Roman" w:hAnsi="Times New Roman"/>
          <w:kern w:val="2"/>
          <w:sz w:val="24"/>
          <w:szCs w:val="20"/>
        </w:rPr>
        <w:t>、PM</w:t>
      </w:r>
      <w:r>
        <w:rPr>
          <w:rFonts w:ascii="Times New Roman" w:hAnsi="Times New Roman"/>
          <w:kern w:val="2"/>
          <w:sz w:val="24"/>
          <w:szCs w:val="20"/>
          <w:vertAlign w:val="subscript"/>
        </w:rPr>
        <w:t>2.5</w:t>
      </w:r>
      <w:r>
        <w:rPr>
          <w:rFonts w:ascii="Times New Roman" w:hAnsi="Times New Roman"/>
          <w:kern w:val="2"/>
          <w:sz w:val="24"/>
          <w:szCs w:val="20"/>
        </w:rPr>
        <w:t>年均浓度分别为10μg/m</w:t>
      </w:r>
      <w:r>
        <w:rPr>
          <w:rFonts w:ascii="Times New Roman" w:hAnsi="Times New Roman"/>
          <w:kern w:val="2"/>
          <w:sz w:val="24"/>
          <w:szCs w:val="20"/>
          <w:vertAlign w:val="superscript"/>
        </w:rPr>
        <w:t>3</w:t>
      </w:r>
      <w:r>
        <w:rPr>
          <w:rFonts w:ascii="Times New Roman" w:hAnsi="Times New Roman"/>
          <w:kern w:val="2"/>
          <w:sz w:val="24"/>
          <w:szCs w:val="20"/>
        </w:rPr>
        <w:t>、14μg/m</w:t>
      </w:r>
      <w:r>
        <w:rPr>
          <w:rFonts w:ascii="Times New Roman" w:hAnsi="Times New Roman"/>
          <w:kern w:val="2"/>
          <w:sz w:val="24"/>
          <w:szCs w:val="20"/>
          <w:vertAlign w:val="superscript"/>
        </w:rPr>
        <w:t>3</w:t>
      </w:r>
      <w:r>
        <w:rPr>
          <w:rFonts w:ascii="Times New Roman" w:hAnsi="Times New Roman"/>
          <w:kern w:val="2"/>
          <w:sz w:val="24"/>
          <w:szCs w:val="20"/>
        </w:rPr>
        <w:t>、44μg/m</w:t>
      </w:r>
      <w:r>
        <w:rPr>
          <w:rFonts w:ascii="Times New Roman" w:hAnsi="Times New Roman"/>
          <w:kern w:val="2"/>
          <w:sz w:val="24"/>
          <w:szCs w:val="20"/>
          <w:vertAlign w:val="superscript"/>
        </w:rPr>
        <w:t>3</w:t>
      </w:r>
      <w:r>
        <w:rPr>
          <w:rFonts w:ascii="Times New Roman" w:hAnsi="Times New Roman"/>
          <w:kern w:val="2"/>
          <w:sz w:val="24"/>
          <w:szCs w:val="20"/>
        </w:rPr>
        <w:t>、26μg/m</w:t>
      </w:r>
      <w:r>
        <w:rPr>
          <w:rFonts w:ascii="Times New Roman" w:hAnsi="Times New Roman"/>
          <w:kern w:val="2"/>
          <w:sz w:val="24"/>
          <w:szCs w:val="20"/>
          <w:vertAlign w:val="superscript"/>
        </w:rPr>
        <w:t>3</w:t>
      </w:r>
      <w:r>
        <w:rPr>
          <w:rFonts w:ascii="Times New Roman" w:hAnsi="Times New Roman"/>
          <w:kern w:val="2"/>
          <w:sz w:val="24"/>
          <w:szCs w:val="20"/>
        </w:rPr>
        <w:t>；CO 24小时平均第95百分位数为1mg/m</w:t>
      </w:r>
      <w:r>
        <w:rPr>
          <w:rFonts w:ascii="Times New Roman" w:hAnsi="Times New Roman"/>
          <w:kern w:val="2"/>
          <w:sz w:val="24"/>
          <w:szCs w:val="20"/>
          <w:vertAlign w:val="superscript"/>
        </w:rPr>
        <w:t>3</w:t>
      </w:r>
      <w:r>
        <w:rPr>
          <w:rFonts w:ascii="Times New Roman" w:hAnsi="Times New Roman"/>
          <w:kern w:val="2"/>
          <w:sz w:val="24"/>
          <w:szCs w:val="20"/>
        </w:rPr>
        <w:t>，O</w:t>
      </w:r>
      <w:r>
        <w:rPr>
          <w:rFonts w:ascii="Times New Roman" w:hAnsi="Times New Roman"/>
          <w:kern w:val="2"/>
          <w:sz w:val="24"/>
          <w:szCs w:val="20"/>
          <w:vertAlign w:val="subscript"/>
        </w:rPr>
        <w:t>3</w:t>
      </w:r>
      <w:r>
        <w:rPr>
          <w:rFonts w:ascii="Times New Roman" w:hAnsi="Times New Roman"/>
          <w:kern w:val="2"/>
          <w:sz w:val="24"/>
          <w:szCs w:val="20"/>
        </w:rPr>
        <w:t>日最大8小时平均第90百分位数为103 μg/m</w:t>
      </w:r>
      <w:r>
        <w:rPr>
          <w:rFonts w:ascii="Times New Roman" w:hAnsi="Times New Roman"/>
          <w:kern w:val="2"/>
          <w:sz w:val="24"/>
          <w:szCs w:val="20"/>
          <w:vertAlign w:val="superscript"/>
        </w:rPr>
        <w:t>3</w:t>
      </w:r>
      <w:r>
        <w:rPr>
          <w:rFonts w:ascii="Times New Roman" w:hAnsi="Times New Roman"/>
          <w:kern w:val="2"/>
          <w:sz w:val="24"/>
          <w:szCs w:val="20"/>
        </w:rPr>
        <w:t>；各污染物平均浓度均优于《环境空气质量标准》（GB3095-2012）中二级标准限值。</w:t>
      </w:r>
      <w:r>
        <w:rPr>
          <w:rFonts w:hint="eastAsia" w:ascii="Times New Roman" w:hAnsi="Times New Roman"/>
          <w:kern w:val="2"/>
          <w:sz w:val="24"/>
          <w:szCs w:val="20"/>
        </w:rPr>
        <w:t>由此可知，双鸭山市2020年属于达标区域。</w:t>
      </w:r>
    </w:p>
    <w:p>
      <w:pPr>
        <w:autoSpaceDE w:val="0"/>
        <w:spacing w:line="360" w:lineRule="auto"/>
        <w:jc w:val="center"/>
        <w:rPr>
          <w:rFonts w:ascii="Times New Roman" w:hAnsi="Times New Roman"/>
          <w:sz w:val="24"/>
          <w:szCs w:val="24"/>
        </w:rPr>
      </w:pPr>
      <w:r>
        <w:rPr>
          <w:rFonts w:ascii="黑体" w:hAnsi="黑体" w:eastAsia="黑体"/>
          <w:sz w:val="24"/>
          <w:szCs w:val="24"/>
        </w:rPr>
        <w:t>表</w:t>
      </w:r>
      <w:r>
        <w:rPr>
          <w:rFonts w:ascii="Times New Roman" w:hAnsi="Times New Roman" w:eastAsia="黑体"/>
          <w:sz w:val="24"/>
          <w:szCs w:val="24"/>
        </w:rPr>
        <w:t>4.2</w:t>
      </w:r>
      <w:r>
        <w:rPr>
          <w:rFonts w:hint="eastAsia" w:ascii="Times New Roman" w:hAnsi="Times New Roman" w:eastAsia="黑体"/>
          <w:sz w:val="24"/>
          <w:szCs w:val="24"/>
        </w:rPr>
        <w:t>-</w:t>
      </w:r>
      <w:r>
        <w:rPr>
          <w:rFonts w:ascii="Times New Roman" w:hAnsi="Times New Roman" w:eastAsia="黑体"/>
          <w:sz w:val="24"/>
          <w:szCs w:val="24"/>
        </w:rPr>
        <w:t>1</w:t>
      </w:r>
      <w:r>
        <w:rPr>
          <w:rFonts w:ascii="黑体" w:hAnsi="黑体" w:eastAsia="黑体"/>
          <w:sz w:val="24"/>
          <w:szCs w:val="24"/>
        </w:rPr>
        <w:t>区域空气环境质量部分现状评价表</w:t>
      </w:r>
    </w:p>
    <w:tbl>
      <w:tblPr>
        <w:tblStyle w:val="7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05"/>
        <w:gridCol w:w="3460"/>
        <w:gridCol w:w="1341"/>
        <w:gridCol w:w="1158"/>
        <w:gridCol w:w="1043"/>
        <w:gridCol w:w="72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 w:hRule="atLeast"/>
          <w:jc w:val="center"/>
        </w:trPr>
        <w:tc>
          <w:tcPr>
            <w:tcW w:w="823" w:type="dxa"/>
            <w:tcBorders>
              <w:top w:val="single" w:color="auto" w:sz="12" w:space="0"/>
              <w:left w:val="nil"/>
              <w:bottom w:val="single" w:color="auto" w:sz="4" w:space="0"/>
              <w:right w:val="single" w:color="auto" w:sz="4" w:space="0"/>
            </w:tcBorders>
            <w:vAlign w:val="center"/>
          </w:tcPr>
          <w:p>
            <w:pPr>
              <w:jc w:val="center"/>
              <w:rPr>
                <w:rFonts w:ascii="Times New Roman" w:hAnsi="Times New Roman"/>
                <w:kern w:val="2"/>
              </w:rPr>
            </w:pPr>
            <w:r>
              <w:rPr>
                <w:kern w:val="2"/>
              </w:rPr>
              <w:t>污染物</w:t>
            </w:r>
          </w:p>
        </w:tc>
        <w:tc>
          <w:tcPr>
            <w:tcW w:w="3592" w:type="dxa"/>
            <w:tcBorders>
              <w:top w:val="single" w:color="auto" w:sz="12"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kern w:val="2"/>
              </w:rPr>
              <w:t>年评价指标</w:t>
            </w:r>
          </w:p>
        </w:tc>
        <w:tc>
          <w:tcPr>
            <w:tcW w:w="1382" w:type="dxa"/>
            <w:tcBorders>
              <w:top w:val="single" w:color="auto" w:sz="12"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kern w:val="2"/>
              </w:rPr>
              <w:t>部分现状浓度</w:t>
            </w:r>
            <w:r>
              <w:rPr>
                <w:rFonts w:ascii="Times New Roman" w:hAnsi="Times New Roman"/>
                <w:kern w:val="2"/>
              </w:rPr>
              <w:t>/</w:t>
            </w:r>
            <w:r>
              <w:rPr>
                <w:kern w:val="2"/>
              </w:rPr>
              <w:t>（</w:t>
            </w:r>
            <w:r>
              <w:rPr>
                <w:rFonts w:ascii="Times New Roman" w:hAnsi="Times New Roman"/>
                <w:kern w:val="2"/>
              </w:rPr>
              <w:t>μg/m</w:t>
            </w:r>
            <w:r>
              <w:rPr>
                <w:rFonts w:ascii="Times New Roman" w:hAnsi="Times New Roman"/>
                <w:kern w:val="2"/>
                <w:vertAlign w:val="superscript"/>
              </w:rPr>
              <w:t>3</w:t>
            </w:r>
            <w:r>
              <w:rPr>
                <w:kern w:val="2"/>
              </w:rPr>
              <w:t>）</w:t>
            </w:r>
          </w:p>
        </w:tc>
        <w:tc>
          <w:tcPr>
            <w:tcW w:w="1192" w:type="dxa"/>
            <w:tcBorders>
              <w:top w:val="single" w:color="auto" w:sz="12"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kern w:val="2"/>
              </w:rPr>
              <w:t>标准值</w:t>
            </w:r>
            <w:r>
              <w:rPr>
                <w:rFonts w:ascii="Times New Roman" w:hAnsi="Times New Roman"/>
                <w:kern w:val="2"/>
              </w:rPr>
              <w:t>/</w:t>
            </w:r>
            <w:r>
              <w:rPr>
                <w:kern w:val="2"/>
              </w:rPr>
              <w:t>（</w:t>
            </w:r>
            <w:r>
              <w:rPr>
                <w:rFonts w:ascii="Times New Roman" w:hAnsi="Times New Roman"/>
                <w:kern w:val="2"/>
              </w:rPr>
              <w:t>μg/m</w:t>
            </w:r>
            <w:r>
              <w:rPr>
                <w:rFonts w:ascii="Times New Roman" w:hAnsi="Times New Roman"/>
                <w:kern w:val="2"/>
                <w:vertAlign w:val="superscript"/>
              </w:rPr>
              <w:t>3</w:t>
            </w:r>
            <w:r>
              <w:rPr>
                <w:kern w:val="2"/>
              </w:rPr>
              <w:t>）</w:t>
            </w:r>
          </w:p>
        </w:tc>
        <w:tc>
          <w:tcPr>
            <w:tcW w:w="1072" w:type="dxa"/>
            <w:tcBorders>
              <w:top w:val="single" w:color="auto" w:sz="12"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kern w:val="2"/>
              </w:rPr>
              <w:t>占标率</w:t>
            </w:r>
            <w:r>
              <w:rPr>
                <w:rFonts w:ascii="Times New Roman" w:hAnsi="Times New Roman"/>
                <w:kern w:val="2"/>
              </w:rPr>
              <w:t>/%</w:t>
            </w:r>
          </w:p>
        </w:tc>
        <w:tc>
          <w:tcPr>
            <w:tcW w:w="736" w:type="dxa"/>
            <w:tcBorders>
              <w:top w:val="single" w:color="auto" w:sz="12" w:space="0"/>
              <w:left w:val="single" w:color="auto" w:sz="4" w:space="0"/>
              <w:bottom w:val="single" w:color="auto" w:sz="4" w:space="0"/>
              <w:right w:val="nil"/>
            </w:tcBorders>
            <w:vAlign w:val="center"/>
          </w:tcPr>
          <w:p>
            <w:pPr>
              <w:jc w:val="center"/>
              <w:rPr>
                <w:rFonts w:ascii="Times New Roman" w:hAnsi="Times New Roman"/>
                <w:kern w:val="2"/>
              </w:rPr>
            </w:pPr>
            <w:r>
              <w:rPr>
                <w:kern w:val="2"/>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 w:hRule="atLeast"/>
          <w:jc w:val="center"/>
        </w:trPr>
        <w:tc>
          <w:tcPr>
            <w:tcW w:w="823" w:type="dxa"/>
            <w:tcBorders>
              <w:top w:val="single" w:color="auto" w:sz="4" w:space="0"/>
              <w:left w:val="nil"/>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SO</w:t>
            </w:r>
            <w:r>
              <w:rPr>
                <w:rFonts w:ascii="Times New Roman" w:hAnsi="Times New Roman"/>
                <w:kern w:val="2"/>
                <w:vertAlign w:val="subscript"/>
              </w:rPr>
              <w:t>2</w:t>
            </w:r>
          </w:p>
        </w:tc>
        <w:tc>
          <w:tcPr>
            <w:tcW w:w="3592"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kern w:val="2"/>
              </w:rPr>
              <w:t>年平均质量浓度</w:t>
            </w:r>
          </w:p>
        </w:tc>
        <w:tc>
          <w:tcPr>
            <w:tcW w:w="1382"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10</w:t>
            </w:r>
          </w:p>
        </w:tc>
        <w:tc>
          <w:tcPr>
            <w:tcW w:w="1192"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60</w:t>
            </w:r>
          </w:p>
        </w:tc>
        <w:tc>
          <w:tcPr>
            <w:tcW w:w="1072"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16.7</w:t>
            </w:r>
            <w:r>
              <w:rPr>
                <w:rFonts w:ascii="Times New Roman" w:hAnsi="Times New Roman"/>
                <w:kern w:val="2"/>
              </w:rPr>
              <w:t>%</w:t>
            </w:r>
          </w:p>
        </w:tc>
        <w:tc>
          <w:tcPr>
            <w:tcW w:w="736" w:type="dxa"/>
            <w:tcBorders>
              <w:top w:val="single" w:color="auto" w:sz="4" w:space="0"/>
              <w:left w:val="single" w:color="auto" w:sz="4" w:space="0"/>
              <w:bottom w:val="single" w:color="auto" w:sz="4" w:space="0"/>
              <w:right w:val="nil"/>
            </w:tcBorders>
            <w:vAlign w:val="center"/>
          </w:tcPr>
          <w:p>
            <w:pPr>
              <w:jc w:val="center"/>
              <w:rPr>
                <w:rFonts w:ascii="Times New Roman" w:hAnsi="Times New Roman"/>
                <w:kern w:val="2"/>
              </w:rPr>
            </w:pPr>
            <w:r>
              <w:rPr>
                <w:kern w:val="2"/>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 w:hRule="atLeast"/>
          <w:jc w:val="center"/>
        </w:trPr>
        <w:tc>
          <w:tcPr>
            <w:tcW w:w="823" w:type="dxa"/>
            <w:tcBorders>
              <w:top w:val="single" w:color="auto" w:sz="4" w:space="0"/>
              <w:left w:val="nil"/>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NO</w:t>
            </w:r>
            <w:r>
              <w:rPr>
                <w:rFonts w:ascii="Times New Roman" w:hAnsi="Times New Roman"/>
                <w:kern w:val="2"/>
                <w:vertAlign w:val="subscript"/>
              </w:rPr>
              <w:t>2</w:t>
            </w:r>
          </w:p>
        </w:tc>
        <w:tc>
          <w:tcPr>
            <w:tcW w:w="3592"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kern w:val="2"/>
              </w:rPr>
              <w:t>年平均质量浓度</w:t>
            </w:r>
          </w:p>
        </w:tc>
        <w:tc>
          <w:tcPr>
            <w:tcW w:w="1382"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14</w:t>
            </w:r>
          </w:p>
        </w:tc>
        <w:tc>
          <w:tcPr>
            <w:tcW w:w="1192"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40</w:t>
            </w:r>
          </w:p>
        </w:tc>
        <w:tc>
          <w:tcPr>
            <w:tcW w:w="1072"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35.0</w:t>
            </w:r>
            <w:r>
              <w:rPr>
                <w:rFonts w:ascii="Times New Roman" w:hAnsi="Times New Roman"/>
                <w:kern w:val="2"/>
              </w:rPr>
              <w:t>%</w:t>
            </w:r>
          </w:p>
        </w:tc>
        <w:tc>
          <w:tcPr>
            <w:tcW w:w="736" w:type="dxa"/>
            <w:tcBorders>
              <w:top w:val="single" w:color="auto" w:sz="4" w:space="0"/>
              <w:left w:val="single" w:color="auto" w:sz="4" w:space="0"/>
              <w:bottom w:val="single" w:color="auto" w:sz="4" w:space="0"/>
              <w:right w:val="nil"/>
            </w:tcBorders>
            <w:vAlign w:val="center"/>
          </w:tcPr>
          <w:p>
            <w:pPr>
              <w:jc w:val="center"/>
              <w:rPr>
                <w:rFonts w:ascii="Times New Roman" w:hAnsi="Times New Roman"/>
                <w:kern w:val="2"/>
              </w:rPr>
            </w:pPr>
            <w:r>
              <w:rPr>
                <w:kern w:val="2"/>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 w:hRule="atLeast"/>
          <w:jc w:val="center"/>
        </w:trPr>
        <w:tc>
          <w:tcPr>
            <w:tcW w:w="823" w:type="dxa"/>
            <w:tcBorders>
              <w:top w:val="single" w:color="auto" w:sz="4" w:space="0"/>
              <w:left w:val="nil"/>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PM</w:t>
            </w:r>
            <w:r>
              <w:rPr>
                <w:rFonts w:ascii="Times New Roman" w:hAnsi="Times New Roman"/>
                <w:kern w:val="2"/>
                <w:vertAlign w:val="subscript"/>
              </w:rPr>
              <w:t>10</w:t>
            </w:r>
          </w:p>
        </w:tc>
        <w:tc>
          <w:tcPr>
            <w:tcW w:w="3592"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kern w:val="2"/>
              </w:rPr>
              <w:t>年平均质量浓度</w:t>
            </w:r>
          </w:p>
        </w:tc>
        <w:tc>
          <w:tcPr>
            <w:tcW w:w="1382"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44</w:t>
            </w:r>
          </w:p>
        </w:tc>
        <w:tc>
          <w:tcPr>
            <w:tcW w:w="1192"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70</w:t>
            </w:r>
          </w:p>
        </w:tc>
        <w:tc>
          <w:tcPr>
            <w:tcW w:w="1072"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62.8</w:t>
            </w:r>
            <w:r>
              <w:rPr>
                <w:rFonts w:ascii="Times New Roman" w:hAnsi="Times New Roman"/>
                <w:kern w:val="2"/>
              </w:rPr>
              <w:t>%</w:t>
            </w:r>
          </w:p>
        </w:tc>
        <w:tc>
          <w:tcPr>
            <w:tcW w:w="736" w:type="dxa"/>
            <w:tcBorders>
              <w:top w:val="single" w:color="auto" w:sz="4" w:space="0"/>
              <w:left w:val="single" w:color="auto" w:sz="4" w:space="0"/>
              <w:bottom w:val="single" w:color="auto" w:sz="4" w:space="0"/>
              <w:right w:val="nil"/>
            </w:tcBorders>
            <w:vAlign w:val="center"/>
          </w:tcPr>
          <w:p>
            <w:pPr>
              <w:jc w:val="center"/>
              <w:rPr>
                <w:rFonts w:ascii="Times New Roman" w:hAnsi="Times New Roman"/>
                <w:kern w:val="2"/>
              </w:rPr>
            </w:pPr>
            <w:r>
              <w:rPr>
                <w:kern w:val="2"/>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 w:hRule="atLeast"/>
          <w:jc w:val="center"/>
        </w:trPr>
        <w:tc>
          <w:tcPr>
            <w:tcW w:w="823" w:type="dxa"/>
            <w:tcBorders>
              <w:top w:val="single" w:color="auto" w:sz="4" w:space="0"/>
              <w:left w:val="nil"/>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PM</w:t>
            </w:r>
            <w:r>
              <w:rPr>
                <w:rFonts w:ascii="Times New Roman" w:hAnsi="Times New Roman"/>
                <w:kern w:val="2"/>
                <w:vertAlign w:val="subscript"/>
              </w:rPr>
              <w:t>2.5</w:t>
            </w:r>
          </w:p>
        </w:tc>
        <w:tc>
          <w:tcPr>
            <w:tcW w:w="3592"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kern w:val="2"/>
              </w:rPr>
              <w:t>年平均质量浓度</w:t>
            </w:r>
          </w:p>
        </w:tc>
        <w:tc>
          <w:tcPr>
            <w:tcW w:w="1382"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26</w:t>
            </w:r>
          </w:p>
        </w:tc>
        <w:tc>
          <w:tcPr>
            <w:tcW w:w="1192"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35</w:t>
            </w:r>
          </w:p>
        </w:tc>
        <w:tc>
          <w:tcPr>
            <w:tcW w:w="1072"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74.3</w:t>
            </w:r>
            <w:r>
              <w:rPr>
                <w:rFonts w:ascii="Times New Roman" w:hAnsi="Times New Roman"/>
                <w:kern w:val="2"/>
              </w:rPr>
              <w:t>%</w:t>
            </w:r>
          </w:p>
        </w:tc>
        <w:tc>
          <w:tcPr>
            <w:tcW w:w="736" w:type="dxa"/>
            <w:tcBorders>
              <w:top w:val="single" w:color="auto" w:sz="4" w:space="0"/>
              <w:left w:val="single" w:color="auto" w:sz="4" w:space="0"/>
              <w:bottom w:val="single" w:color="auto" w:sz="4" w:space="0"/>
              <w:right w:val="nil"/>
            </w:tcBorders>
            <w:vAlign w:val="center"/>
          </w:tcPr>
          <w:p>
            <w:pPr>
              <w:jc w:val="center"/>
              <w:rPr>
                <w:rFonts w:ascii="Times New Roman" w:hAnsi="Times New Roman"/>
                <w:kern w:val="2"/>
              </w:rPr>
            </w:pPr>
            <w:r>
              <w:rPr>
                <w:rFonts w:hint="eastAsia"/>
                <w:kern w:val="2"/>
              </w:rPr>
              <w:t>达</w:t>
            </w:r>
            <w:r>
              <w:rPr>
                <w:kern w:val="2"/>
              </w:rPr>
              <w:t>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 w:hRule="atLeast"/>
          <w:jc w:val="center"/>
        </w:trPr>
        <w:tc>
          <w:tcPr>
            <w:tcW w:w="823" w:type="dxa"/>
            <w:tcBorders>
              <w:top w:val="single" w:color="auto" w:sz="4" w:space="0"/>
              <w:left w:val="nil"/>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CO</w:t>
            </w:r>
          </w:p>
        </w:tc>
        <w:tc>
          <w:tcPr>
            <w:tcW w:w="3592"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kern w:val="2"/>
              </w:rPr>
              <w:t>第</w:t>
            </w:r>
            <w:r>
              <w:rPr>
                <w:rFonts w:ascii="Times New Roman" w:hAnsi="Times New Roman"/>
                <w:kern w:val="2"/>
              </w:rPr>
              <w:t>95</w:t>
            </w:r>
            <w:r>
              <w:rPr>
                <w:kern w:val="2"/>
              </w:rPr>
              <w:t>百分位数日平均浓度（</w:t>
            </w:r>
            <w:r>
              <w:rPr>
                <w:rFonts w:ascii="Times New Roman" w:hAnsi="Times New Roman"/>
                <w:kern w:val="2"/>
              </w:rPr>
              <w:t>mg/m</w:t>
            </w:r>
            <w:r>
              <w:rPr>
                <w:rFonts w:ascii="Times New Roman" w:hAnsi="Times New Roman"/>
                <w:kern w:val="2"/>
                <w:vertAlign w:val="superscript"/>
              </w:rPr>
              <w:t>3</w:t>
            </w:r>
            <w:r>
              <w:rPr>
                <w:kern w:val="2"/>
              </w:rPr>
              <w:t>）</w:t>
            </w:r>
          </w:p>
        </w:tc>
        <w:tc>
          <w:tcPr>
            <w:tcW w:w="1382"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1</w:t>
            </w:r>
          </w:p>
        </w:tc>
        <w:tc>
          <w:tcPr>
            <w:tcW w:w="1192"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4.0</w:t>
            </w:r>
          </w:p>
        </w:tc>
        <w:tc>
          <w:tcPr>
            <w:tcW w:w="1072"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25.0</w:t>
            </w:r>
            <w:r>
              <w:rPr>
                <w:rFonts w:ascii="Times New Roman" w:hAnsi="Times New Roman"/>
                <w:kern w:val="2"/>
              </w:rPr>
              <w:t>%</w:t>
            </w:r>
          </w:p>
        </w:tc>
        <w:tc>
          <w:tcPr>
            <w:tcW w:w="736" w:type="dxa"/>
            <w:tcBorders>
              <w:top w:val="single" w:color="auto" w:sz="4" w:space="0"/>
              <w:left w:val="single" w:color="auto" w:sz="4" w:space="0"/>
              <w:bottom w:val="single" w:color="auto" w:sz="4" w:space="0"/>
              <w:right w:val="nil"/>
            </w:tcBorders>
            <w:vAlign w:val="center"/>
          </w:tcPr>
          <w:p>
            <w:pPr>
              <w:jc w:val="center"/>
              <w:rPr>
                <w:rFonts w:ascii="Times New Roman" w:hAnsi="Times New Roman"/>
                <w:kern w:val="2"/>
              </w:rPr>
            </w:pPr>
            <w:r>
              <w:rPr>
                <w:kern w:val="2"/>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 w:hRule="atLeast"/>
          <w:jc w:val="center"/>
        </w:trPr>
        <w:tc>
          <w:tcPr>
            <w:tcW w:w="823" w:type="dxa"/>
            <w:tcBorders>
              <w:top w:val="single" w:color="auto" w:sz="4" w:space="0"/>
              <w:left w:val="nil"/>
              <w:bottom w:val="single" w:color="auto" w:sz="12" w:space="0"/>
              <w:right w:val="single" w:color="auto" w:sz="4" w:space="0"/>
            </w:tcBorders>
            <w:vAlign w:val="center"/>
          </w:tcPr>
          <w:p>
            <w:pPr>
              <w:jc w:val="center"/>
              <w:rPr>
                <w:rFonts w:ascii="Times New Roman" w:hAnsi="Times New Roman"/>
                <w:kern w:val="2"/>
              </w:rPr>
            </w:pPr>
            <w:r>
              <w:rPr>
                <w:rFonts w:ascii="Times New Roman" w:hAnsi="Times New Roman"/>
                <w:kern w:val="2"/>
              </w:rPr>
              <w:t>O</w:t>
            </w:r>
            <w:r>
              <w:rPr>
                <w:rFonts w:ascii="Times New Roman" w:hAnsi="Times New Roman"/>
                <w:kern w:val="2"/>
                <w:vertAlign w:val="subscript"/>
              </w:rPr>
              <w:t>3</w:t>
            </w:r>
          </w:p>
        </w:tc>
        <w:tc>
          <w:tcPr>
            <w:tcW w:w="3592" w:type="dxa"/>
            <w:tcBorders>
              <w:top w:val="single" w:color="auto" w:sz="4" w:space="0"/>
              <w:left w:val="single" w:color="auto" w:sz="4" w:space="0"/>
              <w:bottom w:val="single" w:color="auto" w:sz="12" w:space="0"/>
              <w:right w:val="single" w:color="auto" w:sz="4" w:space="0"/>
            </w:tcBorders>
            <w:vAlign w:val="center"/>
          </w:tcPr>
          <w:p>
            <w:pPr>
              <w:jc w:val="center"/>
              <w:rPr>
                <w:rFonts w:ascii="Times New Roman" w:hAnsi="Times New Roman"/>
                <w:kern w:val="2"/>
              </w:rPr>
            </w:pPr>
            <w:r>
              <w:rPr>
                <w:kern w:val="2"/>
              </w:rPr>
              <w:t>第</w:t>
            </w:r>
            <w:r>
              <w:rPr>
                <w:rFonts w:ascii="Times New Roman" w:hAnsi="Times New Roman"/>
                <w:kern w:val="2"/>
              </w:rPr>
              <w:t>90</w:t>
            </w:r>
            <w:r>
              <w:rPr>
                <w:kern w:val="2"/>
              </w:rPr>
              <w:t>百分位数</w:t>
            </w:r>
            <w:r>
              <w:rPr>
                <w:rFonts w:ascii="Times New Roman" w:hAnsi="Times New Roman"/>
                <w:kern w:val="2"/>
              </w:rPr>
              <w:t>8h</w:t>
            </w:r>
            <w:r>
              <w:rPr>
                <w:kern w:val="2"/>
              </w:rPr>
              <w:t>平均质量浓度</w:t>
            </w:r>
          </w:p>
        </w:tc>
        <w:tc>
          <w:tcPr>
            <w:tcW w:w="1382" w:type="dxa"/>
            <w:tcBorders>
              <w:top w:val="single" w:color="auto" w:sz="4" w:space="0"/>
              <w:left w:val="single" w:color="auto" w:sz="4" w:space="0"/>
              <w:bottom w:val="single" w:color="auto" w:sz="12"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103</w:t>
            </w:r>
          </w:p>
        </w:tc>
        <w:tc>
          <w:tcPr>
            <w:tcW w:w="1192" w:type="dxa"/>
            <w:tcBorders>
              <w:top w:val="single" w:color="auto" w:sz="4" w:space="0"/>
              <w:left w:val="single" w:color="auto" w:sz="4" w:space="0"/>
              <w:bottom w:val="single" w:color="auto" w:sz="12" w:space="0"/>
              <w:right w:val="single" w:color="auto" w:sz="4" w:space="0"/>
            </w:tcBorders>
            <w:vAlign w:val="center"/>
          </w:tcPr>
          <w:p>
            <w:pPr>
              <w:jc w:val="center"/>
              <w:rPr>
                <w:rFonts w:ascii="Times New Roman" w:hAnsi="Times New Roman"/>
                <w:kern w:val="2"/>
              </w:rPr>
            </w:pPr>
            <w:r>
              <w:rPr>
                <w:rFonts w:ascii="Times New Roman" w:hAnsi="Times New Roman"/>
                <w:kern w:val="2"/>
              </w:rPr>
              <w:t>160</w:t>
            </w:r>
          </w:p>
        </w:tc>
        <w:tc>
          <w:tcPr>
            <w:tcW w:w="1072" w:type="dxa"/>
            <w:tcBorders>
              <w:top w:val="single" w:color="auto" w:sz="4" w:space="0"/>
              <w:left w:val="single" w:color="auto" w:sz="4" w:space="0"/>
              <w:bottom w:val="single" w:color="auto" w:sz="12"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64.4</w:t>
            </w:r>
            <w:r>
              <w:rPr>
                <w:rFonts w:ascii="Times New Roman" w:hAnsi="Times New Roman"/>
                <w:kern w:val="2"/>
              </w:rPr>
              <w:t>%</w:t>
            </w:r>
          </w:p>
        </w:tc>
        <w:tc>
          <w:tcPr>
            <w:tcW w:w="736" w:type="dxa"/>
            <w:tcBorders>
              <w:top w:val="single" w:color="auto" w:sz="4" w:space="0"/>
              <w:left w:val="single" w:color="auto" w:sz="4" w:space="0"/>
              <w:bottom w:val="single" w:color="auto" w:sz="12" w:space="0"/>
              <w:right w:val="nil"/>
            </w:tcBorders>
            <w:vAlign w:val="center"/>
          </w:tcPr>
          <w:p>
            <w:pPr>
              <w:jc w:val="center"/>
              <w:rPr>
                <w:rFonts w:ascii="Times New Roman" w:hAnsi="Times New Roman"/>
                <w:kern w:val="2"/>
              </w:rPr>
            </w:pPr>
            <w:r>
              <w:rPr>
                <w:kern w:val="2"/>
              </w:rPr>
              <w:t>达标</w:t>
            </w:r>
          </w:p>
        </w:tc>
      </w:tr>
    </w:tbl>
    <w:p>
      <w:pPr>
        <w:widowControl/>
        <w:spacing w:line="480" w:lineRule="exact"/>
        <w:outlineLvl w:val="3"/>
        <w:rPr>
          <w:rFonts w:ascii="Times New Roman" w:hAnsi="Times New Roman" w:eastAsia="黑体"/>
          <w:sz w:val="24"/>
        </w:rPr>
      </w:pPr>
      <w:r>
        <w:rPr>
          <w:rFonts w:ascii="Times New Roman" w:hAnsi="Times New Roman" w:eastAsia="黑体"/>
          <w:sz w:val="24"/>
        </w:rPr>
        <w:t>4.2.1.2.其他污染物环境空气质量</w:t>
      </w:r>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r>
        <w:rPr>
          <w:rFonts w:ascii="Times New Roman" w:hAnsi="Times New Roman" w:eastAsia="黑体"/>
          <w:sz w:val="24"/>
        </w:rPr>
        <w:t>现状评价</w:t>
      </w:r>
    </w:p>
    <w:p>
      <w:pPr>
        <w:spacing w:line="480" w:lineRule="exact"/>
        <w:ind w:firstLine="480" w:firstLineChars="200"/>
        <w:rPr>
          <w:rFonts w:ascii="Times New Roman" w:hAnsi="Times New Roman"/>
          <w:sz w:val="24"/>
          <w:szCs w:val="24"/>
        </w:rPr>
      </w:pPr>
      <w:bookmarkStart w:id="879" w:name="_Toc406572512"/>
      <w:bookmarkStart w:id="880" w:name="_Toc406772054"/>
      <w:r>
        <w:rPr>
          <w:rFonts w:ascii="Times New Roman" w:hAnsi="Times New Roman"/>
          <w:sz w:val="24"/>
          <w:szCs w:val="24"/>
        </w:rPr>
        <w:t>（1）监测项目</w:t>
      </w:r>
    </w:p>
    <w:bookmarkEnd w:id="879"/>
    <w:bookmarkEnd w:id="880"/>
    <w:p>
      <w:p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TSP、TVOC、非甲烷总烃、氨、硫化氢、臭气浓度</w:t>
      </w:r>
    </w:p>
    <w:p>
      <w:pPr>
        <w:spacing w:line="480" w:lineRule="exact"/>
        <w:ind w:firstLine="480" w:firstLineChars="200"/>
        <w:rPr>
          <w:rFonts w:ascii="Times New Roman" w:hAnsi="Times New Roman"/>
          <w:sz w:val="24"/>
          <w:szCs w:val="24"/>
        </w:rPr>
      </w:pPr>
      <w:r>
        <w:rPr>
          <w:rFonts w:ascii="Times New Roman" w:hAnsi="Times New Roman"/>
          <w:sz w:val="24"/>
          <w:szCs w:val="24"/>
        </w:rPr>
        <w:t>（2）监测时间及频率</w:t>
      </w:r>
    </w:p>
    <w:p>
      <w:p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TSP、TVOC、非甲烷总烃、氨、硫化氢、臭气浓度监测时间为</w:t>
      </w:r>
      <w:r>
        <w:rPr>
          <w:rFonts w:ascii="Times New Roman" w:hAnsi="Times New Roman"/>
          <w:sz w:val="24"/>
          <w:szCs w:val="24"/>
        </w:rPr>
        <w:t>为2022年5月20日~2022年5月26日，连续监测7天。</w:t>
      </w:r>
    </w:p>
    <w:p>
      <w:pPr>
        <w:spacing w:line="480" w:lineRule="exact"/>
        <w:ind w:firstLine="480" w:firstLineChars="200"/>
        <w:rPr>
          <w:rFonts w:ascii="Times New Roman" w:hAnsi="Times New Roman"/>
          <w:sz w:val="24"/>
          <w:szCs w:val="24"/>
        </w:rPr>
      </w:pPr>
      <w:r>
        <w:rPr>
          <w:rFonts w:ascii="Times New Roman" w:hAnsi="Times New Roman"/>
          <w:sz w:val="24"/>
          <w:szCs w:val="24"/>
        </w:rPr>
        <w:t>（3）监测点位</w:t>
      </w:r>
    </w:p>
    <w:p>
      <w:pPr>
        <w:pStyle w:val="282"/>
        <w:spacing w:line="480" w:lineRule="exact"/>
        <w:ind w:firstLine="480" w:firstLineChars="200"/>
        <w:rPr>
          <w:szCs w:val="24"/>
        </w:rPr>
      </w:pPr>
      <w:r>
        <w:t>监测点位置具体见表4.2-2和图4.2-1。</w:t>
      </w:r>
    </w:p>
    <w:p>
      <w:pPr>
        <w:adjustRightInd w:val="0"/>
        <w:snapToGrid w:val="0"/>
        <w:spacing w:line="480" w:lineRule="exact"/>
        <w:jc w:val="center"/>
        <w:rPr>
          <w:rFonts w:ascii="Times New Roman" w:hAnsi="Times New Roman"/>
          <w:b/>
        </w:rPr>
      </w:pPr>
      <w:r>
        <w:rPr>
          <w:rFonts w:ascii="Times New Roman" w:hAnsi="Times New Roman"/>
          <w:b/>
        </w:rPr>
        <w:t>表4.2-2 其他污染物补充监测点位基本信息</w:t>
      </w:r>
    </w:p>
    <w:tbl>
      <w:tblPr>
        <w:tblStyle w:val="77"/>
        <w:tblW w:w="5000"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645"/>
        <w:gridCol w:w="1246"/>
        <w:gridCol w:w="1163"/>
        <w:gridCol w:w="1600"/>
        <w:gridCol w:w="1745"/>
        <w:gridCol w:w="1019"/>
        <w:gridCol w:w="1111"/>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629" w:type="dxa"/>
            <w:vMerge w:val="restart"/>
            <w:shd w:val="clear" w:color="000000" w:fill="FFFFFF"/>
            <w:vAlign w:val="center"/>
          </w:tcPr>
          <w:p>
            <w:pPr>
              <w:adjustRightInd w:val="0"/>
              <w:snapToGrid w:val="0"/>
              <w:spacing w:line="280" w:lineRule="exact"/>
              <w:rPr>
                <w:rFonts w:ascii="Times New Roman" w:hAnsi="Times New Roman"/>
                <w:b/>
              </w:rPr>
            </w:pPr>
            <w:r>
              <w:rPr>
                <w:rFonts w:ascii="Times New Roman" w:hAnsi="Times New Roman"/>
                <w:b/>
              </w:rPr>
              <w:t>监测</w:t>
            </w:r>
          </w:p>
          <w:p>
            <w:pPr>
              <w:adjustRightInd w:val="0"/>
              <w:snapToGrid w:val="0"/>
              <w:spacing w:line="280" w:lineRule="exact"/>
              <w:rPr>
                <w:rFonts w:ascii="Times New Roman" w:hAnsi="Times New Roman"/>
                <w:b/>
              </w:rPr>
            </w:pPr>
            <w:r>
              <w:rPr>
                <w:rFonts w:ascii="Times New Roman" w:hAnsi="Times New Roman"/>
                <w:b/>
              </w:rPr>
              <w:t>点称</w:t>
            </w:r>
          </w:p>
        </w:tc>
        <w:tc>
          <w:tcPr>
            <w:tcW w:w="2348" w:type="dxa"/>
            <w:gridSpan w:val="2"/>
            <w:shd w:val="clear" w:color="000000" w:fill="FFFFFF"/>
            <w:vAlign w:val="center"/>
          </w:tcPr>
          <w:p>
            <w:pPr>
              <w:adjustRightInd w:val="0"/>
              <w:snapToGrid w:val="0"/>
              <w:spacing w:line="280" w:lineRule="exact"/>
              <w:jc w:val="center"/>
              <w:rPr>
                <w:rFonts w:ascii="Times New Roman" w:hAnsi="Times New Roman"/>
                <w:b/>
              </w:rPr>
            </w:pPr>
            <w:r>
              <w:rPr>
                <w:rFonts w:ascii="Times New Roman" w:hAnsi="Times New Roman"/>
                <w:b/>
              </w:rPr>
              <w:t>监测点位坐标/°</w:t>
            </w:r>
          </w:p>
        </w:tc>
        <w:tc>
          <w:tcPr>
            <w:tcW w:w="1559" w:type="dxa"/>
            <w:vMerge w:val="restart"/>
            <w:shd w:val="clear" w:color="000000" w:fill="FFFFFF"/>
            <w:vAlign w:val="center"/>
          </w:tcPr>
          <w:p>
            <w:pPr>
              <w:adjustRightInd w:val="0"/>
              <w:snapToGrid w:val="0"/>
              <w:spacing w:line="280" w:lineRule="exact"/>
              <w:jc w:val="center"/>
              <w:rPr>
                <w:rFonts w:ascii="Times New Roman" w:hAnsi="Times New Roman"/>
                <w:b/>
              </w:rPr>
            </w:pPr>
            <w:r>
              <w:rPr>
                <w:rFonts w:ascii="Times New Roman" w:hAnsi="Times New Roman"/>
                <w:b/>
              </w:rPr>
              <w:t>监测因子</w:t>
            </w:r>
          </w:p>
        </w:tc>
        <w:tc>
          <w:tcPr>
            <w:tcW w:w="1701" w:type="dxa"/>
            <w:vMerge w:val="restart"/>
            <w:shd w:val="clear" w:color="000000" w:fill="FFFFFF"/>
            <w:vAlign w:val="center"/>
          </w:tcPr>
          <w:p>
            <w:pPr>
              <w:adjustRightInd w:val="0"/>
              <w:snapToGrid w:val="0"/>
              <w:spacing w:line="280" w:lineRule="exact"/>
              <w:jc w:val="center"/>
              <w:rPr>
                <w:rFonts w:ascii="Times New Roman" w:hAnsi="Times New Roman"/>
                <w:b/>
              </w:rPr>
            </w:pPr>
            <w:r>
              <w:rPr>
                <w:rFonts w:ascii="Times New Roman" w:hAnsi="Times New Roman"/>
                <w:b/>
              </w:rPr>
              <w:t>监测时段</w:t>
            </w:r>
          </w:p>
        </w:tc>
        <w:tc>
          <w:tcPr>
            <w:tcW w:w="993" w:type="dxa"/>
            <w:vMerge w:val="restart"/>
            <w:shd w:val="clear" w:color="000000" w:fill="FFFFFF"/>
            <w:vAlign w:val="center"/>
          </w:tcPr>
          <w:p>
            <w:pPr>
              <w:adjustRightInd w:val="0"/>
              <w:snapToGrid w:val="0"/>
              <w:spacing w:line="280" w:lineRule="exact"/>
              <w:jc w:val="center"/>
              <w:rPr>
                <w:rFonts w:ascii="Times New Roman" w:hAnsi="Times New Roman"/>
                <w:b/>
              </w:rPr>
            </w:pPr>
            <w:r>
              <w:rPr>
                <w:rFonts w:ascii="Times New Roman" w:hAnsi="Times New Roman"/>
                <w:b/>
              </w:rPr>
              <w:t>相对厂址方位</w:t>
            </w:r>
          </w:p>
        </w:tc>
        <w:tc>
          <w:tcPr>
            <w:tcW w:w="1083" w:type="dxa"/>
            <w:vMerge w:val="restart"/>
            <w:shd w:val="clear" w:color="000000" w:fill="FFFFFF"/>
            <w:vAlign w:val="center"/>
          </w:tcPr>
          <w:p>
            <w:pPr>
              <w:adjustRightInd w:val="0"/>
              <w:snapToGrid w:val="0"/>
              <w:spacing w:line="280" w:lineRule="exact"/>
              <w:jc w:val="center"/>
              <w:rPr>
                <w:rFonts w:ascii="Times New Roman" w:hAnsi="Times New Roman"/>
                <w:b/>
              </w:rPr>
            </w:pPr>
            <w:r>
              <w:rPr>
                <w:rFonts w:ascii="Times New Roman" w:hAnsi="Times New Roman"/>
                <w:b/>
              </w:rPr>
              <w:t>相对厂界距离/m</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629" w:type="dxa"/>
            <w:vMerge w:val="continue"/>
            <w:shd w:val="clear" w:color="auto" w:fill="auto"/>
            <w:vAlign w:val="center"/>
          </w:tcPr>
          <w:p>
            <w:pPr>
              <w:adjustRightInd w:val="0"/>
              <w:snapToGrid w:val="0"/>
              <w:spacing w:line="280" w:lineRule="exact"/>
              <w:rPr>
                <w:rFonts w:ascii="Times New Roman" w:hAnsi="Times New Roman"/>
              </w:rPr>
            </w:pPr>
          </w:p>
        </w:tc>
        <w:tc>
          <w:tcPr>
            <w:tcW w:w="1214" w:type="dxa"/>
            <w:shd w:val="clear" w:color="000000" w:fill="FFFFFF"/>
            <w:vAlign w:val="center"/>
          </w:tcPr>
          <w:p>
            <w:pPr>
              <w:adjustRightInd w:val="0"/>
              <w:snapToGrid w:val="0"/>
              <w:spacing w:line="280" w:lineRule="exact"/>
              <w:jc w:val="center"/>
              <w:rPr>
                <w:rFonts w:ascii="Times New Roman" w:hAnsi="Times New Roman"/>
                <w:b/>
              </w:rPr>
            </w:pPr>
            <w:r>
              <w:rPr>
                <w:rFonts w:ascii="Times New Roman" w:hAnsi="Times New Roman"/>
                <w:b/>
              </w:rPr>
              <w:t>X</w:t>
            </w:r>
          </w:p>
        </w:tc>
        <w:tc>
          <w:tcPr>
            <w:tcW w:w="1134" w:type="dxa"/>
            <w:shd w:val="clear" w:color="000000" w:fill="FFFFFF"/>
            <w:vAlign w:val="center"/>
          </w:tcPr>
          <w:p>
            <w:pPr>
              <w:adjustRightInd w:val="0"/>
              <w:snapToGrid w:val="0"/>
              <w:spacing w:line="280" w:lineRule="exact"/>
              <w:jc w:val="center"/>
              <w:rPr>
                <w:rFonts w:ascii="Times New Roman" w:hAnsi="Times New Roman"/>
                <w:b/>
              </w:rPr>
            </w:pPr>
            <w:r>
              <w:rPr>
                <w:rFonts w:ascii="Times New Roman" w:hAnsi="Times New Roman"/>
                <w:b/>
              </w:rPr>
              <w:t>Y</w:t>
            </w:r>
          </w:p>
        </w:tc>
        <w:tc>
          <w:tcPr>
            <w:tcW w:w="1559" w:type="dxa"/>
            <w:vMerge w:val="continue"/>
            <w:vAlign w:val="center"/>
          </w:tcPr>
          <w:p>
            <w:pPr>
              <w:adjustRightInd w:val="0"/>
              <w:snapToGrid w:val="0"/>
              <w:spacing w:line="280" w:lineRule="exact"/>
              <w:rPr>
                <w:rFonts w:ascii="Times New Roman" w:hAnsi="Times New Roman"/>
              </w:rPr>
            </w:pPr>
          </w:p>
        </w:tc>
        <w:tc>
          <w:tcPr>
            <w:tcW w:w="1701" w:type="dxa"/>
            <w:vMerge w:val="continue"/>
            <w:vAlign w:val="center"/>
          </w:tcPr>
          <w:p>
            <w:pPr>
              <w:adjustRightInd w:val="0"/>
              <w:snapToGrid w:val="0"/>
              <w:spacing w:line="280" w:lineRule="exact"/>
              <w:rPr>
                <w:rFonts w:ascii="Times New Roman" w:hAnsi="Times New Roman"/>
              </w:rPr>
            </w:pPr>
          </w:p>
        </w:tc>
        <w:tc>
          <w:tcPr>
            <w:tcW w:w="993" w:type="dxa"/>
            <w:vMerge w:val="continue"/>
            <w:vAlign w:val="center"/>
          </w:tcPr>
          <w:p>
            <w:pPr>
              <w:adjustRightInd w:val="0"/>
              <w:snapToGrid w:val="0"/>
              <w:spacing w:line="280" w:lineRule="exact"/>
              <w:rPr>
                <w:rFonts w:ascii="Times New Roman" w:hAnsi="Times New Roman"/>
              </w:rPr>
            </w:pPr>
          </w:p>
        </w:tc>
        <w:tc>
          <w:tcPr>
            <w:tcW w:w="1083" w:type="dxa"/>
            <w:vMerge w:val="continue"/>
            <w:vAlign w:val="center"/>
          </w:tcPr>
          <w:p>
            <w:pPr>
              <w:adjustRightInd w:val="0"/>
              <w:snapToGrid w:val="0"/>
              <w:spacing w:line="280" w:lineRule="exact"/>
              <w:rPr>
                <w:rFonts w:ascii="Times New Roman" w:hAnsi="Times New Roma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0" w:hRule="atLeast"/>
        </w:trPr>
        <w:tc>
          <w:tcPr>
            <w:tcW w:w="629" w:type="dxa"/>
            <w:vMerge w:val="restart"/>
            <w:noWrap/>
            <w:vAlign w:val="center"/>
          </w:tcPr>
          <w:p>
            <w:pPr>
              <w:adjustRightInd w:val="0"/>
              <w:snapToGrid w:val="0"/>
              <w:spacing w:line="280" w:lineRule="exact"/>
              <w:rPr>
                <w:rFonts w:ascii="Times New Roman" w:hAnsi="Times New Roman"/>
              </w:rPr>
            </w:pPr>
            <w:r>
              <w:rPr>
                <w:rFonts w:ascii="Times New Roman" w:hAnsi="Times New Roman"/>
              </w:rPr>
              <w:t>G1</w:t>
            </w:r>
          </w:p>
        </w:tc>
        <w:tc>
          <w:tcPr>
            <w:tcW w:w="1214" w:type="dxa"/>
            <w:vMerge w:val="restart"/>
            <w:noWrap/>
            <w:vAlign w:val="center"/>
          </w:tcPr>
          <w:p>
            <w:pPr>
              <w:widowControl/>
              <w:adjustRightInd w:val="0"/>
              <w:spacing w:line="280" w:lineRule="exact"/>
              <w:rPr>
                <w:rFonts w:ascii="Times New Roman" w:hAnsi="Times New Roman"/>
              </w:rPr>
            </w:pPr>
            <w:r>
              <w:rPr>
                <w:rFonts w:ascii="Times New Roman" w:hAnsi="Times New Roman"/>
              </w:rPr>
              <w:t>131.301394</w:t>
            </w:r>
          </w:p>
        </w:tc>
        <w:tc>
          <w:tcPr>
            <w:tcW w:w="1134" w:type="dxa"/>
            <w:vMerge w:val="restart"/>
            <w:noWrap/>
            <w:vAlign w:val="center"/>
          </w:tcPr>
          <w:p>
            <w:pPr>
              <w:widowControl/>
              <w:adjustRightInd w:val="0"/>
              <w:spacing w:line="280" w:lineRule="exact"/>
              <w:rPr>
                <w:rFonts w:ascii="Times New Roman" w:hAnsi="Times New Roman"/>
              </w:rPr>
            </w:pPr>
            <w:r>
              <w:rPr>
                <w:rFonts w:ascii="Times New Roman" w:hAnsi="Times New Roman"/>
              </w:rPr>
              <w:t>46.633268</w:t>
            </w:r>
          </w:p>
        </w:tc>
        <w:tc>
          <w:tcPr>
            <w:tcW w:w="1559" w:type="dxa"/>
            <w:noWrap/>
            <w:vAlign w:val="center"/>
          </w:tcPr>
          <w:p>
            <w:pPr>
              <w:widowControl/>
              <w:adjustRightInd w:val="0"/>
              <w:spacing w:line="280" w:lineRule="exact"/>
              <w:jc w:val="center"/>
              <w:rPr>
                <w:rFonts w:ascii="Times New Roman" w:hAnsi="Times New Roman"/>
              </w:rPr>
            </w:pPr>
            <w:r>
              <w:rPr>
                <w:rFonts w:ascii="Times New Roman" w:hAnsi="Times New Roman"/>
              </w:rPr>
              <w:t>TSP</w:t>
            </w:r>
          </w:p>
        </w:tc>
        <w:tc>
          <w:tcPr>
            <w:tcW w:w="1701" w:type="dxa"/>
            <w:noWrap/>
            <w:vAlign w:val="center"/>
          </w:tcPr>
          <w:p>
            <w:pPr>
              <w:widowControl/>
              <w:adjustRightInd w:val="0"/>
              <w:spacing w:line="280" w:lineRule="exact"/>
              <w:jc w:val="center"/>
              <w:rPr>
                <w:rFonts w:ascii="Times New Roman" w:hAnsi="Times New Roman"/>
              </w:rPr>
            </w:pPr>
            <w:r>
              <w:rPr>
                <w:rFonts w:ascii="Times New Roman" w:hAnsi="Times New Roman"/>
              </w:rPr>
              <w:t>日均值</w:t>
            </w:r>
          </w:p>
        </w:tc>
        <w:tc>
          <w:tcPr>
            <w:tcW w:w="993" w:type="dxa"/>
            <w:vMerge w:val="restart"/>
            <w:noWrap/>
            <w:vAlign w:val="center"/>
          </w:tcPr>
          <w:p>
            <w:pPr>
              <w:adjustRightInd w:val="0"/>
              <w:spacing w:line="280" w:lineRule="exact"/>
              <w:jc w:val="center"/>
              <w:rPr>
                <w:rFonts w:ascii="Times New Roman" w:hAnsi="Times New Roman"/>
              </w:rPr>
            </w:pPr>
            <w:r>
              <w:rPr>
                <w:rFonts w:ascii="Times New Roman" w:hAnsi="Times New Roman"/>
              </w:rPr>
              <w:t>/</w:t>
            </w:r>
          </w:p>
        </w:tc>
        <w:tc>
          <w:tcPr>
            <w:tcW w:w="1083" w:type="dxa"/>
            <w:vMerge w:val="restart"/>
            <w:noWrap/>
            <w:vAlign w:val="center"/>
          </w:tcPr>
          <w:p>
            <w:pPr>
              <w:adjustRightInd w:val="0"/>
              <w:snapToGrid w:val="0"/>
              <w:spacing w:line="280" w:lineRule="exact"/>
              <w:jc w:val="center"/>
              <w:rPr>
                <w:rFonts w:ascii="Times New Roman" w:hAnsi="Times New Roman"/>
              </w:rPr>
            </w:pPr>
            <w:r>
              <w:rPr>
                <w:rFonts w:ascii="Times New Roman" w:hAnsi="Times New Roman"/>
              </w:rPr>
              <w:t>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0" w:hRule="atLeast"/>
        </w:trPr>
        <w:tc>
          <w:tcPr>
            <w:tcW w:w="629" w:type="dxa"/>
            <w:vMerge w:val="continue"/>
            <w:noWrap/>
            <w:vAlign w:val="center"/>
          </w:tcPr>
          <w:p>
            <w:pPr>
              <w:adjustRightInd w:val="0"/>
              <w:snapToGrid w:val="0"/>
              <w:spacing w:line="280" w:lineRule="exact"/>
              <w:rPr>
                <w:rFonts w:ascii="Times New Roman" w:hAnsi="Times New Roman"/>
              </w:rPr>
            </w:pPr>
          </w:p>
        </w:tc>
        <w:tc>
          <w:tcPr>
            <w:tcW w:w="1214" w:type="dxa"/>
            <w:vMerge w:val="continue"/>
            <w:noWrap/>
            <w:vAlign w:val="center"/>
          </w:tcPr>
          <w:p>
            <w:pPr>
              <w:widowControl/>
              <w:adjustRightInd w:val="0"/>
              <w:spacing w:line="280" w:lineRule="exact"/>
              <w:rPr>
                <w:rFonts w:ascii="Times New Roman" w:hAnsi="Times New Roman"/>
              </w:rPr>
            </w:pPr>
          </w:p>
        </w:tc>
        <w:tc>
          <w:tcPr>
            <w:tcW w:w="1134" w:type="dxa"/>
            <w:vMerge w:val="continue"/>
            <w:noWrap/>
            <w:vAlign w:val="center"/>
          </w:tcPr>
          <w:p>
            <w:pPr>
              <w:widowControl/>
              <w:adjustRightInd w:val="0"/>
              <w:spacing w:line="280" w:lineRule="exact"/>
              <w:rPr>
                <w:rFonts w:ascii="Times New Roman" w:hAnsi="Times New Roman"/>
              </w:rPr>
            </w:pPr>
          </w:p>
        </w:tc>
        <w:tc>
          <w:tcPr>
            <w:tcW w:w="1559" w:type="dxa"/>
            <w:noWrap/>
            <w:vAlign w:val="center"/>
          </w:tcPr>
          <w:p>
            <w:pPr>
              <w:widowControl/>
              <w:adjustRightInd w:val="0"/>
              <w:spacing w:line="280" w:lineRule="exact"/>
              <w:jc w:val="center"/>
              <w:rPr>
                <w:rFonts w:ascii="Times New Roman" w:hAnsi="Times New Roman"/>
              </w:rPr>
            </w:pPr>
            <w:r>
              <w:rPr>
                <w:rFonts w:ascii="Times New Roman" w:hAnsi="Times New Roman"/>
              </w:rPr>
              <w:t>TVOC</w:t>
            </w:r>
          </w:p>
        </w:tc>
        <w:tc>
          <w:tcPr>
            <w:tcW w:w="1701" w:type="dxa"/>
            <w:noWrap/>
            <w:vAlign w:val="center"/>
          </w:tcPr>
          <w:p>
            <w:pPr>
              <w:widowControl/>
              <w:adjustRightInd w:val="0"/>
              <w:spacing w:line="280" w:lineRule="exact"/>
              <w:jc w:val="center"/>
              <w:rPr>
                <w:rFonts w:ascii="Times New Roman" w:hAnsi="Times New Roman"/>
              </w:rPr>
            </w:pPr>
            <w:r>
              <w:rPr>
                <w:rFonts w:ascii="Times New Roman" w:hAnsi="Times New Roman"/>
              </w:rPr>
              <w:t>8小时平均浓度</w:t>
            </w:r>
          </w:p>
        </w:tc>
        <w:tc>
          <w:tcPr>
            <w:tcW w:w="993" w:type="dxa"/>
            <w:vMerge w:val="continue"/>
            <w:noWrap/>
            <w:vAlign w:val="center"/>
          </w:tcPr>
          <w:p>
            <w:pPr>
              <w:adjustRightInd w:val="0"/>
              <w:spacing w:line="280" w:lineRule="exact"/>
              <w:jc w:val="center"/>
              <w:rPr>
                <w:rFonts w:ascii="Times New Roman" w:hAnsi="Times New Roman"/>
              </w:rPr>
            </w:pPr>
          </w:p>
        </w:tc>
        <w:tc>
          <w:tcPr>
            <w:tcW w:w="1083" w:type="dxa"/>
            <w:vMerge w:val="continue"/>
            <w:noWrap/>
            <w:vAlign w:val="center"/>
          </w:tcPr>
          <w:p>
            <w:pPr>
              <w:adjustRightInd w:val="0"/>
              <w:snapToGrid w:val="0"/>
              <w:spacing w:line="280" w:lineRule="exact"/>
              <w:jc w:val="center"/>
              <w:rPr>
                <w:rFonts w:ascii="Times New Roman" w:hAnsi="Times New Roma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629" w:type="dxa"/>
            <w:vMerge w:val="continue"/>
            <w:noWrap/>
            <w:vAlign w:val="center"/>
          </w:tcPr>
          <w:p>
            <w:pPr>
              <w:adjustRightInd w:val="0"/>
              <w:snapToGrid w:val="0"/>
              <w:spacing w:line="280" w:lineRule="exact"/>
              <w:rPr>
                <w:rFonts w:ascii="Times New Roman" w:hAnsi="Times New Roman"/>
              </w:rPr>
            </w:pPr>
          </w:p>
        </w:tc>
        <w:tc>
          <w:tcPr>
            <w:tcW w:w="1214" w:type="dxa"/>
            <w:vMerge w:val="continue"/>
            <w:noWrap/>
            <w:vAlign w:val="center"/>
          </w:tcPr>
          <w:p>
            <w:pPr>
              <w:widowControl/>
              <w:adjustRightInd w:val="0"/>
              <w:spacing w:line="280" w:lineRule="exact"/>
              <w:rPr>
                <w:rFonts w:ascii="Times New Roman" w:hAnsi="Times New Roman"/>
              </w:rPr>
            </w:pPr>
          </w:p>
        </w:tc>
        <w:tc>
          <w:tcPr>
            <w:tcW w:w="1134" w:type="dxa"/>
            <w:vMerge w:val="continue"/>
            <w:noWrap/>
            <w:vAlign w:val="center"/>
          </w:tcPr>
          <w:p>
            <w:pPr>
              <w:widowControl/>
              <w:adjustRightInd w:val="0"/>
              <w:spacing w:line="280" w:lineRule="exact"/>
              <w:rPr>
                <w:rFonts w:ascii="Times New Roman" w:hAnsi="Times New Roman"/>
              </w:rPr>
            </w:pPr>
          </w:p>
        </w:tc>
        <w:tc>
          <w:tcPr>
            <w:tcW w:w="1559" w:type="dxa"/>
            <w:noWrap/>
            <w:vAlign w:val="center"/>
          </w:tcPr>
          <w:p>
            <w:pPr>
              <w:widowControl/>
              <w:adjustRightInd w:val="0"/>
              <w:spacing w:line="280" w:lineRule="exact"/>
              <w:jc w:val="center"/>
              <w:rPr>
                <w:rFonts w:ascii="Times New Roman" w:hAnsi="Times New Roman"/>
              </w:rPr>
            </w:pPr>
            <w:r>
              <w:rPr>
                <w:rFonts w:ascii="Times New Roman" w:hAnsi="Times New Roman"/>
              </w:rPr>
              <w:t>非甲烷总烃</w:t>
            </w:r>
          </w:p>
        </w:tc>
        <w:tc>
          <w:tcPr>
            <w:tcW w:w="1701" w:type="dxa"/>
            <w:noWrap/>
            <w:vAlign w:val="center"/>
          </w:tcPr>
          <w:p>
            <w:pPr>
              <w:widowControl/>
              <w:adjustRightInd w:val="0"/>
              <w:spacing w:line="280" w:lineRule="exact"/>
              <w:jc w:val="center"/>
              <w:rPr>
                <w:rFonts w:ascii="Times New Roman" w:hAnsi="Times New Roman"/>
              </w:rPr>
            </w:pPr>
            <w:r>
              <w:rPr>
                <w:rFonts w:ascii="Times New Roman" w:hAnsi="Times New Roman"/>
              </w:rPr>
              <w:t>小时值</w:t>
            </w:r>
          </w:p>
        </w:tc>
        <w:tc>
          <w:tcPr>
            <w:tcW w:w="993" w:type="dxa"/>
            <w:vMerge w:val="continue"/>
            <w:noWrap/>
            <w:vAlign w:val="center"/>
          </w:tcPr>
          <w:p>
            <w:pPr>
              <w:adjustRightInd w:val="0"/>
              <w:spacing w:line="280" w:lineRule="exact"/>
              <w:jc w:val="center"/>
              <w:rPr>
                <w:rFonts w:ascii="Times New Roman" w:hAnsi="Times New Roman"/>
              </w:rPr>
            </w:pPr>
          </w:p>
        </w:tc>
        <w:tc>
          <w:tcPr>
            <w:tcW w:w="1083" w:type="dxa"/>
            <w:vMerge w:val="continue"/>
            <w:noWrap/>
            <w:vAlign w:val="center"/>
          </w:tcPr>
          <w:p>
            <w:pPr>
              <w:adjustRightInd w:val="0"/>
              <w:snapToGrid w:val="0"/>
              <w:spacing w:line="280" w:lineRule="exact"/>
              <w:jc w:val="center"/>
              <w:rPr>
                <w:rFonts w:ascii="Times New Roman" w:hAnsi="Times New Roma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629" w:type="dxa"/>
            <w:vMerge w:val="continue"/>
            <w:noWrap/>
            <w:vAlign w:val="center"/>
          </w:tcPr>
          <w:p>
            <w:pPr>
              <w:adjustRightInd w:val="0"/>
              <w:snapToGrid w:val="0"/>
              <w:spacing w:line="280" w:lineRule="exact"/>
              <w:rPr>
                <w:rFonts w:ascii="Times New Roman" w:hAnsi="Times New Roman"/>
              </w:rPr>
            </w:pPr>
          </w:p>
        </w:tc>
        <w:tc>
          <w:tcPr>
            <w:tcW w:w="1214" w:type="dxa"/>
            <w:vMerge w:val="continue"/>
            <w:noWrap/>
            <w:vAlign w:val="center"/>
          </w:tcPr>
          <w:p>
            <w:pPr>
              <w:widowControl/>
              <w:adjustRightInd w:val="0"/>
              <w:spacing w:line="280" w:lineRule="exact"/>
              <w:rPr>
                <w:rFonts w:ascii="Times New Roman" w:hAnsi="Times New Roman"/>
              </w:rPr>
            </w:pPr>
          </w:p>
        </w:tc>
        <w:tc>
          <w:tcPr>
            <w:tcW w:w="1134" w:type="dxa"/>
            <w:vMerge w:val="continue"/>
            <w:noWrap/>
            <w:vAlign w:val="center"/>
          </w:tcPr>
          <w:p>
            <w:pPr>
              <w:widowControl/>
              <w:adjustRightInd w:val="0"/>
              <w:spacing w:line="280" w:lineRule="exact"/>
              <w:rPr>
                <w:rFonts w:ascii="Times New Roman" w:hAnsi="Times New Roman"/>
              </w:rPr>
            </w:pPr>
          </w:p>
        </w:tc>
        <w:tc>
          <w:tcPr>
            <w:tcW w:w="1559" w:type="dxa"/>
            <w:noWrap/>
            <w:vAlign w:val="center"/>
          </w:tcPr>
          <w:p>
            <w:pPr>
              <w:widowControl/>
              <w:adjustRightInd w:val="0"/>
              <w:spacing w:line="280" w:lineRule="exact"/>
              <w:jc w:val="center"/>
              <w:rPr>
                <w:rFonts w:ascii="Times New Roman" w:hAnsi="Times New Roman"/>
              </w:rPr>
            </w:pPr>
            <w:r>
              <w:rPr>
                <w:rFonts w:ascii="Times New Roman" w:hAnsi="Times New Roman"/>
              </w:rPr>
              <w:t>氨</w:t>
            </w:r>
          </w:p>
        </w:tc>
        <w:tc>
          <w:tcPr>
            <w:tcW w:w="1701" w:type="dxa"/>
            <w:noWrap/>
            <w:vAlign w:val="center"/>
          </w:tcPr>
          <w:p>
            <w:pPr>
              <w:widowControl/>
              <w:adjustRightInd w:val="0"/>
              <w:spacing w:line="280" w:lineRule="exact"/>
              <w:jc w:val="center"/>
              <w:rPr>
                <w:rFonts w:ascii="Times New Roman" w:hAnsi="Times New Roman"/>
              </w:rPr>
            </w:pPr>
            <w:r>
              <w:rPr>
                <w:rFonts w:ascii="Times New Roman" w:hAnsi="Times New Roman"/>
              </w:rPr>
              <w:t>小时值</w:t>
            </w:r>
          </w:p>
        </w:tc>
        <w:tc>
          <w:tcPr>
            <w:tcW w:w="993" w:type="dxa"/>
            <w:vMerge w:val="continue"/>
            <w:noWrap/>
            <w:vAlign w:val="center"/>
          </w:tcPr>
          <w:p>
            <w:pPr>
              <w:adjustRightInd w:val="0"/>
              <w:spacing w:line="280" w:lineRule="exact"/>
              <w:jc w:val="center"/>
              <w:rPr>
                <w:rFonts w:ascii="Times New Roman" w:hAnsi="Times New Roman"/>
              </w:rPr>
            </w:pPr>
          </w:p>
        </w:tc>
        <w:tc>
          <w:tcPr>
            <w:tcW w:w="1083" w:type="dxa"/>
            <w:vMerge w:val="continue"/>
            <w:noWrap/>
            <w:vAlign w:val="center"/>
          </w:tcPr>
          <w:p>
            <w:pPr>
              <w:adjustRightInd w:val="0"/>
              <w:snapToGrid w:val="0"/>
              <w:spacing w:line="280" w:lineRule="exact"/>
              <w:jc w:val="center"/>
              <w:rPr>
                <w:rFonts w:ascii="Times New Roman" w:hAnsi="Times New Roma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629" w:type="dxa"/>
            <w:vMerge w:val="continue"/>
            <w:noWrap/>
            <w:vAlign w:val="center"/>
          </w:tcPr>
          <w:p>
            <w:pPr>
              <w:adjustRightInd w:val="0"/>
              <w:snapToGrid w:val="0"/>
              <w:spacing w:line="280" w:lineRule="exact"/>
              <w:rPr>
                <w:rFonts w:ascii="Times New Roman" w:hAnsi="Times New Roman"/>
              </w:rPr>
            </w:pPr>
          </w:p>
        </w:tc>
        <w:tc>
          <w:tcPr>
            <w:tcW w:w="1214" w:type="dxa"/>
            <w:vMerge w:val="continue"/>
            <w:noWrap/>
            <w:vAlign w:val="center"/>
          </w:tcPr>
          <w:p>
            <w:pPr>
              <w:widowControl/>
              <w:adjustRightInd w:val="0"/>
              <w:spacing w:line="280" w:lineRule="exact"/>
              <w:rPr>
                <w:rFonts w:ascii="Times New Roman" w:hAnsi="Times New Roman"/>
              </w:rPr>
            </w:pPr>
          </w:p>
        </w:tc>
        <w:tc>
          <w:tcPr>
            <w:tcW w:w="1134" w:type="dxa"/>
            <w:vMerge w:val="continue"/>
            <w:noWrap/>
            <w:vAlign w:val="center"/>
          </w:tcPr>
          <w:p>
            <w:pPr>
              <w:widowControl/>
              <w:adjustRightInd w:val="0"/>
              <w:spacing w:line="280" w:lineRule="exact"/>
              <w:rPr>
                <w:rFonts w:ascii="Times New Roman" w:hAnsi="Times New Roman"/>
              </w:rPr>
            </w:pPr>
          </w:p>
        </w:tc>
        <w:tc>
          <w:tcPr>
            <w:tcW w:w="1559" w:type="dxa"/>
            <w:noWrap/>
            <w:vAlign w:val="center"/>
          </w:tcPr>
          <w:p>
            <w:pPr>
              <w:widowControl/>
              <w:adjustRightInd w:val="0"/>
              <w:spacing w:line="280" w:lineRule="exact"/>
              <w:jc w:val="center"/>
              <w:rPr>
                <w:rFonts w:ascii="Times New Roman" w:hAnsi="Times New Roman"/>
              </w:rPr>
            </w:pPr>
            <w:r>
              <w:rPr>
                <w:rFonts w:ascii="Times New Roman" w:hAnsi="Times New Roman"/>
              </w:rPr>
              <w:t>硫化氢</w:t>
            </w:r>
          </w:p>
        </w:tc>
        <w:tc>
          <w:tcPr>
            <w:tcW w:w="1701" w:type="dxa"/>
            <w:noWrap/>
            <w:vAlign w:val="center"/>
          </w:tcPr>
          <w:p>
            <w:pPr>
              <w:widowControl/>
              <w:adjustRightInd w:val="0"/>
              <w:spacing w:line="280" w:lineRule="exact"/>
              <w:jc w:val="center"/>
              <w:rPr>
                <w:rFonts w:ascii="Times New Roman" w:hAnsi="Times New Roman"/>
              </w:rPr>
            </w:pPr>
            <w:r>
              <w:rPr>
                <w:rFonts w:ascii="Times New Roman" w:hAnsi="Times New Roman"/>
              </w:rPr>
              <w:t>小时值</w:t>
            </w:r>
          </w:p>
        </w:tc>
        <w:tc>
          <w:tcPr>
            <w:tcW w:w="993" w:type="dxa"/>
            <w:vMerge w:val="continue"/>
            <w:noWrap/>
            <w:vAlign w:val="center"/>
          </w:tcPr>
          <w:p>
            <w:pPr>
              <w:adjustRightInd w:val="0"/>
              <w:spacing w:line="280" w:lineRule="exact"/>
              <w:jc w:val="center"/>
              <w:rPr>
                <w:rFonts w:ascii="Times New Roman" w:hAnsi="Times New Roman"/>
              </w:rPr>
            </w:pPr>
          </w:p>
        </w:tc>
        <w:tc>
          <w:tcPr>
            <w:tcW w:w="1083" w:type="dxa"/>
            <w:vMerge w:val="continue"/>
            <w:noWrap/>
            <w:vAlign w:val="center"/>
          </w:tcPr>
          <w:p>
            <w:pPr>
              <w:adjustRightInd w:val="0"/>
              <w:snapToGrid w:val="0"/>
              <w:spacing w:line="280" w:lineRule="exact"/>
              <w:jc w:val="center"/>
              <w:rPr>
                <w:rFonts w:ascii="Times New Roman" w:hAnsi="Times New Roma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629" w:type="dxa"/>
            <w:vMerge w:val="continue"/>
            <w:noWrap/>
            <w:vAlign w:val="center"/>
          </w:tcPr>
          <w:p>
            <w:pPr>
              <w:adjustRightInd w:val="0"/>
              <w:snapToGrid w:val="0"/>
              <w:spacing w:line="280" w:lineRule="exact"/>
              <w:rPr>
                <w:rFonts w:ascii="Times New Roman" w:hAnsi="Times New Roman"/>
              </w:rPr>
            </w:pPr>
          </w:p>
        </w:tc>
        <w:tc>
          <w:tcPr>
            <w:tcW w:w="1214" w:type="dxa"/>
            <w:vMerge w:val="continue"/>
            <w:noWrap/>
            <w:vAlign w:val="center"/>
          </w:tcPr>
          <w:p>
            <w:pPr>
              <w:widowControl/>
              <w:adjustRightInd w:val="0"/>
              <w:spacing w:line="280" w:lineRule="exact"/>
              <w:rPr>
                <w:rFonts w:ascii="Times New Roman" w:hAnsi="Times New Roman"/>
              </w:rPr>
            </w:pPr>
          </w:p>
        </w:tc>
        <w:tc>
          <w:tcPr>
            <w:tcW w:w="1134" w:type="dxa"/>
            <w:vMerge w:val="continue"/>
            <w:noWrap/>
            <w:vAlign w:val="center"/>
          </w:tcPr>
          <w:p>
            <w:pPr>
              <w:widowControl/>
              <w:adjustRightInd w:val="0"/>
              <w:spacing w:line="280" w:lineRule="exact"/>
              <w:rPr>
                <w:rFonts w:ascii="Times New Roman" w:hAnsi="Times New Roman"/>
              </w:rPr>
            </w:pPr>
          </w:p>
        </w:tc>
        <w:tc>
          <w:tcPr>
            <w:tcW w:w="1559" w:type="dxa"/>
            <w:noWrap/>
            <w:vAlign w:val="center"/>
          </w:tcPr>
          <w:p>
            <w:pPr>
              <w:widowControl/>
              <w:adjustRightInd w:val="0"/>
              <w:spacing w:line="280" w:lineRule="exact"/>
              <w:jc w:val="center"/>
              <w:rPr>
                <w:rFonts w:ascii="Times New Roman" w:hAnsi="Times New Roman"/>
              </w:rPr>
            </w:pPr>
            <w:r>
              <w:rPr>
                <w:rFonts w:ascii="Times New Roman" w:hAnsi="Times New Roman"/>
              </w:rPr>
              <w:t>臭气浓度</w:t>
            </w:r>
          </w:p>
        </w:tc>
        <w:tc>
          <w:tcPr>
            <w:tcW w:w="1701" w:type="dxa"/>
            <w:noWrap/>
            <w:vAlign w:val="center"/>
          </w:tcPr>
          <w:p>
            <w:pPr>
              <w:widowControl/>
              <w:adjustRightInd w:val="0"/>
              <w:spacing w:line="280" w:lineRule="exact"/>
              <w:jc w:val="center"/>
              <w:rPr>
                <w:rFonts w:ascii="Times New Roman" w:hAnsi="Times New Roman"/>
              </w:rPr>
            </w:pPr>
            <w:r>
              <w:rPr>
                <w:rFonts w:ascii="Times New Roman" w:hAnsi="Times New Roman"/>
              </w:rPr>
              <w:t>小时值</w:t>
            </w:r>
          </w:p>
        </w:tc>
        <w:tc>
          <w:tcPr>
            <w:tcW w:w="993" w:type="dxa"/>
            <w:vMerge w:val="continue"/>
            <w:noWrap/>
            <w:vAlign w:val="center"/>
          </w:tcPr>
          <w:p>
            <w:pPr>
              <w:adjustRightInd w:val="0"/>
              <w:spacing w:line="280" w:lineRule="exact"/>
              <w:jc w:val="center"/>
              <w:rPr>
                <w:rFonts w:ascii="Times New Roman" w:hAnsi="Times New Roman"/>
              </w:rPr>
            </w:pPr>
          </w:p>
        </w:tc>
        <w:tc>
          <w:tcPr>
            <w:tcW w:w="1083" w:type="dxa"/>
            <w:vMerge w:val="continue"/>
            <w:noWrap/>
            <w:vAlign w:val="center"/>
          </w:tcPr>
          <w:p>
            <w:pPr>
              <w:adjustRightInd w:val="0"/>
              <w:snapToGrid w:val="0"/>
              <w:spacing w:line="280" w:lineRule="exact"/>
              <w:jc w:val="center"/>
              <w:rPr>
                <w:rFonts w:ascii="Times New Roman" w:hAnsi="Times New Roma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629" w:type="dxa"/>
            <w:vMerge w:val="restart"/>
            <w:noWrap/>
            <w:vAlign w:val="center"/>
          </w:tcPr>
          <w:p>
            <w:pPr>
              <w:adjustRightInd w:val="0"/>
              <w:snapToGrid w:val="0"/>
              <w:spacing w:line="280" w:lineRule="exact"/>
              <w:rPr>
                <w:rFonts w:ascii="Times New Roman" w:hAnsi="Times New Roman"/>
              </w:rPr>
            </w:pPr>
            <w:r>
              <w:rPr>
                <w:rFonts w:ascii="Times New Roman" w:hAnsi="Times New Roman"/>
              </w:rPr>
              <w:t>G2</w:t>
            </w:r>
          </w:p>
        </w:tc>
        <w:tc>
          <w:tcPr>
            <w:tcW w:w="1214" w:type="dxa"/>
            <w:vMerge w:val="restart"/>
            <w:noWrap/>
            <w:vAlign w:val="center"/>
          </w:tcPr>
          <w:p>
            <w:pPr>
              <w:widowControl/>
              <w:adjustRightInd w:val="0"/>
              <w:spacing w:line="280" w:lineRule="exact"/>
              <w:rPr>
                <w:rFonts w:ascii="Times New Roman" w:hAnsi="Times New Roman"/>
              </w:rPr>
            </w:pPr>
            <w:r>
              <w:rPr>
                <w:rFonts w:ascii="Times New Roman" w:hAnsi="Times New Roman"/>
              </w:rPr>
              <w:t>131.305944</w:t>
            </w:r>
          </w:p>
        </w:tc>
        <w:tc>
          <w:tcPr>
            <w:tcW w:w="1134" w:type="dxa"/>
            <w:vMerge w:val="restart"/>
            <w:noWrap/>
            <w:vAlign w:val="center"/>
          </w:tcPr>
          <w:p>
            <w:pPr>
              <w:widowControl/>
              <w:adjustRightInd w:val="0"/>
              <w:spacing w:line="280" w:lineRule="exact"/>
              <w:rPr>
                <w:rFonts w:ascii="Times New Roman" w:hAnsi="Times New Roman"/>
              </w:rPr>
            </w:pPr>
            <w:r>
              <w:rPr>
                <w:rFonts w:ascii="Times New Roman" w:hAnsi="Times New Roman"/>
              </w:rPr>
              <w:t>46.636922</w:t>
            </w:r>
          </w:p>
        </w:tc>
        <w:tc>
          <w:tcPr>
            <w:tcW w:w="1559" w:type="dxa"/>
            <w:noWrap/>
            <w:vAlign w:val="center"/>
          </w:tcPr>
          <w:p>
            <w:pPr>
              <w:widowControl/>
              <w:adjustRightInd w:val="0"/>
              <w:spacing w:line="280" w:lineRule="exact"/>
              <w:jc w:val="center"/>
              <w:rPr>
                <w:rFonts w:ascii="Times New Roman" w:hAnsi="Times New Roman"/>
              </w:rPr>
            </w:pPr>
            <w:r>
              <w:rPr>
                <w:rFonts w:ascii="Times New Roman" w:hAnsi="Times New Roman"/>
              </w:rPr>
              <w:t>TSP</w:t>
            </w:r>
          </w:p>
        </w:tc>
        <w:tc>
          <w:tcPr>
            <w:tcW w:w="1701" w:type="dxa"/>
            <w:noWrap/>
            <w:vAlign w:val="center"/>
          </w:tcPr>
          <w:p>
            <w:pPr>
              <w:widowControl/>
              <w:adjustRightInd w:val="0"/>
              <w:spacing w:line="280" w:lineRule="exact"/>
              <w:jc w:val="center"/>
              <w:rPr>
                <w:rFonts w:ascii="Times New Roman" w:hAnsi="Times New Roman"/>
              </w:rPr>
            </w:pPr>
            <w:r>
              <w:rPr>
                <w:rFonts w:ascii="Times New Roman" w:hAnsi="Times New Roman"/>
              </w:rPr>
              <w:t>日均值</w:t>
            </w:r>
          </w:p>
        </w:tc>
        <w:tc>
          <w:tcPr>
            <w:tcW w:w="993" w:type="dxa"/>
            <w:vMerge w:val="restart"/>
            <w:noWrap/>
            <w:vAlign w:val="center"/>
          </w:tcPr>
          <w:p>
            <w:pPr>
              <w:adjustRightInd w:val="0"/>
              <w:spacing w:line="280" w:lineRule="exact"/>
              <w:jc w:val="center"/>
              <w:rPr>
                <w:rFonts w:ascii="Times New Roman" w:hAnsi="Times New Roman"/>
              </w:rPr>
            </w:pPr>
            <w:r>
              <w:rPr>
                <w:rFonts w:ascii="Times New Roman" w:hAnsi="Times New Roman"/>
              </w:rPr>
              <w:t>厂址东北侧</w:t>
            </w:r>
          </w:p>
        </w:tc>
        <w:tc>
          <w:tcPr>
            <w:tcW w:w="1083" w:type="dxa"/>
            <w:vMerge w:val="restart"/>
            <w:noWrap/>
            <w:vAlign w:val="center"/>
          </w:tcPr>
          <w:p>
            <w:pPr>
              <w:adjustRightInd w:val="0"/>
              <w:snapToGrid w:val="0"/>
              <w:spacing w:line="280" w:lineRule="exact"/>
              <w:jc w:val="center"/>
              <w:rPr>
                <w:rFonts w:ascii="Times New Roman" w:hAnsi="Times New Roman"/>
              </w:rPr>
            </w:pPr>
            <w:r>
              <w:rPr>
                <w:rFonts w:ascii="Times New Roman" w:hAnsi="Times New Roman"/>
              </w:rPr>
              <w:t>500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629" w:type="dxa"/>
            <w:vMerge w:val="continue"/>
            <w:noWrap/>
            <w:vAlign w:val="center"/>
          </w:tcPr>
          <w:p>
            <w:pPr>
              <w:adjustRightInd w:val="0"/>
              <w:snapToGrid w:val="0"/>
              <w:spacing w:line="280" w:lineRule="exact"/>
              <w:rPr>
                <w:rFonts w:ascii="Times New Roman" w:hAnsi="Times New Roman"/>
              </w:rPr>
            </w:pPr>
          </w:p>
        </w:tc>
        <w:tc>
          <w:tcPr>
            <w:tcW w:w="1214" w:type="dxa"/>
            <w:vMerge w:val="continue"/>
            <w:noWrap/>
            <w:vAlign w:val="center"/>
          </w:tcPr>
          <w:p>
            <w:pPr>
              <w:widowControl/>
              <w:adjustRightInd w:val="0"/>
              <w:spacing w:line="280" w:lineRule="exact"/>
              <w:rPr>
                <w:rFonts w:ascii="Times New Roman" w:hAnsi="Times New Roman"/>
              </w:rPr>
            </w:pPr>
          </w:p>
        </w:tc>
        <w:tc>
          <w:tcPr>
            <w:tcW w:w="1134" w:type="dxa"/>
            <w:vMerge w:val="continue"/>
            <w:noWrap/>
            <w:vAlign w:val="center"/>
          </w:tcPr>
          <w:p>
            <w:pPr>
              <w:widowControl/>
              <w:adjustRightInd w:val="0"/>
              <w:spacing w:line="280" w:lineRule="exact"/>
              <w:rPr>
                <w:rFonts w:ascii="Times New Roman" w:hAnsi="Times New Roman"/>
              </w:rPr>
            </w:pPr>
          </w:p>
        </w:tc>
        <w:tc>
          <w:tcPr>
            <w:tcW w:w="1559" w:type="dxa"/>
            <w:noWrap/>
            <w:vAlign w:val="center"/>
          </w:tcPr>
          <w:p>
            <w:pPr>
              <w:widowControl/>
              <w:adjustRightInd w:val="0"/>
              <w:spacing w:line="280" w:lineRule="exact"/>
              <w:jc w:val="center"/>
              <w:rPr>
                <w:rFonts w:ascii="Times New Roman" w:hAnsi="Times New Roman"/>
              </w:rPr>
            </w:pPr>
            <w:r>
              <w:rPr>
                <w:rFonts w:ascii="Times New Roman" w:hAnsi="Times New Roman"/>
              </w:rPr>
              <w:t>TVOC</w:t>
            </w:r>
          </w:p>
        </w:tc>
        <w:tc>
          <w:tcPr>
            <w:tcW w:w="1701" w:type="dxa"/>
            <w:noWrap/>
            <w:vAlign w:val="center"/>
          </w:tcPr>
          <w:p>
            <w:pPr>
              <w:widowControl/>
              <w:adjustRightInd w:val="0"/>
              <w:spacing w:line="280" w:lineRule="exact"/>
              <w:jc w:val="center"/>
              <w:rPr>
                <w:rFonts w:ascii="Times New Roman" w:hAnsi="Times New Roman"/>
              </w:rPr>
            </w:pPr>
            <w:r>
              <w:rPr>
                <w:rFonts w:ascii="Times New Roman" w:hAnsi="Times New Roman"/>
              </w:rPr>
              <w:t>8小时平均浓度</w:t>
            </w:r>
          </w:p>
        </w:tc>
        <w:tc>
          <w:tcPr>
            <w:tcW w:w="993" w:type="dxa"/>
            <w:vMerge w:val="continue"/>
            <w:noWrap/>
            <w:vAlign w:val="center"/>
          </w:tcPr>
          <w:p>
            <w:pPr>
              <w:adjustRightInd w:val="0"/>
              <w:spacing w:line="280" w:lineRule="exact"/>
              <w:rPr>
                <w:rFonts w:ascii="Times New Roman" w:hAnsi="Times New Roman"/>
              </w:rPr>
            </w:pPr>
          </w:p>
        </w:tc>
        <w:tc>
          <w:tcPr>
            <w:tcW w:w="1083" w:type="dxa"/>
            <w:vMerge w:val="continue"/>
            <w:noWrap/>
            <w:vAlign w:val="center"/>
          </w:tcPr>
          <w:p>
            <w:pPr>
              <w:adjustRightInd w:val="0"/>
              <w:snapToGrid w:val="0"/>
              <w:spacing w:line="280" w:lineRule="exact"/>
              <w:rPr>
                <w:rFonts w:ascii="Times New Roman" w:hAnsi="Times New Roma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629" w:type="dxa"/>
            <w:vMerge w:val="continue"/>
            <w:noWrap/>
            <w:vAlign w:val="center"/>
          </w:tcPr>
          <w:p>
            <w:pPr>
              <w:adjustRightInd w:val="0"/>
              <w:snapToGrid w:val="0"/>
              <w:spacing w:line="280" w:lineRule="exact"/>
              <w:rPr>
                <w:rFonts w:ascii="Times New Roman" w:hAnsi="Times New Roman"/>
              </w:rPr>
            </w:pPr>
          </w:p>
        </w:tc>
        <w:tc>
          <w:tcPr>
            <w:tcW w:w="1214" w:type="dxa"/>
            <w:vMerge w:val="continue"/>
            <w:noWrap/>
            <w:vAlign w:val="center"/>
          </w:tcPr>
          <w:p>
            <w:pPr>
              <w:widowControl/>
              <w:adjustRightInd w:val="0"/>
              <w:spacing w:line="280" w:lineRule="exact"/>
              <w:rPr>
                <w:rFonts w:ascii="Times New Roman" w:hAnsi="Times New Roman"/>
              </w:rPr>
            </w:pPr>
          </w:p>
        </w:tc>
        <w:tc>
          <w:tcPr>
            <w:tcW w:w="1134" w:type="dxa"/>
            <w:vMerge w:val="continue"/>
            <w:noWrap/>
            <w:vAlign w:val="center"/>
          </w:tcPr>
          <w:p>
            <w:pPr>
              <w:widowControl/>
              <w:adjustRightInd w:val="0"/>
              <w:spacing w:line="280" w:lineRule="exact"/>
              <w:rPr>
                <w:rFonts w:ascii="Times New Roman" w:hAnsi="Times New Roman"/>
              </w:rPr>
            </w:pPr>
          </w:p>
        </w:tc>
        <w:tc>
          <w:tcPr>
            <w:tcW w:w="1559" w:type="dxa"/>
            <w:noWrap/>
            <w:vAlign w:val="center"/>
          </w:tcPr>
          <w:p>
            <w:pPr>
              <w:widowControl/>
              <w:adjustRightInd w:val="0"/>
              <w:spacing w:line="280" w:lineRule="exact"/>
              <w:jc w:val="center"/>
              <w:rPr>
                <w:rFonts w:ascii="Times New Roman" w:hAnsi="Times New Roman"/>
              </w:rPr>
            </w:pPr>
            <w:r>
              <w:rPr>
                <w:rFonts w:ascii="Times New Roman" w:hAnsi="Times New Roman"/>
              </w:rPr>
              <w:t>非甲烷总烃</w:t>
            </w:r>
          </w:p>
        </w:tc>
        <w:tc>
          <w:tcPr>
            <w:tcW w:w="1701" w:type="dxa"/>
            <w:noWrap/>
            <w:vAlign w:val="center"/>
          </w:tcPr>
          <w:p>
            <w:pPr>
              <w:widowControl/>
              <w:adjustRightInd w:val="0"/>
              <w:spacing w:line="280" w:lineRule="exact"/>
              <w:jc w:val="center"/>
              <w:rPr>
                <w:rFonts w:ascii="Times New Roman" w:hAnsi="Times New Roman"/>
              </w:rPr>
            </w:pPr>
            <w:r>
              <w:rPr>
                <w:rFonts w:ascii="Times New Roman" w:hAnsi="Times New Roman"/>
              </w:rPr>
              <w:t>小时值</w:t>
            </w:r>
          </w:p>
        </w:tc>
        <w:tc>
          <w:tcPr>
            <w:tcW w:w="993" w:type="dxa"/>
            <w:vMerge w:val="continue"/>
            <w:noWrap/>
            <w:vAlign w:val="center"/>
          </w:tcPr>
          <w:p>
            <w:pPr>
              <w:adjustRightInd w:val="0"/>
              <w:spacing w:line="280" w:lineRule="exact"/>
              <w:rPr>
                <w:rFonts w:ascii="Times New Roman" w:hAnsi="Times New Roman"/>
              </w:rPr>
            </w:pPr>
          </w:p>
        </w:tc>
        <w:tc>
          <w:tcPr>
            <w:tcW w:w="1083" w:type="dxa"/>
            <w:vMerge w:val="continue"/>
            <w:noWrap/>
            <w:vAlign w:val="center"/>
          </w:tcPr>
          <w:p>
            <w:pPr>
              <w:adjustRightInd w:val="0"/>
              <w:snapToGrid w:val="0"/>
              <w:spacing w:line="280" w:lineRule="exact"/>
              <w:rPr>
                <w:rFonts w:ascii="Times New Roman" w:hAnsi="Times New Roma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629" w:type="dxa"/>
            <w:vMerge w:val="continue"/>
            <w:noWrap/>
            <w:vAlign w:val="center"/>
          </w:tcPr>
          <w:p>
            <w:pPr>
              <w:adjustRightInd w:val="0"/>
              <w:snapToGrid w:val="0"/>
              <w:spacing w:line="280" w:lineRule="exact"/>
              <w:rPr>
                <w:rFonts w:ascii="Times New Roman" w:hAnsi="Times New Roman"/>
              </w:rPr>
            </w:pPr>
          </w:p>
        </w:tc>
        <w:tc>
          <w:tcPr>
            <w:tcW w:w="1214" w:type="dxa"/>
            <w:vMerge w:val="continue"/>
            <w:noWrap/>
            <w:vAlign w:val="center"/>
          </w:tcPr>
          <w:p>
            <w:pPr>
              <w:widowControl/>
              <w:adjustRightInd w:val="0"/>
              <w:spacing w:line="280" w:lineRule="exact"/>
              <w:rPr>
                <w:rFonts w:ascii="Times New Roman" w:hAnsi="Times New Roman"/>
              </w:rPr>
            </w:pPr>
          </w:p>
        </w:tc>
        <w:tc>
          <w:tcPr>
            <w:tcW w:w="1134" w:type="dxa"/>
            <w:vMerge w:val="continue"/>
            <w:noWrap/>
            <w:vAlign w:val="center"/>
          </w:tcPr>
          <w:p>
            <w:pPr>
              <w:widowControl/>
              <w:adjustRightInd w:val="0"/>
              <w:spacing w:line="280" w:lineRule="exact"/>
              <w:rPr>
                <w:rFonts w:ascii="Times New Roman" w:hAnsi="Times New Roman"/>
              </w:rPr>
            </w:pPr>
          </w:p>
        </w:tc>
        <w:tc>
          <w:tcPr>
            <w:tcW w:w="1559" w:type="dxa"/>
            <w:noWrap/>
            <w:vAlign w:val="center"/>
          </w:tcPr>
          <w:p>
            <w:pPr>
              <w:widowControl/>
              <w:adjustRightInd w:val="0"/>
              <w:spacing w:line="280" w:lineRule="exact"/>
              <w:jc w:val="center"/>
              <w:rPr>
                <w:rFonts w:ascii="Times New Roman" w:hAnsi="Times New Roman"/>
              </w:rPr>
            </w:pPr>
            <w:r>
              <w:rPr>
                <w:rFonts w:ascii="Times New Roman" w:hAnsi="Times New Roman"/>
              </w:rPr>
              <w:t>氨</w:t>
            </w:r>
          </w:p>
        </w:tc>
        <w:tc>
          <w:tcPr>
            <w:tcW w:w="1701" w:type="dxa"/>
            <w:noWrap/>
            <w:vAlign w:val="center"/>
          </w:tcPr>
          <w:p>
            <w:pPr>
              <w:widowControl/>
              <w:adjustRightInd w:val="0"/>
              <w:spacing w:line="280" w:lineRule="exact"/>
              <w:jc w:val="center"/>
              <w:rPr>
                <w:rFonts w:ascii="Times New Roman" w:hAnsi="Times New Roman"/>
              </w:rPr>
            </w:pPr>
            <w:r>
              <w:rPr>
                <w:rFonts w:ascii="Times New Roman" w:hAnsi="Times New Roman"/>
              </w:rPr>
              <w:t>小时值</w:t>
            </w:r>
          </w:p>
        </w:tc>
        <w:tc>
          <w:tcPr>
            <w:tcW w:w="993" w:type="dxa"/>
            <w:vMerge w:val="continue"/>
            <w:noWrap/>
            <w:vAlign w:val="center"/>
          </w:tcPr>
          <w:p>
            <w:pPr>
              <w:adjustRightInd w:val="0"/>
              <w:spacing w:line="280" w:lineRule="exact"/>
              <w:rPr>
                <w:rFonts w:ascii="Times New Roman" w:hAnsi="Times New Roman"/>
              </w:rPr>
            </w:pPr>
          </w:p>
        </w:tc>
        <w:tc>
          <w:tcPr>
            <w:tcW w:w="1083" w:type="dxa"/>
            <w:vMerge w:val="continue"/>
            <w:noWrap/>
            <w:vAlign w:val="center"/>
          </w:tcPr>
          <w:p>
            <w:pPr>
              <w:adjustRightInd w:val="0"/>
              <w:snapToGrid w:val="0"/>
              <w:spacing w:line="280" w:lineRule="exact"/>
              <w:rPr>
                <w:rFonts w:ascii="Times New Roman" w:hAnsi="Times New Roma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629" w:type="dxa"/>
            <w:vMerge w:val="continue"/>
            <w:noWrap/>
            <w:vAlign w:val="center"/>
          </w:tcPr>
          <w:p>
            <w:pPr>
              <w:adjustRightInd w:val="0"/>
              <w:snapToGrid w:val="0"/>
              <w:spacing w:line="280" w:lineRule="exact"/>
              <w:rPr>
                <w:rFonts w:ascii="Times New Roman" w:hAnsi="Times New Roman"/>
              </w:rPr>
            </w:pPr>
          </w:p>
        </w:tc>
        <w:tc>
          <w:tcPr>
            <w:tcW w:w="1214" w:type="dxa"/>
            <w:vMerge w:val="continue"/>
            <w:noWrap/>
            <w:vAlign w:val="center"/>
          </w:tcPr>
          <w:p>
            <w:pPr>
              <w:widowControl/>
              <w:adjustRightInd w:val="0"/>
              <w:spacing w:line="280" w:lineRule="exact"/>
              <w:rPr>
                <w:rFonts w:ascii="Times New Roman" w:hAnsi="Times New Roman"/>
              </w:rPr>
            </w:pPr>
          </w:p>
        </w:tc>
        <w:tc>
          <w:tcPr>
            <w:tcW w:w="1134" w:type="dxa"/>
            <w:vMerge w:val="continue"/>
            <w:noWrap/>
            <w:vAlign w:val="center"/>
          </w:tcPr>
          <w:p>
            <w:pPr>
              <w:widowControl/>
              <w:adjustRightInd w:val="0"/>
              <w:spacing w:line="280" w:lineRule="exact"/>
              <w:rPr>
                <w:rFonts w:ascii="Times New Roman" w:hAnsi="Times New Roman"/>
              </w:rPr>
            </w:pPr>
          </w:p>
        </w:tc>
        <w:tc>
          <w:tcPr>
            <w:tcW w:w="1559" w:type="dxa"/>
            <w:noWrap/>
            <w:vAlign w:val="center"/>
          </w:tcPr>
          <w:p>
            <w:pPr>
              <w:widowControl/>
              <w:adjustRightInd w:val="0"/>
              <w:spacing w:line="280" w:lineRule="exact"/>
              <w:jc w:val="center"/>
              <w:rPr>
                <w:rFonts w:ascii="Times New Roman" w:hAnsi="Times New Roman"/>
              </w:rPr>
            </w:pPr>
            <w:r>
              <w:rPr>
                <w:rFonts w:ascii="Times New Roman" w:hAnsi="Times New Roman"/>
              </w:rPr>
              <w:t>硫化氢</w:t>
            </w:r>
          </w:p>
        </w:tc>
        <w:tc>
          <w:tcPr>
            <w:tcW w:w="1701" w:type="dxa"/>
            <w:noWrap/>
            <w:vAlign w:val="center"/>
          </w:tcPr>
          <w:p>
            <w:pPr>
              <w:widowControl/>
              <w:adjustRightInd w:val="0"/>
              <w:spacing w:line="280" w:lineRule="exact"/>
              <w:jc w:val="center"/>
              <w:rPr>
                <w:rFonts w:ascii="Times New Roman" w:hAnsi="Times New Roman"/>
              </w:rPr>
            </w:pPr>
            <w:r>
              <w:rPr>
                <w:rFonts w:ascii="Times New Roman" w:hAnsi="Times New Roman"/>
              </w:rPr>
              <w:t>小时值</w:t>
            </w:r>
          </w:p>
        </w:tc>
        <w:tc>
          <w:tcPr>
            <w:tcW w:w="993" w:type="dxa"/>
            <w:vMerge w:val="continue"/>
            <w:noWrap/>
            <w:vAlign w:val="center"/>
          </w:tcPr>
          <w:p>
            <w:pPr>
              <w:adjustRightInd w:val="0"/>
              <w:spacing w:line="280" w:lineRule="exact"/>
              <w:rPr>
                <w:rFonts w:ascii="Times New Roman" w:hAnsi="Times New Roman"/>
              </w:rPr>
            </w:pPr>
          </w:p>
        </w:tc>
        <w:tc>
          <w:tcPr>
            <w:tcW w:w="1083" w:type="dxa"/>
            <w:vMerge w:val="continue"/>
            <w:noWrap/>
            <w:vAlign w:val="center"/>
          </w:tcPr>
          <w:p>
            <w:pPr>
              <w:adjustRightInd w:val="0"/>
              <w:snapToGrid w:val="0"/>
              <w:spacing w:line="280" w:lineRule="exact"/>
              <w:rPr>
                <w:rFonts w:ascii="Times New Roman" w:hAnsi="Times New Roma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629" w:type="dxa"/>
            <w:vMerge w:val="continue"/>
            <w:noWrap/>
            <w:vAlign w:val="center"/>
          </w:tcPr>
          <w:p>
            <w:pPr>
              <w:adjustRightInd w:val="0"/>
              <w:snapToGrid w:val="0"/>
              <w:spacing w:line="280" w:lineRule="exact"/>
              <w:rPr>
                <w:rFonts w:ascii="Times New Roman" w:hAnsi="Times New Roman"/>
              </w:rPr>
            </w:pPr>
          </w:p>
        </w:tc>
        <w:tc>
          <w:tcPr>
            <w:tcW w:w="1214" w:type="dxa"/>
            <w:vMerge w:val="continue"/>
            <w:noWrap/>
            <w:vAlign w:val="center"/>
          </w:tcPr>
          <w:p>
            <w:pPr>
              <w:widowControl/>
              <w:adjustRightInd w:val="0"/>
              <w:spacing w:line="280" w:lineRule="exact"/>
              <w:rPr>
                <w:rFonts w:ascii="Times New Roman" w:hAnsi="Times New Roman"/>
              </w:rPr>
            </w:pPr>
          </w:p>
        </w:tc>
        <w:tc>
          <w:tcPr>
            <w:tcW w:w="1134" w:type="dxa"/>
            <w:vMerge w:val="continue"/>
            <w:noWrap/>
            <w:vAlign w:val="center"/>
          </w:tcPr>
          <w:p>
            <w:pPr>
              <w:widowControl/>
              <w:adjustRightInd w:val="0"/>
              <w:spacing w:line="280" w:lineRule="exact"/>
              <w:rPr>
                <w:rFonts w:ascii="Times New Roman" w:hAnsi="Times New Roman"/>
              </w:rPr>
            </w:pPr>
          </w:p>
        </w:tc>
        <w:tc>
          <w:tcPr>
            <w:tcW w:w="1559" w:type="dxa"/>
            <w:noWrap/>
            <w:vAlign w:val="center"/>
          </w:tcPr>
          <w:p>
            <w:pPr>
              <w:widowControl/>
              <w:adjustRightInd w:val="0"/>
              <w:spacing w:line="280" w:lineRule="exact"/>
              <w:jc w:val="center"/>
              <w:rPr>
                <w:rFonts w:ascii="Times New Roman" w:hAnsi="Times New Roman"/>
              </w:rPr>
            </w:pPr>
            <w:r>
              <w:rPr>
                <w:rFonts w:ascii="Times New Roman" w:hAnsi="Times New Roman"/>
              </w:rPr>
              <w:t>臭气浓度</w:t>
            </w:r>
          </w:p>
        </w:tc>
        <w:tc>
          <w:tcPr>
            <w:tcW w:w="1701" w:type="dxa"/>
            <w:noWrap/>
            <w:vAlign w:val="center"/>
          </w:tcPr>
          <w:p>
            <w:pPr>
              <w:widowControl/>
              <w:adjustRightInd w:val="0"/>
              <w:spacing w:line="280" w:lineRule="exact"/>
              <w:jc w:val="center"/>
              <w:rPr>
                <w:rFonts w:ascii="Times New Roman" w:hAnsi="Times New Roman"/>
              </w:rPr>
            </w:pPr>
            <w:r>
              <w:rPr>
                <w:rFonts w:ascii="Times New Roman" w:hAnsi="Times New Roman"/>
              </w:rPr>
              <w:t>小时值</w:t>
            </w:r>
          </w:p>
        </w:tc>
        <w:tc>
          <w:tcPr>
            <w:tcW w:w="993" w:type="dxa"/>
            <w:vMerge w:val="continue"/>
            <w:noWrap/>
            <w:vAlign w:val="center"/>
          </w:tcPr>
          <w:p>
            <w:pPr>
              <w:adjustRightInd w:val="0"/>
              <w:spacing w:line="280" w:lineRule="exact"/>
              <w:rPr>
                <w:rFonts w:ascii="Times New Roman" w:hAnsi="Times New Roman"/>
              </w:rPr>
            </w:pPr>
          </w:p>
        </w:tc>
        <w:tc>
          <w:tcPr>
            <w:tcW w:w="1083" w:type="dxa"/>
            <w:vMerge w:val="continue"/>
            <w:noWrap/>
            <w:vAlign w:val="center"/>
          </w:tcPr>
          <w:p>
            <w:pPr>
              <w:adjustRightInd w:val="0"/>
              <w:snapToGrid w:val="0"/>
              <w:spacing w:line="280" w:lineRule="exact"/>
              <w:rPr>
                <w:rFonts w:ascii="Times New Roman" w:hAnsi="Times New Roman"/>
              </w:rPr>
            </w:pPr>
          </w:p>
        </w:tc>
      </w:tr>
    </w:tbl>
    <w:p>
      <w:pPr>
        <w:spacing w:line="480" w:lineRule="exact"/>
        <w:ind w:firstLine="480" w:firstLineChars="200"/>
        <w:rPr>
          <w:rFonts w:ascii="Times New Roman" w:hAnsi="Times New Roman"/>
          <w:sz w:val="24"/>
          <w:szCs w:val="24"/>
        </w:rPr>
      </w:pPr>
      <w:r>
        <w:rPr>
          <w:rFonts w:ascii="Times New Roman" w:hAnsi="Times New Roman"/>
          <w:sz w:val="24"/>
          <w:szCs w:val="24"/>
        </w:rPr>
        <w:t>（4）监测方法</w:t>
      </w:r>
    </w:p>
    <w:p>
      <w:pPr>
        <w:pStyle w:val="41"/>
        <w:spacing w:line="480" w:lineRule="exact"/>
        <w:ind w:firstLine="480" w:firstLineChars="200"/>
        <w:rPr>
          <w:rFonts w:ascii="Times New Roman" w:hAnsi="Times New Roman"/>
          <w:sz w:val="24"/>
        </w:rPr>
      </w:pPr>
      <w:r>
        <w:rPr>
          <w:rFonts w:ascii="Times New Roman" w:hAnsi="Times New Roman"/>
          <w:sz w:val="24"/>
        </w:rPr>
        <w:t>监测分析方法按照《环境空气质量标准》（GB3095-2012）、《空气和废气监测方法》和《环境监测技术规范》中的有关规定执行。监测分析方法及使用仪器情况详见表4.2-3。</w:t>
      </w:r>
    </w:p>
    <w:p>
      <w:pPr>
        <w:spacing w:line="480" w:lineRule="exact"/>
        <w:jc w:val="center"/>
        <w:rPr>
          <w:rFonts w:ascii="Times New Roman" w:hAnsi="Times New Roman"/>
          <w:b/>
        </w:rPr>
      </w:pPr>
      <w:r>
        <w:rPr>
          <w:rFonts w:ascii="Times New Roman" w:hAnsi="Times New Roman"/>
          <w:b/>
        </w:rPr>
        <w:t>表4.2-3 环境空气监测分析方法及使用仪器一览表</w:t>
      </w:r>
    </w:p>
    <w:tbl>
      <w:tblPr>
        <w:tblStyle w:val="7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84"/>
        <w:gridCol w:w="810"/>
        <w:gridCol w:w="814"/>
        <w:gridCol w:w="2117"/>
        <w:gridCol w:w="1653"/>
        <w:gridCol w:w="1489"/>
        <w:gridCol w:w="116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13" w:type="pct"/>
            <w:vAlign w:val="center"/>
          </w:tcPr>
          <w:p>
            <w:pPr>
              <w:jc w:val="center"/>
              <w:rPr>
                <w:rFonts w:ascii="Times New Roman" w:hAnsi="Times New Roman"/>
                <w:kern w:val="2"/>
              </w:rPr>
            </w:pPr>
            <w:r>
              <w:rPr>
                <w:rFonts w:ascii="Times New Roman" w:hAnsi="Times New Roman"/>
                <w:kern w:val="2"/>
              </w:rPr>
              <w:t>序号</w:t>
            </w:r>
          </w:p>
        </w:tc>
        <w:tc>
          <w:tcPr>
            <w:tcW w:w="504" w:type="pct"/>
            <w:vAlign w:val="center"/>
          </w:tcPr>
          <w:p>
            <w:pPr>
              <w:jc w:val="center"/>
              <w:rPr>
                <w:rFonts w:ascii="Times New Roman" w:hAnsi="Times New Roman"/>
                <w:kern w:val="2"/>
              </w:rPr>
            </w:pPr>
            <w:r>
              <w:rPr>
                <w:rFonts w:ascii="Times New Roman" w:hAnsi="Times New Roman"/>
                <w:kern w:val="2"/>
              </w:rPr>
              <w:t>检测类别</w:t>
            </w:r>
          </w:p>
        </w:tc>
        <w:tc>
          <w:tcPr>
            <w:tcW w:w="506" w:type="pct"/>
            <w:vAlign w:val="center"/>
          </w:tcPr>
          <w:p>
            <w:pPr>
              <w:jc w:val="center"/>
              <w:rPr>
                <w:rFonts w:ascii="Times New Roman" w:hAnsi="Times New Roman"/>
                <w:kern w:val="2"/>
              </w:rPr>
            </w:pPr>
            <w:r>
              <w:rPr>
                <w:rFonts w:ascii="Times New Roman" w:hAnsi="Times New Roman"/>
                <w:kern w:val="2"/>
              </w:rPr>
              <w:t>检测项目</w:t>
            </w:r>
          </w:p>
        </w:tc>
        <w:tc>
          <w:tcPr>
            <w:tcW w:w="1270" w:type="pct"/>
            <w:vAlign w:val="center"/>
          </w:tcPr>
          <w:p>
            <w:pPr>
              <w:jc w:val="center"/>
              <w:rPr>
                <w:rFonts w:ascii="Times New Roman" w:hAnsi="Times New Roman"/>
                <w:kern w:val="2"/>
              </w:rPr>
            </w:pPr>
            <w:r>
              <w:rPr>
                <w:rFonts w:ascii="Times New Roman" w:hAnsi="Times New Roman"/>
                <w:kern w:val="2"/>
              </w:rPr>
              <w:t>检测依据</w:t>
            </w:r>
          </w:p>
        </w:tc>
        <w:tc>
          <w:tcPr>
            <w:tcW w:w="998" w:type="pct"/>
            <w:vAlign w:val="center"/>
          </w:tcPr>
          <w:p>
            <w:pPr>
              <w:jc w:val="center"/>
              <w:rPr>
                <w:rFonts w:ascii="Times New Roman" w:hAnsi="Times New Roman"/>
                <w:kern w:val="2"/>
              </w:rPr>
            </w:pPr>
            <w:r>
              <w:rPr>
                <w:rFonts w:ascii="Times New Roman" w:hAnsi="Times New Roman"/>
                <w:kern w:val="2"/>
              </w:rPr>
              <w:t>分析仪器名称及型号</w:t>
            </w:r>
          </w:p>
        </w:tc>
        <w:tc>
          <w:tcPr>
            <w:tcW w:w="712" w:type="pct"/>
            <w:vAlign w:val="center"/>
          </w:tcPr>
          <w:p>
            <w:pPr>
              <w:jc w:val="center"/>
              <w:rPr>
                <w:rFonts w:ascii="Times New Roman" w:hAnsi="Times New Roman"/>
                <w:kern w:val="2"/>
              </w:rPr>
            </w:pPr>
            <w:r>
              <w:rPr>
                <w:rFonts w:ascii="Times New Roman" w:hAnsi="Times New Roman"/>
                <w:kern w:val="2"/>
              </w:rPr>
              <w:t>仪器编号</w:t>
            </w:r>
          </w:p>
        </w:tc>
        <w:tc>
          <w:tcPr>
            <w:tcW w:w="698" w:type="pct"/>
            <w:vAlign w:val="center"/>
          </w:tcPr>
          <w:p>
            <w:pPr>
              <w:jc w:val="center"/>
              <w:rPr>
                <w:rFonts w:ascii="Times New Roman" w:hAnsi="Times New Roman"/>
                <w:kern w:val="2"/>
              </w:rPr>
            </w:pPr>
            <w:r>
              <w:rPr>
                <w:rFonts w:ascii="Times New Roman" w:hAnsi="Times New Roman"/>
                <w:kern w:val="2"/>
              </w:rPr>
              <w:t>仪器溯源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3" w:type="pct"/>
            <w:vMerge w:val="restart"/>
            <w:vAlign w:val="center"/>
          </w:tcPr>
          <w:p>
            <w:pPr>
              <w:jc w:val="center"/>
              <w:rPr>
                <w:rFonts w:ascii="Times New Roman" w:hAnsi="Times New Roman"/>
                <w:kern w:val="2"/>
              </w:rPr>
            </w:pPr>
            <w:r>
              <w:rPr>
                <w:rFonts w:ascii="Times New Roman" w:hAnsi="Times New Roman"/>
                <w:kern w:val="2"/>
              </w:rPr>
              <w:t>1</w:t>
            </w:r>
          </w:p>
        </w:tc>
        <w:tc>
          <w:tcPr>
            <w:tcW w:w="504" w:type="pct"/>
            <w:vMerge w:val="restart"/>
            <w:vAlign w:val="center"/>
          </w:tcPr>
          <w:p>
            <w:pPr>
              <w:jc w:val="center"/>
              <w:rPr>
                <w:rFonts w:ascii="Times New Roman" w:hAnsi="Times New Roman"/>
                <w:kern w:val="2"/>
              </w:rPr>
            </w:pPr>
            <w:r>
              <w:rPr>
                <w:rFonts w:ascii="Times New Roman" w:hAnsi="Times New Roman"/>
                <w:kern w:val="2"/>
              </w:rPr>
              <w:t>环境空气</w:t>
            </w:r>
          </w:p>
        </w:tc>
        <w:tc>
          <w:tcPr>
            <w:tcW w:w="506" w:type="pct"/>
            <w:vMerge w:val="restart"/>
            <w:vAlign w:val="center"/>
          </w:tcPr>
          <w:p>
            <w:pPr>
              <w:jc w:val="center"/>
              <w:rPr>
                <w:rFonts w:ascii="Times New Roman" w:hAnsi="Times New Roman"/>
                <w:kern w:val="2"/>
              </w:rPr>
            </w:pPr>
            <w:r>
              <w:rPr>
                <w:rFonts w:ascii="Times New Roman" w:hAnsi="Times New Roman"/>
                <w:kern w:val="2"/>
              </w:rPr>
              <w:t>总悬浮颗粒物</w:t>
            </w:r>
          </w:p>
        </w:tc>
        <w:tc>
          <w:tcPr>
            <w:tcW w:w="1270" w:type="pct"/>
            <w:vMerge w:val="restart"/>
            <w:vAlign w:val="center"/>
          </w:tcPr>
          <w:p>
            <w:pPr>
              <w:rPr>
                <w:rFonts w:ascii="Times New Roman" w:hAnsi="Times New Roman"/>
                <w:kern w:val="2"/>
              </w:rPr>
            </w:pPr>
            <w:r>
              <w:rPr>
                <w:rFonts w:ascii="Times New Roman" w:hAnsi="Times New Roman"/>
                <w:kern w:val="2"/>
              </w:rPr>
              <w:t>环境空气 总悬浮颗粒物的测定 重量法</w:t>
            </w:r>
          </w:p>
          <w:p>
            <w:pPr>
              <w:rPr>
                <w:rFonts w:ascii="Times New Roman" w:hAnsi="Times New Roman"/>
                <w:kern w:val="2"/>
              </w:rPr>
            </w:pPr>
            <w:r>
              <w:rPr>
                <w:rFonts w:ascii="Times New Roman" w:hAnsi="Times New Roman"/>
                <w:kern w:val="2"/>
              </w:rPr>
              <w:t>GB/T 15432-1995及修改单</w:t>
            </w:r>
          </w:p>
        </w:tc>
        <w:tc>
          <w:tcPr>
            <w:tcW w:w="998" w:type="pct"/>
            <w:vAlign w:val="center"/>
          </w:tcPr>
          <w:p>
            <w:pPr>
              <w:jc w:val="center"/>
              <w:rPr>
                <w:rFonts w:ascii="Times New Roman" w:hAnsi="Times New Roman"/>
                <w:kern w:val="2"/>
              </w:rPr>
            </w:pPr>
            <w:r>
              <w:rPr>
                <w:rFonts w:ascii="Times New Roman" w:hAnsi="Times New Roman"/>
                <w:kern w:val="2"/>
              </w:rPr>
              <w:t>智能TSP综合采样器崂应2050型</w:t>
            </w:r>
          </w:p>
        </w:tc>
        <w:tc>
          <w:tcPr>
            <w:tcW w:w="712" w:type="pct"/>
            <w:vAlign w:val="center"/>
          </w:tcPr>
          <w:p>
            <w:pPr>
              <w:jc w:val="center"/>
              <w:rPr>
                <w:rFonts w:ascii="Times New Roman" w:hAnsi="Times New Roman"/>
                <w:kern w:val="2"/>
              </w:rPr>
            </w:pPr>
            <w:r>
              <w:rPr>
                <w:rFonts w:ascii="Times New Roman" w:hAnsi="Times New Roman"/>
                <w:kern w:val="2"/>
              </w:rPr>
              <w:t>HYJC-XC-006</w:t>
            </w:r>
          </w:p>
        </w:tc>
        <w:tc>
          <w:tcPr>
            <w:tcW w:w="698" w:type="pct"/>
            <w:vAlign w:val="center"/>
          </w:tcPr>
          <w:p>
            <w:pPr>
              <w:jc w:val="center"/>
              <w:rPr>
                <w:rFonts w:ascii="Times New Roman" w:hAnsi="Times New Roman"/>
                <w:kern w:val="2"/>
              </w:rPr>
            </w:pPr>
            <w:r>
              <w:rPr>
                <w:rFonts w:ascii="Times New Roman" w:hAnsi="Times New Roman"/>
                <w:kern w:val="2"/>
              </w:rPr>
              <w:t>校准2022.10.21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3" w:type="pct"/>
            <w:vMerge w:val="continue"/>
            <w:vAlign w:val="center"/>
          </w:tcPr>
          <w:p>
            <w:pPr>
              <w:jc w:val="center"/>
              <w:rPr>
                <w:rFonts w:ascii="Times New Roman" w:hAnsi="Times New Roman"/>
                <w:kern w:val="2"/>
              </w:rPr>
            </w:pPr>
          </w:p>
        </w:tc>
        <w:tc>
          <w:tcPr>
            <w:tcW w:w="504" w:type="pct"/>
            <w:vMerge w:val="continue"/>
            <w:vAlign w:val="center"/>
          </w:tcPr>
          <w:p>
            <w:pPr>
              <w:jc w:val="center"/>
              <w:rPr>
                <w:rFonts w:ascii="Times New Roman" w:hAnsi="Times New Roman"/>
                <w:kern w:val="2"/>
              </w:rPr>
            </w:pPr>
          </w:p>
        </w:tc>
        <w:tc>
          <w:tcPr>
            <w:tcW w:w="506" w:type="pct"/>
            <w:vMerge w:val="continue"/>
            <w:vAlign w:val="center"/>
          </w:tcPr>
          <w:p>
            <w:pPr>
              <w:jc w:val="center"/>
              <w:rPr>
                <w:rFonts w:ascii="Times New Roman" w:hAnsi="Times New Roman"/>
                <w:kern w:val="2"/>
              </w:rPr>
            </w:pPr>
          </w:p>
        </w:tc>
        <w:tc>
          <w:tcPr>
            <w:tcW w:w="1270" w:type="pct"/>
            <w:vMerge w:val="continue"/>
            <w:vAlign w:val="center"/>
          </w:tcPr>
          <w:p>
            <w:pPr>
              <w:rPr>
                <w:rFonts w:ascii="Times New Roman" w:hAnsi="Times New Roman"/>
                <w:kern w:val="2"/>
              </w:rPr>
            </w:pPr>
          </w:p>
        </w:tc>
        <w:tc>
          <w:tcPr>
            <w:tcW w:w="998" w:type="pct"/>
            <w:vAlign w:val="center"/>
          </w:tcPr>
          <w:p>
            <w:pPr>
              <w:widowControl/>
              <w:jc w:val="center"/>
              <w:rPr>
                <w:rFonts w:ascii="Times New Roman" w:hAnsi="Times New Roman"/>
                <w:kern w:val="2"/>
              </w:rPr>
            </w:pPr>
            <w:r>
              <w:rPr>
                <w:rFonts w:ascii="Times New Roman" w:hAnsi="Times New Roman"/>
                <w:kern w:val="2"/>
              </w:rPr>
              <w:t>恒温恒湿培养箱HWS-80B</w:t>
            </w:r>
          </w:p>
        </w:tc>
        <w:tc>
          <w:tcPr>
            <w:tcW w:w="712" w:type="pct"/>
            <w:vAlign w:val="center"/>
          </w:tcPr>
          <w:p>
            <w:pPr>
              <w:widowControl/>
              <w:jc w:val="center"/>
              <w:rPr>
                <w:rFonts w:ascii="Times New Roman" w:hAnsi="Times New Roman"/>
                <w:kern w:val="2"/>
              </w:rPr>
            </w:pPr>
            <w:r>
              <w:rPr>
                <w:rFonts w:ascii="Times New Roman" w:hAnsi="Times New Roman"/>
                <w:kern w:val="2"/>
              </w:rPr>
              <w:t>HYJC-LH-044</w:t>
            </w:r>
          </w:p>
        </w:tc>
        <w:tc>
          <w:tcPr>
            <w:tcW w:w="698" w:type="pct"/>
            <w:vAlign w:val="center"/>
          </w:tcPr>
          <w:p>
            <w:pPr>
              <w:widowControl/>
              <w:jc w:val="center"/>
              <w:rPr>
                <w:rFonts w:ascii="Times New Roman" w:hAnsi="Times New Roman"/>
                <w:kern w:val="2"/>
              </w:rPr>
            </w:pPr>
            <w:r>
              <w:rPr>
                <w:rFonts w:ascii="Times New Roman" w:hAnsi="Times New Roman"/>
                <w:kern w:val="2"/>
              </w:rPr>
              <w:t>校准2022.03.01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3" w:type="pct"/>
            <w:vMerge w:val="continue"/>
            <w:vAlign w:val="center"/>
          </w:tcPr>
          <w:p>
            <w:pPr>
              <w:jc w:val="center"/>
              <w:rPr>
                <w:rFonts w:ascii="Times New Roman" w:hAnsi="Times New Roman"/>
                <w:kern w:val="2"/>
              </w:rPr>
            </w:pPr>
          </w:p>
        </w:tc>
        <w:tc>
          <w:tcPr>
            <w:tcW w:w="504" w:type="pct"/>
            <w:vMerge w:val="continue"/>
            <w:vAlign w:val="center"/>
          </w:tcPr>
          <w:p>
            <w:pPr>
              <w:jc w:val="center"/>
              <w:rPr>
                <w:rFonts w:ascii="Times New Roman" w:hAnsi="Times New Roman"/>
                <w:kern w:val="2"/>
              </w:rPr>
            </w:pPr>
          </w:p>
        </w:tc>
        <w:tc>
          <w:tcPr>
            <w:tcW w:w="506" w:type="pct"/>
            <w:vMerge w:val="continue"/>
            <w:vAlign w:val="center"/>
          </w:tcPr>
          <w:p>
            <w:pPr>
              <w:jc w:val="center"/>
              <w:rPr>
                <w:rFonts w:ascii="Times New Roman" w:hAnsi="Times New Roman"/>
                <w:kern w:val="2"/>
              </w:rPr>
            </w:pPr>
          </w:p>
        </w:tc>
        <w:tc>
          <w:tcPr>
            <w:tcW w:w="1270" w:type="pct"/>
            <w:vMerge w:val="continue"/>
            <w:vAlign w:val="center"/>
          </w:tcPr>
          <w:p>
            <w:pPr>
              <w:rPr>
                <w:rFonts w:ascii="Times New Roman" w:hAnsi="Times New Roman"/>
                <w:kern w:val="2"/>
              </w:rPr>
            </w:pPr>
          </w:p>
        </w:tc>
        <w:tc>
          <w:tcPr>
            <w:tcW w:w="998" w:type="pct"/>
            <w:vAlign w:val="center"/>
          </w:tcPr>
          <w:p>
            <w:pPr>
              <w:widowControl/>
              <w:jc w:val="center"/>
              <w:rPr>
                <w:rFonts w:ascii="Times New Roman" w:hAnsi="Times New Roman"/>
                <w:kern w:val="2"/>
              </w:rPr>
            </w:pPr>
            <w:r>
              <w:rPr>
                <w:rFonts w:ascii="Times New Roman" w:hAnsi="Times New Roman"/>
                <w:kern w:val="2"/>
              </w:rPr>
              <w:t>电子天平</w:t>
            </w:r>
          </w:p>
          <w:p>
            <w:pPr>
              <w:widowControl/>
              <w:jc w:val="center"/>
              <w:rPr>
                <w:rFonts w:ascii="Times New Roman" w:hAnsi="Times New Roman"/>
                <w:kern w:val="2"/>
              </w:rPr>
            </w:pPr>
            <w:r>
              <w:rPr>
                <w:rFonts w:ascii="Times New Roman" w:hAnsi="Times New Roman"/>
                <w:kern w:val="2"/>
              </w:rPr>
              <w:t>BSA-224S</w:t>
            </w:r>
          </w:p>
        </w:tc>
        <w:tc>
          <w:tcPr>
            <w:tcW w:w="712" w:type="pct"/>
            <w:vAlign w:val="center"/>
          </w:tcPr>
          <w:p>
            <w:pPr>
              <w:widowControl/>
              <w:jc w:val="center"/>
              <w:rPr>
                <w:rFonts w:ascii="Times New Roman" w:hAnsi="Times New Roman"/>
                <w:kern w:val="2"/>
              </w:rPr>
            </w:pPr>
            <w:r>
              <w:rPr>
                <w:rFonts w:ascii="Times New Roman" w:hAnsi="Times New Roman"/>
                <w:kern w:val="2"/>
              </w:rPr>
              <w:t>HYJC-LH-010</w:t>
            </w:r>
          </w:p>
        </w:tc>
        <w:tc>
          <w:tcPr>
            <w:tcW w:w="698" w:type="pct"/>
            <w:vAlign w:val="center"/>
          </w:tcPr>
          <w:p>
            <w:pPr>
              <w:widowControl/>
              <w:jc w:val="center"/>
              <w:rPr>
                <w:rFonts w:ascii="Times New Roman" w:hAnsi="Times New Roman"/>
                <w:kern w:val="2"/>
              </w:rPr>
            </w:pPr>
            <w:r>
              <w:rPr>
                <w:rFonts w:ascii="Times New Roman" w:hAnsi="Times New Roman"/>
                <w:kern w:val="2"/>
              </w:rPr>
              <w:t>校准2022.02.28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3" w:type="pct"/>
            <w:vMerge w:val="restart"/>
            <w:vAlign w:val="center"/>
          </w:tcPr>
          <w:p>
            <w:pPr>
              <w:jc w:val="center"/>
              <w:rPr>
                <w:rFonts w:ascii="Times New Roman" w:hAnsi="Times New Roman"/>
                <w:kern w:val="2"/>
              </w:rPr>
            </w:pPr>
            <w:r>
              <w:rPr>
                <w:rFonts w:ascii="Times New Roman" w:hAnsi="Times New Roman"/>
                <w:kern w:val="2"/>
              </w:rPr>
              <w:t>2</w:t>
            </w:r>
          </w:p>
        </w:tc>
        <w:tc>
          <w:tcPr>
            <w:tcW w:w="504" w:type="pct"/>
            <w:vMerge w:val="continue"/>
            <w:vAlign w:val="center"/>
          </w:tcPr>
          <w:p>
            <w:pPr>
              <w:jc w:val="center"/>
              <w:rPr>
                <w:rFonts w:ascii="Times New Roman" w:hAnsi="Times New Roman"/>
                <w:kern w:val="2"/>
              </w:rPr>
            </w:pPr>
          </w:p>
        </w:tc>
        <w:tc>
          <w:tcPr>
            <w:tcW w:w="506" w:type="pct"/>
            <w:vMerge w:val="restart"/>
            <w:vAlign w:val="center"/>
          </w:tcPr>
          <w:p>
            <w:pPr>
              <w:jc w:val="center"/>
              <w:rPr>
                <w:rFonts w:ascii="Times New Roman" w:hAnsi="Times New Roman"/>
                <w:kern w:val="2"/>
              </w:rPr>
            </w:pPr>
            <w:r>
              <w:rPr>
                <w:rFonts w:ascii="Times New Roman" w:hAnsi="Times New Roman"/>
                <w:kern w:val="2"/>
              </w:rPr>
              <w:t>TVOC</w:t>
            </w:r>
          </w:p>
        </w:tc>
        <w:tc>
          <w:tcPr>
            <w:tcW w:w="1270" w:type="pct"/>
            <w:vMerge w:val="restart"/>
            <w:vAlign w:val="center"/>
          </w:tcPr>
          <w:p>
            <w:pPr>
              <w:rPr>
                <w:rFonts w:ascii="Times New Roman" w:hAnsi="Times New Roman"/>
                <w:kern w:val="2"/>
              </w:rPr>
            </w:pPr>
            <w:r>
              <w:rPr>
                <w:rFonts w:ascii="Times New Roman" w:hAnsi="Times New Roman"/>
                <w:kern w:val="2"/>
              </w:rPr>
              <w:t>环境空气 挥发性有机物的测定 吸附管采样-热脱附/气相色谱-质谱法</w:t>
            </w:r>
          </w:p>
          <w:p>
            <w:pPr>
              <w:rPr>
                <w:rFonts w:ascii="Times New Roman" w:hAnsi="Times New Roman"/>
                <w:kern w:val="2"/>
              </w:rPr>
            </w:pPr>
            <w:r>
              <w:rPr>
                <w:rFonts w:ascii="Times New Roman" w:hAnsi="Times New Roman"/>
                <w:kern w:val="2"/>
              </w:rPr>
              <w:t>HJ 644-2013</w:t>
            </w:r>
          </w:p>
        </w:tc>
        <w:tc>
          <w:tcPr>
            <w:tcW w:w="998" w:type="pct"/>
            <w:vAlign w:val="center"/>
          </w:tcPr>
          <w:p>
            <w:pPr>
              <w:jc w:val="center"/>
              <w:rPr>
                <w:rFonts w:ascii="Times New Roman" w:hAnsi="Times New Roman"/>
                <w:kern w:val="2"/>
              </w:rPr>
            </w:pPr>
            <w:r>
              <w:rPr>
                <w:rFonts w:ascii="Times New Roman" w:hAnsi="Times New Roman"/>
                <w:kern w:val="2"/>
              </w:rPr>
              <w:t>空气采样器</w:t>
            </w:r>
          </w:p>
          <w:p>
            <w:pPr>
              <w:jc w:val="center"/>
              <w:rPr>
                <w:rFonts w:ascii="Times New Roman" w:hAnsi="Times New Roman"/>
                <w:kern w:val="2"/>
              </w:rPr>
            </w:pPr>
            <w:r>
              <w:rPr>
                <w:rFonts w:ascii="Times New Roman" w:hAnsi="Times New Roman"/>
                <w:kern w:val="2"/>
              </w:rPr>
              <w:t>崂应2020型</w:t>
            </w:r>
          </w:p>
        </w:tc>
        <w:tc>
          <w:tcPr>
            <w:tcW w:w="712" w:type="pct"/>
            <w:vAlign w:val="center"/>
          </w:tcPr>
          <w:p>
            <w:pPr>
              <w:jc w:val="center"/>
              <w:rPr>
                <w:rFonts w:ascii="Times New Roman" w:hAnsi="Times New Roman"/>
                <w:kern w:val="2"/>
              </w:rPr>
            </w:pPr>
            <w:r>
              <w:rPr>
                <w:rFonts w:ascii="Times New Roman" w:hAnsi="Times New Roman"/>
                <w:kern w:val="2"/>
              </w:rPr>
              <w:t>HYJC-XC-010</w:t>
            </w:r>
          </w:p>
        </w:tc>
        <w:tc>
          <w:tcPr>
            <w:tcW w:w="698" w:type="pct"/>
            <w:vAlign w:val="center"/>
          </w:tcPr>
          <w:p>
            <w:pPr>
              <w:jc w:val="center"/>
              <w:rPr>
                <w:rFonts w:ascii="Times New Roman" w:hAnsi="Times New Roman"/>
                <w:kern w:val="2"/>
              </w:rPr>
            </w:pPr>
            <w:r>
              <w:rPr>
                <w:rFonts w:ascii="Times New Roman" w:hAnsi="Times New Roman"/>
                <w:kern w:val="2"/>
              </w:rPr>
              <w:t>校准</w:t>
            </w:r>
          </w:p>
          <w:p>
            <w:pPr>
              <w:jc w:val="center"/>
              <w:rPr>
                <w:rFonts w:ascii="Times New Roman" w:hAnsi="Times New Roman"/>
                <w:kern w:val="2"/>
              </w:rPr>
            </w:pPr>
            <w:r>
              <w:rPr>
                <w:rFonts w:ascii="Times New Roman" w:hAnsi="Times New Roman"/>
                <w:kern w:val="2"/>
              </w:rPr>
              <w:t>2022.10.21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3" w:type="pct"/>
            <w:vMerge w:val="continue"/>
            <w:vAlign w:val="center"/>
          </w:tcPr>
          <w:p>
            <w:pPr>
              <w:jc w:val="center"/>
              <w:rPr>
                <w:rFonts w:ascii="Times New Roman" w:hAnsi="Times New Roman"/>
                <w:kern w:val="2"/>
              </w:rPr>
            </w:pPr>
          </w:p>
        </w:tc>
        <w:tc>
          <w:tcPr>
            <w:tcW w:w="504" w:type="pct"/>
            <w:vMerge w:val="continue"/>
            <w:vAlign w:val="center"/>
          </w:tcPr>
          <w:p>
            <w:pPr>
              <w:jc w:val="center"/>
              <w:rPr>
                <w:rFonts w:ascii="Times New Roman" w:hAnsi="Times New Roman"/>
                <w:kern w:val="2"/>
              </w:rPr>
            </w:pPr>
          </w:p>
        </w:tc>
        <w:tc>
          <w:tcPr>
            <w:tcW w:w="506" w:type="pct"/>
            <w:vMerge w:val="continue"/>
            <w:vAlign w:val="center"/>
          </w:tcPr>
          <w:p>
            <w:pPr>
              <w:jc w:val="center"/>
              <w:rPr>
                <w:rFonts w:ascii="Times New Roman" w:hAnsi="Times New Roman"/>
                <w:kern w:val="2"/>
              </w:rPr>
            </w:pPr>
          </w:p>
        </w:tc>
        <w:tc>
          <w:tcPr>
            <w:tcW w:w="1270" w:type="pct"/>
            <w:vMerge w:val="continue"/>
            <w:vAlign w:val="center"/>
          </w:tcPr>
          <w:p>
            <w:pPr>
              <w:rPr>
                <w:rFonts w:ascii="Times New Roman" w:hAnsi="Times New Roman"/>
                <w:kern w:val="2"/>
              </w:rPr>
            </w:pPr>
          </w:p>
        </w:tc>
        <w:tc>
          <w:tcPr>
            <w:tcW w:w="998" w:type="pct"/>
            <w:vAlign w:val="center"/>
          </w:tcPr>
          <w:p>
            <w:pPr>
              <w:widowControl/>
              <w:jc w:val="center"/>
              <w:rPr>
                <w:rFonts w:ascii="Times New Roman" w:hAnsi="Times New Roman"/>
                <w:lang w:bidi="ar"/>
              </w:rPr>
            </w:pPr>
            <w:r>
              <w:rPr>
                <w:rFonts w:ascii="Times New Roman" w:hAnsi="Times New Roman"/>
                <w:lang w:bidi="ar"/>
              </w:rPr>
              <w:t>气质联用仪</w:t>
            </w:r>
          </w:p>
          <w:p>
            <w:pPr>
              <w:widowControl/>
              <w:jc w:val="center"/>
              <w:rPr>
                <w:rFonts w:ascii="Times New Roman" w:hAnsi="Times New Roman"/>
                <w:kern w:val="2"/>
              </w:rPr>
            </w:pPr>
            <w:r>
              <w:rPr>
                <w:rFonts w:ascii="Times New Roman" w:hAnsi="Times New Roman"/>
                <w:lang w:bidi="ar"/>
              </w:rPr>
              <w:t>Trace ISQ</w:t>
            </w:r>
          </w:p>
        </w:tc>
        <w:tc>
          <w:tcPr>
            <w:tcW w:w="712" w:type="pct"/>
            <w:vAlign w:val="center"/>
          </w:tcPr>
          <w:p>
            <w:pPr>
              <w:widowControl/>
              <w:jc w:val="center"/>
              <w:rPr>
                <w:rFonts w:ascii="Times New Roman" w:hAnsi="Times New Roman"/>
                <w:kern w:val="2"/>
              </w:rPr>
            </w:pPr>
            <w:r>
              <w:rPr>
                <w:rFonts w:ascii="Times New Roman" w:hAnsi="Times New Roman"/>
                <w:lang w:bidi="ar"/>
              </w:rPr>
              <w:t>HYJC-LH-042</w:t>
            </w:r>
          </w:p>
        </w:tc>
        <w:tc>
          <w:tcPr>
            <w:tcW w:w="698" w:type="pct"/>
            <w:vAlign w:val="center"/>
          </w:tcPr>
          <w:p>
            <w:pPr>
              <w:widowControl/>
              <w:jc w:val="center"/>
              <w:rPr>
                <w:rFonts w:ascii="Times New Roman" w:hAnsi="Times New Roman"/>
                <w:kern w:val="2"/>
              </w:rPr>
            </w:pPr>
            <w:r>
              <w:rPr>
                <w:rFonts w:ascii="Times New Roman" w:hAnsi="Times New Roman"/>
                <w:kern w:val="2"/>
              </w:rPr>
              <w:t>校准2022.03.01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3" w:type="pct"/>
            <w:vMerge w:val="restart"/>
            <w:vAlign w:val="center"/>
          </w:tcPr>
          <w:p>
            <w:pPr>
              <w:jc w:val="center"/>
              <w:rPr>
                <w:rFonts w:ascii="Times New Roman" w:hAnsi="Times New Roman"/>
                <w:kern w:val="2"/>
              </w:rPr>
            </w:pPr>
            <w:r>
              <w:rPr>
                <w:rFonts w:ascii="Times New Roman" w:hAnsi="Times New Roman"/>
                <w:kern w:val="2"/>
              </w:rPr>
              <w:t>3</w:t>
            </w:r>
          </w:p>
        </w:tc>
        <w:tc>
          <w:tcPr>
            <w:tcW w:w="504" w:type="pct"/>
            <w:vMerge w:val="continue"/>
            <w:vAlign w:val="center"/>
          </w:tcPr>
          <w:p>
            <w:pPr>
              <w:jc w:val="center"/>
              <w:rPr>
                <w:rFonts w:ascii="Times New Roman" w:hAnsi="Times New Roman"/>
                <w:kern w:val="2"/>
              </w:rPr>
            </w:pPr>
          </w:p>
        </w:tc>
        <w:tc>
          <w:tcPr>
            <w:tcW w:w="506" w:type="pct"/>
            <w:vMerge w:val="restart"/>
            <w:vAlign w:val="center"/>
          </w:tcPr>
          <w:p>
            <w:pPr>
              <w:jc w:val="center"/>
              <w:rPr>
                <w:rFonts w:ascii="Times New Roman" w:hAnsi="Times New Roman"/>
                <w:kern w:val="2"/>
              </w:rPr>
            </w:pPr>
            <w:r>
              <w:rPr>
                <w:rFonts w:ascii="Times New Roman" w:hAnsi="Times New Roman"/>
                <w:kern w:val="2"/>
              </w:rPr>
              <w:t>非甲烷总烃</w:t>
            </w:r>
          </w:p>
        </w:tc>
        <w:tc>
          <w:tcPr>
            <w:tcW w:w="1270" w:type="pct"/>
            <w:vMerge w:val="restart"/>
            <w:vAlign w:val="center"/>
          </w:tcPr>
          <w:p>
            <w:pPr>
              <w:rPr>
                <w:rFonts w:ascii="Times New Roman" w:hAnsi="Times New Roman"/>
                <w:kern w:val="2"/>
              </w:rPr>
            </w:pPr>
            <w:r>
              <w:rPr>
                <w:rFonts w:ascii="Times New Roman" w:hAnsi="Times New Roman"/>
                <w:kern w:val="2"/>
              </w:rPr>
              <w:t>环境空气 总烃、甲烷和非甲烷总烃的测定 直接进样-气相色谱法HJ 604-2017</w:t>
            </w:r>
          </w:p>
        </w:tc>
        <w:tc>
          <w:tcPr>
            <w:tcW w:w="998" w:type="pct"/>
            <w:vAlign w:val="center"/>
          </w:tcPr>
          <w:p>
            <w:pPr>
              <w:jc w:val="center"/>
              <w:rPr>
                <w:rFonts w:ascii="Times New Roman" w:hAnsi="Times New Roman"/>
                <w:kern w:val="2"/>
              </w:rPr>
            </w:pPr>
            <w:r>
              <w:rPr>
                <w:rFonts w:ascii="Times New Roman" w:hAnsi="Times New Roman"/>
                <w:kern w:val="2"/>
              </w:rPr>
              <w:t>真空瓶</w:t>
            </w:r>
          </w:p>
        </w:tc>
        <w:tc>
          <w:tcPr>
            <w:tcW w:w="712" w:type="pct"/>
            <w:vAlign w:val="center"/>
          </w:tcPr>
          <w:p>
            <w:pPr>
              <w:jc w:val="center"/>
              <w:rPr>
                <w:rFonts w:ascii="Times New Roman" w:hAnsi="Times New Roman"/>
                <w:kern w:val="2"/>
              </w:rPr>
            </w:pPr>
            <w:r>
              <w:rPr>
                <w:rFonts w:ascii="Times New Roman" w:hAnsi="Times New Roman"/>
                <w:kern w:val="2"/>
              </w:rPr>
              <w:t>/</w:t>
            </w:r>
          </w:p>
        </w:tc>
        <w:tc>
          <w:tcPr>
            <w:tcW w:w="698" w:type="pct"/>
            <w:vAlign w:val="center"/>
          </w:tcPr>
          <w:p>
            <w:pPr>
              <w:jc w:val="center"/>
              <w:rPr>
                <w:rFonts w:ascii="Times New Roman" w:hAnsi="Times New Roman"/>
                <w:kern w:val="2"/>
              </w:rPr>
            </w:pPr>
            <w:r>
              <w:rPr>
                <w:rFonts w:ascii="Times New Roman" w:hAnsi="Times New Roman"/>
                <w:kern w:val="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3" w:type="pct"/>
            <w:vMerge w:val="continue"/>
            <w:vAlign w:val="center"/>
          </w:tcPr>
          <w:p>
            <w:pPr>
              <w:jc w:val="center"/>
              <w:rPr>
                <w:rFonts w:ascii="Times New Roman" w:hAnsi="Times New Roman"/>
                <w:kern w:val="2"/>
              </w:rPr>
            </w:pPr>
          </w:p>
        </w:tc>
        <w:tc>
          <w:tcPr>
            <w:tcW w:w="504" w:type="pct"/>
            <w:vMerge w:val="continue"/>
            <w:vAlign w:val="center"/>
          </w:tcPr>
          <w:p>
            <w:pPr>
              <w:jc w:val="center"/>
              <w:rPr>
                <w:rFonts w:ascii="Times New Roman" w:hAnsi="Times New Roman"/>
                <w:kern w:val="2"/>
              </w:rPr>
            </w:pPr>
          </w:p>
        </w:tc>
        <w:tc>
          <w:tcPr>
            <w:tcW w:w="506" w:type="pct"/>
            <w:vMerge w:val="continue"/>
            <w:vAlign w:val="center"/>
          </w:tcPr>
          <w:p>
            <w:pPr>
              <w:jc w:val="center"/>
              <w:rPr>
                <w:rFonts w:ascii="Times New Roman" w:hAnsi="Times New Roman"/>
                <w:kern w:val="2"/>
              </w:rPr>
            </w:pPr>
          </w:p>
        </w:tc>
        <w:tc>
          <w:tcPr>
            <w:tcW w:w="1270" w:type="pct"/>
            <w:vMerge w:val="continue"/>
            <w:vAlign w:val="center"/>
          </w:tcPr>
          <w:p>
            <w:pPr>
              <w:rPr>
                <w:rFonts w:ascii="Times New Roman" w:hAnsi="Times New Roman"/>
                <w:kern w:val="2"/>
              </w:rPr>
            </w:pPr>
          </w:p>
        </w:tc>
        <w:tc>
          <w:tcPr>
            <w:tcW w:w="998" w:type="pct"/>
            <w:vAlign w:val="center"/>
          </w:tcPr>
          <w:p>
            <w:pPr>
              <w:jc w:val="center"/>
              <w:rPr>
                <w:rFonts w:ascii="Times New Roman" w:hAnsi="Times New Roman"/>
                <w:kern w:val="2"/>
              </w:rPr>
            </w:pPr>
            <w:r>
              <w:rPr>
                <w:rFonts w:ascii="Times New Roman" w:hAnsi="Times New Roman"/>
                <w:kern w:val="2"/>
              </w:rPr>
              <w:t>气相色谱仪</w:t>
            </w:r>
          </w:p>
          <w:p>
            <w:pPr>
              <w:jc w:val="center"/>
              <w:rPr>
                <w:rFonts w:ascii="Times New Roman" w:hAnsi="Times New Roman"/>
                <w:kern w:val="2"/>
              </w:rPr>
            </w:pPr>
            <w:r>
              <w:rPr>
                <w:rFonts w:ascii="Times New Roman" w:hAnsi="Times New Roman"/>
                <w:kern w:val="2"/>
              </w:rPr>
              <w:t>GC-9790</w:t>
            </w:r>
          </w:p>
        </w:tc>
        <w:tc>
          <w:tcPr>
            <w:tcW w:w="712" w:type="pct"/>
            <w:vAlign w:val="center"/>
          </w:tcPr>
          <w:p>
            <w:pPr>
              <w:jc w:val="center"/>
              <w:rPr>
                <w:rFonts w:ascii="Times New Roman" w:hAnsi="Times New Roman"/>
                <w:kern w:val="2"/>
              </w:rPr>
            </w:pPr>
            <w:r>
              <w:rPr>
                <w:rFonts w:ascii="Times New Roman" w:hAnsi="Times New Roman"/>
                <w:kern w:val="2"/>
              </w:rPr>
              <w:t>HYJC-LH-004</w:t>
            </w:r>
          </w:p>
        </w:tc>
        <w:tc>
          <w:tcPr>
            <w:tcW w:w="698" w:type="pct"/>
            <w:vAlign w:val="center"/>
          </w:tcPr>
          <w:p>
            <w:pPr>
              <w:jc w:val="center"/>
              <w:rPr>
                <w:rFonts w:ascii="Times New Roman" w:hAnsi="Times New Roman"/>
                <w:kern w:val="2"/>
              </w:rPr>
            </w:pPr>
            <w:r>
              <w:rPr>
                <w:rFonts w:ascii="Times New Roman" w:hAnsi="Times New Roman"/>
                <w:kern w:val="2"/>
              </w:rPr>
              <w:t>校准</w:t>
            </w:r>
          </w:p>
          <w:p>
            <w:pPr>
              <w:jc w:val="center"/>
              <w:rPr>
                <w:rFonts w:ascii="Times New Roman" w:hAnsi="Times New Roman"/>
                <w:kern w:val="2"/>
              </w:rPr>
            </w:pPr>
            <w:r>
              <w:rPr>
                <w:rFonts w:ascii="Times New Roman" w:hAnsi="Times New Roman"/>
                <w:kern w:val="2"/>
              </w:rPr>
              <w:t>2023.03.01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3" w:type="pct"/>
            <w:vMerge w:val="restart"/>
            <w:vAlign w:val="center"/>
          </w:tcPr>
          <w:p>
            <w:pPr>
              <w:jc w:val="center"/>
              <w:rPr>
                <w:rFonts w:ascii="Times New Roman" w:hAnsi="Times New Roman"/>
                <w:kern w:val="2"/>
              </w:rPr>
            </w:pPr>
            <w:r>
              <w:rPr>
                <w:rFonts w:ascii="Times New Roman" w:hAnsi="Times New Roman"/>
                <w:kern w:val="2"/>
              </w:rPr>
              <w:t>4</w:t>
            </w:r>
          </w:p>
        </w:tc>
        <w:tc>
          <w:tcPr>
            <w:tcW w:w="504" w:type="pct"/>
            <w:vMerge w:val="continue"/>
            <w:vAlign w:val="center"/>
          </w:tcPr>
          <w:p>
            <w:pPr>
              <w:jc w:val="center"/>
              <w:rPr>
                <w:rFonts w:ascii="Times New Roman" w:hAnsi="Times New Roman"/>
                <w:kern w:val="2"/>
              </w:rPr>
            </w:pPr>
          </w:p>
        </w:tc>
        <w:tc>
          <w:tcPr>
            <w:tcW w:w="506" w:type="pct"/>
            <w:vMerge w:val="restart"/>
            <w:vAlign w:val="center"/>
          </w:tcPr>
          <w:p>
            <w:pPr>
              <w:spacing w:line="320" w:lineRule="exact"/>
              <w:jc w:val="center"/>
              <w:rPr>
                <w:rFonts w:ascii="Times New Roman" w:hAnsi="Times New Roman"/>
                <w:kern w:val="2"/>
              </w:rPr>
            </w:pPr>
            <w:r>
              <w:rPr>
                <w:rFonts w:ascii="Times New Roman" w:hAnsi="Times New Roman"/>
                <w:kern w:val="2"/>
              </w:rPr>
              <w:t>氨</w:t>
            </w:r>
          </w:p>
        </w:tc>
        <w:tc>
          <w:tcPr>
            <w:tcW w:w="1270" w:type="pct"/>
            <w:vMerge w:val="restart"/>
            <w:vAlign w:val="center"/>
          </w:tcPr>
          <w:p>
            <w:pPr>
              <w:spacing w:line="320" w:lineRule="exact"/>
              <w:rPr>
                <w:rFonts w:ascii="Times New Roman" w:hAnsi="Times New Roman"/>
              </w:rPr>
            </w:pPr>
            <w:r>
              <w:rPr>
                <w:rFonts w:ascii="Times New Roman" w:hAnsi="Times New Roman"/>
              </w:rPr>
              <w:t>环境空气和废气 氨的测定 纳氏试剂分光光度法</w:t>
            </w:r>
          </w:p>
          <w:p>
            <w:pPr>
              <w:spacing w:line="320" w:lineRule="exact"/>
              <w:rPr>
                <w:rFonts w:ascii="Times New Roman" w:hAnsi="Times New Roman"/>
                <w:kern w:val="2"/>
              </w:rPr>
            </w:pPr>
            <w:r>
              <w:rPr>
                <w:rFonts w:ascii="Times New Roman" w:hAnsi="Times New Roman"/>
              </w:rPr>
              <w:t>HJ 533-2009</w:t>
            </w:r>
          </w:p>
        </w:tc>
        <w:tc>
          <w:tcPr>
            <w:tcW w:w="998" w:type="pct"/>
            <w:vAlign w:val="center"/>
          </w:tcPr>
          <w:p>
            <w:pPr>
              <w:jc w:val="center"/>
              <w:rPr>
                <w:rFonts w:ascii="Times New Roman" w:hAnsi="Times New Roman"/>
                <w:kern w:val="2"/>
              </w:rPr>
            </w:pPr>
            <w:r>
              <w:rPr>
                <w:rFonts w:ascii="Times New Roman" w:hAnsi="Times New Roman"/>
                <w:kern w:val="2"/>
              </w:rPr>
              <w:t>空气采样器</w:t>
            </w:r>
          </w:p>
          <w:p>
            <w:pPr>
              <w:jc w:val="center"/>
              <w:rPr>
                <w:rFonts w:ascii="Times New Roman" w:hAnsi="Times New Roman"/>
                <w:kern w:val="2"/>
              </w:rPr>
            </w:pPr>
            <w:r>
              <w:rPr>
                <w:rFonts w:ascii="Times New Roman" w:hAnsi="Times New Roman"/>
                <w:kern w:val="2"/>
              </w:rPr>
              <w:t>崂应2020型</w:t>
            </w:r>
          </w:p>
        </w:tc>
        <w:tc>
          <w:tcPr>
            <w:tcW w:w="712" w:type="pct"/>
            <w:vAlign w:val="center"/>
          </w:tcPr>
          <w:p>
            <w:pPr>
              <w:jc w:val="center"/>
              <w:rPr>
                <w:rFonts w:ascii="Times New Roman" w:hAnsi="Times New Roman"/>
                <w:kern w:val="2"/>
              </w:rPr>
            </w:pPr>
            <w:r>
              <w:rPr>
                <w:rFonts w:ascii="Times New Roman" w:hAnsi="Times New Roman"/>
                <w:kern w:val="2"/>
              </w:rPr>
              <w:t>HYJC-XC-010</w:t>
            </w:r>
          </w:p>
        </w:tc>
        <w:tc>
          <w:tcPr>
            <w:tcW w:w="698" w:type="pct"/>
            <w:vAlign w:val="center"/>
          </w:tcPr>
          <w:p>
            <w:pPr>
              <w:jc w:val="center"/>
              <w:rPr>
                <w:rFonts w:ascii="Times New Roman" w:hAnsi="Times New Roman"/>
                <w:kern w:val="2"/>
              </w:rPr>
            </w:pPr>
            <w:r>
              <w:rPr>
                <w:rFonts w:ascii="Times New Roman" w:hAnsi="Times New Roman"/>
                <w:kern w:val="2"/>
              </w:rPr>
              <w:t>校准</w:t>
            </w:r>
          </w:p>
          <w:p>
            <w:pPr>
              <w:jc w:val="center"/>
              <w:rPr>
                <w:rFonts w:ascii="Times New Roman" w:hAnsi="Times New Roman"/>
                <w:kern w:val="2"/>
              </w:rPr>
            </w:pPr>
            <w:r>
              <w:rPr>
                <w:rFonts w:ascii="Times New Roman" w:hAnsi="Times New Roman"/>
                <w:kern w:val="2"/>
              </w:rPr>
              <w:t>2022.10.21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3" w:type="pct"/>
            <w:vMerge w:val="continue"/>
            <w:vAlign w:val="center"/>
          </w:tcPr>
          <w:p>
            <w:pPr>
              <w:jc w:val="center"/>
              <w:rPr>
                <w:rFonts w:ascii="Times New Roman" w:hAnsi="Times New Roman"/>
                <w:kern w:val="2"/>
              </w:rPr>
            </w:pPr>
          </w:p>
        </w:tc>
        <w:tc>
          <w:tcPr>
            <w:tcW w:w="504" w:type="pct"/>
            <w:vMerge w:val="continue"/>
            <w:vAlign w:val="center"/>
          </w:tcPr>
          <w:p>
            <w:pPr>
              <w:jc w:val="center"/>
              <w:rPr>
                <w:rFonts w:ascii="Times New Roman" w:hAnsi="Times New Roman"/>
                <w:kern w:val="2"/>
              </w:rPr>
            </w:pPr>
          </w:p>
        </w:tc>
        <w:tc>
          <w:tcPr>
            <w:tcW w:w="506" w:type="pct"/>
            <w:vMerge w:val="continue"/>
            <w:vAlign w:val="center"/>
          </w:tcPr>
          <w:p>
            <w:pPr>
              <w:jc w:val="center"/>
              <w:rPr>
                <w:rFonts w:ascii="Times New Roman" w:hAnsi="Times New Roman"/>
                <w:kern w:val="2"/>
              </w:rPr>
            </w:pPr>
          </w:p>
        </w:tc>
        <w:tc>
          <w:tcPr>
            <w:tcW w:w="1270" w:type="pct"/>
            <w:vMerge w:val="continue"/>
            <w:vAlign w:val="center"/>
          </w:tcPr>
          <w:p>
            <w:pPr>
              <w:rPr>
                <w:rFonts w:ascii="Times New Roman" w:hAnsi="Times New Roman"/>
              </w:rPr>
            </w:pPr>
          </w:p>
        </w:tc>
        <w:tc>
          <w:tcPr>
            <w:tcW w:w="998" w:type="pct"/>
            <w:vAlign w:val="center"/>
          </w:tcPr>
          <w:p>
            <w:pPr>
              <w:widowControl/>
              <w:jc w:val="center"/>
              <w:rPr>
                <w:rFonts w:ascii="Times New Roman" w:hAnsi="Times New Roman"/>
                <w:kern w:val="2"/>
              </w:rPr>
            </w:pPr>
            <w:r>
              <w:rPr>
                <w:rFonts w:ascii="Times New Roman" w:hAnsi="Times New Roman"/>
                <w:kern w:val="2"/>
              </w:rPr>
              <w:t>紫外可见分光光度计</w:t>
            </w:r>
          </w:p>
          <w:p>
            <w:pPr>
              <w:widowControl/>
              <w:jc w:val="center"/>
              <w:rPr>
                <w:rFonts w:ascii="Times New Roman" w:hAnsi="Times New Roman"/>
                <w:kern w:val="2"/>
              </w:rPr>
            </w:pPr>
            <w:r>
              <w:rPr>
                <w:rFonts w:ascii="Times New Roman" w:hAnsi="Times New Roman"/>
                <w:kern w:val="2"/>
              </w:rPr>
              <w:t>T6新世纪</w:t>
            </w:r>
          </w:p>
        </w:tc>
        <w:tc>
          <w:tcPr>
            <w:tcW w:w="712" w:type="pct"/>
            <w:vAlign w:val="center"/>
          </w:tcPr>
          <w:p>
            <w:pPr>
              <w:widowControl/>
              <w:jc w:val="center"/>
              <w:rPr>
                <w:rFonts w:ascii="Times New Roman" w:hAnsi="Times New Roman"/>
                <w:kern w:val="2"/>
              </w:rPr>
            </w:pPr>
            <w:r>
              <w:rPr>
                <w:rFonts w:ascii="Times New Roman" w:hAnsi="Times New Roman"/>
                <w:kern w:val="2"/>
              </w:rPr>
              <w:t>HYJC-LH-009</w:t>
            </w:r>
          </w:p>
        </w:tc>
        <w:tc>
          <w:tcPr>
            <w:tcW w:w="698" w:type="pct"/>
            <w:vAlign w:val="center"/>
          </w:tcPr>
          <w:p>
            <w:pPr>
              <w:widowControl/>
              <w:jc w:val="center"/>
              <w:rPr>
                <w:rFonts w:ascii="Times New Roman" w:hAnsi="Times New Roman"/>
                <w:kern w:val="2"/>
              </w:rPr>
            </w:pPr>
            <w:r>
              <w:rPr>
                <w:rFonts w:ascii="Times New Roman" w:hAnsi="Times New Roman"/>
                <w:kern w:val="2"/>
              </w:rPr>
              <w:t>校准</w:t>
            </w:r>
          </w:p>
          <w:p>
            <w:pPr>
              <w:widowControl/>
              <w:jc w:val="center"/>
              <w:rPr>
                <w:rFonts w:ascii="Times New Roman" w:hAnsi="Times New Roman"/>
                <w:kern w:val="2"/>
              </w:rPr>
            </w:pPr>
            <w:r>
              <w:rPr>
                <w:rFonts w:ascii="Times New Roman" w:hAnsi="Times New Roman"/>
                <w:kern w:val="2"/>
              </w:rPr>
              <w:t>2023.03.01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3" w:type="pct"/>
            <w:vMerge w:val="restart"/>
            <w:vAlign w:val="center"/>
          </w:tcPr>
          <w:p>
            <w:pPr>
              <w:jc w:val="center"/>
              <w:rPr>
                <w:rFonts w:ascii="Times New Roman" w:hAnsi="Times New Roman"/>
                <w:kern w:val="2"/>
              </w:rPr>
            </w:pPr>
            <w:r>
              <w:rPr>
                <w:rFonts w:ascii="Times New Roman" w:hAnsi="Times New Roman"/>
                <w:kern w:val="2"/>
              </w:rPr>
              <w:t>5</w:t>
            </w:r>
          </w:p>
        </w:tc>
        <w:tc>
          <w:tcPr>
            <w:tcW w:w="504" w:type="pct"/>
            <w:vMerge w:val="continue"/>
            <w:vAlign w:val="center"/>
          </w:tcPr>
          <w:p>
            <w:pPr>
              <w:jc w:val="center"/>
              <w:rPr>
                <w:rFonts w:ascii="Times New Roman" w:hAnsi="Times New Roman"/>
                <w:kern w:val="2"/>
              </w:rPr>
            </w:pPr>
          </w:p>
        </w:tc>
        <w:tc>
          <w:tcPr>
            <w:tcW w:w="506" w:type="pct"/>
            <w:vMerge w:val="restart"/>
            <w:vAlign w:val="center"/>
          </w:tcPr>
          <w:p>
            <w:pPr>
              <w:spacing w:line="320" w:lineRule="exact"/>
              <w:jc w:val="center"/>
              <w:rPr>
                <w:rFonts w:ascii="Times New Roman" w:hAnsi="Times New Roman"/>
                <w:kern w:val="2"/>
              </w:rPr>
            </w:pPr>
            <w:r>
              <w:rPr>
                <w:rFonts w:ascii="Times New Roman" w:hAnsi="Times New Roman"/>
                <w:kern w:val="2"/>
              </w:rPr>
              <w:t>硫化氢</w:t>
            </w:r>
          </w:p>
        </w:tc>
        <w:tc>
          <w:tcPr>
            <w:tcW w:w="1270" w:type="pct"/>
            <w:vMerge w:val="restart"/>
            <w:vAlign w:val="center"/>
          </w:tcPr>
          <w:p>
            <w:pPr>
              <w:widowControl/>
              <w:rPr>
                <w:rFonts w:ascii="Times New Roman" w:hAnsi="Times New Roman"/>
              </w:rPr>
            </w:pPr>
            <w:r>
              <w:rPr>
                <w:rFonts w:ascii="Times New Roman" w:hAnsi="Times New Roman"/>
              </w:rPr>
              <w:t>空气质量 硫化氢、甲硫醇、甲硫醚和二甲二硫的测定 气相色谱法</w:t>
            </w:r>
          </w:p>
          <w:p>
            <w:pPr>
              <w:widowControl/>
              <w:rPr>
                <w:rFonts w:ascii="Times New Roman" w:hAnsi="Times New Roman"/>
                <w:kern w:val="2"/>
              </w:rPr>
            </w:pPr>
            <w:r>
              <w:rPr>
                <w:rFonts w:ascii="Times New Roman" w:hAnsi="Times New Roman"/>
              </w:rPr>
              <w:t>GB/T 14678-1993</w:t>
            </w:r>
          </w:p>
        </w:tc>
        <w:tc>
          <w:tcPr>
            <w:tcW w:w="998" w:type="pct"/>
            <w:vAlign w:val="center"/>
          </w:tcPr>
          <w:p>
            <w:pPr>
              <w:jc w:val="center"/>
              <w:rPr>
                <w:rFonts w:ascii="Times New Roman" w:hAnsi="Times New Roman"/>
                <w:kern w:val="2"/>
              </w:rPr>
            </w:pPr>
            <w:r>
              <w:rPr>
                <w:rFonts w:ascii="Times New Roman" w:hAnsi="Times New Roman"/>
                <w:kern w:val="2"/>
              </w:rPr>
              <w:t>真空瓶</w:t>
            </w:r>
          </w:p>
        </w:tc>
        <w:tc>
          <w:tcPr>
            <w:tcW w:w="712" w:type="pct"/>
            <w:vAlign w:val="center"/>
          </w:tcPr>
          <w:p>
            <w:pPr>
              <w:jc w:val="center"/>
              <w:rPr>
                <w:rFonts w:ascii="Times New Roman" w:hAnsi="Times New Roman"/>
                <w:kern w:val="2"/>
              </w:rPr>
            </w:pPr>
            <w:r>
              <w:rPr>
                <w:rFonts w:ascii="Times New Roman" w:hAnsi="Times New Roman"/>
                <w:kern w:val="2"/>
              </w:rPr>
              <w:t>/</w:t>
            </w:r>
          </w:p>
        </w:tc>
        <w:tc>
          <w:tcPr>
            <w:tcW w:w="698" w:type="pct"/>
            <w:vAlign w:val="center"/>
          </w:tcPr>
          <w:p>
            <w:pPr>
              <w:jc w:val="center"/>
              <w:rPr>
                <w:rFonts w:ascii="Times New Roman" w:hAnsi="Times New Roman"/>
                <w:kern w:val="2"/>
              </w:rPr>
            </w:pPr>
            <w:r>
              <w:rPr>
                <w:rFonts w:ascii="Times New Roman" w:hAnsi="Times New Roman"/>
                <w:kern w:val="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3" w:type="pct"/>
            <w:vMerge w:val="continue"/>
            <w:vAlign w:val="center"/>
          </w:tcPr>
          <w:p>
            <w:pPr>
              <w:jc w:val="center"/>
              <w:rPr>
                <w:rFonts w:ascii="Times New Roman" w:hAnsi="Times New Roman"/>
                <w:kern w:val="2"/>
              </w:rPr>
            </w:pPr>
          </w:p>
        </w:tc>
        <w:tc>
          <w:tcPr>
            <w:tcW w:w="504" w:type="pct"/>
            <w:vMerge w:val="continue"/>
            <w:vAlign w:val="center"/>
          </w:tcPr>
          <w:p>
            <w:pPr>
              <w:jc w:val="center"/>
              <w:rPr>
                <w:rFonts w:ascii="Times New Roman" w:hAnsi="Times New Roman"/>
                <w:kern w:val="2"/>
              </w:rPr>
            </w:pPr>
          </w:p>
        </w:tc>
        <w:tc>
          <w:tcPr>
            <w:tcW w:w="506" w:type="pct"/>
            <w:vMerge w:val="continue"/>
            <w:vAlign w:val="center"/>
          </w:tcPr>
          <w:p>
            <w:pPr>
              <w:jc w:val="center"/>
              <w:rPr>
                <w:rFonts w:ascii="Times New Roman" w:hAnsi="Times New Roman"/>
                <w:kern w:val="2"/>
              </w:rPr>
            </w:pPr>
          </w:p>
        </w:tc>
        <w:tc>
          <w:tcPr>
            <w:tcW w:w="1270" w:type="pct"/>
            <w:vMerge w:val="continue"/>
            <w:vAlign w:val="center"/>
          </w:tcPr>
          <w:p>
            <w:pPr>
              <w:rPr>
                <w:rFonts w:ascii="Times New Roman" w:hAnsi="Times New Roman"/>
                <w:kern w:val="2"/>
              </w:rPr>
            </w:pPr>
          </w:p>
        </w:tc>
        <w:tc>
          <w:tcPr>
            <w:tcW w:w="998" w:type="pct"/>
            <w:vAlign w:val="center"/>
          </w:tcPr>
          <w:p>
            <w:pPr>
              <w:jc w:val="center"/>
              <w:rPr>
                <w:rFonts w:ascii="Times New Roman" w:hAnsi="Times New Roman"/>
                <w:kern w:val="2"/>
              </w:rPr>
            </w:pPr>
            <w:r>
              <w:rPr>
                <w:rFonts w:ascii="Times New Roman" w:hAnsi="Times New Roman"/>
                <w:kern w:val="2"/>
              </w:rPr>
              <w:t>气相色谱仪</w:t>
            </w:r>
          </w:p>
          <w:p>
            <w:pPr>
              <w:jc w:val="center"/>
              <w:rPr>
                <w:rFonts w:ascii="Times New Roman" w:hAnsi="Times New Roman"/>
                <w:kern w:val="2"/>
              </w:rPr>
            </w:pPr>
            <w:r>
              <w:rPr>
                <w:rFonts w:ascii="Times New Roman" w:hAnsi="Times New Roman"/>
                <w:kern w:val="2"/>
              </w:rPr>
              <w:t>GC-9790</w:t>
            </w:r>
          </w:p>
        </w:tc>
        <w:tc>
          <w:tcPr>
            <w:tcW w:w="712" w:type="pct"/>
            <w:vAlign w:val="center"/>
          </w:tcPr>
          <w:p>
            <w:pPr>
              <w:jc w:val="center"/>
              <w:rPr>
                <w:rFonts w:ascii="Times New Roman" w:hAnsi="Times New Roman"/>
                <w:kern w:val="2"/>
              </w:rPr>
            </w:pPr>
            <w:r>
              <w:rPr>
                <w:rFonts w:ascii="Times New Roman" w:hAnsi="Times New Roman"/>
                <w:kern w:val="2"/>
              </w:rPr>
              <w:t>HYJC-LH-004（02）</w:t>
            </w:r>
          </w:p>
        </w:tc>
        <w:tc>
          <w:tcPr>
            <w:tcW w:w="698" w:type="pct"/>
            <w:vAlign w:val="center"/>
          </w:tcPr>
          <w:p>
            <w:pPr>
              <w:jc w:val="center"/>
              <w:rPr>
                <w:rFonts w:ascii="Times New Roman" w:hAnsi="Times New Roman"/>
                <w:kern w:val="2"/>
              </w:rPr>
            </w:pPr>
            <w:r>
              <w:rPr>
                <w:rFonts w:ascii="Times New Roman" w:hAnsi="Times New Roman"/>
                <w:kern w:val="2"/>
              </w:rPr>
              <w:t>校准</w:t>
            </w:r>
          </w:p>
          <w:p>
            <w:pPr>
              <w:jc w:val="center"/>
              <w:rPr>
                <w:rFonts w:ascii="Times New Roman" w:hAnsi="Times New Roman"/>
                <w:kern w:val="2"/>
              </w:rPr>
            </w:pPr>
            <w:r>
              <w:rPr>
                <w:rFonts w:ascii="Times New Roman" w:hAnsi="Times New Roman"/>
                <w:kern w:val="2"/>
              </w:rPr>
              <w:t>2023.03.01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3" w:type="pct"/>
            <w:vMerge w:val="restart"/>
            <w:vAlign w:val="center"/>
          </w:tcPr>
          <w:p>
            <w:pPr>
              <w:jc w:val="center"/>
              <w:rPr>
                <w:rFonts w:ascii="Times New Roman" w:hAnsi="Times New Roman"/>
                <w:kern w:val="2"/>
              </w:rPr>
            </w:pPr>
            <w:r>
              <w:rPr>
                <w:rFonts w:ascii="Times New Roman" w:hAnsi="Times New Roman"/>
                <w:kern w:val="2"/>
              </w:rPr>
              <w:t>6</w:t>
            </w:r>
          </w:p>
        </w:tc>
        <w:tc>
          <w:tcPr>
            <w:tcW w:w="504" w:type="pct"/>
            <w:vMerge w:val="continue"/>
            <w:vAlign w:val="center"/>
          </w:tcPr>
          <w:p>
            <w:pPr>
              <w:jc w:val="center"/>
              <w:rPr>
                <w:rFonts w:ascii="Times New Roman" w:hAnsi="Times New Roman"/>
                <w:kern w:val="2"/>
              </w:rPr>
            </w:pPr>
          </w:p>
        </w:tc>
        <w:tc>
          <w:tcPr>
            <w:tcW w:w="506" w:type="pct"/>
            <w:vMerge w:val="restart"/>
            <w:vAlign w:val="center"/>
          </w:tcPr>
          <w:p>
            <w:pPr>
              <w:jc w:val="center"/>
              <w:rPr>
                <w:rFonts w:ascii="Times New Roman" w:hAnsi="Times New Roman"/>
                <w:kern w:val="2"/>
              </w:rPr>
            </w:pPr>
            <w:r>
              <w:rPr>
                <w:rFonts w:ascii="Times New Roman" w:hAnsi="Times New Roman"/>
                <w:kern w:val="2"/>
              </w:rPr>
              <w:t>臭气浓度</w:t>
            </w:r>
          </w:p>
        </w:tc>
        <w:tc>
          <w:tcPr>
            <w:tcW w:w="1270" w:type="pct"/>
            <w:vMerge w:val="restart"/>
            <w:vAlign w:val="center"/>
          </w:tcPr>
          <w:p>
            <w:pPr>
              <w:widowControl/>
              <w:rPr>
                <w:rFonts w:ascii="Times New Roman" w:hAnsi="Times New Roman"/>
              </w:rPr>
            </w:pPr>
            <w:r>
              <w:rPr>
                <w:rFonts w:ascii="Times New Roman" w:hAnsi="Times New Roman"/>
              </w:rPr>
              <w:t>空气质量 恶臭的测定 三点比较式臭袋法</w:t>
            </w:r>
          </w:p>
          <w:p>
            <w:pPr>
              <w:widowControl/>
              <w:rPr>
                <w:rFonts w:ascii="Times New Roman" w:hAnsi="Times New Roman"/>
                <w:kern w:val="2"/>
              </w:rPr>
            </w:pPr>
            <w:r>
              <w:rPr>
                <w:rFonts w:ascii="Times New Roman" w:hAnsi="Times New Roman"/>
              </w:rPr>
              <w:t>GB/T 14675-1993</w:t>
            </w:r>
          </w:p>
        </w:tc>
        <w:tc>
          <w:tcPr>
            <w:tcW w:w="998" w:type="pct"/>
            <w:vAlign w:val="center"/>
          </w:tcPr>
          <w:p>
            <w:pPr>
              <w:jc w:val="center"/>
              <w:rPr>
                <w:rFonts w:ascii="Times New Roman" w:hAnsi="Times New Roman"/>
                <w:kern w:val="2"/>
              </w:rPr>
            </w:pPr>
            <w:r>
              <w:rPr>
                <w:rFonts w:ascii="Times New Roman" w:hAnsi="Times New Roman"/>
                <w:kern w:val="2"/>
              </w:rPr>
              <w:t>真空瓶</w:t>
            </w:r>
          </w:p>
        </w:tc>
        <w:tc>
          <w:tcPr>
            <w:tcW w:w="712" w:type="pct"/>
            <w:vAlign w:val="center"/>
          </w:tcPr>
          <w:p>
            <w:pPr>
              <w:jc w:val="center"/>
              <w:rPr>
                <w:rFonts w:ascii="Times New Roman" w:hAnsi="Times New Roman"/>
                <w:kern w:val="2"/>
              </w:rPr>
            </w:pPr>
            <w:r>
              <w:rPr>
                <w:rFonts w:ascii="Times New Roman" w:hAnsi="Times New Roman"/>
                <w:kern w:val="2"/>
              </w:rPr>
              <w:t>/</w:t>
            </w:r>
          </w:p>
        </w:tc>
        <w:tc>
          <w:tcPr>
            <w:tcW w:w="698" w:type="pct"/>
            <w:vAlign w:val="center"/>
          </w:tcPr>
          <w:p>
            <w:pPr>
              <w:jc w:val="center"/>
              <w:rPr>
                <w:rFonts w:ascii="Times New Roman" w:hAnsi="Times New Roman"/>
                <w:kern w:val="2"/>
              </w:rPr>
            </w:pPr>
            <w:r>
              <w:rPr>
                <w:rFonts w:ascii="Times New Roman" w:hAnsi="Times New Roman"/>
                <w:kern w:val="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3" w:type="pct"/>
            <w:vMerge w:val="continue"/>
            <w:vAlign w:val="center"/>
          </w:tcPr>
          <w:p>
            <w:pPr>
              <w:jc w:val="center"/>
              <w:rPr>
                <w:rFonts w:ascii="Times New Roman" w:hAnsi="Times New Roman"/>
                <w:kern w:val="2"/>
              </w:rPr>
            </w:pPr>
          </w:p>
        </w:tc>
        <w:tc>
          <w:tcPr>
            <w:tcW w:w="504" w:type="pct"/>
            <w:vMerge w:val="continue"/>
            <w:vAlign w:val="center"/>
          </w:tcPr>
          <w:p>
            <w:pPr>
              <w:jc w:val="center"/>
              <w:rPr>
                <w:rFonts w:ascii="Times New Roman" w:hAnsi="Times New Roman"/>
                <w:kern w:val="2"/>
              </w:rPr>
            </w:pPr>
          </w:p>
        </w:tc>
        <w:tc>
          <w:tcPr>
            <w:tcW w:w="506" w:type="pct"/>
            <w:vMerge w:val="continue"/>
            <w:vAlign w:val="center"/>
          </w:tcPr>
          <w:p>
            <w:pPr>
              <w:jc w:val="center"/>
              <w:rPr>
                <w:rFonts w:ascii="Times New Roman" w:hAnsi="Times New Roman"/>
                <w:kern w:val="2"/>
              </w:rPr>
            </w:pPr>
          </w:p>
        </w:tc>
        <w:tc>
          <w:tcPr>
            <w:tcW w:w="1270" w:type="pct"/>
            <w:vMerge w:val="continue"/>
            <w:vAlign w:val="center"/>
          </w:tcPr>
          <w:p>
            <w:pPr>
              <w:rPr>
                <w:rFonts w:ascii="Times New Roman" w:hAnsi="Times New Roman"/>
                <w:kern w:val="2"/>
              </w:rPr>
            </w:pPr>
          </w:p>
        </w:tc>
        <w:tc>
          <w:tcPr>
            <w:tcW w:w="998" w:type="pct"/>
            <w:vAlign w:val="center"/>
          </w:tcPr>
          <w:p>
            <w:pPr>
              <w:jc w:val="center"/>
              <w:rPr>
                <w:rFonts w:ascii="Times New Roman" w:hAnsi="Times New Roman"/>
                <w:kern w:val="2"/>
              </w:rPr>
            </w:pPr>
            <w:r>
              <w:rPr>
                <w:rFonts w:ascii="Times New Roman" w:hAnsi="Times New Roman"/>
                <w:kern w:val="2"/>
              </w:rPr>
              <w:t>循环水多用真空泵SHZ-D(Ⅲ)</w:t>
            </w:r>
          </w:p>
        </w:tc>
        <w:tc>
          <w:tcPr>
            <w:tcW w:w="712" w:type="pct"/>
            <w:vAlign w:val="center"/>
          </w:tcPr>
          <w:p>
            <w:pPr>
              <w:jc w:val="center"/>
              <w:rPr>
                <w:rFonts w:ascii="Times New Roman" w:hAnsi="Times New Roman"/>
                <w:kern w:val="2"/>
              </w:rPr>
            </w:pPr>
            <w:r>
              <w:rPr>
                <w:rFonts w:ascii="Times New Roman" w:hAnsi="Times New Roman"/>
                <w:kern w:val="2"/>
              </w:rPr>
              <w:t>HYJC-XC-015</w:t>
            </w:r>
          </w:p>
        </w:tc>
        <w:tc>
          <w:tcPr>
            <w:tcW w:w="698" w:type="pct"/>
            <w:vAlign w:val="center"/>
          </w:tcPr>
          <w:p>
            <w:pPr>
              <w:jc w:val="center"/>
              <w:rPr>
                <w:rFonts w:ascii="Times New Roman" w:hAnsi="Times New Roman"/>
                <w:kern w:val="2"/>
              </w:rPr>
            </w:pPr>
            <w:r>
              <w:rPr>
                <w:rFonts w:ascii="Times New Roman" w:hAnsi="Times New Roman"/>
                <w:kern w:val="2"/>
              </w:rPr>
              <w:t>/</w:t>
            </w:r>
          </w:p>
        </w:tc>
      </w:tr>
    </w:tbl>
    <w:p>
      <w:pPr>
        <w:pStyle w:val="136"/>
        <w:ind w:firstLine="480"/>
        <w:rPr>
          <w:rFonts w:ascii="Times New Roman" w:hAnsi="Times New Roman" w:cs="Times New Roman"/>
        </w:rPr>
      </w:pPr>
    </w:p>
    <w:p>
      <w:pPr>
        <w:adjustRightInd w:val="0"/>
        <w:snapToGrid w:val="0"/>
        <w:spacing w:before="120" w:beforeLines="50"/>
        <w:rPr>
          <w:rFonts w:ascii="Times New Roman" w:hAnsi="Times New Roman"/>
          <w:b/>
        </w:rPr>
      </w:pPr>
      <w:r>
        <w:rPr>
          <w:rFonts w:ascii="Times New Roman" w:hAnsi="Times New Roman"/>
          <w:b/>
        </w:rPr>
        <w:drawing>
          <wp:inline distT="0" distB="0" distL="0" distR="0">
            <wp:extent cx="5339715" cy="3641090"/>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5361623" cy="3655652"/>
                    </a:xfrm>
                    <a:prstGeom prst="rect">
                      <a:avLst/>
                    </a:prstGeom>
                    <a:noFill/>
                  </pic:spPr>
                </pic:pic>
              </a:graphicData>
            </a:graphic>
          </wp:inline>
        </w:drawing>
      </w:r>
    </w:p>
    <w:p>
      <w:pPr>
        <w:adjustRightInd w:val="0"/>
        <w:snapToGrid w:val="0"/>
        <w:spacing w:line="480" w:lineRule="exact"/>
        <w:jc w:val="center"/>
        <w:rPr>
          <w:rFonts w:ascii="Times New Roman" w:hAnsi="Times New Roman"/>
          <w:b/>
        </w:rPr>
      </w:pPr>
      <w:r>
        <w:rPr>
          <w:rFonts w:ascii="Times New Roman" w:hAnsi="Times New Roman"/>
          <w:b/>
        </w:rPr>
        <w:t>图4.2-1 环境空气和声环境监测点示意图</w:t>
      </w:r>
    </w:p>
    <w:p>
      <w:pPr>
        <w:spacing w:line="480" w:lineRule="exact"/>
        <w:ind w:firstLine="480" w:firstLineChars="200"/>
        <w:rPr>
          <w:rFonts w:ascii="Times New Roman" w:hAnsi="Times New Roman"/>
          <w:sz w:val="24"/>
          <w:szCs w:val="24"/>
        </w:rPr>
      </w:pPr>
      <w:r>
        <w:rPr>
          <w:rFonts w:ascii="Times New Roman" w:hAnsi="Times New Roman"/>
          <w:sz w:val="24"/>
          <w:szCs w:val="24"/>
        </w:rPr>
        <w:t>（5）评价方法</w:t>
      </w:r>
    </w:p>
    <w:p>
      <w:pPr>
        <w:pStyle w:val="155"/>
        <w:spacing w:line="480" w:lineRule="exact"/>
        <w:ind w:firstLine="480"/>
      </w:pPr>
      <w:r>
        <w:t>本项目采用</w:t>
      </w:r>
      <w:r>
        <w:rPr>
          <w:rFonts w:hint="eastAsia"/>
        </w:rPr>
        <w:t>占标率</w:t>
      </w:r>
      <w:r>
        <w:t>对环境空气现状进行评价。计算公式：</w:t>
      </w:r>
    </w:p>
    <w:p>
      <w:pPr>
        <w:pStyle w:val="155"/>
        <w:spacing w:line="240" w:lineRule="auto"/>
        <w:ind w:firstLine="0" w:firstLineChars="0"/>
        <w:jc w:val="center"/>
      </w:pPr>
      <w:r>
        <w:drawing>
          <wp:inline distT="0" distB="0" distL="0" distR="0">
            <wp:extent cx="1524000" cy="504825"/>
            <wp:effectExtent l="0" t="0" r="0" b="952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40"/>
                    <a:stretch>
                      <a:fillRect/>
                    </a:stretch>
                  </pic:blipFill>
                  <pic:spPr>
                    <a:xfrm>
                      <a:off x="0" y="0"/>
                      <a:ext cx="1524011" cy="504829"/>
                    </a:xfrm>
                    <a:prstGeom prst="rect">
                      <a:avLst/>
                    </a:prstGeom>
                  </pic:spPr>
                </pic:pic>
              </a:graphicData>
            </a:graphic>
          </wp:inline>
        </w:drawing>
      </w:r>
    </w:p>
    <w:p>
      <w:pPr>
        <w:pStyle w:val="155"/>
        <w:spacing w:line="360" w:lineRule="auto"/>
        <w:ind w:firstLine="0" w:firstLineChars="0"/>
      </w:pPr>
      <w:r>
        <w:drawing>
          <wp:inline distT="0" distB="0" distL="0" distR="0">
            <wp:extent cx="5278755" cy="49911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41"/>
                    <a:stretch>
                      <a:fillRect/>
                    </a:stretch>
                  </pic:blipFill>
                  <pic:spPr>
                    <a:xfrm>
                      <a:off x="0" y="0"/>
                      <a:ext cx="5278755" cy="499110"/>
                    </a:xfrm>
                    <a:prstGeom prst="rect">
                      <a:avLst/>
                    </a:prstGeom>
                  </pic:spPr>
                </pic:pic>
              </a:graphicData>
            </a:graphic>
          </wp:inline>
        </w:drawing>
      </w:r>
    </w:p>
    <w:p>
      <w:pPr>
        <w:pStyle w:val="155"/>
        <w:spacing w:line="360" w:lineRule="auto"/>
        <w:ind w:firstLine="0" w:firstLineChars="0"/>
      </w:pPr>
      <w:r>
        <w:drawing>
          <wp:inline distT="0" distB="0" distL="0" distR="0">
            <wp:extent cx="3799840" cy="21463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42"/>
                    <a:stretch>
                      <a:fillRect/>
                    </a:stretch>
                  </pic:blipFill>
                  <pic:spPr>
                    <a:xfrm>
                      <a:off x="0" y="0"/>
                      <a:ext cx="4037538" cy="228621"/>
                    </a:xfrm>
                    <a:prstGeom prst="rect">
                      <a:avLst/>
                    </a:prstGeom>
                  </pic:spPr>
                </pic:pic>
              </a:graphicData>
            </a:graphic>
          </wp:inline>
        </w:drawing>
      </w:r>
    </w:p>
    <w:p>
      <w:pPr>
        <w:pStyle w:val="155"/>
        <w:spacing w:line="480" w:lineRule="exact"/>
        <w:ind w:firstLine="480"/>
      </w:pPr>
      <w:r>
        <w:t>当评价因子的</w:t>
      </w:r>
      <w:r>
        <w:rPr>
          <w:rFonts w:hint="eastAsia"/>
        </w:rPr>
        <w:t>占标率</w:t>
      </w:r>
      <w:r>
        <w:t>P</w:t>
      </w:r>
      <w:r>
        <w:rPr>
          <w:rFonts w:hint="eastAsia"/>
        </w:rPr>
        <w:t>i</w:t>
      </w:r>
      <w:r>
        <w:t>＞1时，表明该参数超过了规定的环境空气标准，已不能满足使用要求；当</w:t>
      </w:r>
      <w:r>
        <w:rPr>
          <w:rFonts w:hint="eastAsia"/>
        </w:rPr>
        <w:t>Pi</w:t>
      </w:r>
      <w:r>
        <w:rPr>
          <w:vertAlign w:val="subscript"/>
        </w:rPr>
        <w:t>j</w:t>
      </w:r>
      <w:r>
        <w:t>≤1时，表明该参数未超过规定的环境空气标准。</w:t>
      </w:r>
    </w:p>
    <w:p>
      <w:pPr>
        <w:spacing w:line="480" w:lineRule="exact"/>
        <w:ind w:firstLine="480" w:firstLineChars="200"/>
        <w:rPr>
          <w:rFonts w:ascii="Times New Roman" w:hAnsi="Times New Roman"/>
          <w:sz w:val="24"/>
          <w:szCs w:val="24"/>
        </w:rPr>
      </w:pPr>
      <w:r>
        <w:rPr>
          <w:rFonts w:ascii="Times New Roman" w:hAnsi="Times New Roman"/>
          <w:sz w:val="24"/>
          <w:szCs w:val="24"/>
        </w:rPr>
        <w:t>（6）监测结果</w:t>
      </w:r>
    </w:p>
    <w:p>
      <w:pPr>
        <w:spacing w:line="480" w:lineRule="exact"/>
        <w:ind w:firstLine="480" w:firstLineChars="200"/>
        <w:rPr>
          <w:rFonts w:ascii="Times New Roman" w:hAnsi="Times New Roman"/>
          <w:sz w:val="24"/>
          <w:szCs w:val="24"/>
        </w:rPr>
      </w:pPr>
      <w:r>
        <w:rPr>
          <w:rFonts w:ascii="Times New Roman" w:hAnsi="Times New Roman"/>
          <w:sz w:val="24"/>
          <w:szCs w:val="24"/>
        </w:rPr>
        <w:t>本次环境空气质量现状监测结果见表4.2-4。</w:t>
      </w:r>
    </w:p>
    <w:p>
      <w:pPr>
        <w:spacing w:line="480" w:lineRule="exact"/>
        <w:jc w:val="center"/>
        <w:rPr>
          <w:rFonts w:ascii="Times New Roman" w:hAnsi="Times New Roman"/>
          <w:b/>
        </w:rPr>
      </w:pPr>
      <w:r>
        <w:rPr>
          <w:rFonts w:ascii="Times New Roman" w:hAnsi="Times New Roman"/>
          <w:b/>
        </w:rPr>
        <w:t>表4.2-4 环境空气质量现状监测结果</w:t>
      </w:r>
    </w:p>
    <w:tbl>
      <w:tblPr>
        <w:tblStyle w:val="77"/>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4"/>
        <w:gridCol w:w="639"/>
        <w:gridCol w:w="639"/>
        <w:gridCol w:w="1242"/>
        <w:gridCol w:w="1044"/>
        <w:gridCol w:w="988"/>
        <w:gridCol w:w="989"/>
        <w:gridCol w:w="835"/>
        <w:gridCol w:w="696"/>
        <w:gridCol w:w="80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0" w:hRule="atLeast"/>
        </w:trPr>
        <w:tc>
          <w:tcPr>
            <w:tcW w:w="637" w:type="dxa"/>
            <w:vMerge w:val="restart"/>
            <w:shd w:val="clear" w:color="000000" w:fill="FFFFFF"/>
            <w:vAlign w:val="center"/>
          </w:tcPr>
          <w:p>
            <w:pPr>
              <w:spacing w:line="280" w:lineRule="exact"/>
              <w:rPr>
                <w:rFonts w:ascii="Times New Roman" w:hAnsi="Times New Roman"/>
                <w:b/>
              </w:rPr>
            </w:pPr>
            <w:r>
              <w:rPr>
                <w:rFonts w:ascii="Times New Roman" w:hAnsi="Times New Roman"/>
                <w:b/>
              </w:rPr>
              <w:t>点位</w:t>
            </w:r>
          </w:p>
          <w:p>
            <w:pPr>
              <w:spacing w:line="280" w:lineRule="exact"/>
              <w:rPr>
                <w:rFonts w:ascii="Times New Roman" w:hAnsi="Times New Roman"/>
                <w:b/>
              </w:rPr>
            </w:pPr>
            <w:r>
              <w:rPr>
                <w:rFonts w:ascii="Times New Roman" w:hAnsi="Times New Roman"/>
                <w:b/>
              </w:rPr>
              <w:t>名称</w:t>
            </w:r>
          </w:p>
        </w:tc>
        <w:tc>
          <w:tcPr>
            <w:tcW w:w="1246" w:type="dxa"/>
            <w:gridSpan w:val="2"/>
            <w:shd w:val="clear" w:color="000000" w:fill="FFFFFF"/>
            <w:vAlign w:val="center"/>
          </w:tcPr>
          <w:p>
            <w:pPr>
              <w:spacing w:line="280" w:lineRule="exact"/>
              <w:rPr>
                <w:rFonts w:ascii="Times New Roman" w:hAnsi="Times New Roman"/>
                <w:b/>
              </w:rPr>
            </w:pPr>
            <w:r>
              <w:rPr>
                <w:rFonts w:ascii="Times New Roman" w:hAnsi="Times New Roman"/>
                <w:b/>
              </w:rPr>
              <w:t>监测点坐标/°</w:t>
            </w:r>
          </w:p>
        </w:tc>
        <w:tc>
          <w:tcPr>
            <w:tcW w:w="1211" w:type="dxa"/>
            <w:vMerge w:val="restart"/>
            <w:shd w:val="clear" w:color="000000" w:fill="FFFFFF"/>
            <w:vAlign w:val="center"/>
          </w:tcPr>
          <w:p>
            <w:pPr>
              <w:spacing w:line="280" w:lineRule="exact"/>
              <w:rPr>
                <w:rFonts w:ascii="Times New Roman" w:hAnsi="Times New Roman"/>
                <w:b/>
              </w:rPr>
            </w:pPr>
            <w:r>
              <w:rPr>
                <w:rFonts w:ascii="Times New Roman" w:hAnsi="Times New Roman"/>
                <w:b/>
              </w:rPr>
              <w:t>污染物</w:t>
            </w:r>
          </w:p>
        </w:tc>
        <w:tc>
          <w:tcPr>
            <w:tcW w:w="1018" w:type="dxa"/>
            <w:vMerge w:val="restart"/>
            <w:shd w:val="clear" w:color="000000" w:fill="FFFFFF"/>
            <w:vAlign w:val="center"/>
          </w:tcPr>
          <w:p>
            <w:pPr>
              <w:spacing w:line="280" w:lineRule="exact"/>
              <w:rPr>
                <w:rFonts w:ascii="Times New Roman" w:hAnsi="Times New Roman"/>
                <w:b/>
              </w:rPr>
            </w:pPr>
            <w:r>
              <w:rPr>
                <w:rFonts w:ascii="Times New Roman" w:hAnsi="Times New Roman"/>
                <w:b/>
              </w:rPr>
              <w:t>平均</w:t>
            </w:r>
          </w:p>
          <w:p>
            <w:pPr>
              <w:spacing w:line="280" w:lineRule="exact"/>
              <w:rPr>
                <w:rFonts w:ascii="Times New Roman" w:hAnsi="Times New Roman"/>
                <w:b/>
              </w:rPr>
            </w:pPr>
            <w:r>
              <w:rPr>
                <w:rFonts w:ascii="Times New Roman" w:hAnsi="Times New Roman"/>
                <w:b/>
              </w:rPr>
              <w:t>时间</w:t>
            </w:r>
          </w:p>
        </w:tc>
        <w:tc>
          <w:tcPr>
            <w:tcW w:w="963" w:type="dxa"/>
            <w:shd w:val="clear" w:color="000000" w:fill="FFFFFF"/>
            <w:vAlign w:val="center"/>
          </w:tcPr>
          <w:p>
            <w:pPr>
              <w:spacing w:line="280" w:lineRule="exact"/>
              <w:rPr>
                <w:rFonts w:ascii="Times New Roman" w:hAnsi="Times New Roman"/>
                <w:b/>
              </w:rPr>
            </w:pPr>
            <w:r>
              <w:rPr>
                <w:rFonts w:ascii="Times New Roman" w:hAnsi="Times New Roman"/>
                <w:b/>
              </w:rPr>
              <w:t>评价</w:t>
            </w:r>
          </w:p>
          <w:p>
            <w:pPr>
              <w:spacing w:line="280" w:lineRule="exact"/>
              <w:rPr>
                <w:rFonts w:ascii="Times New Roman" w:hAnsi="Times New Roman"/>
                <w:b/>
              </w:rPr>
            </w:pPr>
            <w:r>
              <w:rPr>
                <w:rFonts w:ascii="Times New Roman" w:hAnsi="Times New Roman"/>
                <w:b/>
              </w:rPr>
              <w:t>标准/</w:t>
            </w:r>
          </w:p>
        </w:tc>
        <w:tc>
          <w:tcPr>
            <w:tcW w:w="964" w:type="dxa"/>
            <w:vMerge w:val="restart"/>
            <w:shd w:val="clear" w:color="000000" w:fill="FFFFFF"/>
            <w:vAlign w:val="center"/>
          </w:tcPr>
          <w:p>
            <w:pPr>
              <w:spacing w:line="280" w:lineRule="exact"/>
              <w:rPr>
                <w:rFonts w:ascii="Times New Roman" w:hAnsi="Times New Roman"/>
                <w:b/>
              </w:rPr>
            </w:pPr>
            <w:r>
              <w:rPr>
                <w:rFonts w:ascii="Times New Roman" w:hAnsi="Times New Roman"/>
                <w:b/>
              </w:rPr>
              <w:t>监测浓度范围/(μg/m</w:t>
            </w:r>
            <w:r>
              <w:rPr>
                <w:rFonts w:ascii="Times New Roman" w:hAnsi="Times New Roman"/>
                <w:b/>
                <w:vertAlign w:val="superscript"/>
              </w:rPr>
              <w:t>3</w:t>
            </w:r>
            <w:r>
              <w:rPr>
                <w:rFonts w:ascii="Times New Roman" w:hAnsi="Times New Roman"/>
                <w:b/>
              </w:rPr>
              <w:t>)</w:t>
            </w:r>
          </w:p>
        </w:tc>
        <w:tc>
          <w:tcPr>
            <w:tcW w:w="814" w:type="dxa"/>
            <w:vMerge w:val="restart"/>
            <w:shd w:val="clear" w:color="000000" w:fill="FFFFFF"/>
            <w:vAlign w:val="center"/>
          </w:tcPr>
          <w:p>
            <w:pPr>
              <w:spacing w:line="280" w:lineRule="exact"/>
              <w:rPr>
                <w:rFonts w:ascii="Times New Roman" w:hAnsi="Times New Roman"/>
                <w:b/>
              </w:rPr>
            </w:pPr>
            <w:r>
              <w:rPr>
                <w:rFonts w:ascii="Times New Roman" w:hAnsi="Times New Roman"/>
                <w:b/>
              </w:rPr>
              <w:t>最大浓度占标率/%</w:t>
            </w:r>
          </w:p>
        </w:tc>
        <w:tc>
          <w:tcPr>
            <w:tcW w:w="678" w:type="dxa"/>
            <w:shd w:val="clear" w:color="000000" w:fill="FFFFFF"/>
            <w:vAlign w:val="center"/>
          </w:tcPr>
          <w:p>
            <w:pPr>
              <w:spacing w:line="280" w:lineRule="exact"/>
              <w:rPr>
                <w:rFonts w:ascii="Times New Roman" w:hAnsi="Times New Roman"/>
                <w:b/>
              </w:rPr>
            </w:pPr>
            <w:r>
              <w:rPr>
                <w:rFonts w:ascii="Times New Roman" w:hAnsi="Times New Roman"/>
                <w:b/>
              </w:rPr>
              <w:t>超标概率/</w:t>
            </w:r>
          </w:p>
        </w:tc>
        <w:tc>
          <w:tcPr>
            <w:tcW w:w="780" w:type="dxa"/>
            <w:vMerge w:val="restart"/>
            <w:shd w:val="clear" w:color="000000" w:fill="FFFFFF"/>
            <w:vAlign w:val="center"/>
          </w:tcPr>
          <w:p>
            <w:pPr>
              <w:spacing w:line="280" w:lineRule="exact"/>
              <w:rPr>
                <w:rFonts w:ascii="Times New Roman" w:hAnsi="Times New Roman"/>
                <w:b/>
              </w:rPr>
            </w:pPr>
            <w:r>
              <w:rPr>
                <w:rFonts w:ascii="Times New Roman" w:hAnsi="Times New Roman"/>
                <w:b/>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37" w:type="dxa"/>
            <w:vMerge w:val="continue"/>
            <w:shd w:val="clear" w:color="auto" w:fill="auto"/>
            <w:vAlign w:val="center"/>
          </w:tcPr>
          <w:p>
            <w:pPr>
              <w:spacing w:line="280" w:lineRule="exact"/>
              <w:rPr>
                <w:rFonts w:ascii="Times New Roman" w:hAnsi="Times New Roman"/>
                <w:b/>
              </w:rPr>
            </w:pPr>
          </w:p>
        </w:tc>
        <w:tc>
          <w:tcPr>
            <w:tcW w:w="623" w:type="dxa"/>
            <w:shd w:val="clear" w:color="000000" w:fill="FFFFFF"/>
            <w:vAlign w:val="center"/>
          </w:tcPr>
          <w:p>
            <w:pPr>
              <w:spacing w:line="280" w:lineRule="exact"/>
              <w:rPr>
                <w:rFonts w:ascii="Times New Roman" w:hAnsi="Times New Roman"/>
                <w:b/>
              </w:rPr>
            </w:pPr>
            <w:r>
              <w:rPr>
                <w:rFonts w:ascii="Times New Roman" w:hAnsi="Times New Roman"/>
                <w:b/>
              </w:rPr>
              <w:t>X</w:t>
            </w:r>
          </w:p>
        </w:tc>
        <w:tc>
          <w:tcPr>
            <w:tcW w:w="623" w:type="dxa"/>
            <w:shd w:val="clear" w:color="000000" w:fill="FFFFFF"/>
            <w:vAlign w:val="center"/>
          </w:tcPr>
          <w:p>
            <w:pPr>
              <w:spacing w:line="280" w:lineRule="exact"/>
              <w:rPr>
                <w:rFonts w:ascii="Times New Roman" w:hAnsi="Times New Roman"/>
                <w:b/>
              </w:rPr>
            </w:pPr>
            <w:r>
              <w:rPr>
                <w:rFonts w:ascii="Times New Roman" w:hAnsi="Times New Roman"/>
                <w:b/>
              </w:rPr>
              <w:t>Y</w:t>
            </w:r>
          </w:p>
        </w:tc>
        <w:tc>
          <w:tcPr>
            <w:tcW w:w="1211" w:type="dxa"/>
            <w:vMerge w:val="continue"/>
            <w:shd w:val="clear" w:color="auto" w:fill="auto"/>
            <w:vAlign w:val="center"/>
          </w:tcPr>
          <w:p>
            <w:pPr>
              <w:spacing w:line="280" w:lineRule="exact"/>
              <w:rPr>
                <w:rFonts w:ascii="Times New Roman" w:hAnsi="Times New Roman"/>
                <w:b/>
              </w:rPr>
            </w:pPr>
          </w:p>
        </w:tc>
        <w:tc>
          <w:tcPr>
            <w:tcW w:w="1018" w:type="dxa"/>
            <w:vMerge w:val="continue"/>
            <w:shd w:val="clear" w:color="auto" w:fill="auto"/>
            <w:vAlign w:val="center"/>
          </w:tcPr>
          <w:p>
            <w:pPr>
              <w:spacing w:line="280" w:lineRule="exact"/>
              <w:rPr>
                <w:rFonts w:ascii="Times New Roman" w:hAnsi="Times New Roman"/>
                <w:b/>
              </w:rPr>
            </w:pPr>
          </w:p>
        </w:tc>
        <w:tc>
          <w:tcPr>
            <w:tcW w:w="963" w:type="dxa"/>
            <w:shd w:val="clear" w:color="000000" w:fill="FFFFFF"/>
            <w:vAlign w:val="center"/>
          </w:tcPr>
          <w:p>
            <w:pPr>
              <w:spacing w:line="280" w:lineRule="exact"/>
              <w:rPr>
                <w:rFonts w:ascii="Times New Roman" w:hAnsi="Times New Roman"/>
                <w:b/>
              </w:rPr>
            </w:pPr>
            <w:r>
              <w:rPr>
                <w:rFonts w:ascii="Times New Roman" w:hAnsi="Times New Roman"/>
                <w:b/>
              </w:rPr>
              <w:t>(μg/m</w:t>
            </w:r>
            <w:r>
              <w:rPr>
                <w:rFonts w:ascii="Times New Roman" w:hAnsi="Times New Roman"/>
                <w:b/>
                <w:vertAlign w:val="superscript"/>
              </w:rPr>
              <w:t>3</w:t>
            </w:r>
            <w:r>
              <w:rPr>
                <w:rFonts w:ascii="Times New Roman" w:hAnsi="Times New Roman"/>
                <w:b/>
              </w:rPr>
              <w:t>)</w:t>
            </w:r>
          </w:p>
        </w:tc>
        <w:tc>
          <w:tcPr>
            <w:tcW w:w="964" w:type="dxa"/>
            <w:vMerge w:val="continue"/>
            <w:shd w:val="clear" w:color="auto" w:fill="auto"/>
            <w:vAlign w:val="center"/>
          </w:tcPr>
          <w:p>
            <w:pPr>
              <w:spacing w:line="280" w:lineRule="exact"/>
              <w:rPr>
                <w:rFonts w:ascii="Times New Roman" w:hAnsi="Times New Roman"/>
                <w:b/>
              </w:rPr>
            </w:pPr>
          </w:p>
        </w:tc>
        <w:tc>
          <w:tcPr>
            <w:tcW w:w="814" w:type="dxa"/>
            <w:vMerge w:val="continue"/>
            <w:shd w:val="clear" w:color="auto" w:fill="auto"/>
            <w:vAlign w:val="center"/>
          </w:tcPr>
          <w:p>
            <w:pPr>
              <w:spacing w:line="280" w:lineRule="exact"/>
              <w:rPr>
                <w:rFonts w:ascii="Times New Roman" w:hAnsi="Times New Roman"/>
                <w:b/>
              </w:rPr>
            </w:pPr>
          </w:p>
        </w:tc>
        <w:tc>
          <w:tcPr>
            <w:tcW w:w="678" w:type="dxa"/>
            <w:shd w:val="clear" w:color="000000" w:fill="FFFFFF"/>
            <w:vAlign w:val="center"/>
          </w:tcPr>
          <w:p>
            <w:pPr>
              <w:spacing w:line="280" w:lineRule="exact"/>
              <w:rPr>
                <w:rFonts w:ascii="Times New Roman" w:hAnsi="Times New Roman"/>
                <w:b/>
              </w:rPr>
            </w:pPr>
            <w:r>
              <w:rPr>
                <w:rFonts w:ascii="Times New Roman" w:hAnsi="Times New Roman"/>
                <w:b/>
              </w:rPr>
              <w:t>%</w:t>
            </w:r>
          </w:p>
        </w:tc>
        <w:tc>
          <w:tcPr>
            <w:tcW w:w="780" w:type="dxa"/>
            <w:vMerge w:val="continue"/>
            <w:vAlign w:val="center"/>
          </w:tcPr>
          <w:p>
            <w:pPr>
              <w:spacing w:line="280" w:lineRule="exact"/>
              <w:rPr>
                <w:rFonts w:ascii="Times New Roman" w:hAnsi="Times New Roma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37" w:type="dxa"/>
            <w:vMerge w:val="restart"/>
            <w:noWrap/>
            <w:vAlign w:val="center"/>
          </w:tcPr>
          <w:p>
            <w:pPr>
              <w:spacing w:line="280" w:lineRule="exact"/>
              <w:rPr>
                <w:rFonts w:ascii="Times New Roman" w:hAnsi="Times New Roman"/>
              </w:rPr>
            </w:pPr>
            <w:r>
              <w:rPr>
                <w:rFonts w:ascii="Times New Roman" w:hAnsi="Times New Roman"/>
              </w:rPr>
              <w:t>1</w:t>
            </w:r>
          </w:p>
        </w:tc>
        <w:tc>
          <w:tcPr>
            <w:tcW w:w="623" w:type="dxa"/>
            <w:vMerge w:val="restart"/>
            <w:noWrap/>
            <w:vAlign w:val="center"/>
          </w:tcPr>
          <w:p>
            <w:pPr>
              <w:widowControl/>
              <w:adjustRightInd w:val="0"/>
              <w:spacing w:line="280" w:lineRule="exact"/>
              <w:rPr>
                <w:rFonts w:ascii="Times New Roman" w:hAnsi="Times New Roman"/>
              </w:rPr>
            </w:pPr>
            <w:r>
              <w:rPr>
                <w:rFonts w:ascii="Times New Roman" w:hAnsi="Times New Roman"/>
              </w:rPr>
              <w:t>131.301394</w:t>
            </w:r>
          </w:p>
        </w:tc>
        <w:tc>
          <w:tcPr>
            <w:tcW w:w="623" w:type="dxa"/>
            <w:vMerge w:val="restart"/>
            <w:noWrap/>
            <w:vAlign w:val="center"/>
          </w:tcPr>
          <w:p>
            <w:pPr>
              <w:widowControl/>
              <w:adjustRightInd w:val="0"/>
              <w:spacing w:line="280" w:lineRule="exact"/>
              <w:rPr>
                <w:rFonts w:ascii="Times New Roman" w:hAnsi="Times New Roman"/>
              </w:rPr>
            </w:pPr>
            <w:r>
              <w:rPr>
                <w:rFonts w:ascii="Times New Roman" w:hAnsi="Times New Roman"/>
              </w:rPr>
              <w:t>46.633628</w:t>
            </w:r>
          </w:p>
        </w:tc>
        <w:tc>
          <w:tcPr>
            <w:tcW w:w="1211" w:type="dxa"/>
            <w:tcBorders>
              <w:bottom w:val="single" w:color="auto" w:sz="4" w:space="0"/>
            </w:tcBorders>
            <w:noWrap/>
            <w:vAlign w:val="center"/>
          </w:tcPr>
          <w:p>
            <w:pPr>
              <w:spacing w:line="280" w:lineRule="exact"/>
              <w:jc w:val="center"/>
              <w:rPr>
                <w:rFonts w:ascii="Times New Roman" w:hAnsi="Times New Roman"/>
              </w:rPr>
            </w:pPr>
            <w:r>
              <w:rPr>
                <w:rFonts w:ascii="Times New Roman" w:hAnsi="Times New Roman"/>
              </w:rPr>
              <w:t>TSP</w:t>
            </w:r>
          </w:p>
        </w:tc>
        <w:tc>
          <w:tcPr>
            <w:tcW w:w="1018" w:type="dxa"/>
            <w:noWrap/>
            <w:vAlign w:val="center"/>
          </w:tcPr>
          <w:p>
            <w:pPr>
              <w:widowControl/>
              <w:adjustRightInd w:val="0"/>
              <w:spacing w:line="280" w:lineRule="exact"/>
              <w:jc w:val="center"/>
              <w:rPr>
                <w:rFonts w:ascii="Times New Roman" w:hAnsi="Times New Roman"/>
              </w:rPr>
            </w:pPr>
            <w:r>
              <w:rPr>
                <w:rFonts w:ascii="Times New Roman" w:hAnsi="Times New Roman"/>
              </w:rPr>
              <w:t>日均值</w:t>
            </w:r>
          </w:p>
        </w:tc>
        <w:tc>
          <w:tcPr>
            <w:tcW w:w="963" w:type="dxa"/>
            <w:noWrap/>
            <w:vAlign w:val="center"/>
          </w:tcPr>
          <w:p>
            <w:pPr>
              <w:spacing w:line="280" w:lineRule="exact"/>
              <w:jc w:val="center"/>
              <w:rPr>
                <w:rFonts w:ascii="Times New Roman" w:hAnsi="Times New Roman"/>
              </w:rPr>
            </w:pPr>
            <w:r>
              <w:rPr>
                <w:rFonts w:ascii="Times New Roman" w:hAnsi="Times New Roman"/>
              </w:rPr>
              <w:t>300</w:t>
            </w:r>
          </w:p>
        </w:tc>
        <w:tc>
          <w:tcPr>
            <w:tcW w:w="964" w:type="dxa"/>
            <w:noWrap/>
            <w:vAlign w:val="center"/>
          </w:tcPr>
          <w:p>
            <w:pPr>
              <w:widowControl/>
              <w:spacing w:line="280" w:lineRule="exact"/>
              <w:rPr>
                <w:rFonts w:ascii="Times New Roman" w:hAnsi="Times New Roman"/>
              </w:rPr>
            </w:pPr>
            <w:r>
              <w:rPr>
                <w:rFonts w:ascii="Times New Roman" w:hAnsi="Times New Roman"/>
              </w:rPr>
              <w:t>74~101</w:t>
            </w:r>
          </w:p>
        </w:tc>
        <w:tc>
          <w:tcPr>
            <w:tcW w:w="814" w:type="dxa"/>
            <w:noWrap/>
            <w:vAlign w:val="center"/>
          </w:tcPr>
          <w:p>
            <w:pPr>
              <w:widowControl/>
              <w:spacing w:line="280" w:lineRule="exact"/>
              <w:jc w:val="center"/>
              <w:rPr>
                <w:rFonts w:ascii="Times New Roman" w:hAnsi="Times New Roman"/>
              </w:rPr>
            </w:pPr>
            <w:r>
              <w:rPr>
                <w:rFonts w:ascii="Times New Roman" w:hAnsi="Times New Roman"/>
              </w:rPr>
              <w:t>33.67</w:t>
            </w:r>
          </w:p>
        </w:tc>
        <w:tc>
          <w:tcPr>
            <w:tcW w:w="678" w:type="dxa"/>
            <w:noWrap/>
            <w:vAlign w:val="center"/>
          </w:tcPr>
          <w:p>
            <w:pPr>
              <w:spacing w:line="280" w:lineRule="exact"/>
              <w:jc w:val="center"/>
              <w:rPr>
                <w:rFonts w:ascii="Times New Roman" w:hAnsi="Times New Roman"/>
              </w:rPr>
            </w:pPr>
            <w:r>
              <w:rPr>
                <w:rFonts w:ascii="Times New Roman" w:hAnsi="Times New Roman"/>
              </w:rPr>
              <w:t>0</w:t>
            </w:r>
          </w:p>
        </w:tc>
        <w:tc>
          <w:tcPr>
            <w:tcW w:w="780" w:type="dxa"/>
            <w:noWrap/>
            <w:vAlign w:val="center"/>
          </w:tcPr>
          <w:p>
            <w:pPr>
              <w:spacing w:line="280" w:lineRule="exact"/>
              <w:jc w:val="center"/>
              <w:rPr>
                <w:rFonts w:ascii="Times New Roman" w:hAnsi="Times New Roman"/>
              </w:rPr>
            </w:pPr>
            <w:r>
              <w:rPr>
                <w:rFonts w:ascii="Times New Roman" w:hAnsi="Times New Roma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0" w:hRule="atLeast"/>
        </w:trPr>
        <w:tc>
          <w:tcPr>
            <w:tcW w:w="637" w:type="dxa"/>
            <w:vMerge w:val="continue"/>
            <w:noWrap/>
            <w:vAlign w:val="center"/>
          </w:tcPr>
          <w:p>
            <w:pPr>
              <w:spacing w:line="280" w:lineRule="exact"/>
              <w:rPr>
                <w:rFonts w:ascii="Times New Roman" w:hAnsi="Times New Roman"/>
              </w:rPr>
            </w:pPr>
          </w:p>
        </w:tc>
        <w:tc>
          <w:tcPr>
            <w:tcW w:w="623" w:type="dxa"/>
            <w:vMerge w:val="continue"/>
            <w:noWrap/>
            <w:vAlign w:val="center"/>
          </w:tcPr>
          <w:p>
            <w:pPr>
              <w:widowControl/>
              <w:adjustRightInd w:val="0"/>
              <w:spacing w:line="280" w:lineRule="exact"/>
              <w:rPr>
                <w:rFonts w:ascii="Times New Roman" w:hAnsi="Times New Roman"/>
              </w:rPr>
            </w:pPr>
          </w:p>
        </w:tc>
        <w:tc>
          <w:tcPr>
            <w:tcW w:w="623" w:type="dxa"/>
            <w:vMerge w:val="continue"/>
            <w:noWrap/>
            <w:vAlign w:val="center"/>
          </w:tcPr>
          <w:p>
            <w:pPr>
              <w:widowControl/>
              <w:adjustRightInd w:val="0"/>
              <w:spacing w:line="280" w:lineRule="exact"/>
              <w:rPr>
                <w:rFonts w:ascii="Times New Roman" w:hAnsi="Times New Roman"/>
              </w:rPr>
            </w:pPr>
          </w:p>
        </w:tc>
        <w:tc>
          <w:tcPr>
            <w:tcW w:w="1211" w:type="dxa"/>
            <w:tcBorders>
              <w:bottom w:val="single" w:color="auto" w:sz="4" w:space="0"/>
            </w:tcBorders>
            <w:noWrap/>
            <w:vAlign w:val="center"/>
          </w:tcPr>
          <w:p>
            <w:pPr>
              <w:spacing w:line="280" w:lineRule="exact"/>
              <w:jc w:val="center"/>
              <w:rPr>
                <w:rFonts w:ascii="Times New Roman" w:hAnsi="Times New Roman"/>
              </w:rPr>
            </w:pPr>
            <w:r>
              <w:rPr>
                <w:rFonts w:ascii="Times New Roman" w:hAnsi="Times New Roman"/>
              </w:rPr>
              <w:t>TVOC</w:t>
            </w:r>
          </w:p>
        </w:tc>
        <w:tc>
          <w:tcPr>
            <w:tcW w:w="1018" w:type="dxa"/>
            <w:noWrap/>
            <w:vAlign w:val="center"/>
          </w:tcPr>
          <w:p>
            <w:pPr>
              <w:widowControl/>
              <w:adjustRightInd w:val="0"/>
              <w:spacing w:line="280" w:lineRule="exact"/>
              <w:jc w:val="center"/>
              <w:rPr>
                <w:rFonts w:ascii="Times New Roman" w:hAnsi="Times New Roman"/>
              </w:rPr>
            </w:pPr>
            <w:r>
              <w:rPr>
                <w:rFonts w:ascii="Times New Roman" w:hAnsi="Times New Roman"/>
              </w:rPr>
              <w:t>8小时平均浓度</w:t>
            </w:r>
          </w:p>
        </w:tc>
        <w:tc>
          <w:tcPr>
            <w:tcW w:w="963" w:type="dxa"/>
            <w:noWrap/>
            <w:vAlign w:val="center"/>
          </w:tcPr>
          <w:p>
            <w:pPr>
              <w:spacing w:line="280" w:lineRule="exact"/>
              <w:jc w:val="center"/>
              <w:rPr>
                <w:rFonts w:ascii="Times New Roman" w:hAnsi="Times New Roman"/>
              </w:rPr>
            </w:pPr>
            <w:r>
              <w:rPr>
                <w:rFonts w:ascii="Times New Roman" w:hAnsi="Times New Roman"/>
              </w:rPr>
              <w:t>60</w:t>
            </w:r>
          </w:p>
        </w:tc>
        <w:tc>
          <w:tcPr>
            <w:tcW w:w="964" w:type="dxa"/>
            <w:noWrap/>
            <w:vAlign w:val="center"/>
          </w:tcPr>
          <w:p>
            <w:pPr>
              <w:widowControl/>
              <w:spacing w:line="280" w:lineRule="exact"/>
              <w:rPr>
                <w:rFonts w:ascii="Times New Roman" w:hAnsi="Times New Roman"/>
              </w:rPr>
            </w:pPr>
            <w:r>
              <w:rPr>
                <w:rFonts w:ascii="Times New Roman" w:hAnsi="Times New Roman"/>
              </w:rPr>
              <w:t>未检出</w:t>
            </w:r>
          </w:p>
        </w:tc>
        <w:tc>
          <w:tcPr>
            <w:tcW w:w="814" w:type="dxa"/>
            <w:noWrap/>
            <w:vAlign w:val="center"/>
          </w:tcPr>
          <w:p>
            <w:pPr>
              <w:widowControl/>
              <w:spacing w:line="280" w:lineRule="exact"/>
              <w:jc w:val="center"/>
              <w:rPr>
                <w:rFonts w:ascii="Times New Roman" w:hAnsi="Times New Roman"/>
              </w:rPr>
            </w:pPr>
            <w:r>
              <w:rPr>
                <w:rFonts w:ascii="Times New Roman" w:hAnsi="Times New Roman"/>
              </w:rPr>
              <w:t>/</w:t>
            </w:r>
          </w:p>
        </w:tc>
        <w:tc>
          <w:tcPr>
            <w:tcW w:w="678" w:type="dxa"/>
            <w:noWrap/>
            <w:vAlign w:val="center"/>
          </w:tcPr>
          <w:p>
            <w:pPr>
              <w:spacing w:line="280" w:lineRule="exact"/>
              <w:jc w:val="center"/>
              <w:rPr>
                <w:rFonts w:ascii="Times New Roman" w:hAnsi="Times New Roman"/>
              </w:rPr>
            </w:pPr>
            <w:r>
              <w:rPr>
                <w:rFonts w:ascii="Times New Roman" w:hAnsi="Times New Roman"/>
              </w:rPr>
              <w:t>0</w:t>
            </w:r>
          </w:p>
        </w:tc>
        <w:tc>
          <w:tcPr>
            <w:tcW w:w="780" w:type="dxa"/>
            <w:noWrap/>
            <w:vAlign w:val="center"/>
          </w:tcPr>
          <w:p>
            <w:pPr>
              <w:spacing w:line="280" w:lineRule="exact"/>
              <w:jc w:val="center"/>
              <w:rPr>
                <w:rFonts w:ascii="Times New Roman" w:hAnsi="Times New Roman"/>
              </w:rPr>
            </w:pPr>
            <w:r>
              <w:rPr>
                <w:rFonts w:ascii="Times New Roman" w:hAnsi="Times New Roma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0" w:hRule="atLeast"/>
        </w:trPr>
        <w:tc>
          <w:tcPr>
            <w:tcW w:w="637" w:type="dxa"/>
            <w:vMerge w:val="continue"/>
            <w:noWrap/>
            <w:vAlign w:val="center"/>
          </w:tcPr>
          <w:p>
            <w:pPr>
              <w:spacing w:line="280" w:lineRule="exact"/>
              <w:rPr>
                <w:rFonts w:ascii="Times New Roman" w:hAnsi="Times New Roman"/>
              </w:rPr>
            </w:pPr>
          </w:p>
        </w:tc>
        <w:tc>
          <w:tcPr>
            <w:tcW w:w="623" w:type="dxa"/>
            <w:vMerge w:val="continue"/>
            <w:noWrap/>
            <w:vAlign w:val="center"/>
          </w:tcPr>
          <w:p>
            <w:pPr>
              <w:widowControl/>
              <w:spacing w:line="280" w:lineRule="exact"/>
              <w:rPr>
                <w:rFonts w:ascii="Times New Roman" w:hAnsi="Times New Roman"/>
              </w:rPr>
            </w:pPr>
          </w:p>
        </w:tc>
        <w:tc>
          <w:tcPr>
            <w:tcW w:w="623" w:type="dxa"/>
            <w:vMerge w:val="continue"/>
            <w:noWrap/>
            <w:vAlign w:val="center"/>
          </w:tcPr>
          <w:p>
            <w:pPr>
              <w:widowControl/>
              <w:spacing w:line="280" w:lineRule="exact"/>
              <w:rPr>
                <w:rFonts w:ascii="Times New Roman" w:hAnsi="Times New Roman"/>
              </w:rPr>
            </w:pPr>
          </w:p>
        </w:tc>
        <w:tc>
          <w:tcPr>
            <w:tcW w:w="1211" w:type="dxa"/>
            <w:tcBorders>
              <w:top w:val="single" w:color="auto" w:sz="4" w:space="0"/>
              <w:bottom w:val="single" w:color="auto" w:sz="4" w:space="0"/>
            </w:tcBorders>
            <w:noWrap/>
            <w:vAlign w:val="center"/>
          </w:tcPr>
          <w:p>
            <w:pPr>
              <w:spacing w:line="280" w:lineRule="exact"/>
              <w:jc w:val="center"/>
              <w:rPr>
                <w:rFonts w:ascii="Times New Roman" w:hAnsi="Times New Roman"/>
              </w:rPr>
            </w:pPr>
            <w:r>
              <w:rPr>
                <w:rFonts w:ascii="Times New Roman" w:hAnsi="Times New Roman"/>
              </w:rPr>
              <w:t>非甲烷总烃</w:t>
            </w:r>
          </w:p>
        </w:tc>
        <w:tc>
          <w:tcPr>
            <w:tcW w:w="1018" w:type="dxa"/>
            <w:noWrap/>
            <w:vAlign w:val="center"/>
          </w:tcPr>
          <w:p>
            <w:pPr>
              <w:widowControl/>
              <w:adjustRightInd w:val="0"/>
              <w:spacing w:line="280" w:lineRule="exact"/>
              <w:jc w:val="center"/>
              <w:rPr>
                <w:rFonts w:ascii="Times New Roman" w:hAnsi="Times New Roman"/>
              </w:rPr>
            </w:pPr>
            <w:r>
              <w:rPr>
                <w:rFonts w:ascii="Times New Roman" w:hAnsi="Times New Roman"/>
              </w:rPr>
              <w:t>小时值</w:t>
            </w:r>
          </w:p>
        </w:tc>
        <w:tc>
          <w:tcPr>
            <w:tcW w:w="963" w:type="dxa"/>
            <w:noWrap/>
            <w:vAlign w:val="center"/>
          </w:tcPr>
          <w:p>
            <w:pPr>
              <w:spacing w:line="280" w:lineRule="exact"/>
              <w:jc w:val="center"/>
              <w:rPr>
                <w:rFonts w:ascii="Times New Roman" w:hAnsi="Times New Roman"/>
              </w:rPr>
            </w:pPr>
            <w:r>
              <w:rPr>
                <w:rFonts w:ascii="Times New Roman" w:hAnsi="Times New Roman"/>
              </w:rPr>
              <w:t>2000</w:t>
            </w:r>
          </w:p>
        </w:tc>
        <w:tc>
          <w:tcPr>
            <w:tcW w:w="964" w:type="dxa"/>
            <w:noWrap/>
            <w:vAlign w:val="center"/>
          </w:tcPr>
          <w:p>
            <w:pPr>
              <w:widowControl/>
              <w:spacing w:line="280" w:lineRule="exact"/>
              <w:rPr>
                <w:rFonts w:ascii="Times New Roman" w:hAnsi="Times New Roman"/>
              </w:rPr>
            </w:pPr>
            <w:r>
              <w:rPr>
                <w:rFonts w:ascii="Times New Roman" w:hAnsi="Times New Roman"/>
              </w:rPr>
              <w:t>0.007L</w:t>
            </w:r>
          </w:p>
        </w:tc>
        <w:tc>
          <w:tcPr>
            <w:tcW w:w="814" w:type="dxa"/>
            <w:noWrap/>
            <w:vAlign w:val="center"/>
          </w:tcPr>
          <w:p>
            <w:pPr>
              <w:widowControl/>
              <w:spacing w:line="280" w:lineRule="exact"/>
              <w:jc w:val="center"/>
              <w:rPr>
                <w:rFonts w:ascii="Times New Roman" w:hAnsi="Times New Roman"/>
              </w:rPr>
            </w:pPr>
            <w:r>
              <w:rPr>
                <w:rFonts w:ascii="Times New Roman" w:hAnsi="Times New Roman"/>
              </w:rPr>
              <w:t>/</w:t>
            </w:r>
          </w:p>
        </w:tc>
        <w:tc>
          <w:tcPr>
            <w:tcW w:w="678" w:type="dxa"/>
            <w:noWrap/>
            <w:vAlign w:val="center"/>
          </w:tcPr>
          <w:p>
            <w:pPr>
              <w:spacing w:line="280" w:lineRule="exact"/>
              <w:jc w:val="center"/>
              <w:rPr>
                <w:rFonts w:ascii="Times New Roman" w:hAnsi="Times New Roman"/>
              </w:rPr>
            </w:pPr>
            <w:r>
              <w:rPr>
                <w:rFonts w:ascii="Times New Roman" w:hAnsi="Times New Roman"/>
              </w:rPr>
              <w:t>0</w:t>
            </w:r>
          </w:p>
        </w:tc>
        <w:tc>
          <w:tcPr>
            <w:tcW w:w="780" w:type="dxa"/>
            <w:noWrap/>
            <w:vAlign w:val="center"/>
          </w:tcPr>
          <w:p>
            <w:pPr>
              <w:spacing w:line="280" w:lineRule="exact"/>
              <w:jc w:val="center"/>
              <w:rPr>
                <w:rFonts w:ascii="Times New Roman" w:hAnsi="Times New Roman"/>
              </w:rPr>
            </w:pPr>
            <w:r>
              <w:rPr>
                <w:rFonts w:ascii="Times New Roman" w:hAnsi="Times New Roma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37" w:type="dxa"/>
            <w:vMerge w:val="continue"/>
            <w:noWrap/>
            <w:vAlign w:val="center"/>
          </w:tcPr>
          <w:p>
            <w:pPr>
              <w:spacing w:line="280" w:lineRule="exact"/>
              <w:rPr>
                <w:rFonts w:ascii="Times New Roman" w:hAnsi="Times New Roman"/>
              </w:rPr>
            </w:pPr>
          </w:p>
        </w:tc>
        <w:tc>
          <w:tcPr>
            <w:tcW w:w="623" w:type="dxa"/>
            <w:vMerge w:val="continue"/>
            <w:noWrap/>
            <w:vAlign w:val="center"/>
          </w:tcPr>
          <w:p>
            <w:pPr>
              <w:widowControl/>
              <w:spacing w:line="280" w:lineRule="exact"/>
              <w:rPr>
                <w:rFonts w:ascii="Times New Roman" w:hAnsi="Times New Roman"/>
              </w:rPr>
            </w:pPr>
          </w:p>
        </w:tc>
        <w:tc>
          <w:tcPr>
            <w:tcW w:w="623" w:type="dxa"/>
            <w:vMerge w:val="continue"/>
            <w:noWrap/>
            <w:vAlign w:val="center"/>
          </w:tcPr>
          <w:p>
            <w:pPr>
              <w:widowControl/>
              <w:spacing w:line="280" w:lineRule="exact"/>
              <w:rPr>
                <w:rFonts w:ascii="Times New Roman" w:hAnsi="Times New Roman"/>
              </w:rPr>
            </w:pPr>
          </w:p>
        </w:tc>
        <w:tc>
          <w:tcPr>
            <w:tcW w:w="1211" w:type="dxa"/>
            <w:tcBorders>
              <w:top w:val="single" w:color="auto" w:sz="4" w:space="0"/>
              <w:bottom w:val="single" w:color="auto" w:sz="4" w:space="0"/>
            </w:tcBorders>
            <w:noWrap/>
            <w:vAlign w:val="center"/>
          </w:tcPr>
          <w:p>
            <w:pPr>
              <w:widowControl/>
              <w:adjustRightInd w:val="0"/>
              <w:jc w:val="center"/>
              <w:textAlignment w:val="center"/>
              <w:rPr>
                <w:rFonts w:ascii="Times New Roman" w:hAnsi="Times New Roman"/>
              </w:rPr>
            </w:pPr>
            <w:r>
              <w:rPr>
                <w:rFonts w:ascii="Times New Roman" w:hAnsi="Times New Roman"/>
              </w:rPr>
              <w:t>氨</w:t>
            </w:r>
          </w:p>
        </w:tc>
        <w:tc>
          <w:tcPr>
            <w:tcW w:w="1018" w:type="dxa"/>
            <w:noWrap/>
            <w:vAlign w:val="center"/>
          </w:tcPr>
          <w:p>
            <w:pPr>
              <w:widowControl/>
              <w:adjustRightInd w:val="0"/>
              <w:spacing w:line="280" w:lineRule="exact"/>
              <w:jc w:val="center"/>
              <w:rPr>
                <w:rFonts w:ascii="Times New Roman" w:hAnsi="Times New Roman"/>
              </w:rPr>
            </w:pPr>
            <w:r>
              <w:rPr>
                <w:rFonts w:ascii="Times New Roman" w:hAnsi="Times New Roman"/>
              </w:rPr>
              <w:t>小时值</w:t>
            </w:r>
          </w:p>
        </w:tc>
        <w:tc>
          <w:tcPr>
            <w:tcW w:w="963" w:type="dxa"/>
            <w:noWrap/>
            <w:vAlign w:val="center"/>
          </w:tcPr>
          <w:p>
            <w:pPr>
              <w:spacing w:line="280" w:lineRule="exact"/>
              <w:jc w:val="center"/>
              <w:rPr>
                <w:rFonts w:ascii="Times New Roman" w:hAnsi="Times New Roman"/>
              </w:rPr>
            </w:pPr>
            <w:r>
              <w:rPr>
                <w:rFonts w:ascii="Times New Roman" w:hAnsi="Times New Roman"/>
              </w:rPr>
              <w:t>200</w:t>
            </w:r>
          </w:p>
        </w:tc>
        <w:tc>
          <w:tcPr>
            <w:tcW w:w="964" w:type="dxa"/>
            <w:noWrap/>
            <w:vAlign w:val="center"/>
          </w:tcPr>
          <w:p>
            <w:pPr>
              <w:widowControl/>
              <w:spacing w:line="280" w:lineRule="exact"/>
              <w:rPr>
                <w:rFonts w:ascii="Times New Roman" w:hAnsi="Times New Roman"/>
              </w:rPr>
            </w:pPr>
            <w:r>
              <w:rPr>
                <w:rFonts w:ascii="Times New Roman" w:hAnsi="Times New Roman"/>
              </w:rPr>
              <w:t>10L</w:t>
            </w:r>
          </w:p>
        </w:tc>
        <w:tc>
          <w:tcPr>
            <w:tcW w:w="814" w:type="dxa"/>
            <w:noWrap/>
            <w:vAlign w:val="center"/>
          </w:tcPr>
          <w:p>
            <w:pPr>
              <w:widowControl/>
              <w:spacing w:line="280" w:lineRule="exact"/>
              <w:jc w:val="center"/>
              <w:rPr>
                <w:rFonts w:ascii="Times New Roman" w:hAnsi="Times New Roman"/>
              </w:rPr>
            </w:pPr>
            <w:r>
              <w:rPr>
                <w:rFonts w:ascii="Times New Roman" w:hAnsi="Times New Roman"/>
              </w:rPr>
              <w:t>/</w:t>
            </w:r>
          </w:p>
        </w:tc>
        <w:tc>
          <w:tcPr>
            <w:tcW w:w="678" w:type="dxa"/>
            <w:noWrap/>
            <w:vAlign w:val="center"/>
          </w:tcPr>
          <w:p>
            <w:pPr>
              <w:spacing w:line="280" w:lineRule="exact"/>
              <w:jc w:val="center"/>
              <w:rPr>
                <w:rFonts w:ascii="Times New Roman" w:hAnsi="Times New Roman"/>
              </w:rPr>
            </w:pPr>
            <w:r>
              <w:rPr>
                <w:rFonts w:ascii="Times New Roman" w:hAnsi="Times New Roman"/>
              </w:rPr>
              <w:t>0</w:t>
            </w:r>
          </w:p>
        </w:tc>
        <w:tc>
          <w:tcPr>
            <w:tcW w:w="780" w:type="dxa"/>
            <w:noWrap/>
            <w:vAlign w:val="center"/>
          </w:tcPr>
          <w:p>
            <w:pPr>
              <w:spacing w:line="280" w:lineRule="exact"/>
              <w:jc w:val="center"/>
              <w:rPr>
                <w:rFonts w:ascii="Times New Roman" w:hAnsi="Times New Roman"/>
              </w:rPr>
            </w:pPr>
            <w:r>
              <w:rPr>
                <w:rFonts w:ascii="Times New Roman" w:hAnsi="Times New Roma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37" w:type="dxa"/>
            <w:vMerge w:val="continue"/>
            <w:noWrap/>
            <w:vAlign w:val="center"/>
          </w:tcPr>
          <w:p>
            <w:pPr>
              <w:spacing w:line="280" w:lineRule="exact"/>
              <w:rPr>
                <w:rFonts w:ascii="Times New Roman" w:hAnsi="Times New Roman"/>
              </w:rPr>
            </w:pPr>
          </w:p>
        </w:tc>
        <w:tc>
          <w:tcPr>
            <w:tcW w:w="623" w:type="dxa"/>
            <w:vMerge w:val="continue"/>
            <w:noWrap/>
            <w:vAlign w:val="center"/>
          </w:tcPr>
          <w:p>
            <w:pPr>
              <w:widowControl/>
              <w:spacing w:line="280" w:lineRule="exact"/>
              <w:rPr>
                <w:rFonts w:ascii="Times New Roman" w:hAnsi="Times New Roman"/>
              </w:rPr>
            </w:pPr>
          </w:p>
        </w:tc>
        <w:tc>
          <w:tcPr>
            <w:tcW w:w="623" w:type="dxa"/>
            <w:vMerge w:val="continue"/>
            <w:noWrap/>
            <w:vAlign w:val="center"/>
          </w:tcPr>
          <w:p>
            <w:pPr>
              <w:widowControl/>
              <w:spacing w:line="280" w:lineRule="exact"/>
              <w:rPr>
                <w:rFonts w:ascii="Times New Roman" w:hAnsi="Times New Roman"/>
              </w:rPr>
            </w:pPr>
          </w:p>
        </w:tc>
        <w:tc>
          <w:tcPr>
            <w:tcW w:w="1211" w:type="dxa"/>
            <w:tcBorders>
              <w:top w:val="single" w:color="auto" w:sz="4" w:space="0"/>
              <w:bottom w:val="single" w:color="auto" w:sz="4" w:space="0"/>
            </w:tcBorders>
            <w:noWrap/>
            <w:vAlign w:val="center"/>
          </w:tcPr>
          <w:p>
            <w:pPr>
              <w:widowControl/>
              <w:adjustRightInd w:val="0"/>
              <w:jc w:val="center"/>
              <w:textAlignment w:val="center"/>
              <w:rPr>
                <w:rFonts w:ascii="Times New Roman" w:hAnsi="Times New Roman"/>
              </w:rPr>
            </w:pPr>
            <w:r>
              <w:rPr>
                <w:rFonts w:ascii="Times New Roman" w:hAnsi="Times New Roman"/>
              </w:rPr>
              <w:t>硫化氢</w:t>
            </w:r>
          </w:p>
        </w:tc>
        <w:tc>
          <w:tcPr>
            <w:tcW w:w="1018" w:type="dxa"/>
            <w:noWrap/>
            <w:vAlign w:val="center"/>
          </w:tcPr>
          <w:p>
            <w:pPr>
              <w:widowControl/>
              <w:adjustRightInd w:val="0"/>
              <w:spacing w:line="280" w:lineRule="exact"/>
              <w:jc w:val="center"/>
              <w:rPr>
                <w:rFonts w:ascii="Times New Roman" w:hAnsi="Times New Roman"/>
              </w:rPr>
            </w:pPr>
            <w:r>
              <w:rPr>
                <w:rFonts w:ascii="Times New Roman" w:hAnsi="Times New Roman"/>
              </w:rPr>
              <w:t>小时值</w:t>
            </w:r>
          </w:p>
        </w:tc>
        <w:tc>
          <w:tcPr>
            <w:tcW w:w="963" w:type="dxa"/>
            <w:noWrap/>
            <w:vAlign w:val="center"/>
          </w:tcPr>
          <w:p>
            <w:pPr>
              <w:spacing w:line="280" w:lineRule="exact"/>
              <w:jc w:val="center"/>
              <w:rPr>
                <w:rFonts w:ascii="Times New Roman" w:hAnsi="Times New Roman"/>
              </w:rPr>
            </w:pPr>
            <w:r>
              <w:rPr>
                <w:rFonts w:ascii="Times New Roman" w:hAnsi="Times New Roman"/>
              </w:rPr>
              <w:t>10</w:t>
            </w:r>
          </w:p>
        </w:tc>
        <w:tc>
          <w:tcPr>
            <w:tcW w:w="964" w:type="dxa"/>
            <w:noWrap/>
            <w:vAlign w:val="center"/>
          </w:tcPr>
          <w:p>
            <w:pPr>
              <w:spacing w:line="280" w:lineRule="exact"/>
              <w:rPr>
                <w:rFonts w:ascii="Times New Roman" w:hAnsi="Times New Roman"/>
              </w:rPr>
            </w:pPr>
            <w:r>
              <w:rPr>
                <w:rFonts w:ascii="Times New Roman" w:hAnsi="Times New Roman"/>
              </w:rPr>
              <w:t>0.2L</w:t>
            </w:r>
          </w:p>
        </w:tc>
        <w:tc>
          <w:tcPr>
            <w:tcW w:w="814" w:type="dxa"/>
            <w:noWrap/>
            <w:vAlign w:val="center"/>
          </w:tcPr>
          <w:p>
            <w:pPr>
              <w:widowControl/>
              <w:spacing w:line="280" w:lineRule="exact"/>
              <w:jc w:val="center"/>
              <w:rPr>
                <w:rFonts w:ascii="Times New Roman" w:hAnsi="Times New Roman"/>
              </w:rPr>
            </w:pPr>
            <w:r>
              <w:rPr>
                <w:rFonts w:ascii="Times New Roman" w:hAnsi="Times New Roman"/>
              </w:rPr>
              <w:t>/</w:t>
            </w:r>
          </w:p>
        </w:tc>
        <w:tc>
          <w:tcPr>
            <w:tcW w:w="678" w:type="dxa"/>
            <w:noWrap/>
            <w:vAlign w:val="center"/>
          </w:tcPr>
          <w:p>
            <w:pPr>
              <w:spacing w:line="280" w:lineRule="exact"/>
              <w:jc w:val="center"/>
              <w:rPr>
                <w:rFonts w:ascii="Times New Roman" w:hAnsi="Times New Roman"/>
              </w:rPr>
            </w:pPr>
            <w:r>
              <w:rPr>
                <w:rFonts w:ascii="Times New Roman" w:hAnsi="Times New Roman"/>
              </w:rPr>
              <w:t>0</w:t>
            </w:r>
          </w:p>
        </w:tc>
        <w:tc>
          <w:tcPr>
            <w:tcW w:w="780" w:type="dxa"/>
            <w:noWrap/>
            <w:vAlign w:val="center"/>
          </w:tcPr>
          <w:p>
            <w:pPr>
              <w:spacing w:line="280" w:lineRule="exact"/>
              <w:jc w:val="center"/>
              <w:rPr>
                <w:rFonts w:ascii="Times New Roman" w:hAnsi="Times New Roman"/>
              </w:rPr>
            </w:pPr>
            <w:r>
              <w:rPr>
                <w:rFonts w:ascii="Times New Roman" w:hAnsi="Times New Roma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37" w:type="dxa"/>
            <w:vMerge w:val="continue"/>
            <w:noWrap/>
            <w:vAlign w:val="center"/>
          </w:tcPr>
          <w:p>
            <w:pPr>
              <w:spacing w:line="280" w:lineRule="exact"/>
              <w:rPr>
                <w:rFonts w:ascii="Times New Roman" w:hAnsi="Times New Roman"/>
              </w:rPr>
            </w:pPr>
          </w:p>
        </w:tc>
        <w:tc>
          <w:tcPr>
            <w:tcW w:w="623" w:type="dxa"/>
            <w:vMerge w:val="continue"/>
            <w:noWrap/>
            <w:vAlign w:val="center"/>
          </w:tcPr>
          <w:p>
            <w:pPr>
              <w:widowControl/>
              <w:spacing w:line="280" w:lineRule="exact"/>
              <w:rPr>
                <w:rFonts w:ascii="Times New Roman" w:hAnsi="Times New Roman"/>
              </w:rPr>
            </w:pPr>
          </w:p>
        </w:tc>
        <w:tc>
          <w:tcPr>
            <w:tcW w:w="623" w:type="dxa"/>
            <w:vMerge w:val="continue"/>
            <w:noWrap/>
            <w:vAlign w:val="center"/>
          </w:tcPr>
          <w:p>
            <w:pPr>
              <w:widowControl/>
              <w:spacing w:line="280" w:lineRule="exact"/>
              <w:rPr>
                <w:rFonts w:ascii="Times New Roman" w:hAnsi="Times New Roman"/>
              </w:rPr>
            </w:pPr>
          </w:p>
        </w:tc>
        <w:tc>
          <w:tcPr>
            <w:tcW w:w="1211" w:type="dxa"/>
            <w:tcBorders>
              <w:top w:val="single" w:color="auto" w:sz="4" w:space="0"/>
              <w:bottom w:val="single" w:color="auto" w:sz="4" w:space="0"/>
            </w:tcBorders>
            <w:noWrap/>
            <w:vAlign w:val="center"/>
          </w:tcPr>
          <w:p>
            <w:pPr>
              <w:widowControl/>
              <w:adjustRightInd w:val="0"/>
              <w:jc w:val="center"/>
              <w:textAlignment w:val="center"/>
              <w:rPr>
                <w:rFonts w:ascii="Times New Roman" w:hAnsi="Times New Roman"/>
              </w:rPr>
            </w:pPr>
            <w:r>
              <w:rPr>
                <w:rFonts w:ascii="Times New Roman" w:hAnsi="Times New Roman"/>
              </w:rPr>
              <w:t>臭气浓度</w:t>
            </w:r>
          </w:p>
        </w:tc>
        <w:tc>
          <w:tcPr>
            <w:tcW w:w="1018" w:type="dxa"/>
            <w:noWrap/>
            <w:vAlign w:val="center"/>
          </w:tcPr>
          <w:p>
            <w:pPr>
              <w:widowControl/>
              <w:adjustRightInd w:val="0"/>
              <w:spacing w:line="280" w:lineRule="exact"/>
              <w:jc w:val="center"/>
              <w:rPr>
                <w:rFonts w:ascii="Times New Roman" w:hAnsi="Times New Roman"/>
              </w:rPr>
            </w:pPr>
            <w:r>
              <w:rPr>
                <w:rFonts w:ascii="Times New Roman" w:hAnsi="Times New Roman"/>
              </w:rPr>
              <w:t>小时值</w:t>
            </w:r>
          </w:p>
        </w:tc>
        <w:tc>
          <w:tcPr>
            <w:tcW w:w="963" w:type="dxa"/>
            <w:noWrap/>
            <w:vAlign w:val="center"/>
          </w:tcPr>
          <w:p>
            <w:pPr>
              <w:spacing w:line="280" w:lineRule="exact"/>
              <w:jc w:val="center"/>
              <w:rPr>
                <w:rFonts w:ascii="Times New Roman" w:hAnsi="Times New Roman"/>
              </w:rPr>
            </w:pPr>
            <w:r>
              <w:rPr>
                <w:rFonts w:ascii="Times New Roman" w:hAnsi="Times New Roman"/>
              </w:rPr>
              <w:t>20</w:t>
            </w:r>
          </w:p>
        </w:tc>
        <w:tc>
          <w:tcPr>
            <w:tcW w:w="964" w:type="dxa"/>
            <w:noWrap/>
            <w:vAlign w:val="center"/>
          </w:tcPr>
          <w:p>
            <w:pPr>
              <w:spacing w:line="280" w:lineRule="exact"/>
              <w:rPr>
                <w:rFonts w:ascii="Times New Roman" w:hAnsi="Times New Roman"/>
              </w:rPr>
            </w:pPr>
            <w:r>
              <w:rPr>
                <w:rFonts w:ascii="Times New Roman" w:hAnsi="Times New Roman"/>
              </w:rPr>
              <w:t>10L</w:t>
            </w:r>
          </w:p>
        </w:tc>
        <w:tc>
          <w:tcPr>
            <w:tcW w:w="814" w:type="dxa"/>
            <w:noWrap/>
            <w:vAlign w:val="center"/>
          </w:tcPr>
          <w:p>
            <w:pPr>
              <w:widowControl/>
              <w:spacing w:line="280" w:lineRule="exact"/>
              <w:jc w:val="center"/>
              <w:rPr>
                <w:rFonts w:ascii="Times New Roman" w:hAnsi="Times New Roman"/>
              </w:rPr>
            </w:pPr>
            <w:r>
              <w:rPr>
                <w:rFonts w:ascii="Times New Roman" w:hAnsi="Times New Roman"/>
              </w:rPr>
              <w:t>/</w:t>
            </w:r>
          </w:p>
        </w:tc>
        <w:tc>
          <w:tcPr>
            <w:tcW w:w="678" w:type="dxa"/>
            <w:noWrap/>
            <w:vAlign w:val="center"/>
          </w:tcPr>
          <w:p>
            <w:pPr>
              <w:spacing w:line="280" w:lineRule="exact"/>
              <w:jc w:val="center"/>
              <w:rPr>
                <w:rFonts w:ascii="Times New Roman" w:hAnsi="Times New Roman"/>
              </w:rPr>
            </w:pPr>
            <w:r>
              <w:rPr>
                <w:rFonts w:ascii="Times New Roman" w:hAnsi="Times New Roman"/>
              </w:rPr>
              <w:t>0</w:t>
            </w:r>
          </w:p>
        </w:tc>
        <w:tc>
          <w:tcPr>
            <w:tcW w:w="780" w:type="dxa"/>
            <w:noWrap/>
            <w:vAlign w:val="center"/>
          </w:tcPr>
          <w:p>
            <w:pPr>
              <w:spacing w:line="280" w:lineRule="exact"/>
              <w:jc w:val="center"/>
              <w:rPr>
                <w:rFonts w:ascii="Times New Roman" w:hAnsi="Times New Roman"/>
              </w:rPr>
            </w:pPr>
            <w:r>
              <w:rPr>
                <w:rFonts w:ascii="Times New Roman" w:hAnsi="Times New Roma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0" w:hRule="atLeast"/>
        </w:trPr>
        <w:tc>
          <w:tcPr>
            <w:tcW w:w="637" w:type="dxa"/>
            <w:vMerge w:val="restart"/>
            <w:noWrap/>
            <w:vAlign w:val="center"/>
          </w:tcPr>
          <w:p>
            <w:pPr>
              <w:rPr>
                <w:rFonts w:ascii="Times New Roman" w:hAnsi="Times New Roman"/>
              </w:rPr>
            </w:pPr>
            <w:r>
              <w:rPr>
                <w:rFonts w:ascii="Times New Roman" w:hAnsi="Times New Roman"/>
              </w:rPr>
              <w:t>2</w:t>
            </w:r>
          </w:p>
        </w:tc>
        <w:tc>
          <w:tcPr>
            <w:tcW w:w="623" w:type="dxa"/>
            <w:vMerge w:val="restart"/>
            <w:noWrap/>
            <w:vAlign w:val="center"/>
          </w:tcPr>
          <w:p>
            <w:pPr>
              <w:widowControl/>
              <w:adjustRightInd w:val="0"/>
              <w:rPr>
                <w:rFonts w:ascii="Times New Roman" w:hAnsi="Times New Roman"/>
              </w:rPr>
            </w:pPr>
            <w:r>
              <w:rPr>
                <w:rFonts w:ascii="Times New Roman" w:hAnsi="Times New Roman"/>
              </w:rPr>
              <w:t>131.305944</w:t>
            </w:r>
          </w:p>
        </w:tc>
        <w:tc>
          <w:tcPr>
            <w:tcW w:w="623" w:type="dxa"/>
            <w:vMerge w:val="restart"/>
            <w:noWrap/>
            <w:vAlign w:val="center"/>
          </w:tcPr>
          <w:p>
            <w:pPr>
              <w:widowControl/>
              <w:adjustRightInd w:val="0"/>
              <w:rPr>
                <w:rFonts w:ascii="Times New Roman" w:hAnsi="Times New Roman"/>
              </w:rPr>
            </w:pPr>
            <w:r>
              <w:rPr>
                <w:rFonts w:ascii="Times New Roman" w:hAnsi="Times New Roman"/>
              </w:rPr>
              <w:t>46.636922</w:t>
            </w:r>
          </w:p>
        </w:tc>
        <w:tc>
          <w:tcPr>
            <w:tcW w:w="1211" w:type="dxa"/>
            <w:noWrap/>
            <w:vAlign w:val="center"/>
          </w:tcPr>
          <w:p>
            <w:pPr>
              <w:jc w:val="center"/>
              <w:rPr>
                <w:rFonts w:ascii="Times New Roman" w:hAnsi="Times New Roman"/>
              </w:rPr>
            </w:pPr>
            <w:r>
              <w:rPr>
                <w:rFonts w:ascii="Times New Roman" w:hAnsi="Times New Roman"/>
              </w:rPr>
              <w:t>TSP</w:t>
            </w:r>
          </w:p>
        </w:tc>
        <w:tc>
          <w:tcPr>
            <w:tcW w:w="1018" w:type="dxa"/>
            <w:noWrap/>
            <w:vAlign w:val="center"/>
          </w:tcPr>
          <w:p>
            <w:pPr>
              <w:widowControl/>
              <w:adjustRightInd w:val="0"/>
              <w:jc w:val="center"/>
              <w:rPr>
                <w:rFonts w:ascii="Times New Roman" w:hAnsi="Times New Roman"/>
              </w:rPr>
            </w:pPr>
            <w:r>
              <w:rPr>
                <w:rFonts w:ascii="Times New Roman" w:hAnsi="Times New Roman"/>
              </w:rPr>
              <w:t>日均值</w:t>
            </w:r>
          </w:p>
        </w:tc>
        <w:tc>
          <w:tcPr>
            <w:tcW w:w="963" w:type="dxa"/>
            <w:noWrap/>
            <w:vAlign w:val="center"/>
          </w:tcPr>
          <w:p>
            <w:pPr>
              <w:jc w:val="center"/>
              <w:rPr>
                <w:rFonts w:ascii="Times New Roman" w:hAnsi="Times New Roman"/>
              </w:rPr>
            </w:pPr>
            <w:r>
              <w:rPr>
                <w:rFonts w:ascii="Times New Roman" w:hAnsi="Times New Roman"/>
              </w:rPr>
              <w:t>300</w:t>
            </w:r>
          </w:p>
        </w:tc>
        <w:tc>
          <w:tcPr>
            <w:tcW w:w="964" w:type="dxa"/>
            <w:noWrap/>
            <w:vAlign w:val="center"/>
          </w:tcPr>
          <w:p>
            <w:pPr>
              <w:widowControl/>
              <w:rPr>
                <w:rFonts w:ascii="Times New Roman" w:hAnsi="Times New Roman"/>
              </w:rPr>
            </w:pPr>
            <w:r>
              <w:rPr>
                <w:rFonts w:ascii="Times New Roman" w:hAnsi="Times New Roman"/>
              </w:rPr>
              <w:t>77~100</w:t>
            </w:r>
          </w:p>
        </w:tc>
        <w:tc>
          <w:tcPr>
            <w:tcW w:w="814" w:type="dxa"/>
            <w:noWrap/>
            <w:vAlign w:val="center"/>
          </w:tcPr>
          <w:p>
            <w:pPr>
              <w:widowControl/>
              <w:jc w:val="center"/>
              <w:rPr>
                <w:rFonts w:ascii="Times New Roman" w:hAnsi="Times New Roman"/>
              </w:rPr>
            </w:pPr>
            <w:r>
              <w:rPr>
                <w:rFonts w:ascii="Times New Roman" w:hAnsi="Times New Roman"/>
              </w:rPr>
              <w:t>33.33</w:t>
            </w:r>
          </w:p>
        </w:tc>
        <w:tc>
          <w:tcPr>
            <w:tcW w:w="678" w:type="dxa"/>
            <w:noWrap/>
            <w:vAlign w:val="center"/>
          </w:tcPr>
          <w:p>
            <w:pPr>
              <w:jc w:val="center"/>
              <w:rPr>
                <w:rFonts w:ascii="Times New Roman" w:hAnsi="Times New Roman"/>
              </w:rPr>
            </w:pPr>
            <w:r>
              <w:rPr>
                <w:rFonts w:ascii="Times New Roman" w:hAnsi="Times New Roman"/>
              </w:rPr>
              <w:t>0</w:t>
            </w:r>
          </w:p>
        </w:tc>
        <w:tc>
          <w:tcPr>
            <w:tcW w:w="780" w:type="dxa"/>
            <w:noWrap/>
            <w:vAlign w:val="center"/>
          </w:tcPr>
          <w:p>
            <w:pPr>
              <w:jc w:val="center"/>
              <w:rPr>
                <w:rFonts w:ascii="Times New Roman" w:hAnsi="Times New Roman"/>
              </w:rPr>
            </w:pPr>
            <w:r>
              <w:rPr>
                <w:rFonts w:ascii="Times New Roman" w:hAnsi="Times New Roma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37" w:type="dxa"/>
            <w:vMerge w:val="continue"/>
            <w:noWrap/>
            <w:vAlign w:val="center"/>
          </w:tcPr>
          <w:p>
            <w:pPr>
              <w:rPr>
                <w:rFonts w:ascii="Times New Roman" w:hAnsi="Times New Roman"/>
              </w:rPr>
            </w:pPr>
          </w:p>
        </w:tc>
        <w:tc>
          <w:tcPr>
            <w:tcW w:w="623" w:type="dxa"/>
            <w:vMerge w:val="continue"/>
            <w:noWrap/>
            <w:vAlign w:val="center"/>
          </w:tcPr>
          <w:p>
            <w:pPr>
              <w:widowControl/>
              <w:adjustRightInd w:val="0"/>
              <w:rPr>
                <w:rFonts w:ascii="Times New Roman" w:hAnsi="Times New Roman"/>
              </w:rPr>
            </w:pPr>
          </w:p>
        </w:tc>
        <w:tc>
          <w:tcPr>
            <w:tcW w:w="623" w:type="dxa"/>
            <w:vMerge w:val="continue"/>
            <w:noWrap/>
            <w:vAlign w:val="center"/>
          </w:tcPr>
          <w:p>
            <w:pPr>
              <w:widowControl/>
              <w:adjustRightInd w:val="0"/>
              <w:rPr>
                <w:rFonts w:ascii="Times New Roman" w:hAnsi="Times New Roman"/>
              </w:rPr>
            </w:pPr>
          </w:p>
        </w:tc>
        <w:tc>
          <w:tcPr>
            <w:tcW w:w="1211" w:type="dxa"/>
            <w:noWrap/>
            <w:vAlign w:val="center"/>
          </w:tcPr>
          <w:p>
            <w:pPr>
              <w:jc w:val="center"/>
              <w:rPr>
                <w:rFonts w:ascii="Times New Roman" w:hAnsi="Times New Roman"/>
              </w:rPr>
            </w:pPr>
            <w:r>
              <w:rPr>
                <w:rFonts w:ascii="Times New Roman" w:hAnsi="Times New Roman"/>
              </w:rPr>
              <w:t>TVOC</w:t>
            </w:r>
          </w:p>
        </w:tc>
        <w:tc>
          <w:tcPr>
            <w:tcW w:w="1018" w:type="dxa"/>
            <w:noWrap/>
            <w:vAlign w:val="center"/>
          </w:tcPr>
          <w:p>
            <w:pPr>
              <w:widowControl/>
              <w:adjustRightInd w:val="0"/>
              <w:jc w:val="center"/>
              <w:rPr>
                <w:rFonts w:ascii="Times New Roman" w:hAnsi="Times New Roman"/>
              </w:rPr>
            </w:pPr>
            <w:r>
              <w:rPr>
                <w:rFonts w:ascii="Times New Roman" w:hAnsi="Times New Roman"/>
              </w:rPr>
              <w:t>8小时平均浓度</w:t>
            </w:r>
          </w:p>
        </w:tc>
        <w:tc>
          <w:tcPr>
            <w:tcW w:w="963" w:type="dxa"/>
            <w:noWrap/>
            <w:vAlign w:val="center"/>
          </w:tcPr>
          <w:p>
            <w:pPr>
              <w:jc w:val="center"/>
              <w:rPr>
                <w:rFonts w:ascii="Times New Roman" w:hAnsi="Times New Roman"/>
              </w:rPr>
            </w:pPr>
            <w:r>
              <w:rPr>
                <w:rFonts w:ascii="Times New Roman" w:hAnsi="Times New Roman"/>
              </w:rPr>
              <w:t>60</w:t>
            </w:r>
          </w:p>
        </w:tc>
        <w:tc>
          <w:tcPr>
            <w:tcW w:w="964" w:type="dxa"/>
            <w:noWrap/>
            <w:vAlign w:val="center"/>
          </w:tcPr>
          <w:p>
            <w:pPr>
              <w:widowControl/>
              <w:rPr>
                <w:rFonts w:ascii="Times New Roman" w:hAnsi="Times New Roman"/>
              </w:rPr>
            </w:pPr>
            <w:r>
              <w:rPr>
                <w:rFonts w:ascii="Times New Roman" w:hAnsi="Times New Roman"/>
              </w:rPr>
              <w:t>未检出</w:t>
            </w:r>
          </w:p>
        </w:tc>
        <w:tc>
          <w:tcPr>
            <w:tcW w:w="814" w:type="dxa"/>
            <w:noWrap/>
            <w:vAlign w:val="center"/>
          </w:tcPr>
          <w:p>
            <w:pPr>
              <w:widowControl/>
              <w:jc w:val="center"/>
              <w:rPr>
                <w:rFonts w:ascii="Times New Roman" w:hAnsi="Times New Roman"/>
              </w:rPr>
            </w:pPr>
            <w:r>
              <w:rPr>
                <w:rFonts w:ascii="Times New Roman" w:hAnsi="Times New Roman"/>
              </w:rPr>
              <w:t>/</w:t>
            </w:r>
          </w:p>
        </w:tc>
        <w:tc>
          <w:tcPr>
            <w:tcW w:w="678" w:type="dxa"/>
            <w:noWrap/>
            <w:vAlign w:val="center"/>
          </w:tcPr>
          <w:p>
            <w:pPr>
              <w:jc w:val="center"/>
              <w:rPr>
                <w:rFonts w:ascii="Times New Roman" w:hAnsi="Times New Roman"/>
              </w:rPr>
            </w:pPr>
            <w:r>
              <w:rPr>
                <w:rFonts w:ascii="Times New Roman" w:hAnsi="Times New Roman"/>
              </w:rPr>
              <w:t>0</w:t>
            </w:r>
          </w:p>
        </w:tc>
        <w:tc>
          <w:tcPr>
            <w:tcW w:w="780" w:type="dxa"/>
            <w:noWrap/>
            <w:vAlign w:val="center"/>
          </w:tcPr>
          <w:p>
            <w:pPr>
              <w:jc w:val="center"/>
              <w:rPr>
                <w:rFonts w:ascii="Times New Roman" w:hAnsi="Times New Roman"/>
              </w:rPr>
            </w:pPr>
            <w:r>
              <w:rPr>
                <w:rFonts w:ascii="Times New Roman" w:hAnsi="Times New Roma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37" w:type="dxa"/>
            <w:vMerge w:val="continue"/>
            <w:noWrap/>
            <w:vAlign w:val="center"/>
          </w:tcPr>
          <w:p>
            <w:pPr>
              <w:rPr>
                <w:rFonts w:ascii="Times New Roman" w:hAnsi="Times New Roman"/>
              </w:rPr>
            </w:pPr>
          </w:p>
        </w:tc>
        <w:tc>
          <w:tcPr>
            <w:tcW w:w="623" w:type="dxa"/>
            <w:vMerge w:val="continue"/>
            <w:noWrap/>
            <w:vAlign w:val="center"/>
          </w:tcPr>
          <w:p>
            <w:pPr>
              <w:widowControl/>
              <w:rPr>
                <w:rFonts w:ascii="Times New Roman" w:hAnsi="Times New Roman"/>
              </w:rPr>
            </w:pPr>
          </w:p>
        </w:tc>
        <w:tc>
          <w:tcPr>
            <w:tcW w:w="623" w:type="dxa"/>
            <w:vMerge w:val="continue"/>
            <w:noWrap/>
            <w:vAlign w:val="center"/>
          </w:tcPr>
          <w:p>
            <w:pPr>
              <w:widowControl/>
              <w:rPr>
                <w:rFonts w:ascii="Times New Roman" w:hAnsi="Times New Roman"/>
              </w:rPr>
            </w:pPr>
          </w:p>
        </w:tc>
        <w:tc>
          <w:tcPr>
            <w:tcW w:w="1211" w:type="dxa"/>
            <w:noWrap/>
            <w:vAlign w:val="center"/>
          </w:tcPr>
          <w:p>
            <w:pPr>
              <w:jc w:val="center"/>
              <w:rPr>
                <w:rFonts w:ascii="Times New Roman" w:hAnsi="Times New Roman"/>
              </w:rPr>
            </w:pPr>
            <w:r>
              <w:rPr>
                <w:rFonts w:ascii="Times New Roman" w:hAnsi="Times New Roman"/>
              </w:rPr>
              <w:t>非甲烷总烃</w:t>
            </w:r>
          </w:p>
        </w:tc>
        <w:tc>
          <w:tcPr>
            <w:tcW w:w="1018" w:type="dxa"/>
            <w:noWrap/>
            <w:vAlign w:val="center"/>
          </w:tcPr>
          <w:p>
            <w:pPr>
              <w:widowControl/>
              <w:adjustRightInd w:val="0"/>
              <w:jc w:val="center"/>
              <w:rPr>
                <w:rFonts w:ascii="Times New Roman" w:hAnsi="Times New Roman"/>
              </w:rPr>
            </w:pPr>
            <w:r>
              <w:rPr>
                <w:rFonts w:ascii="Times New Roman" w:hAnsi="Times New Roman"/>
              </w:rPr>
              <w:t>小时值</w:t>
            </w:r>
          </w:p>
        </w:tc>
        <w:tc>
          <w:tcPr>
            <w:tcW w:w="963" w:type="dxa"/>
            <w:noWrap/>
            <w:vAlign w:val="center"/>
          </w:tcPr>
          <w:p>
            <w:pPr>
              <w:jc w:val="center"/>
              <w:rPr>
                <w:rFonts w:ascii="Times New Roman" w:hAnsi="Times New Roman"/>
              </w:rPr>
            </w:pPr>
            <w:r>
              <w:rPr>
                <w:rFonts w:ascii="Times New Roman" w:hAnsi="Times New Roman"/>
              </w:rPr>
              <w:t>2000</w:t>
            </w:r>
          </w:p>
        </w:tc>
        <w:tc>
          <w:tcPr>
            <w:tcW w:w="964" w:type="dxa"/>
            <w:noWrap/>
            <w:vAlign w:val="center"/>
          </w:tcPr>
          <w:p>
            <w:pPr>
              <w:widowControl/>
              <w:rPr>
                <w:rFonts w:ascii="Times New Roman" w:hAnsi="Times New Roman"/>
              </w:rPr>
            </w:pPr>
            <w:r>
              <w:rPr>
                <w:rFonts w:ascii="Times New Roman" w:hAnsi="Times New Roman"/>
              </w:rPr>
              <w:t>0.007L</w:t>
            </w:r>
          </w:p>
        </w:tc>
        <w:tc>
          <w:tcPr>
            <w:tcW w:w="814" w:type="dxa"/>
            <w:noWrap/>
            <w:vAlign w:val="center"/>
          </w:tcPr>
          <w:p>
            <w:pPr>
              <w:widowControl/>
              <w:jc w:val="center"/>
              <w:rPr>
                <w:rFonts w:ascii="Times New Roman" w:hAnsi="Times New Roman"/>
              </w:rPr>
            </w:pPr>
            <w:r>
              <w:rPr>
                <w:rFonts w:ascii="Times New Roman" w:hAnsi="Times New Roman"/>
              </w:rPr>
              <w:t>/</w:t>
            </w:r>
          </w:p>
        </w:tc>
        <w:tc>
          <w:tcPr>
            <w:tcW w:w="678" w:type="dxa"/>
            <w:noWrap/>
            <w:vAlign w:val="center"/>
          </w:tcPr>
          <w:p>
            <w:pPr>
              <w:jc w:val="center"/>
              <w:rPr>
                <w:rFonts w:ascii="Times New Roman" w:hAnsi="Times New Roman"/>
              </w:rPr>
            </w:pPr>
            <w:r>
              <w:rPr>
                <w:rFonts w:ascii="Times New Roman" w:hAnsi="Times New Roman"/>
              </w:rPr>
              <w:t>0</w:t>
            </w:r>
          </w:p>
        </w:tc>
        <w:tc>
          <w:tcPr>
            <w:tcW w:w="780" w:type="dxa"/>
            <w:noWrap/>
            <w:vAlign w:val="center"/>
          </w:tcPr>
          <w:p>
            <w:pPr>
              <w:jc w:val="center"/>
              <w:rPr>
                <w:rFonts w:ascii="Times New Roman" w:hAnsi="Times New Roman"/>
              </w:rPr>
            </w:pPr>
            <w:r>
              <w:rPr>
                <w:rFonts w:ascii="Times New Roman" w:hAnsi="Times New Roma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0" w:hRule="atLeast"/>
        </w:trPr>
        <w:tc>
          <w:tcPr>
            <w:tcW w:w="637" w:type="dxa"/>
            <w:vMerge w:val="continue"/>
            <w:noWrap/>
            <w:vAlign w:val="center"/>
          </w:tcPr>
          <w:p>
            <w:pPr>
              <w:rPr>
                <w:rFonts w:ascii="Times New Roman" w:hAnsi="Times New Roman"/>
              </w:rPr>
            </w:pPr>
          </w:p>
        </w:tc>
        <w:tc>
          <w:tcPr>
            <w:tcW w:w="623" w:type="dxa"/>
            <w:vMerge w:val="continue"/>
            <w:noWrap/>
            <w:vAlign w:val="center"/>
          </w:tcPr>
          <w:p>
            <w:pPr>
              <w:widowControl/>
              <w:rPr>
                <w:rFonts w:ascii="Times New Roman" w:hAnsi="Times New Roman"/>
              </w:rPr>
            </w:pPr>
          </w:p>
        </w:tc>
        <w:tc>
          <w:tcPr>
            <w:tcW w:w="623" w:type="dxa"/>
            <w:vMerge w:val="continue"/>
            <w:noWrap/>
            <w:vAlign w:val="center"/>
          </w:tcPr>
          <w:p>
            <w:pPr>
              <w:widowControl/>
              <w:rPr>
                <w:rFonts w:ascii="Times New Roman" w:hAnsi="Times New Roman"/>
              </w:rPr>
            </w:pPr>
          </w:p>
        </w:tc>
        <w:tc>
          <w:tcPr>
            <w:tcW w:w="1211" w:type="dxa"/>
            <w:noWrap/>
            <w:vAlign w:val="center"/>
          </w:tcPr>
          <w:p>
            <w:pPr>
              <w:widowControl/>
              <w:adjustRightInd w:val="0"/>
              <w:jc w:val="center"/>
              <w:textAlignment w:val="center"/>
              <w:rPr>
                <w:rFonts w:ascii="Times New Roman" w:hAnsi="Times New Roman"/>
              </w:rPr>
            </w:pPr>
            <w:r>
              <w:rPr>
                <w:rFonts w:ascii="Times New Roman" w:hAnsi="Times New Roman"/>
              </w:rPr>
              <w:t>氨</w:t>
            </w:r>
          </w:p>
        </w:tc>
        <w:tc>
          <w:tcPr>
            <w:tcW w:w="1018" w:type="dxa"/>
            <w:noWrap/>
            <w:vAlign w:val="center"/>
          </w:tcPr>
          <w:p>
            <w:pPr>
              <w:widowControl/>
              <w:adjustRightInd w:val="0"/>
              <w:jc w:val="center"/>
              <w:rPr>
                <w:rFonts w:ascii="Times New Roman" w:hAnsi="Times New Roman"/>
              </w:rPr>
            </w:pPr>
            <w:r>
              <w:rPr>
                <w:rFonts w:ascii="Times New Roman" w:hAnsi="Times New Roman"/>
              </w:rPr>
              <w:t>小时值</w:t>
            </w:r>
          </w:p>
        </w:tc>
        <w:tc>
          <w:tcPr>
            <w:tcW w:w="963" w:type="dxa"/>
            <w:noWrap/>
            <w:vAlign w:val="center"/>
          </w:tcPr>
          <w:p>
            <w:pPr>
              <w:jc w:val="center"/>
              <w:rPr>
                <w:rFonts w:ascii="Times New Roman" w:hAnsi="Times New Roman"/>
              </w:rPr>
            </w:pPr>
            <w:r>
              <w:rPr>
                <w:rFonts w:ascii="Times New Roman" w:hAnsi="Times New Roman"/>
              </w:rPr>
              <w:t>200</w:t>
            </w:r>
          </w:p>
        </w:tc>
        <w:tc>
          <w:tcPr>
            <w:tcW w:w="964" w:type="dxa"/>
            <w:noWrap/>
            <w:vAlign w:val="center"/>
          </w:tcPr>
          <w:p>
            <w:pPr>
              <w:widowControl/>
              <w:rPr>
                <w:rFonts w:ascii="Times New Roman" w:hAnsi="Times New Roman"/>
              </w:rPr>
            </w:pPr>
            <w:r>
              <w:rPr>
                <w:rFonts w:ascii="Times New Roman" w:hAnsi="Times New Roman"/>
              </w:rPr>
              <w:t>10L</w:t>
            </w:r>
          </w:p>
        </w:tc>
        <w:tc>
          <w:tcPr>
            <w:tcW w:w="814" w:type="dxa"/>
            <w:noWrap/>
            <w:vAlign w:val="center"/>
          </w:tcPr>
          <w:p>
            <w:pPr>
              <w:widowControl/>
              <w:jc w:val="center"/>
              <w:rPr>
                <w:rFonts w:ascii="Times New Roman" w:hAnsi="Times New Roman"/>
              </w:rPr>
            </w:pPr>
            <w:r>
              <w:rPr>
                <w:rFonts w:ascii="Times New Roman" w:hAnsi="Times New Roman"/>
              </w:rPr>
              <w:t>/</w:t>
            </w:r>
          </w:p>
        </w:tc>
        <w:tc>
          <w:tcPr>
            <w:tcW w:w="678" w:type="dxa"/>
            <w:noWrap/>
            <w:vAlign w:val="center"/>
          </w:tcPr>
          <w:p>
            <w:pPr>
              <w:jc w:val="center"/>
              <w:rPr>
                <w:rFonts w:ascii="Times New Roman" w:hAnsi="Times New Roman"/>
              </w:rPr>
            </w:pPr>
            <w:r>
              <w:rPr>
                <w:rFonts w:ascii="Times New Roman" w:hAnsi="Times New Roman"/>
              </w:rPr>
              <w:t>0</w:t>
            </w:r>
          </w:p>
        </w:tc>
        <w:tc>
          <w:tcPr>
            <w:tcW w:w="780" w:type="dxa"/>
            <w:noWrap/>
            <w:vAlign w:val="center"/>
          </w:tcPr>
          <w:p>
            <w:pPr>
              <w:jc w:val="center"/>
              <w:rPr>
                <w:rFonts w:ascii="Times New Roman" w:hAnsi="Times New Roman"/>
              </w:rPr>
            </w:pPr>
            <w:r>
              <w:rPr>
                <w:rFonts w:ascii="Times New Roman" w:hAnsi="Times New Roma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37" w:type="dxa"/>
            <w:vMerge w:val="continue"/>
            <w:noWrap/>
            <w:vAlign w:val="center"/>
          </w:tcPr>
          <w:p>
            <w:pPr>
              <w:rPr>
                <w:rFonts w:ascii="Times New Roman" w:hAnsi="Times New Roman"/>
              </w:rPr>
            </w:pPr>
          </w:p>
        </w:tc>
        <w:tc>
          <w:tcPr>
            <w:tcW w:w="623" w:type="dxa"/>
            <w:vMerge w:val="continue"/>
            <w:noWrap/>
            <w:vAlign w:val="center"/>
          </w:tcPr>
          <w:p>
            <w:pPr>
              <w:widowControl/>
              <w:rPr>
                <w:rFonts w:ascii="Times New Roman" w:hAnsi="Times New Roman"/>
              </w:rPr>
            </w:pPr>
          </w:p>
        </w:tc>
        <w:tc>
          <w:tcPr>
            <w:tcW w:w="623" w:type="dxa"/>
            <w:vMerge w:val="continue"/>
            <w:noWrap/>
            <w:vAlign w:val="center"/>
          </w:tcPr>
          <w:p>
            <w:pPr>
              <w:widowControl/>
              <w:rPr>
                <w:rFonts w:ascii="Times New Roman" w:hAnsi="Times New Roman"/>
              </w:rPr>
            </w:pPr>
          </w:p>
        </w:tc>
        <w:tc>
          <w:tcPr>
            <w:tcW w:w="1211" w:type="dxa"/>
            <w:noWrap/>
            <w:vAlign w:val="center"/>
          </w:tcPr>
          <w:p>
            <w:pPr>
              <w:widowControl/>
              <w:adjustRightInd w:val="0"/>
              <w:jc w:val="center"/>
              <w:textAlignment w:val="center"/>
              <w:rPr>
                <w:rFonts w:ascii="Times New Roman" w:hAnsi="Times New Roman"/>
              </w:rPr>
            </w:pPr>
            <w:r>
              <w:rPr>
                <w:rFonts w:ascii="Times New Roman" w:hAnsi="Times New Roman"/>
              </w:rPr>
              <w:t>硫化氢</w:t>
            </w:r>
          </w:p>
        </w:tc>
        <w:tc>
          <w:tcPr>
            <w:tcW w:w="1018" w:type="dxa"/>
            <w:noWrap/>
            <w:vAlign w:val="center"/>
          </w:tcPr>
          <w:p>
            <w:pPr>
              <w:widowControl/>
              <w:adjustRightInd w:val="0"/>
              <w:jc w:val="center"/>
              <w:rPr>
                <w:rFonts w:ascii="Times New Roman" w:hAnsi="Times New Roman"/>
              </w:rPr>
            </w:pPr>
            <w:r>
              <w:rPr>
                <w:rFonts w:ascii="Times New Roman" w:hAnsi="Times New Roman"/>
              </w:rPr>
              <w:t>小时值</w:t>
            </w:r>
          </w:p>
        </w:tc>
        <w:tc>
          <w:tcPr>
            <w:tcW w:w="963" w:type="dxa"/>
            <w:noWrap/>
            <w:vAlign w:val="center"/>
          </w:tcPr>
          <w:p>
            <w:pPr>
              <w:jc w:val="center"/>
              <w:rPr>
                <w:rFonts w:ascii="Times New Roman" w:hAnsi="Times New Roman"/>
              </w:rPr>
            </w:pPr>
            <w:r>
              <w:rPr>
                <w:rFonts w:ascii="Times New Roman" w:hAnsi="Times New Roman"/>
              </w:rPr>
              <w:t>10</w:t>
            </w:r>
          </w:p>
        </w:tc>
        <w:tc>
          <w:tcPr>
            <w:tcW w:w="964" w:type="dxa"/>
            <w:noWrap/>
            <w:vAlign w:val="center"/>
          </w:tcPr>
          <w:p>
            <w:pPr>
              <w:rPr>
                <w:rFonts w:ascii="Times New Roman" w:hAnsi="Times New Roman"/>
              </w:rPr>
            </w:pPr>
            <w:r>
              <w:rPr>
                <w:rFonts w:ascii="Times New Roman" w:hAnsi="Times New Roman"/>
              </w:rPr>
              <w:t>0.2L</w:t>
            </w:r>
          </w:p>
        </w:tc>
        <w:tc>
          <w:tcPr>
            <w:tcW w:w="814" w:type="dxa"/>
            <w:noWrap/>
            <w:vAlign w:val="center"/>
          </w:tcPr>
          <w:p>
            <w:pPr>
              <w:widowControl/>
              <w:jc w:val="center"/>
              <w:rPr>
                <w:rFonts w:ascii="Times New Roman" w:hAnsi="Times New Roman"/>
              </w:rPr>
            </w:pPr>
            <w:r>
              <w:rPr>
                <w:rFonts w:ascii="Times New Roman" w:hAnsi="Times New Roman"/>
              </w:rPr>
              <w:t>/</w:t>
            </w:r>
          </w:p>
        </w:tc>
        <w:tc>
          <w:tcPr>
            <w:tcW w:w="678" w:type="dxa"/>
            <w:noWrap/>
            <w:vAlign w:val="center"/>
          </w:tcPr>
          <w:p>
            <w:pPr>
              <w:jc w:val="center"/>
              <w:rPr>
                <w:rFonts w:ascii="Times New Roman" w:hAnsi="Times New Roman"/>
              </w:rPr>
            </w:pPr>
            <w:r>
              <w:rPr>
                <w:rFonts w:ascii="Times New Roman" w:hAnsi="Times New Roman"/>
              </w:rPr>
              <w:t>0</w:t>
            </w:r>
          </w:p>
        </w:tc>
        <w:tc>
          <w:tcPr>
            <w:tcW w:w="780" w:type="dxa"/>
            <w:noWrap/>
            <w:vAlign w:val="center"/>
          </w:tcPr>
          <w:p>
            <w:pPr>
              <w:jc w:val="center"/>
              <w:rPr>
                <w:rFonts w:ascii="Times New Roman" w:hAnsi="Times New Roman"/>
              </w:rPr>
            </w:pPr>
            <w:r>
              <w:rPr>
                <w:rFonts w:ascii="Times New Roman" w:hAnsi="Times New Roma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37" w:type="dxa"/>
            <w:vMerge w:val="continue"/>
            <w:noWrap/>
            <w:vAlign w:val="center"/>
          </w:tcPr>
          <w:p>
            <w:pPr>
              <w:rPr>
                <w:rFonts w:ascii="Times New Roman" w:hAnsi="Times New Roman"/>
              </w:rPr>
            </w:pPr>
          </w:p>
        </w:tc>
        <w:tc>
          <w:tcPr>
            <w:tcW w:w="623" w:type="dxa"/>
            <w:vMerge w:val="continue"/>
            <w:noWrap/>
            <w:vAlign w:val="center"/>
          </w:tcPr>
          <w:p>
            <w:pPr>
              <w:widowControl/>
              <w:rPr>
                <w:rFonts w:ascii="Times New Roman" w:hAnsi="Times New Roman"/>
              </w:rPr>
            </w:pPr>
          </w:p>
        </w:tc>
        <w:tc>
          <w:tcPr>
            <w:tcW w:w="623" w:type="dxa"/>
            <w:vMerge w:val="continue"/>
            <w:noWrap/>
            <w:vAlign w:val="center"/>
          </w:tcPr>
          <w:p>
            <w:pPr>
              <w:widowControl/>
              <w:rPr>
                <w:rFonts w:ascii="Times New Roman" w:hAnsi="Times New Roman"/>
              </w:rPr>
            </w:pPr>
          </w:p>
        </w:tc>
        <w:tc>
          <w:tcPr>
            <w:tcW w:w="1211" w:type="dxa"/>
            <w:noWrap/>
            <w:vAlign w:val="center"/>
          </w:tcPr>
          <w:p>
            <w:pPr>
              <w:widowControl/>
              <w:adjustRightInd w:val="0"/>
              <w:jc w:val="center"/>
              <w:textAlignment w:val="center"/>
              <w:rPr>
                <w:rFonts w:ascii="Times New Roman" w:hAnsi="Times New Roman"/>
              </w:rPr>
            </w:pPr>
            <w:r>
              <w:rPr>
                <w:rFonts w:ascii="Times New Roman" w:hAnsi="Times New Roman"/>
              </w:rPr>
              <w:t>臭气浓度</w:t>
            </w:r>
          </w:p>
        </w:tc>
        <w:tc>
          <w:tcPr>
            <w:tcW w:w="1018" w:type="dxa"/>
            <w:noWrap/>
            <w:vAlign w:val="center"/>
          </w:tcPr>
          <w:p>
            <w:pPr>
              <w:widowControl/>
              <w:adjustRightInd w:val="0"/>
              <w:jc w:val="center"/>
              <w:rPr>
                <w:rFonts w:ascii="Times New Roman" w:hAnsi="Times New Roman"/>
              </w:rPr>
            </w:pPr>
            <w:r>
              <w:rPr>
                <w:rFonts w:ascii="Times New Roman" w:hAnsi="Times New Roman"/>
              </w:rPr>
              <w:t>小时值</w:t>
            </w:r>
          </w:p>
        </w:tc>
        <w:tc>
          <w:tcPr>
            <w:tcW w:w="963" w:type="dxa"/>
            <w:noWrap/>
            <w:vAlign w:val="center"/>
          </w:tcPr>
          <w:p>
            <w:pPr>
              <w:jc w:val="center"/>
              <w:rPr>
                <w:rFonts w:ascii="Times New Roman" w:hAnsi="Times New Roman"/>
              </w:rPr>
            </w:pPr>
            <w:r>
              <w:rPr>
                <w:rFonts w:ascii="Times New Roman" w:hAnsi="Times New Roman"/>
              </w:rPr>
              <w:t>20</w:t>
            </w:r>
          </w:p>
        </w:tc>
        <w:tc>
          <w:tcPr>
            <w:tcW w:w="964" w:type="dxa"/>
            <w:noWrap/>
            <w:vAlign w:val="center"/>
          </w:tcPr>
          <w:p>
            <w:pPr>
              <w:rPr>
                <w:rFonts w:ascii="Times New Roman" w:hAnsi="Times New Roman"/>
              </w:rPr>
            </w:pPr>
            <w:r>
              <w:rPr>
                <w:rFonts w:ascii="Times New Roman" w:hAnsi="Times New Roman"/>
              </w:rPr>
              <w:t>10L</w:t>
            </w:r>
          </w:p>
        </w:tc>
        <w:tc>
          <w:tcPr>
            <w:tcW w:w="814" w:type="dxa"/>
            <w:noWrap/>
            <w:vAlign w:val="center"/>
          </w:tcPr>
          <w:p>
            <w:pPr>
              <w:widowControl/>
              <w:jc w:val="center"/>
              <w:rPr>
                <w:rFonts w:ascii="Times New Roman" w:hAnsi="Times New Roman"/>
              </w:rPr>
            </w:pPr>
            <w:r>
              <w:rPr>
                <w:rFonts w:ascii="Times New Roman" w:hAnsi="Times New Roman"/>
              </w:rPr>
              <w:t>/</w:t>
            </w:r>
          </w:p>
        </w:tc>
        <w:tc>
          <w:tcPr>
            <w:tcW w:w="678" w:type="dxa"/>
            <w:noWrap/>
            <w:vAlign w:val="center"/>
          </w:tcPr>
          <w:p>
            <w:pPr>
              <w:jc w:val="center"/>
              <w:rPr>
                <w:rFonts w:ascii="Times New Roman" w:hAnsi="Times New Roman"/>
              </w:rPr>
            </w:pPr>
            <w:r>
              <w:rPr>
                <w:rFonts w:ascii="Times New Roman" w:hAnsi="Times New Roman"/>
              </w:rPr>
              <w:t>0</w:t>
            </w:r>
          </w:p>
        </w:tc>
        <w:tc>
          <w:tcPr>
            <w:tcW w:w="780" w:type="dxa"/>
            <w:noWrap/>
            <w:vAlign w:val="center"/>
          </w:tcPr>
          <w:p>
            <w:pPr>
              <w:jc w:val="center"/>
              <w:rPr>
                <w:rFonts w:ascii="Times New Roman" w:hAnsi="Times New Roman"/>
              </w:rPr>
            </w:pPr>
            <w:r>
              <w:rPr>
                <w:rFonts w:ascii="Times New Roman" w:hAnsi="Times New Roman"/>
              </w:rPr>
              <w:t>达标</w:t>
            </w:r>
          </w:p>
        </w:tc>
      </w:tr>
    </w:tbl>
    <w:p>
      <w:pPr>
        <w:rPr>
          <w:rFonts w:ascii="Times New Roman" w:hAnsi="Times New Roman"/>
        </w:rPr>
      </w:pPr>
      <w:bookmarkStart w:id="881" w:name="_Toc482020669"/>
      <w:bookmarkStart w:id="882" w:name="_Toc535168919"/>
      <w:bookmarkStart w:id="883" w:name="_Toc466271432"/>
      <w:bookmarkStart w:id="884" w:name="_Toc480983887"/>
      <w:bookmarkStart w:id="885" w:name="_Toc534537633"/>
      <w:bookmarkStart w:id="886" w:name="_Toc535348473"/>
      <w:bookmarkStart w:id="887" w:name="_Toc527205742"/>
      <w:bookmarkStart w:id="888" w:name="_Toc497228838"/>
      <w:bookmarkStart w:id="889" w:name="_Toc416966925"/>
      <w:bookmarkStart w:id="890" w:name="_Toc464036782"/>
      <w:bookmarkStart w:id="891" w:name="_Toc530655976"/>
      <w:bookmarkStart w:id="892" w:name="_Toc458063878"/>
      <w:bookmarkStart w:id="893" w:name="_Toc409529970"/>
      <w:bookmarkStart w:id="894" w:name="_Toc453708985"/>
      <w:bookmarkStart w:id="895" w:name="_Toc532556616"/>
      <w:bookmarkStart w:id="896" w:name="_Toc487111508"/>
      <w:bookmarkStart w:id="897" w:name="_Toc480190506"/>
      <w:bookmarkStart w:id="898" w:name="_Toc486970390"/>
      <w:bookmarkStart w:id="899" w:name="_Toc416966924"/>
      <w:bookmarkStart w:id="900" w:name="_Toc464036781"/>
      <w:bookmarkStart w:id="901" w:name="_Toc458063877"/>
      <w:bookmarkStart w:id="902" w:name="_Toc530655975"/>
      <w:bookmarkStart w:id="903" w:name="_Toc532556615"/>
      <w:bookmarkStart w:id="904" w:name="_Toc453708984"/>
      <w:bookmarkStart w:id="905" w:name="_Toc535168918"/>
      <w:bookmarkStart w:id="906" w:name="_Toc406772059"/>
      <w:bookmarkStart w:id="907" w:name="_Toc534537632"/>
      <w:bookmarkStart w:id="908" w:name="_Toc487111507"/>
      <w:bookmarkStart w:id="909" w:name="_Toc497228837"/>
      <w:bookmarkStart w:id="910" w:name="_Toc480190505"/>
      <w:bookmarkStart w:id="911" w:name="_Toc466271431"/>
      <w:bookmarkStart w:id="912" w:name="_Toc482020668"/>
      <w:bookmarkStart w:id="913" w:name="_Toc480983886"/>
      <w:bookmarkStart w:id="914" w:name="_Toc406572517"/>
      <w:bookmarkStart w:id="915" w:name="_Toc409529969"/>
      <w:bookmarkStart w:id="916" w:name="_Toc535348472"/>
      <w:bookmarkStart w:id="917" w:name="_Toc486970389"/>
      <w:bookmarkStart w:id="918" w:name="_Toc407350280"/>
      <w:bookmarkStart w:id="919" w:name="_Toc527205741"/>
      <w:r>
        <w:rPr>
          <w:rFonts w:hint="eastAsia" w:ascii="Times New Roman" w:hAnsi="Times New Roman"/>
        </w:rPr>
        <w:t>注：监测结果低于检出限的占标率计算是按照二分之一最低检出限计算</w:t>
      </w:r>
    </w:p>
    <w:p>
      <w:pPr>
        <w:spacing w:line="480" w:lineRule="exact"/>
        <w:ind w:firstLine="480" w:firstLineChars="200"/>
        <w:rPr>
          <w:rFonts w:ascii="Times New Roman" w:hAnsi="Times New Roman"/>
          <w:sz w:val="24"/>
          <w:szCs w:val="24"/>
        </w:rPr>
      </w:pPr>
      <w:r>
        <w:rPr>
          <w:rFonts w:ascii="Times New Roman" w:hAnsi="Times New Roman"/>
          <w:sz w:val="24"/>
          <w:szCs w:val="24"/>
        </w:rPr>
        <w:t>（7）评价结论</w:t>
      </w:r>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p>
    <w:p>
      <w:pPr>
        <w:pStyle w:val="155"/>
        <w:spacing w:line="480" w:lineRule="exact"/>
        <w:ind w:firstLine="480"/>
      </w:pPr>
      <w:r>
        <w:t>由表4.2-3可知，本项目所在区域在监测时段内TSP的24小时浓度满足《环境空气质量标准》（GB3096-2012）中的二级标准限值要求；非甲烷总烃的小时浓度满足《大气污染物综合排放标准详解》中非甲烷总烃2.0mg/m</w:t>
      </w:r>
      <w:r>
        <w:rPr>
          <w:vertAlign w:val="superscript"/>
        </w:rPr>
        <w:t>3</w:t>
      </w:r>
      <w:r>
        <w:t>要求；TVOC、氨、硫化氢、小时浓度满足</w:t>
      </w:r>
      <w:r>
        <w:rPr>
          <w:kern w:val="0"/>
          <w:szCs w:val="21"/>
        </w:rPr>
        <w:t>《环境影响评价技术导则 大气环境》（HJ2.2-2018）附录D</w:t>
      </w:r>
      <w:r>
        <w:t>限值要求</w:t>
      </w:r>
      <w:r>
        <w:rPr>
          <w:rFonts w:hint="eastAsia"/>
        </w:rPr>
        <w:t>。</w:t>
      </w:r>
      <w:r>
        <w:t xml:space="preserve"> </w:t>
      </w:r>
    </w:p>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p>
      <w:pPr>
        <w:pStyle w:val="4"/>
        <w:spacing w:before="120" w:beforeLines="50" w:after="120" w:afterLines="50" w:line="480" w:lineRule="exact"/>
        <w:ind w:left="17"/>
        <w:rPr>
          <w:rFonts w:ascii="Times New Roman" w:hAnsi="Times New Roman" w:eastAsia="黑体"/>
          <w:sz w:val="28"/>
          <w:szCs w:val="28"/>
        </w:rPr>
      </w:pPr>
      <w:bookmarkStart w:id="920" w:name="_Toc6308"/>
      <w:bookmarkStart w:id="921" w:name="_Toc31003"/>
      <w:bookmarkStart w:id="922" w:name="_Toc14486"/>
      <w:bookmarkStart w:id="923" w:name="_Toc8188"/>
      <w:bookmarkStart w:id="924" w:name="_Toc27134313"/>
      <w:bookmarkStart w:id="925" w:name="_Toc26188040"/>
      <w:bookmarkStart w:id="926" w:name="_Toc12779"/>
      <w:bookmarkStart w:id="927" w:name="_Toc9843819"/>
      <w:r>
        <w:rPr>
          <w:rFonts w:ascii="Times New Roman" w:hAnsi="Times New Roman" w:eastAsia="黑体"/>
          <w:sz w:val="28"/>
          <w:szCs w:val="28"/>
        </w:rPr>
        <w:t>地表水环境现状评价</w:t>
      </w:r>
      <w:bookmarkEnd w:id="920"/>
    </w:p>
    <w:p>
      <w:pPr>
        <w:spacing w:line="500" w:lineRule="exact"/>
        <w:ind w:firstLine="480" w:firstLineChars="200"/>
        <w:rPr>
          <w:rFonts w:ascii="Times New Roman" w:hAnsi="Times New Roman"/>
          <w:kern w:val="2"/>
          <w:sz w:val="24"/>
          <w:szCs w:val="20"/>
        </w:rPr>
      </w:pPr>
      <w:r>
        <w:rPr>
          <w:rFonts w:ascii="Times New Roman" w:hAnsi="Times New Roman"/>
          <w:kern w:val="2"/>
          <w:sz w:val="24"/>
          <w:szCs w:val="20"/>
        </w:rPr>
        <w:t>本项目地表径流汇入扁石河，通过扁石河汇入七星河，再汇入挠力河。根据</w:t>
      </w:r>
      <w:r>
        <w:rPr>
          <w:rFonts w:hint="eastAsia" w:ascii="Times New Roman" w:hAnsi="Times New Roman"/>
          <w:kern w:val="2"/>
          <w:sz w:val="24"/>
          <w:szCs w:val="20"/>
        </w:rPr>
        <w:t>《黑龙江省地表水功能区标准》</w:t>
      </w:r>
      <w:r>
        <w:rPr>
          <w:rFonts w:ascii="Times New Roman" w:hAnsi="Times New Roman"/>
          <w:kern w:val="2"/>
          <w:sz w:val="24"/>
          <w:szCs w:val="20"/>
        </w:rPr>
        <w:t>(DB23/T740-2003)</w:t>
      </w:r>
      <w:r>
        <w:rPr>
          <w:rFonts w:hint="eastAsia" w:ascii="Times New Roman" w:hAnsi="Times New Roman"/>
          <w:kern w:val="2"/>
          <w:sz w:val="24"/>
          <w:szCs w:val="20"/>
        </w:rPr>
        <w:t>，本项目</w:t>
      </w:r>
      <w:r>
        <w:rPr>
          <w:rFonts w:ascii="Times New Roman" w:hAnsi="Times New Roman"/>
          <w:kern w:val="2"/>
          <w:sz w:val="24"/>
          <w:szCs w:val="20"/>
        </w:rPr>
        <w:t>地表水体扁石河水质目标执行《地表水环境质量标准》（GB3838-2002）Ⅲ类标准。</w:t>
      </w:r>
    </w:p>
    <w:p>
      <w:pPr>
        <w:widowControl/>
        <w:spacing w:line="500" w:lineRule="exact"/>
        <w:ind w:firstLine="480" w:firstLineChars="200"/>
        <w:contextualSpacing/>
        <w:rPr>
          <w:rFonts w:ascii="Times New Roman" w:hAnsi="Times New Roman"/>
          <w:kern w:val="2"/>
          <w:sz w:val="24"/>
          <w:szCs w:val="20"/>
        </w:rPr>
      </w:pPr>
      <w:r>
        <w:rPr>
          <w:rFonts w:ascii="Times New Roman" w:hAnsi="Times New Roman"/>
          <w:kern w:val="2"/>
          <w:sz w:val="24"/>
          <w:szCs w:val="20"/>
        </w:rPr>
        <w:t>依据《环境影响评价技术导则 地表水环境》（HJ2.3-2018）6.6.3水环境质量现状调查：应根据不同评价等级对应的评价时期要求开展水环境质量现状调查；应优先采用国务院生态环境保护主管部门统一发布的水环境状况信息；当现有资料不能满足要求时，应按照不同评价等级对应的评价时期要求开展现状监测。</w:t>
      </w:r>
    </w:p>
    <w:p>
      <w:pPr>
        <w:widowControl/>
        <w:spacing w:line="500" w:lineRule="exact"/>
        <w:ind w:firstLine="480" w:firstLineChars="200"/>
        <w:contextualSpacing/>
        <w:rPr>
          <w:rFonts w:ascii="Times New Roman" w:hAnsi="Times New Roman"/>
          <w:kern w:val="2"/>
          <w:sz w:val="24"/>
          <w:szCs w:val="20"/>
        </w:rPr>
      </w:pPr>
      <w:r>
        <w:rPr>
          <w:rFonts w:ascii="Times New Roman" w:hAnsi="Times New Roman"/>
          <w:kern w:val="2"/>
          <w:sz w:val="24"/>
          <w:szCs w:val="20"/>
        </w:rPr>
        <w:t>根据调查收集，生态环境主管部门未发布关于扁石河和七星河水环境状况的信息，本项目地表水环境现状引用《双鸭山新时代水泥有限责任公司顺兴达煤矿改扩建项目环境影响报告书》中的监测数据，报告书监测水体为扁石河，监测时间为2020年11月 9~11日，因此监测数据引用有效。</w:t>
      </w:r>
    </w:p>
    <w:p>
      <w:pPr>
        <w:widowControl/>
        <w:spacing w:line="500" w:lineRule="exact"/>
        <w:ind w:firstLine="480" w:firstLineChars="200"/>
        <w:contextualSpacing/>
        <w:rPr>
          <w:rFonts w:ascii="Times New Roman" w:hAnsi="Times New Roman"/>
          <w:kern w:val="2"/>
          <w:sz w:val="24"/>
          <w:szCs w:val="20"/>
        </w:rPr>
      </w:pPr>
      <w:r>
        <w:rPr>
          <w:rFonts w:ascii="Times New Roman" w:hAnsi="Times New Roman"/>
          <w:kern w:val="2"/>
          <w:sz w:val="24"/>
          <w:szCs w:val="20"/>
        </w:rPr>
        <w:t>（1）监测断面设置</w:t>
      </w:r>
    </w:p>
    <w:p>
      <w:pPr>
        <w:widowControl/>
        <w:spacing w:line="360" w:lineRule="auto"/>
        <w:ind w:firstLine="480" w:firstLineChars="200"/>
        <w:contextualSpacing/>
        <w:rPr>
          <w:rFonts w:ascii="Times New Roman" w:hAnsi="Times New Roman"/>
          <w:kern w:val="2"/>
          <w:sz w:val="24"/>
          <w:szCs w:val="20"/>
        </w:rPr>
      </w:pPr>
      <w:r>
        <w:rPr>
          <w:rFonts w:ascii="Times New Roman" w:hAnsi="Times New Roman"/>
          <w:kern w:val="2"/>
          <w:sz w:val="24"/>
          <w:szCs w:val="20"/>
        </w:rPr>
        <w:t>分别在工业场地排水汇入扁石河处（2#），以及汇合处的上游500m（1#）、下游2000m（3#），共布设3个断面。</w:t>
      </w:r>
    </w:p>
    <w:p>
      <w:pPr>
        <w:widowControl/>
        <w:spacing w:line="360" w:lineRule="auto"/>
        <w:contextualSpacing/>
        <w:rPr>
          <w:rFonts w:ascii="Times New Roman" w:hAnsi="Times New Roman"/>
          <w:kern w:val="2"/>
          <w:sz w:val="24"/>
          <w:szCs w:val="20"/>
        </w:rPr>
      </w:pPr>
      <w:r>
        <w:rPr>
          <w:rFonts w:ascii="Times New Roman" w:hAnsi="Times New Roman"/>
          <w:kern w:val="2"/>
          <w:sz w:val="24"/>
          <w:szCs w:val="20"/>
        </w:rPr>
        <w:drawing>
          <wp:inline distT="0" distB="0" distL="0" distR="0">
            <wp:extent cx="5508625" cy="4022090"/>
            <wp:effectExtent l="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5513026" cy="4025341"/>
                    </a:xfrm>
                    <a:prstGeom prst="rect">
                      <a:avLst/>
                    </a:prstGeom>
                    <a:noFill/>
                  </pic:spPr>
                </pic:pic>
              </a:graphicData>
            </a:graphic>
          </wp:inline>
        </w:drawing>
      </w:r>
    </w:p>
    <w:p>
      <w:pPr>
        <w:widowControl/>
        <w:spacing w:line="360" w:lineRule="auto"/>
        <w:contextualSpacing/>
        <w:jc w:val="center"/>
        <w:rPr>
          <w:rFonts w:ascii="Times New Roman" w:hAnsi="Times New Roman"/>
          <w:b/>
          <w:bCs/>
          <w:kern w:val="2"/>
          <w:sz w:val="24"/>
          <w:szCs w:val="20"/>
        </w:rPr>
      </w:pPr>
      <w:r>
        <w:rPr>
          <w:rFonts w:hint="eastAsia" w:ascii="Times New Roman" w:hAnsi="Times New Roman"/>
          <w:b/>
          <w:bCs/>
          <w:kern w:val="2"/>
          <w:sz w:val="24"/>
          <w:szCs w:val="20"/>
        </w:rPr>
        <w:t>图4</w:t>
      </w:r>
      <w:r>
        <w:rPr>
          <w:rFonts w:ascii="Times New Roman" w:hAnsi="Times New Roman"/>
          <w:b/>
          <w:bCs/>
          <w:kern w:val="2"/>
          <w:sz w:val="24"/>
          <w:szCs w:val="20"/>
        </w:rPr>
        <w:t>.2</w:t>
      </w:r>
      <w:r>
        <w:rPr>
          <w:rFonts w:hint="eastAsia" w:ascii="Times New Roman" w:hAnsi="Times New Roman"/>
          <w:b/>
          <w:bCs/>
          <w:kern w:val="2"/>
          <w:sz w:val="24"/>
          <w:szCs w:val="20"/>
        </w:rPr>
        <w:t>-</w:t>
      </w:r>
      <w:r>
        <w:rPr>
          <w:rFonts w:ascii="Times New Roman" w:hAnsi="Times New Roman"/>
          <w:b/>
          <w:bCs/>
          <w:kern w:val="2"/>
          <w:sz w:val="24"/>
          <w:szCs w:val="20"/>
        </w:rPr>
        <w:t xml:space="preserve">2 </w:t>
      </w:r>
      <w:r>
        <w:rPr>
          <w:rFonts w:hint="eastAsia" w:ascii="Times New Roman" w:hAnsi="Times New Roman"/>
          <w:b/>
          <w:bCs/>
          <w:kern w:val="2"/>
          <w:sz w:val="24"/>
          <w:szCs w:val="20"/>
        </w:rPr>
        <w:t>地表水检测布点图</w:t>
      </w:r>
    </w:p>
    <w:p>
      <w:pPr>
        <w:widowControl/>
        <w:spacing w:line="360" w:lineRule="auto"/>
        <w:ind w:firstLine="480" w:firstLineChars="200"/>
        <w:contextualSpacing/>
        <w:rPr>
          <w:rFonts w:ascii="Times New Roman" w:hAnsi="Times New Roman"/>
          <w:kern w:val="2"/>
          <w:sz w:val="24"/>
          <w:szCs w:val="20"/>
        </w:rPr>
      </w:pPr>
      <w:r>
        <w:rPr>
          <w:rFonts w:ascii="Times New Roman" w:hAnsi="Times New Roman"/>
          <w:kern w:val="2"/>
          <w:sz w:val="24"/>
          <w:szCs w:val="20"/>
        </w:rPr>
        <w:t>（2）监测项目</w:t>
      </w:r>
    </w:p>
    <w:p>
      <w:pPr>
        <w:widowControl/>
        <w:spacing w:line="500" w:lineRule="exact"/>
        <w:ind w:firstLine="480" w:firstLineChars="200"/>
        <w:contextualSpacing/>
        <w:rPr>
          <w:rFonts w:ascii="Times New Roman" w:hAnsi="Times New Roman"/>
          <w:kern w:val="2"/>
          <w:sz w:val="24"/>
          <w:szCs w:val="20"/>
        </w:rPr>
      </w:pPr>
      <w:r>
        <w:rPr>
          <w:rFonts w:ascii="Times New Roman" w:hAnsi="Times New Roman"/>
          <w:kern w:val="2"/>
          <w:sz w:val="24"/>
          <w:szCs w:val="20"/>
        </w:rPr>
        <w:t>监测项目包括：pH、COD、BOD5、氨氮、石油类、铅、锌、镉、铁、锰、砷、氟化物、硫化物，同时监测各断面水温。</w:t>
      </w:r>
    </w:p>
    <w:p>
      <w:pPr>
        <w:widowControl/>
        <w:spacing w:line="500" w:lineRule="exact"/>
        <w:ind w:firstLine="480" w:firstLineChars="200"/>
        <w:contextualSpacing/>
        <w:rPr>
          <w:rFonts w:ascii="Times New Roman" w:hAnsi="Times New Roman"/>
          <w:kern w:val="2"/>
          <w:sz w:val="24"/>
          <w:szCs w:val="20"/>
        </w:rPr>
      </w:pPr>
      <w:r>
        <w:rPr>
          <w:rFonts w:ascii="Times New Roman" w:hAnsi="Times New Roman"/>
          <w:kern w:val="2"/>
          <w:sz w:val="24"/>
          <w:szCs w:val="20"/>
        </w:rPr>
        <w:t>（3）监测时段及频率</w:t>
      </w:r>
    </w:p>
    <w:p>
      <w:pPr>
        <w:widowControl/>
        <w:spacing w:line="500" w:lineRule="exact"/>
        <w:ind w:firstLine="480" w:firstLineChars="200"/>
        <w:contextualSpacing/>
        <w:rPr>
          <w:rFonts w:ascii="Times New Roman" w:hAnsi="Times New Roman"/>
          <w:kern w:val="2"/>
          <w:sz w:val="24"/>
          <w:szCs w:val="20"/>
        </w:rPr>
      </w:pPr>
      <w:r>
        <w:rPr>
          <w:rFonts w:ascii="Times New Roman" w:hAnsi="Times New Roman"/>
          <w:kern w:val="2"/>
          <w:sz w:val="24"/>
          <w:szCs w:val="20"/>
        </w:rPr>
        <w:t>监测时间为2020年11月9~11日，连续3天进行采样监测，每天各断面采样1次。</w:t>
      </w:r>
    </w:p>
    <w:p>
      <w:pPr>
        <w:widowControl/>
        <w:spacing w:line="500" w:lineRule="exact"/>
        <w:ind w:firstLine="480" w:firstLineChars="200"/>
        <w:contextualSpacing/>
        <w:rPr>
          <w:rFonts w:ascii="Times New Roman" w:hAnsi="Times New Roman"/>
          <w:kern w:val="2"/>
          <w:sz w:val="24"/>
          <w:szCs w:val="20"/>
        </w:rPr>
      </w:pPr>
      <w:r>
        <w:rPr>
          <w:rFonts w:ascii="Times New Roman" w:hAnsi="Times New Roman"/>
          <w:kern w:val="2"/>
          <w:sz w:val="24"/>
          <w:szCs w:val="20"/>
        </w:rPr>
        <w:t>（4）监测统计及评价结果</w:t>
      </w:r>
    </w:p>
    <w:p>
      <w:pPr>
        <w:widowControl/>
        <w:spacing w:line="500" w:lineRule="exact"/>
        <w:ind w:firstLine="480" w:firstLineChars="200"/>
        <w:contextualSpacing/>
        <w:rPr>
          <w:rFonts w:ascii="Times New Roman" w:hAnsi="Times New Roman"/>
          <w:kern w:val="2"/>
          <w:sz w:val="24"/>
          <w:szCs w:val="20"/>
        </w:rPr>
      </w:pPr>
      <w:r>
        <w:rPr>
          <w:rFonts w:ascii="Times New Roman" w:hAnsi="Times New Roman"/>
          <w:kern w:val="2"/>
          <w:sz w:val="24"/>
          <w:szCs w:val="20"/>
        </w:rPr>
        <w:t>地表水环境质量现状监测结果见表4.2-5。</w:t>
      </w:r>
    </w:p>
    <w:p>
      <w:pPr>
        <w:widowControl/>
        <w:spacing w:line="500" w:lineRule="exact"/>
        <w:contextualSpacing/>
        <w:jc w:val="center"/>
        <w:rPr>
          <w:rFonts w:ascii="Times New Roman" w:hAnsi="Times New Roman"/>
          <w:lang w:bidi="ar"/>
        </w:rPr>
      </w:pPr>
      <w:r>
        <w:rPr>
          <w:rFonts w:ascii="Times New Roman" w:hAnsi="Times New Roman"/>
          <w:b/>
          <w:kern w:val="2"/>
        </w:rPr>
        <w:t>表4.2-5 地表水环境质量现状数据（mg/L，pH：无量纲）</w:t>
      </w:r>
    </w:p>
    <w:tbl>
      <w:tblPr>
        <w:tblStyle w:val="77"/>
        <w:tblW w:w="4962"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324"/>
        <w:gridCol w:w="1831"/>
        <w:gridCol w:w="1916"/>
        <w:gridCol w:w="1758"/>
        <w:gridCol w:w="1633"/>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83" w:type="pct"/>
            <w:vAlign w:val="center"/>
          </w:tcPr>
          <w:p>
            <w:pPr>
              <w:jc w:val="center"/>
              <w:rPr>
                <w:rFonts w:ascii="Times New Roman" w:hAnsi="Times New Roman"/>
                <w:kern w:val="2"/>
              </w:rPr>
            </w:pPr>
            <w:r>
              <w:rPr>
                <w:rFonts w:ascii="Times New Roman" w:hAnsi="Times New Roman"/>
                <w:kern w:val="2"/>
              </w:rPr>
              <w:t>监测断面</w:t>
            </w:r>
          </w:p>
        </w:tc>
        <w:tc>
          <w:tcPr>
            <w:tcW w:w="1081" w:type="pct"/>
            <w:vAlign w:val="center"/>
          </w:tcPr>
          <w:p>
            <w:pPr>
              <w:jc w:val="center"/>
              <w:rPr>
                <w:rFonts w:ascii="Times New Roman" w:hAnsi="Times New Roman"/>
                <w:kern w:val="2"/>
              </w:rPr>
            </w:pPr>
            <w:r>
              <w:rPr>
                <w:rFonts w:ascii="Times New Roman" w:hAnsi="Times New Roman"/>
                <w:kern w:val="2"/>
              </w:rPr>
              <w:t>监测因子</w:t>
            </w:r>
          </w:p>
        </w:tc>
        <w:tc>
          <w:tcPr>
            <w:tcW w:w="1131" w:type="pct"/>
            <w:vAlign w:val="center"/>
          </w:tcPr>
          <w:p>
            <w:pPr>
              <w:jc w:val="center"/>
              <w:rPr>
                <w:rFonts w:ascii="Times New Roman" w:hAnsi="Times New Roman"/>
                <w:kern w:val="2"/>
              </w:rPr>
            </w:pPr>
            <w:r>
              <w:rPr>
                <w:rFonts w:ascii="Times New Roman" w:hAnsi="Times New Roman"/>
                <w:kern w:val="2"/>
              </w:rPr>
              <w:t>10月9日</w:t>
            </w:r>
          </w:p>
        </w:tc>
        <w:tc>
          <w:tcPr>
            <w:tcW w:w="1038" w:type="pct"/>
            <w:vAlign w:val="center"/>
          </w:tcPr>
          <w:p>
            <w:pPr>
              <w:jc w:val="center"/>
              <w:rPr>
                <w:rFonts w:ascii="Times New Roman" w:hAnsi="Times New Roman"/>
                <w:kern w:val="2"/>
              </w:rPr>
            </w:pPr>
            <w:r>
              <w:rPr>
                <w:rFonts w:ascii="Times New Roman" w:hAnsi="Times New Roman"/>
                <w:kern w:val="2"/>
              </w:rPr>
              <w:t>10月10日</w:t>
            </w:r>
          </w:p>
        </w:tc>
        <w:tc>
          <w:tcPr>
            <w:tcW w:w="964" w:type="pct"/>
            <w:vAlign w:val="center"/>
          </w:tcPr>
          <w:p>
            <w:pPr>
              <w:jc w:val="center"/>
              <w:rPr>
                <w:rFonts w:ascii="Times New Roman" w:hAnsi="Times New Roman"/>
                <w:kern w:val="2"/>
              </w:rPr>
            </w:pPr>
            <w:r>
              <w:rPr>
                <w:rFonts w:ascii="Times New Roman" w:hAnsi="Times New Roman"/>
                <w:kern w:val="2"/>
              </w:rPr>
              <w:t>10月11日</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83" w:type="pct"/>
            <w:vMerge w:val="restart"/>
            <w:vAlign w:val="center"/>
          </w:tcPr>
          <w:p>
            <w:pPr>
              <w:jc w:val="center"/>
              <w:rPr>
                <w:rFonts w:ascii="Times New Roman" w:hAnsi="Times New Roman"/>
                <w:kern w:val="2"/>
              </w:rPr>
            </w:pPr>
            <w:r>
              <w:rPr>
                <w:rFonts w:ascii="Times New Roman" w:hAnsi="Times New Roman"/>
                <w:kern w:val="2"/>
              </w:rPr>
              <w:t>1#</w:t>
            </w:r>
          </w:p>
        </w:tc>
        <w:tc>
          <w:tcPr>
            <w:tcW w:w="1081" w:type="pct"/>
            <w:vAlign w:val="center"/>
          </w:tcPr>
          <w:p>
            <w:pPr>
              <w:jc w:val="center"/>
              <w:rPr>
                <w:rFonts w:ascii="Times New Roman" w:hAnsi="Times New Roman"/>
                <w:kern w:val="2"/>
              </w:rPr>
            </w:pPr>
            <w:r>
              <w:rPr>
                <w:rFonts w:ascii="Times New Roman" w:hAnsi="Times New Roman"/>
                <w:kern w:val="2"/>
              </w:rPr>
              <w:t>pH值</w:t>
            </w:r>
          </w:p>
        </w:tc>
        <w:tc>
          <w:tcPr>
            <w:tcW w:w="1131" w:type="pct"/>
            <w:vAlign w:val="center"/>
          </w:tcPr>
          <w:p>
            <w:pPr>
              <w:jc w:val="center"/>
              <w:rPr>
                <w:rFonts w:ascii="Times New Roman" w:hAnsi="Times New Roman"/>
                <w:kern w:val="2"/>
              </w:rPr>
            </w:pPr>
            <w:r>
              <w:rPr>
                <w:rFonts w:ascii="Times New Roman" w:hAnsi="Times New Roman"/>
                <w:kern w:val="2"/>
              </w:rPr>
              <w:t>7.18</w:t>
            </w:r>
          </w:p>
        </w:tc>
        <w:tc>
          <w:tcPr>
            <w:tcW w:w="1038" w:type="pct"/>
            <w:vAlign w:val="center"/>
          </w:tcPr>
          <w:p>
            <w:pPr>
              <w:jc w:val="center"/>
              <w:rPr>
                <w:rFonts w:ascii="Times New Roman" w:hAnsi="Times New Roman"/>
                <w:kern w:val="2"/>
              </w:rPr>
            </w:pPr>
            <w:r>
              <w:rPr>
                <w:rFonts w:ascii="Times New Roman" w:hAnsi="Times New Roman"/>
                <w:kern w:val="2"/>
              </w:rPr>
              <w:t>7.17</w:t>
            </w:r>
          </w:p>
        </w:tc>
        <w:tc>
          <w:tcPr>
            <w:tcW w:w="964" w:type="pct"/>
            <w:vAlign w:val="center"/>
          </w:tcPr>
          <w:p>
            <w:pPr>
              <w:jc w:val="center"/>
              <w:rPr>
                <w:rFonts w:ascii="Times New Roman" w:hAnsi="Times New Roman"/>
                <w:kern w:val="2"/>
              </w:rPr>
            </w:pPr>
            <w:r>
              <w:rPr>
                <w:rFonts w:ascii="Times New Roman" w:hAnsi="Times New Roman"/>
                <w:kern w:val="2"/>
              </w:rPr>
              <w:t>7.20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83" w:type="pct"/>
            <w:vMerge w:val="continue"/>
            <w:vAlign w:val="center"/>
          </w:tcPr>
          <w:p>
            <w:pPr>
              <w:jc w:val="center"/>
              <w:rPr>
                <w:rFonts w:ascii="Times New Roman" w:hAnsi="Times New Roman"/>
                <w:kern w:val="2"/>
              </w:rPr>
            </w:pPr>
          </w:p>
        </w:tc>
        <w:tc>
          <w:tcPr>
            <w:tcW w:w="1081" w:type="pct"/>
            <w:vAlign w:val="center"/>
          </w:tcPr>
          <w:p>
            <w:pPr>
              <w:jc w:val="center"/>
              <w:rPr>
                <w:rFonts w:ascii="Times New Roman" w:hAnsi="Times New Roman"/>
                <w:kern w:val="2"/>
              </w:rPr>
            </w:pPr>
            <w:r>
              <w:rPr>
                <w:rFonts w:ascii="Times New Roman" w:hAnsi="Times New Roman"/>
                <w:kern w:val="2"/>
              </w:rPr>
              <w:t>COD</w:t>
            </w:r>
          </w:p>
        </w:tc>
        <w:tc>
          <w:tcPr>
            <w:tcW w:w="1131" w:type="pct"/>
            <w:vAlign w:val="center"/>
          </w:tcPr>
          <w:p>
            <w:pPr>
              <w:jc w:val="center"/>
              <w:rPr>
                <w:rFonts w:ascii="Times New Roman" w:hAnsi="Times New Roman"/>
                <w:kern w:val="2"/>
              </w:rPr>
            </w:pPr>
            <w:r>
              <w:rPr>
                <w:rFonts w:ascii="Times New Roman" w:hAnsi="Times New Roman"/>
                <w:kern w:val="2"/>
              </w:rPr>
              <w:t>18</w:t>
            </w:r>
          </w:p>
        </w:tc>
        <w:tc>
          <w:tcPr>
            <w:tcW w:w="1038" w:type="pct"/>
            <w:vAlign w:val="center"/>
          </w:tcPr>
          <w:p>
            <w:pPr>
              <w:jc w:val="center"/>
              <w:rPr>
                <w:rFonts w:ascii="Times New Roman" w:hAnsi="Times New Roman"/>
                <w:kern w:val="2"/>
              </w:rPr>
            </w:pPr>
            <w:r>
              <w:rPr>
                <w:rFonts w:ascii="Times New Roman" w:hAnsi="Times New Roman"/>
                <w:kern w:val="2"/>
              </w:rPr>
              <w:t>19</w:t>
            </w:r>
          </w:p>
        </w:tc>
        <w:tc>
          <w:tcPr>
            <w:tcW w:w="964" w:type="pct"/>
            <w:vAlign w:val="center"/>
          </w:tcPr>
          <w:p>
            <w:pPr>
              <w:jc w:val="center"/>
              <w:rPr>
                <w:rFonts w:ascii="Times New Roman" w:hAnsi="Times New Roman"/>
                <w:kern w:val="2"/>
              </w:rPr>
            </w:pPr>
            <w:r>
              <w:rPr>
                <w:rFonts w:ascii="Times New Roman" w:hAnsi="Times New Roman"/>
                <w:kern w:val="2"/>
              </w:rPr>
              <w:t>18</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83" w:type="pct"/>
            <w:vMerge w:val="continue"/>
            <w:vAlign w:val="center"/>
          </w:tcPr>
          <w:p>
            <w:pPr>
              <w:jc w:val="center"/>
              <w:rPr>
                <w:rFonts w:ascii="Times New Roman" w:hAnsi="Times New Roman"/>
                <w:kern w:val="2"/>
              </w:rPr>
            </w:pPr>
          </w:p>
        </w:tc>
        <w:tc>
          <w:tcPr>
            <w:tcW w:w="1081" w:type="pct"/>
            <w:vAlign w:val="center"/>
          </w:tcPr>
          <w:p>
            <w:pPr>
              <w:jc w:val="center"/>
              <w:rPr>
                <w:rFonts w:ascii="Times New Roman" w:hAnsi="Times New Roman"/>
                <w:kern w:val="2"/>
              </w:rPr>
            </w:pPr>
            <w:r>
              <w:rPr>
                <w:rFonts w:ascii="Times New Roman" w:hAnsi="Times New Roman"/>
                <w:kern w:val="2"/>
              </w:rPr>
              <w:t>BOD</w:t>
            </w:r>
            <w:r>
              <w:rPr>
                <w:rFonts w:ascii="Times New Roman" w:hAnsi="Times New Roman"/>
                <w:kern w:val="2"/>
                <w:vertAlign w:val="subscript"/>
              </w:rPr>
              <w:t>5</w:t>
            </w:r>
          </w:p>
        </w:tc>
        <w:tc>
          <w:tcPr>
            <w:tcW w:w="1131" w:type="pct"/>
            <w:vAlign w:val="center"/>
          </w:tcPr>
          <w:p>
            <w:pPr>
              <w:jc w:val="center"/>
              <w:rPr>
                <w:rFonts w:ascii="Times New Roman" w:hAnsi="Times New Roman"/>
                <w:kern w:val="2"/>
              </w:rPr>
            </w:pPr>
            <w:r>
              <w:rPr>
                <w:rFonts w:ascii="Times New Roman" w:hAnsi="Times New Roman"/>
                <w:kern w:val="2"/>
              </w:rPr>
              <w:t>3.4</w:t>
            </w:r>
          </w:p>
        </w:tc>
        <w:tc>
          <w:tcPr>
            <w:tcW w:w="1038" w:type="pct"/>
            <w:vAlign w:val="center"/>
          </w:tcPr>
          <w:p>
            <w:pPr>
              <w:jc w:val="center"/>
              <w:rPr>
                <w:rFonts w:ascii="Times New Roman" w:hAnsi="Times New Roman"/>
                <w:kern w:val="2"/>
              </w:rPr>
            </w:pPr>
            <w:r>
              <w:rPr>
                <w:rFonts w:ascii="Times New Roman" w:hAnsi="Times New Roman"/>
                <w:kern w:val="2"/>
              </w:rPr>
              <w:t>3.5</w:t>
            </w:r>
          </w:p>
        </w:tc>
        <w:tc>
          <w:tcPr>
            <w:tcW w:w="964" w:type="pct"/>
            <w:vAlign w:val="center"/>
          </w:tcPr>
          <w:p>
            <w:pPr>
              <w:jc w:val="center"/>
              <w:rPr>
                <w:rFonts w:ascii="Times New Roman" w:hAnsi="Times New Roman"/>
                <w:kern w:val="2"/>
              </w:rPr>
            </w:pPr>
            <w:r>
              <w:rPr>
                <w:rFonts w:ascii="Times New Roman" w:hAnsi="Times New Roman"/>
                <w:kern w:val="2"/>
              </w:rPr>
              <w:t>3.7</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83" w:type="pct"/>
            <w:vMerge w:val="continue"/>
            <w:vAlign w:val="center"/>
          </w:tcPr>
          <w:p>
            <w:pPr>
              <w:jc w:val="center"/>
              <w:rPr>
                <w:rFonts w:ascii="Times New Roman" w:hAnsi="Times New Roman"/>
                <w:kern w:val="2"/>
              </w:rPr>
            </w:pPr>
          </w:p>
        </w:tc>
        <w:tc>
          <w:tcPr>
            <w:tcW w:w="1081" w:type="pct"/>
            <w:vAlign w:val="center"/>
          </w:tcPr>
          <w:p>
            <w:pPr>
              <w:jc w:val="center"/>
              <w:rPr>
                <w:rFonts w:ascii="Times New Roman" w:hAnsi="Times New Roman"/>
                <w:kern w:val="2"/>
              </w:rPr>
            </w:pPr>
            <w:r>
              <w:rPr>
                <w:rFonts w:ascii="Times New Roman" w:hAnsi="Times New Roman"/>
                <w:kern w:val="2"/>
              </w:rPr>
              <w:t>氨氮</w:t>
            </w:r>
          </w:p>
        </w:tc>
        <w:tc>
          <w:tcPr>
            <w:tcW w:w="1131" w:type="pct"/>
            <w:vAlign w:val="center"/>
          </w:tcPr>
          <w:p>
            <w:pPr>
              <w:jc w:val="center"/>
              <w:rPr>
                <w:rFonts w:ascii="Times New Roman" w:hAnsi="Times New Roman"/>
                <w:kern w:val="2"/>
              </w:rPr>
            </w:pPr>
            <w:r>
              <w:rPr>
                <w:rFonts w:ascii="Times New Roman" w:hAnsi="Times New Roman"/>
                <w:kern w:val="2"/>
              </w:rPr>
              <w:t>0.395</w:t>
            </w:r>
          </w:p>
        </w:tc>
        <w:tc>
          <w:tcPr>
            <w:tcW w:w="1038" w:type="pct"/>
            <w:vAlign w:val="center"/>
          </w:tcPr>
          <w:p>
            <w:pPr>
              <w:jc w:val="center"/>
              <w:rPr>
                <w:rFonts w:ascii="Times New Roman" w:hAnsi="Times New Roman"/>
                <w:kern w:val="2"/>
              </w:rPr>
            </w:pPr>
            <w:r>
              <w:rPr>
                <w:rFonts w:ascii="Times New Roman" w:hAnsi="Times New Roman"/>
                <w:kern w:val="2"/>
              </w:rPr>
              <w:t>0.418</w:t>
            </w:r>
          </w:p>
        </w:tc>
        <w:tc>
          <w:tcPr>
            <w:tcW w:w="964" w:type="pct"/>
            <w:vAlign w:val="center"/>
          </w:tcPr>
          <w:p>
            <w:pPr>
              <w:jc w:val="center"/>
              <w:rPr>
                <w:rFonts w:ascii="Times New Roman" w:hAnsi="Times New Roman"/>
                <w:kern w:val="2"/>
              </w:rPr>
            </w:pPr>
            <w:r>
              <w:rPr>
                <w:rFonts w:ascii="Times New Roman" w:hAnsi="Times New Roman"/>
                <w:kern w:val="2"/>
              </w:rPr>
              <w:t>0.430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83" w:type="pct"/>
            <w:vMerge w:val="continue"/>
            <w:vAlign w:val="center"/>
          </w:tcPr>
          <w:p>
            <w:pPr>
              <w:jc w:val="center"/>
              <w:rPr>
                <w:rFonts w:ascii="Times New Roman" w:hAnsi="Times New Roman"/>
                <w:kern w:val="2"/>
              </w:rPr>
            </w:pPr>
          </w:p>
        </w:tc>
        <w:tc>
          <w:tcPr>
            <w:tcW w:w="1081" w:type="pct"/>
            <w:vAlign w:val="center"/>
          </w:tcPr>
          <w:p>
            <w:pPr>
              <w:jc w:val="center"/>
              <w:rPr>
                <w:rFonts w:ascii="Times New Roman" w:hAnsi="Times New Roman"/>
                <w:kern w:val="2"/>
              </w:rPr>
            </w:pPr>
            <w:r>
              <w:rPr>
                <w:rFonts w:ascii="Times New Roman" w:hAnsi="Times New Roman"/>
                <w:kern w:val="2"/>
              </w:rPr>
              <w:t>石油类</w:t>
            </w:r>
          </w:p>
        </w:tc>
        <w:tc>
          <w:tcPr>
            <w:tcW w:w="1131" w:type="pct"/>
            <w:vAlign w:val="center"/>
          </w:tcPr>
          <w:p>
            <w:pPr>
              <w:jc w:val="center"/>
              <w:rPr>
                <w:rFonts w:ascii="Times New Roman" w:hAnsi="Times New Roman"/>
                <w:kern w:val="2"/>
              </w:rPr>
            </w:pPr>
            <w:r>
              <w:rPr>
                <w:rFonts w:ascii="Times New Roman" w:hAnsi="Times New Roman"/>
                <w:kern w:val="2"/>
              </w:rPr>
              <w:t>0.01L</w:t>
            </w:r>
          </w:p>
        </w:tc>
        <w:tc>
          <w:tcPr>
            <w:tcW w:w="1038" w:type="pct"/>
            <w:vAlign w:val="center"/>
          </w:tcPr>
          <w:p>
            <w:pPr>
              <w:jc w:val="center"/>
              <w:rPr>
                <w:rFonts w:ascii="Times New Roman" w:hAnsi="Times New Roman"/>
                <w:kern w:val="2"/>
              </w:rPr>
            </w:pPr>
            <w:r>
              <w:rPr>
                <w:rFonts w:ascii="Times New Roman" w:hAnsi="Times New Roman"/>
                <w:kern w:val="2"/>
              </w:rPr>
              <w:t>0.01L</w:t>
            </w:r>
          </w:p>
        </w:tc>
        <w:tc>
          <w:tcPr>
            <w:tcW w:w="964" w:type="pct"/>
            <w:vAlign w:val="center"/>
          </w:tcPr>
          <w:p>
            <w:pPr>
              <w:jc w:val="center"/>
              <w:rPr>
                <w:rFonts w:ascii="Times New Roman" w:hAnsi="Times New Roman"/>
                <w:kern w:val="2"/>
              </w:rPr>
            </w:pPr>
            <w:r>
              <w:rPr>
                <w:rFonts w:ascii="Times New Roman" w:hAnsi="Times New Roman"/>
                <w:kern w:val="2"/>
              </w:rPr>
              <w:t>0.01L</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83" w:type="pct"/>
            <w:vMerge w:val="continue"/>
            <w:vAlign w:val="center"/>
          </w:tcPr>
          <w:p>
            <w:pPr>
              <w:jc w:val="center"/>
              <w:rPr>
                <w:rFonts w:ascii="Times New Roman" w:hAnsi="Times New Roman"/>
                <w:kern w:val="2"/>
              </w:rPr>
            </w:pPr>
          </w:p>
        </w:tc>
        <w:tc>
          <w:tcPr>
            <w:tcW w:w="1081" w:type="pct"/>
            <w:vAlign w:val="center"/>
          </w:tcPr>
          <w:p>
            <w:pPr>
              <w:jc w:val="center"/>
              <w:rPr>
                <w:rFonts w:ascii="Times New Roman" w:hAnsi="Times New Roman"/>
                <w:kern w:val="2"/>
              </w:rPr>
            </w:pPr>
            <w:r>
              <w:rPr>
                <w:rFonts w:ascii="Times New Roman" w:hAnsi="Times New Roman"/>
                <w:kern w:val="2"/>
              </w:rPr>
              <w:t>硫化物</w:t>
            </w:r>
          </w:p>
        </w:tc>
        <w:tc>
          <w:tcPr>
            <w:tcW w:w="1131" w:type="pct"/>
            <w:vAlign w:val="center"/>
          </w:tcPr>
          <w:p>
            <w:pPr>
              <w:jc w:val="center"/>
              <w:rPr>
                <w:rFonts w:ascii="Times New Roman" w:hAnsi="Times New Roman"/>
                <w:kern w:val="2"/>
              </w:rPr>
            </w:pPr>
            <w:r>
              <w:rPr>
                <w:rFonts w:ascii="Times New Roman" w:hAnsi="Times New Roman"/>
                <w:kern w:val="2"/>
              </w:rPr>
              <w:t>0.005L</w:t>
            </w:r>
          </w:p>
        </w:tc>
        <w:tc>
          <w:tcPr>
            <w:tcW w:w="1038" w:type="pct"/>
            <w:vAlign w:val="center"/>
          </w:tcPr>
          <w:p>
            <w:pPr>
              <w:jc w:val="center"/>
              <w:rPr>
                <w:rFonts w:ascii="Times New Roman" w:hAnsi="Times New Roman"/>
                <w:kern w:val="2"/>
              </w:rPr>
            </w:pPr>
            <w:r>
              <w:rPr>
                <w:rFonts w:ascii="Times New Roman" w:hAnsi="Times New Roman"/>
                <w:kern w:val="2"/>
              </w:rPr>
              <w:t>0.005L</w:t>
            </w:r>
          </w:p>
        </w:tc>
        <w:tc>
          <w:tcPr>
            <w:tcW w:w="964" w:type="pct"/>
            <w:vAlign w:val="center"/>
          </w:tcPr>
          <w:p>
            <w:pPr>
              <w:jc w:val="center"/>
              <w:rPr>
                <w:rFonts w:ascii="Times New Roman" w:hAnsi="Times New Roman"/>
                <w:kern w:val="2"/>
              </w:rPr>
            </w:pPr>
            <w:r>
              <w:rPr>
                <w:rFonts w:ascii="Times New Roman" w:hAnsi="Times New Roman"/>
                <w:kern w:val="2"/>
              </w:rPr>
              <w:t>0.005L</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83" w:type="pct"/>
            <w:vMerge w:val="continue"/>
            <w:vAlign w:val="center"/>
          </w:tcPr>
          <w:p>
            <w:pPr>
              <w:jc w:val="center"/>
              <w:rPr>
                <w:rFonts w:ascii="Times New Roman" w:hAnsi="Times New Roman"/>
                <w:kern w:val="2"/>
              </w:rPr>
            </w:pPr>
          </w:p>
        </w:tc>
        <w:tc>
          <w:tcPr>
            <w:tcW w:w="1081" w:type="pct"/>
            <w:vAlign w:val="center"/>
          </w:tcPr>
          <w:p>
            <w:pPr>
              <w:jc w:val="center"/>
              <w:rPr>
                <w:rFonts w:ascii="Times New Roman" w:hAnsi="Times New Roman"/>
                <w:kern w:val="2"/>
              </w:rPr>
            </w:pPr>
            <w:r>
              <w:rPr>
                <w:rFonts w:ascii="Times New Roman" w:hAnsi="Times New Roman"/>
                <w:kern w:val="2"/>
              </w:rPr>
              <w:t>氟化物</w:t>
            </w:r>
          </w:p>
        </w:tc>
        <w:tc>
          <w:tcPr>
            <w:tcW w:w="1131" w:type="pct"/>
            <w:vAlign w:val="center"/>
          </w:tcPr>
          <w:p>
            <w:pPr>
              <w:jc w:val="center"/>
              <w:rPr>
                <w:rFonts w:ascii="Times New Roman" w:hAnsi="Times New Roman"/>
                <w:kern w:val="2"/>
              </w:rPr>
            </w:pPr>
            <w:r>
              <w:rPr>
                <w:rFonts w:ascii="Times New Roman" w:hAnsi="Times New Roman"/>
                <w:kern w:val="2"/>
              </w:rPr>
              <w:t>0.05L</w:t>
            </w:r>
          </w:p>
        </w:tc>
        <w:tc>
          <w:tcPr>
            <w:tcW w:w="1038" w:type="pct"/>
            <w:vAlign w:val="center"/>
          </w:tcPr>
          <w:p>
            <w:pPr>
              <w:jc w:val="center"/>
              <w:rPr>
                <w:rFonts w:ascii="Times New Roman" w:hAnsi="Times New Roman"/>
                <w:kern w:val="2"/>
              </w:rPr>
            </w:pPr>
            <w:r>
              <w:rPr>
                <w:rFonts w:ascii="Times New Roman" w:hAnsi="Times New Roman"/>
                <w:kern w:val="2"/>
              </w:rPr>
              <w:t>0.05L</w:t>
            </w:r>
          </w:p>
        </w:tc>
        <w:tc>
          <w:tcPr>
            <w:tcW w:w="964" w:type="pct"/>
            <w:vAlign w:val="center"/>
          </w:tcPr>
          <w:p>
            <w:pPr>
              <w:jc w:val="center"/>
              <w:rPr>
                <w:rFonts w:ascii="Times New Roman" w:hAnsi="Times New Roman"/>
                <w:kern w:val="2"/>
              </w:rPr>
            </w:pPr>
            <w:r>
              <w:rPr>
                <w:rFonts w:ascii="Times New Roman" w:hAnsi="Times New Roman"/>
                <w:kern w:val="2"/>
              </w:rPr>
              <w:t>0.05L</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83" w:type="pct"/>
            <w:vMerge w:val="continue"/>
            <w:vAlign w:val="center"/>
          </w:tcPr>
          <w:p>
            <w:pPr>
              <w:jc w:val="center"/>
              <w:rPr>
                <w:rFonts w:ascii="Times New Roman" w:hAnsi="Times New Roman"/>
                <w:kern w:val="2"/>
              </w:rPr>
            </w:pPr>
          </w:p>
        </w:tc>
        <w:tc>
          <w:tcPr>
            <w:tcW w:w="1081" w:type="pct"/>
            <w:vAlign w:val="center"/>
          </w:tcPr>
          <w:p>
            <w:pPr>
              <w:jc w:val="center"/>
              <w:rPr>
                <w:rFonts w:ascii="Times New Roman" w:hAnsi="Times New Roman"/>
                <w:kern w:val="2"/>
              </w:rPr>
            </w:pPr>
            <w:r>
              <w:rPr>
                <w:rFonts w:ascii="Times New Roman" w:hAnsi="Times New Roman"/>
                <w:kern w:val="2"/>
              </w:rPr>
              <w:t>铁</w:t>
            </w:r>
          </w:p>
        </w:tc>
        <w:tc>
          <w:tcPr>
            <w:tcW w:w="1131" w:type="pct"/>
            <w:vAlign w:val="center"/>
          </w:tcPr>
          <w:p>
            <w:pPr>
              <w:jc w:val="center"/>
              <w:rPr>
                <w:rFonts w:ascii="Times New Roman" w:hAnsi="Times New Roman"/>
                <w:kern w:val="2"/>
              </w:rPr>
            </w:pPr>
            <w:r>
              <w:rPr>
                <w:rFonts w:ascii="Times New Roman" w:hAnsi="Times New Roman"/>
                <w:kern w:val="2"/>
              </w:rPr>
              <w:t>0.27</w:t>
            </w:r>
          </w:p>
        </w:tc>
        <w:tc>
          <w:tcPr>
            <w:tcW w:w="1038" w:type="pct"/>
            <w:vAlign w:val="center"/>
          </w:tcPr>
          <w:p>
            <w:pPr>
              <w:jc w:val="center"/>
              <w:rPr>
                <w:rFonts w:ascii="Times New Roman" w:hAnsi="Times New Roman"/>
                <w:kern w:val="2"/>
              </w:rPr>
            </w:pPr>
            <w:r>
              <w:rPr>
                <w:rFonts w:ascii="Times New Roman" w:hAnsi="Times New Roman"/>
                <w:kern w:val="2"/>
              </w:rPr>
              <w:t>0.23</w:t>
            </w:r>
          </w:p>
        </w:tc>
        <w:tc>
          <w:tcPr>
            <w:tcW w:w="964" w:type="pct"/>
            <w:vAlign w:val="center"/>
          </w:tcPr>
          <w:p>
            <w:pPr>
              <w:jc w:val="center"/>
              <w:rPr>
                <w:rFonts w:ascii="Times New Roman" w:hAnsi="Times New Roman"/>
                <w:kern w:val="2"/>
              </w:rPr>
            </w:pPr>
            <w:r>
              <w:rPr>
                <w:rFonts w:ascii="Times New Roman" w:hAnsi="Times New Roman"/>
                <w:kern w:val="2"/>
              </w:rPr>
              <w:t>0.25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83" w:type="pct"/>
            <w:vMerge w:val="continue"/>
            <w:vAlign w:val="center"/>
          </w:tcPr>
          <w:p>
            <w:pPr>
              <w:jc w:val="center"/>
              <w:rPr>
                <w:rFonts w:ascii="Times New Roman" w:hAnsi="Times New Roman"/>
                <w:kern w:val="2"/>
              </w:rPr>
            </w:pPr>
          </w:p>
        </w:tc>
        <w:tc>
          <w:tcPr>
            <w:tcW w:w="1081" w:type="pct"/>
            <w:vAlign w:val="center"/>
          </w:tcPr>
          <w:p>
            <w:pPr>
              <w:jc w:val="center"/>
              <w:rPr>
                <w:rFonts w:ascii="Times New Roman" w:hAnsi="Times New Roman"/>
                <w:kern w:val="2"/>
              </w:rPr>
            </w:pPr>
            <w:r>
              <w:rPr>
                <w:rFonts w:ascii="Times New Roman" w:hAnsi="Times New Roman"/>
                <w:kern w:val="2"/>
              </w:rPr>
              <w:t>锰</w:t>
            </w:r>
          </w:p>
        </w:tc>
        <w:tc>
          <w:tcPr>
            <w:tcW w:w="1131" w:type="pct"/>
            <w:vAlign w:val="center"/>
          </w:tcPr>
          <w:p>
            <w:pPr>
              <w:jc w:val="center"/>
              <w:rPr>
                <w:rFonts w:ascii="Times New Roman" w:hAnsi="Times New Roman"/>
                <w:kern w:val="2"/>
              </w:rPr>
            </w:pPr>
            <w:r>
              <w:rPr>
                <w:rFonts w:ascii="Times New Roman" w:hAnsi="Times New Roman"/>
                <w:kern w:val="2"/>
              </w:rPr>
              <w:t>0.01L</w:t>
            </w:r>
          </w:p>
        </w:tc>
        <w:tc>
          <w:tcPr>
            <w:tcW w:w="1038" w:type="pct"/>
            <w:vAlign w:val="center"/>
          </w:tcPr>
          <w:p>
            <w:pPr>
              <w:jc w:val="center"/>
              <w:rPr>
                <w:rFonts w:ascii="Times New Roman" w:hAnsi="Times New Roman"/>
                <w:kern w:val="2"/>
              </w:rPr>
            </w:pPr>
            <w:r>
              <w:rPr>
                <w:rFonts w:ascii="Times New Roman" w:hAnsi="Times New Roman"/>
                <w:kern w:val="2"/>
              </w:rPr>
              <w:t>0.01L</w:t>
            </w:r>
          </w:p>
        </w:tc>
        <w:tc>
          <w:tcPr>
            <w:tcW w:w="964" w:type="pct"/>
            <w:vAlign w:val="center"/>
          </w:tcPr>
          <w:p>
            <w:pPr>
              <w:jc w:val="center"/>
              <w:rPr>
                <w:rFonts w:ascii="Times New Roman" w:hAnsi="Times New Roman"/>
                <w:kern w:val="2"/>
              </w:rPr>
            </w:pPr>
            <w:r>
              <w:rPr>
                <w:rFonts w:ascii="Times New Roman" w:hAnsi="Times New Roman"/>
                <w:kern w:val="2"/>
              </w:rPr>
              <w:t>0.01L</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83" w:type="pct"/>
            <w:vMerge w:val="continue"/>
            <w:vAlign w:val="center"/>
          </w:tcPr>
          <w:p>
            <w:pPr>
              <w:jc w:val="center"/>
              <w:rPr>
                <w:rFonts w:ascii="Times New Roman" w:hAnsi="Times New Roman"/>
                <w:kern w:val="2"/>
              </w:rPr>
            </w:pPr>
          </w:p>
        </w:tc>
        <w:tc>
          <w:tcPr>
            <w:tcW w:w="1081" w:type="pct"/>
            <w:vAlign w:val="center"/>
          </w:tcPr>
          <w:p>
            <w:pPr>
              <w:jc w:val="center"/>
              <w:rPr>
                <w:rFonts w:ascii="Times New Roman" w:hAnsi="Times New Roman"/>
                <w:kern w:val="2"/>
              </w:rPr>
            </w:pPr>
            <w:r>
              <w:rPr>
                <w:rFonts w:ascii="Times New Roman" w:hAnsi="Times New Roman"/>
                <w:kern w:val="2"/>
              </w:rPr>
              <w:t>锌</w:t>
            </w:r>
          </w:p>
        </w:tc>
        <w:tc>
          <w:tcPr>
            <w:tcW w:w="1131" w:type="pct"/>
            <w:vAlign w:val="center"/>
          </w:tcPr>
          <w:p>
            <w:pPr>
              <w:jc w:val="center"/>
              <w:rPr>
                <w:rFonts w:ascii="Times New Roman" w:hAnsi="Times New Roman"/>
                <w:kern w:val="2"/>
              </w:rPr>
            </w:pPr>
            <w:r>
              <w:rPr>
                <w:rFonts w:ascii="Times New Roman" w:hAnsi="Times New Roman"/>
                <w:kern w:val="2"/>
              </w:rPr>
              <w:t>0.05L</w:t>
            </w:r>
          </w:p>
        </w:tc>
        <w:tc>
          <w:tcPr>
            <w:tcW w:w="1038" w:type="pct"/>
            <w:vAlign w:val="center"/>
          </w:tcPr>
          <w:p>
            <w:pPr>
              <w:jc w:val="center"/>
              <w:rPr>
                <w:rFonts w:ascii="Times New Roman" w:hAnsi="Times New Roman"/>
                <w:kern w:val="2"/>
              </w:rPr>
            </w:pPr>
            <w:r>
              <w:rPr>
                <w:rFonts w:ascii="Times New Roman" w:hAnsi="Times New Roman"/>
                <w:kern w:val="2"/>
              </w:rPr>
              <w:t>0.05L</w:t>
            </w:r>
          </w:p>
        </w:tc>
        <w:tc>
          <w:tcPr>
            <w:tcW w:w="964" w:type="pct"/>
            <w:vAlign w:val="center"/>
          </w:tcPr>
          <w:p>
            <w:pPr>
              <w:jc w:val="center"/>
              <w:rPr>
                <w:rFonts w:ascii="Times New Roman" w:hAnsi="Times New Roman"/>
                <w:kern w:val="2"/>
              </w:rPr>
            </w:pPr>
            <w:r>
              <w:rPr>
                <w:rFonts w:ascii="Times New Roman" w:hAnsi="Times New Roman"/>
                <w:kern w:val="2"/>
              </w:rPr>
              <w:t>0.05L</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83" w:type="pct"/>
            <w:vMerge w:val="continue"/>
            <w:vAlign w:val="center"/>
          </w:tcPr>
          <w:p>
            <w:pPr>
              <w:jc w:val="center"/>
              <w:rPr>
                <w:rFonts w:ascii="Times New Roman" w:hAnsi="Times New Roman"/>
                <w:kern w:val="2"/>
              </w:rPr>
            </w:pPr>
          </w:p>
        </w:tc>
        <w:tc>
          <w:tcPr>
            <w:tcW w:w="1081" w:type="pct"/>
            <w:vAlign w:val="center"/>
          </w:tcPr>
          <w:p>
            <w:pPr>
              <w:jc w:val="center"/>
              <w:rPr>
                <w:rFonts w:ascii="Times New Roman" w:hAnsi="Times New Roman"/>
                <w:kern w:val="2"/>
              </w:rPr>
            </w:pPr>
            <w:r>
              <w:rPr>
                <w:rFonts w:ascii="Times New Roman" w:hAnsi="Times New Roman"/>
                <w:kern w:val="2"/>
              </w:rPr>
              <w:t>铅</w:t>
            </w:r>
          </w:p>
        </w:tc>
        <w:tc>
          <w:tcPr>
            <w:tcW w:w="1131" w:type="pct"/>
            <w:vAlign w:val="center"/>
          </w:tcPr>
          <w:p>
            <w:pPr>
              <w:jc w:val="center"/>
              <w:rPr>
                <w:rFonts w:ascii="Times New Roman" w:hAnsi="Times New Roman"/>
                <w:kern w:val="2"/>
              </w:rPr>
            </w:pPr>
            <w:r>
              <w:rPr>
                <w:rFonts w:ascii="Times New Roman" w:hAnsi="Times New Roman"/>
                <w:kern w:val="2"/>
              </w:rPr>
              <w:t>0.01L</w:t>
            </w:r>
          </w:p>
        </w:tc>
        <w:tc>
          <w:tcPr>
            <w:tcW w:w="1038" w:type="pct"/>
            <w:vAlign w:val="center"/>
          </w:tcPr>
          <w:p>
            <w:pPr>
              <w:jc w:val="center"/>
              <w:rPr>
                <w:rFonts w:ascii="Times New Roman" w:hAnsi="Times New Roman"/>
                <w:kern w:val="2"/>
              </w:rPr>
            </w:pPr>
            <w:r>
              <w:rPr>
                <w:rFonts w:ascii="Times New Roman" w:hAnsi="Times New Roman"/>
                <w:kern w:val="2"/>
              </w:rPr>
              <w:t>0.01L</w:t>
            </w:r>
          </w:p>
        </w:tc>
        <w:tc>
          <w:tcPr>
            <w:tcW w:w="964" w:type="pct"/>
            <w:vAlign w:val="center"/>
          </w:tcPr>
          <w:p>
            <w:pPr>
              <w:jc w:val="center"/>
              <w:rPr>
                <w:rFonts w:ascii="Times New Roman" w:hAnsi="Times New Roman"/>
                <w:kern w:val="2"/>
              </w:rPr>
            </w:pPr>
            <w:r>
              <w:rPr>
                <w:rFonts w:ascii="Times New Roman" w:hAnsi="Times New Roman"/>
                <w:kern w:val="2"/>
              </w:rPr>
              <w:t>0.01L</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83" w:type="pct"/>
            <w:vMerge w:val="continue"/>
            <w:vAlign w:val="center"/>
          </w:tcPr>
          <w:p>
            <w:pPr>
              <w:jc w:val="center"/>
              <w:rPr>
                <w:rFonts w:ascii="Times New Roman" w:hAnsi="Times New Roman"/>
                <w:kern w:val="2"/>
              </w:rPr>
            </w:pPr>
          </w:p>
        </w:tc>
        <w:tc>
          <w:tcPr>
            <w:tcW w:w="1081" w:type="pct"/>
            <w:vAlign w:val="center"/>
          </w:tcPr>
          <w:p>
            <w:pPr>
              <w:jc w:val="center"/>
              <w:rPr>
                <w:rFonts w:ascii="Times New Roman" w:hAnsi="Times New Roman"/>
                <w:kern w:val="2"/>
              </w:rPr>
            </w:pPr>
            <w:r>
              <w:rPr>
                <w:rFonts w:ascii="Times New Roman" w:hAnsi="Times New Roman"/>
                <w:kern w:val="2"/>
              </w:rPr>
              <w:t>镉</w:t>
            </w:r>
          </w:p>
        </w:tc>
        <w:tc>
          <w:tcPr>
            <w:tcW w:w="1131" w:type="pct"/>
            <w:vAlign w:val="center"/>
          </w:tcPr>
          <w:p>
            <w:pPr>
              <w:jc w:val="center"/>
              <w:rPr>
                <w:rFonts w:ascii="Times New Roman" w:hAnsi="Times New Roman"/>
                <w:kern w:val="2"/>
              </w:rPr>
            </w:pPr>
            <w:r>
              <w:rPr>
                <w:rFonts w:ascii="Times New Roman" w:hAnsi="Times New Roman"/>
                <w:kern w:val="2"/>
              </w:rPr>
              <w:t>0.001L</w:t>
            </w:r>
          </w:p>
        </w:tc>
        <w:tc>
          <w:tcPr>
            <w:tcW w:w="1038" w:type="pct"/>
            <w:vAlign w:val="center"/>
          </w:tcPr>
          <w:p>
            <w:pPr>
              <w:jc w:val="center"/>
              <w:rPr>
                <w:rFonts w:ascii="Times New Roman" w:hAnsi="Times New Roman"/>
                <w:kern w:val="2"/>
              </w:rPr>
            </w:pPr>
            <w:r>
              <w:rPr>
                <w:rFonts w:ascii="Times New Roman" w:hAnsi="Times New Roman"/>
                <w:kern w:val="2"/>
              </w:rPr>
              <w:t>0.001L</w:t>
            </w:r>
          </w:p>
        </w:tc>
        <w:tc>
          <w:tcPr>
            <w:tcW w:w="964" w:type="pct"/>
            <w:vAlign w:val="center"/>
          </w:tcPr>
          <w:p>
            <w:pPr>
              <w:jc w:val="center"/>
              <w:rPr>
                <w:rFonts w:ascii="Times New Roman" w:hAnsi="Times New Roman"/>
                <w:kern w:val="2"/>
              </w:rPr>
            </w:pPr>
            <w:r>
              <w:rPr>
                <w:rFonts w:ascii="Times New Roman" w:hAnsi="Times New Roman"/>
                <w:kern w:val="2"/>
              </w:rPr>
              <w:t>0.001L</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83" w:type="pct"/>
            <w:vMerge w:val="continue"/>
            <w:vAlign w:val="center"/>
          </w:tcPr>
          <w:p>
            <w:pPr>
              <w:jc w:val="center"/>
              <w:rPr>
                <w:rFonts w:ascii="Times New Roman" w:hAnsi="Times New Roman"/>
                <w:kern w:val="2"/>
              </w:rPr>
            </w:pPr>
          </w:p>
        </w:tc>
        <w:tc>
          <w:tcPr>
            <w:tcW w:w="1081" w:type="pct"/>
            <w:vAlign w:val="center"/>
          </w:tcPr>
          <w:p>
            <w:pPr>
              <w:jc w:val="center"/>
              <w:rPr>
                <w:rFonts w:ascii="Times New Roman" w:hAnsi="Times New Roman"/>
                <w:kern w:val="2"/>
              </w:rPr>
            </w:pPr>
            <w:r>
              <w:rPr>
                <w:rFonts w:ascii="Times New Roman" w:hAnsi="Times New Roman"/>
                <w:kern w:val="2"/>
              </w:rPr>
              <w:t>砷</w:t>
            </w:r>
          </w:p>
        </w:tc>
        <w:tc>
          <w:tcPr>
            <w:tcW w:w="1131" w:type="pct"/>
            <w:vAlign w:val="center"/>
          </w:tcPr>
          <w:p>
            <w:pPr>
              <w:jc w:val="center"/>
              <w:rPr>
                <w:rFonts w:ascii="Times New Roman" w:hAnsi="Times New Roman"/>
                <w:kern w:val="2"/>
              </w:rPr>
            </w:pPr>
            <w:r>
              <w:rPr>
                <w:rFonts w:ascii="Times New Roman" w:hAnsi="Times New Roman"/>
                <w:kern w:val="2"/>
              </w:rPr>
              <w:t>0.0003L</w:t>
            </w:r>
          </w:p>
        </w:tc>
        <w:tc>
          <w:tcPr>
            <w:tcW w:w="1038" w:type="pct"/>
            <w:vAlign w:val="center"/>
          </w:tcPr>
          <w:p>
            <w:pPr>
              <w:jc w:val="center"/>
              <w:rPr>
                <w:rFonts w:ascii="Times New Roman" w:hAnsi="Times New Roman"/>
                <w:kern w:val="2"/>
              </w:rPr>
            </w:pPr>
            <w:r>
              <w:rPr>
                <w:rFonts w:ascii="Times New Roman" w:hAnsi="Times New Roman"/>
                <w:kern w:val="2"/>
              </w:rPr>
              <w:t>0.0003L</w:t>
            </w:r>
          </w:p>
        </w:tc>
        <w:tc>
          <w:tcPr>
            <w:tcW w:w="964" w:type="pct"/>
            <w:vAlign w:val="center"/>
          </w:tcPr>
          <w:p>
            <w:pPr>
              <w:jc w:val="center"/>
              <w:rPr>
                <w:rFonts w:ascii="Times New Roman" w:hAnsi="Times New Roman"/>
                <w:kern w:val="2"/>
              </w:rPr>
            </w:pPr>
            <w:r>
              <w:rPr>
                <w:rFonts w:ascii="Times New Roman" w:hAnsi="Times New Roman"/>
                <w:kern w:val="2"/>
              </w:rPr>
              <w:t>0.0003L</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83" w:type="pct"/>
            <w:vMerge w:val="restart"/>
            <w:vAlign w:val="center"/>
          </w:tcPr>
          <w:p>
            <w:pPr>
              <w:jc w:val="center"/>
              <w:rPr>
                <w:rFonts w:ascii="Times New Roman" w:hAnsi="Times New Roman"/>
                <w:kern w:val="2"/>
              </w:rPr>
            </w:pPr>
            <w:r>
              <w:rPr>
                <w:rFonts w:ascii="Times New Roman" w:hAnsi="Times New Roman"/>
                <w:kern w:val="2"/>
              </w:rPr>
              <w:t>2#</w:t>
            </w:r>
          </w:p>
        </w:tc>
        <w:tc>
          <w:tcPr>
            <w:tcW w:w="1081" w:type="pct"/>
            <w:vAlign w:val="center"/>
          </w:tcPr>
          <w:p>
            <w:pPr>
              <w:jc w:val="center"/>
              <w:rPr>
                <w:rFonts w:ascii="Times New Roman" w:hAnsi="Times New Roman"/>
                <w:kern w:val="2"/>
              </w:rPr>
            </w:pPr>
            <w:r>
              <w:rPr>
                <w:rFonts w:ascii="Times New Roman" w:hAnsi="Times New Roman"/>
                <w:kern w:val="2"/>
              </w:rPr>
              <w:t>pH值</w:t>
            </w:r>
          </w:p>
        </w:tc>
        <w:tc>
          <w:tcPr>
            <w:tcW w:w="1131" w:type="pct"/>
            <w:vAlign w:val="center"/>
          </w:tcPr>
          <w:p>
            <w:pPr>
              <w:jc w:val="center"/>
              <w:rPr>
                <w:rFonts w:ascii="Times New Roman" w:hAnsi="Times New Roman"/>
                <w:kern w:val="2"/>
              </w:rPr>
            </w:pPr>
            <w:r>
              <w:rPr>
                <w:rFonts w:ascii="Times New Roman" w:hAnsi="Times New Roman"/>
                <w:kern w:val="2"/>
              </w:rPr>
              <w:t>7.17</w:t>
            </w:r>
          </w:p>
        </w:tc>
        <w:tc>
          <w:tcPr>
            <w:tcW w:w="1038" w:type="pct"/>
            <w:vAlign w:val="center"/>
          </w:tcPr>
          <w:p>
            <w:pPr>
              <w:jc w:val="center"/>
              <w:rPr>
                <w:rFonts w:ascii="Times New Roman" w:hAnsi="Times New Roman"/>
                <w:kern w:val="2"/>
              </w:rPr>
            </w:pPr>
            <w:r>
              <w:rPr>
                <w:rFonts w:ascii="Times New Roman" w:hAnsi="Times New Roman"/>
                <w:kern w:val="2"/>
              </w:rPr>
              <w:t>7.19</w:t>
            </w:r>
          </w:p>
        </w:tc>
        <w:tc>
          <w:tcPr>
            <w:tcW w:w="964" w:type="pct"/>
            <w:vAlign w:val="center"/>
          </w:tcPr>
          <w:p>
            <w:pPr>
              <w:jc w:val="center"/>
              <w:rPr>
                <w:rFonts w:ascii="Times New Roman" w:hAnsi="Times New Roman"/>
                <w:kern w:val="2"/>
              </w:rPr>
            </w:pPr>
            <w:r>
              <w:rPr>
                <w:rFonts w:ascii="Times New Roman" w:hAnsi="Times New Roman"/>
                <w:kern w:val="2"/>
              </w:rPr>
              <w:t>7.21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83" w:type="pct"/>
            <w:vMerge w:val="continue"/>
            <w:vAlign w:val="center"/>
          </w:tcPr>
          <w:p>
            <w:pPr>
              <w:jc w:val="center"/>
              <w:rPr>
                <w:rFonts w:ascii="Times New Roman" w:hAnsi="Times New Roman"/>
                <w:kern w:val="2"/>
              </w:rPr>
            </w:pPr>
          </w:p>
        </w:tc>
        <w:tc>
          <w:tcPr>
            <w:tcW w:w="1081" w:type="pct"/>
            <w:vAlign w:val="center"/>
          </w:tcPr>
          <w:p>
            <w:pPr>
              <w:jc w:val="center"/>
              <w:rPr>
                <w:rFonts w:ascii="Times New Roman" w:hAnsi="Times New Roman"/>
                <w:kern w:val="2"/>
              </w:rPr>
            </w:pPr>
            <w:r>
              <w:rPr>
                <w:rFonts w:ascii="Times New Roman" w:hAnsi="Times New Roman"/>
                <w:kern w:val="2"/>
              </w:rPr>
              <w:t>COD</w:t>
            </w:r>
          </w:p>
        </w:tc>
        <w:tc>
          <w:tcPr>
            <w:tcW w:w="1131" w:type="pct"/>
            <w:vAlign w:val="center"/>
          </w:tcPr>
          <w:p>
            <w:pPr>
              <w:jc w:val="center"/>
              <w:rPr>
                <w:rFonts w:ascii="Times New Roman" w:hAnsi="Times New Roman"/>
                <w:kern w:val="2"/>
              </w:rPr>
            </w:pPr>
            <w:r>
              <w:rPr>
                <w:rFonts w:ascii="Times New Roman" w:hAnsi="Times New Roman"/>
                <w:kern w:val="2"/>
              </w:rPr>
              <w:t>18</w:t>
            </w:r>
          </w:p>
        </w:tc>
        <w:tc>
          <w:tcPr>
            <w:tcW w:w="1038" w:type="pct"/>
            <w:vAlign w:val="center"/>
          </w:tcPr>
          <w:p>
            <w:pPr>
              <w:jc w:val="center"/>
              <w:rPr>
                <w:rFonts w:ascii="Times New Roman" w:hAnsi="Times New Roman"/>
                <w:kern w:val="2"/>
              </w:rPr>
            </w:pPr>
            <w:r>
              <w:rPr>
                <w:rFonts w:ascii="Times New Roman" w:hAnsi="Times New Roman"/>
                <w:kern w:val="2"/>
              </w:rPr>
              <w:t>19</w:t>
            </w:r>
          </w:p>
        </w:tc>
        <w:tc>
          <w:tcPr>
            <w:tcW w:w="964" w:type="pct"/>
            <w:vAlign w:val="center"/>
          </w:tcPr>
          <w:p>
            <w:pPr>
              <w:jc w:val="center"/>
              <w:rPr>
                <w:rFonts w:ascii="Times New Roman" w:hAnsi="Times New Roman"/>
                <w:kern w:val="2"/>
              </w:rPr>
            </w:pPr>
            <w:r>
              <w:rPr>
                <w:rFonts w:ascii="Times New Roman" w:hAnsi="Times New Roman"/>
                <w:kern w:val="2"/>
              </w:rPr>
              <w:t>17</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83" w:type="pct"/>
            <w:vMerge w:val="continue"/>
            <w:vAlign w:val="center"/>
          </w:tcPr>
          <w:p>
            <w:pPr>
              <w:jc w:val="center"/>
              <w:rPr>
                <w:rFonts w:ascii="Times New Roman" w:hAnsi="Times New Roman"/>
                <w:kern w:val="2"/>
              </w:rPr>
            </w:pPr>
          </w:p>
        </w:tc>
        <w:tc>
          <w:tcPr>
            <w:tcW w:w="1081" w:type="pct"/>
            <w:vAlign w:val="center"/>
          </w:tcPr>
          <w:p>
            <w:pPr>
              <w:jc w:val="center"/>
              <w:rPr>
                <w:rFonts w:ascii="Times New Roman" w:hAnsi="Times New Roman"/>
                <w:kern w:val="2"/>
              </w:rPr>
            </w:pPr>
            <w:r>
              <w:rPr>
                <w:rFonts w:ascii="Times New Roman" w:hAnsi="Times New Roman"/>
                <w:kern w:val="2"/>
              </w:rPr>
              <w:t>BOD</w:t>
            </w:r>
            <w:r>
              <w:rPr>
                <w:rFonts w:ascii="Times New Roman" w:hAnsi="Times New Roman"/>
                <w:kern w:val="2"/>
                <w:vertAlign w:val="subscript"/>
              </w:rPr>
              <w:t>5</w:t>
            </w:r>
          </w:p>
        </w:tc>
        <w:tc>
          <w:tcPr>
            <w:tcW w:w="1131" w:type="pct"/>
            <w:vAlign w:val="center"/>
          </w:tcPr>
          <w:p>
            <w:pPr>
              <w:jc w:val="center"/>
              <w:rPr>
                <w:rFonts w:ascii="Times New Roman" w:hAnsi="Times New Roman"/>
                <w:kern w:val="2"/>
              </w:rPr>
            </w:pPr>
            <w:r>
              <w:rPr>
                <w:rFonts w:ascii="Times New Roman" w:hAnsi="Times New Roman"/>
                <w:kern w:val="2"/>
              </w:rPr>
              <w:t>3.5</w:t>
            </w:r>
          </w:p>
        </w:tc>
        <w:tc>
          <w:tcPr>
            <w:tcW w:w="1038" w:type="pct"/>
            <w:vAlign w:val="center"/>
          </w:tcPr>
          <w:p>
            <w:pPr>
              <w:jc w:val="center"/>
              <w:rPr>
                <w:rFonts w:ascii="Times New Roman" w:hAnsi="Times New Roman"/>
                <w:kern w:val="2"/>
              </w:rPr>
            </w:pPr>
            <w:r>
              <w:rPr>
                <w:rFonts w:ascii="Times New Roman" w:hAnsi="Times New Roman"/>
                <w:kern w:val="2"/>
              </w:rPr>
              <w:t>3.7</w:t>
            </w:r>
          </w:p>
        </w:tc>
        <w:tc>
          <w:tcPr>
            <w:tcW w:w="964" w:type="pct"/>
            <w:vAlign w:val="center"/>
          </w:tcPr>
          <w:p>
            <w:pPr>
              <w:jc w:val="center"/>
              <w:rPr>
                <w:rFonts w:ascii="Times New Roman" w:hAnsi="Times New Roman"/>
                <w:kern w:val="2"/>
              </w:rPr>
            </w:pPr>
            <w:r>
              <w:rPr>
                <w:rFonts w:ascii="Times New Roman" w:hAnsi="Times New Roman"/>
                <w:kern w:val="2"/>
              </w:rPr>
              <w:t>3.6</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83" w:type="pct"/>
            <w:vMerge w:val="continue"/>
            <w:vAlign w:val="center"/>
          </w:tcPr>
          <w:p>
            <w:pPr>
              <w:jc w:val="center"/>
              <w:rPr>
                <w:rFonts w:ascii="Times New Roman" w:hAnsi="Times New Roman"/>
                <w:kern w:val="2"/>
              </w:rPr>
            </w:pPr>
          </w:p>
        </w:tc>
        <w:tc>
          <w:tcPr>
            <w:tcW w:w="1081" w:type="pct"/>
            <w:vAlign w:val="center"/>
          </w:tcPr>
          <w:p>
            <w:pPr>
              <w:jc w:val="center"/>
              <w:rPr>
                <w:rFonts w:ascii="Times New Roman" w:hAnsi="Times New Roman"/>
                <w:kern w:val="2"/>
              </w:rPr>
            </w:pPr>
            <w:r>
              <w:rPr>
                <w:rFonts w:ascii="Times New Roman" w:hAnsi="Times New Roman"/>
                <w:kern w:val="2"/>
              </w:rPr>
              <w:t>氨氮</w:t>
            </w:r>
          </w:p>
        </w:tc>
        <w:tc>
          <w:tcPr>
            <w:tcW w:w="1131" w:type="pct"/>
            <w:vAlign w:val="center"/>
          </w:tcPr>
          <w:p>
            <w:pPr>
              <w:jc w:val="center"/>
              <w:rPr>
                <w:rFonts w:ascii="Times New Roman" w:hAnsi="Times New Roman"/>
                <w:kern w:val="2"/>
              </w:rPr>
            </w:pPr>
            <w:r>
              <w:rPr>
                <w:rFonts w:ascii="Times New Roman" w:hAnsi="Times New Roman"/>
                <w:kern w:val="2"/>
              </w:rPr>
              <w:t>0.395</w:t>
            </w:r>
          </w:p>
        </w:tc>
        <w:tc>
          <w:tcPr>
            <w:tcW w:w="1038" w:type="pct"/>
            <w:vAlign w:val="center"/>
          </w:tcPr>
          <w:p>
            <w:pPr>
              <w:jc w:val="center"/>
              <w:rPr>
                <w:rFonts w:ascii="Times New Roman" w:hAnsi="Times New Roman"/>
                <w:kern w:val="2"/>
              </w:rPr>
            </w:pPr>
            <w:r>
              <w:rPr>
                <w:rFonts w:ascii="Times New Roman" w:hAnsi="Times New Roman"/>
                <w:kern w:val="2"/>
              </w:rPr>
              <w:t>0.415</w:t>
            </w:r>
          </w:p>
        </w:tc>
        <w:tc>
          <w:tcPr>
            <w:tcW w:w="964" w:type="pct"/>
            <w:vAlign w:val="center"/>
          </w:tcPr>
          <w:p>
            <w:pPr>
              <w:jc w:val="center"/>
              <w:rPr>
                <w:rFonts w:ascii="Times New Roman" w:hAnsi="Times New Roman"/>
                <w:kern w:val="2"/>
              </w:rPr>
            </w:pPr>
            <w:r>
              <w:rPr>
                <w:rFonts w:ascii="Times New Roman" w:hAnsi="Times New Roman"/>
                <w:kern w:val="2"/>
              </w:rPr>
              <w:t>0.382</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83" w:type="pct"/>
            <w:vMerge w:val="continue"/>
            <w:vAlign w:val="center"/>
          </w:tcPr>
          <w:p>
            <w:pPr>
              <w:jc w:val="center"/>
              <w:rPr>
                <w:rFonts w:ascii="Times New Roman" w:hAnsi="Times New Roman"/>
                <w:kern w:val="2"/>
              </w:rPr>
            </w:pPr>
          </w:p>
        </w:tc>
        <w:tc>
          <w:tcPr>
            <w:tcW w:w="1081" w:type="pct"/>
            <w:vAlign w:val="center"/>
          </w:tcPr>
          <w:p>
            <w:pPr>
              <w:jc w:val="center"/>
              <w:rPr>
                <w:rFonts w:ascii="Times New Roman" w:hAnsi="Times New Roman"/>
                <w:kern w:val="2"/>
              </w:rPr>
            </w:pPr>
            <w:r>
              <w:rPr>
                <w:rFonts w:ascii="Times New Roman" w:hAnsi="Times New Roman"/>
                <w:kern w:val="2"/>
              </w:rPr>
              <w:t>石油类</w:t>
            </w:r>
          </w:p>
        </w:tc>
        <w:tc>
          <w:tcPr>
            <w:tcW w:w="1131" w:type="pct"/>
            <w:vAlign w:val="center"/>
          </w:tcPr>
          <w:p>
            <w:pPr>
              <w:jc w:val="center"/>
              <w:rPr>
                <w:rFonts w:ascii="Times New Roman" w:hAnsi="Times New Roman"/>
                <w:kern w:val="2"/>
              </w:rPr>
            </w:pPr>
            <w:r>
              <w:rPr>
                <w:rFonts w:ascii="Times New Roman" w:hAnsi="Times New Roman"/>
                <w:kern w:val="2"/>
              </w:rPr>
              <w:t>0.01L</w:t>
            </w:r>
          </w:p>
        </w:tc>
        <w:tc>
          <w:tcPr>
            <w:tcW w:w="1038" w:type="pct"/>
            <w:vAlign w:val="center"/>
          </w:tcPr>
          <w:p>
            <w:pPr>
              <w:jc w:val="center"/>
              <w:rPr>
                <w:rFonts w:ascii="Times New Roman" w:hAnsi="Times New Roman"/>
                <w:kern w:val="2"/>
              </w:rPr>
            </w:pPr>
            <w:r>
              <w:rPr>
                <w:rFonts w:ascii="Times New Roman" w:hAnsi="Times New Roman"/>
                <w:kern w:val="2"/>
              </w:rPr>
              <w:t>0.01L</w:t>
            </w:r>
          </w:p>
        </w:tc>
        <w:tc>
          <w:tcPr>
            <w:tcW w:w="964" w:type="pct"/>
            <w:vAlign w:val="center"/>
          </w:tcPr>
          <w:p>
            <w:pPr>
              <w:jc w:val="center"/>
              <w:rPr>
                <w:rFonts w:ascii="Times New Roman" w:hAnsi="Times New Roman"/>
                <w:kern w:val="2"/>
              </w:rPr>
            </w:pPr>
            <w:r>
              <w:rPr>
                <w:rFonts w:ascii="Times New Roman" w:hAnsi="Times New Roman"/>
                <w:kern w:val="2"/>
              </w:rPr>
              <w:t>0.01L</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83" w:type="pct"/>
            <w:vMerge w:val="continue"/>
            <w:vAlign w:val="center"/>
          </w:tcPr>
          <w:p>
            <w:pPr>
              <w:jc w:val="center"/>
              <w:rPr>
                <w:rFonts w:ascii="Times New Roman" w:hAnsi="Times New Roman"/>
                <w:kern w:val="2"/>
              </w:rPr>
            </w:pPr>
          </w:p>
        </w:tc>
        <w:tc>
          <w:tcPr>
            <w:tcW w:w="1081" w:type="pct"/>
            <w:vAlign w:val="center"/>
          </w:tcPr>
          <w:p>
            <w:pPr>
              <w:jc w:val="center"/>
              <w:rPr>
                <w:rFonts w:ascii="Times New Roman" w:hAnsi="Times New Roman"/>
                <w:kern w:val="2"/>
              </w:rPr>
            </w:pPr>
            <w:r>
              <w:rPr>
                <w:rFonts w:ascii="Times New Roman" w:hAnsi="Times New Roman"/>
                <w:kern w:val="2"/>
              </w:rPr>
              <w:t>硫化物</w:t>
            </w:r>
          </w:p>
        </w:tc>
        <w:tc>
          <w:tcPr>
            <w:tcW w:w="1131" w:type="pct"/>
            <w:vAlign w:val="center"/>
          </w:tcPr>
          <w:p>
            <w:pPr>
              <w:jc w:val="center"/>
              <w:rPr>
                <w:rFonts w:ascii="Times New Roman" w:hAnsi="Times New Roman"/>
                <w:kern w:val="2"/>
              </w:rPr>
            </w:pPr>
            <w:r>
              <w:rPr>
                <w:rFonts w:ascii="Times New Roman" w:hAnsi="Times New Roman"/>
                <w:kern w:val="2"/>
              </w:rPr>
              <w:t>0.005L</w:t>
            </w:r>
          </w:p>
        </w:tc>
        <w:tc>
          <w:tcPr>
            <w:tcW w:w="1038" w:type="pct"/>
            <w:vAlign w:val="center"/>
          </w:tcPr>
          <w:p>
            <w:pPr>
              <w:jc w:val="center"/>
              <w:rPr>
                <w:rFonts w:ascii="Times New Roman" w:hAnsi="Times New Roman"/>
                <w:kern w:val="2"/>
              </w:rPr>
            </w:pPr>
            <w:r>
              <w:rPr>
                <w:rFonts w:ascii="Times New Roman" w:hAnsi="Times New Roman"/>
                <w:kern w:val="2"/>
              </w:rPr>
              <w:t>0.005L</w:t>
            </w:r>
          </w:p>
        </w:tc>
        <w:tc>
          <w:tcPr>
            <w:tcW w:w="964" w:type="pct"/>
            <w:vAlign w:val="center"/>
          </w:tcPr>
          <w:p>
            <w:pPr>
              <w:jc w:val="center"/>
              <w:rPr>
                <w:rFonts w:ascii="Times New Roman" w:hAnsi="Times New Roman"/>
                <w:kern w:val="2"/>
              </w:rPr>
            </w:pPr>
            <w:r>
              <w:rPr>
                <w:rFonts w:ascii="Times New Roman" w:hAnsi="Times New Roman"/>
                <w:kern w:val="2"/>
              </w:rPr>
              <w:t>0.005L</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83" w:type="pct"/>
            <w:vMerge w:val="continue"/>
            <w:vAlign w:val="center"/>
          </w:tcPr>
          <w:p>
            <w:pPr>
              <w:jc w:val="center"/>
              <w:rPr>
                <w:rFonts w:ascii="Times New Roman" w:hAnsi="Times New Roman"/>
                <w:kern w:val="2"/>
              </w:rPr>
            </w:pPr>
          </w:p>
        </w:tc>
        <w:tc>
          <w:tcPr>
            <w:tcW w:w="1081" w:type="pct"/>
            <w:vAlign w:val="center"/>
          </w:tcPr>
          <w:p>
            <w:pPr>
              <w:jc w:val="center"/>
              <w:rPr>
                <w:rFonts w:ascii="Times New Roman" w:hAnsi="Times New Roman"/>
                <w:kern w:val="2"/>
              </w:rPr>
            </w:pPr>
            <w:r>
              <w:rPr>
                <w:rFonts w:ascii="Times New Roman" w:hAnsi="Times New Roman"/>
                <w:kern w:val="2"/>
              </w:rPr>
              <w:t>氟化物</w:t>
            </w:r>
          </w:p>
        </w:tc>
        <w:tc>
          <w:tcPr>
            <w:tcW w:w="1131" w:type="pct"/>
            <w:vAlign w:val="center"/>
          </w:tcPr>
          <w:p>
            <w:pPr>
              <w:jc w:val="center"/>
              <w:rPr>
                <w:rFonts w:ascii="Times New Roman" w:hAnsi="Times New Roman"/>
                <w:kern w:val="2"/>
              </w:rPr>
            </w:pPr>
            <w:r>
              <w:rPr>
                <w:rFonts w:ascii="Times New Roman" w:hAnsi="Times New Roman"/>
                <w:kern w:val="2"/>
              </w:rPr>
              <w:t>0.05L</w:t>
            </w:r>
          </w:p>
        </w:tc>
        <w:tc>
          <w:tcPr>
            <w:tcW w:w="1038" w:type="pct"/>
            <w:vAlign w:val="center"/>
          </w:tcPr>
          <w:p>
            <w:pPr>
              <w:jc w:val="center"/>
              <w:rPr>
                <w:rFonts w:ascii="Times New Roman" w:hAnsi="Times New Roman"/>
                <w:kern w:val="2"/>
              </w:rPr>
            </w:pPr>
            <w:r>
              <w:rPr>
                <w:rFonts w:ascii="Times New Roman" w:hAnsi="Times New Roman"/>
                <w:kern w:val="2"/>
              </w:rPr>
              <w:t>0.05L</w:t>
            </w:r>
          </w:p>
        </w:tc>
        <w:tc>
          <w:tcPr>
            <w:tcW w:w="964" w:type="pct"/>
            <w:vAlign w:val="center"/>
          </w:tcPr>
          <w:p>
            <w:pPr>
              <w:jc w:val="center"/>
              <w:rPr>
                <w:rFonts w:ascii="Times New Roman" w:hAnsi="Times New Roman"/>
                <w:kern w:val="2"/>
              </w:rPr>
            </w:pPr>
            <w:r>
              <w:rPr>
                <w:rFonts w:ascii="Times New Roman" w:hAnsi="Times New Roman"/>
                <w:kern w:val="2"/>
              </w:rPr>
              <w:t>0.05L</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83" w:type="pct"/>
            <w:vMerge w:val="continue"/>
            <w:vAlign w:val="center"/>
          </w:tcPr>
          <w:p>
            <w:pPr>
              <w:jc w:val="center"/>
              <w:rPr>
                <w:rFonts w:ascii="Times New Roman" w:hAnsi="Times New Roman"/>
                <w:kern w:val="2"/>
              </w:rPr>
            </w:pPr>
          </w:p>
        </w:tc>
        <w:tc>
          <w:tcPr>
            <w:tcW w:w="1081" w:type="pct"/>
            <w:vAlign w:val="center"/>
          </w:tcPr>
          <w:p>
            <w:pPr>
              <w:jc w:val="center"/>
              <w:rPr>
                <w:rFonts w:ascii="Times New Roman" w:hAnsi="Times New Roman"/>
                <w:kern w:val="2"/>
              </w:rPr>
            </w:pPr>
            <w:r>
              <w:rPr>
                <w:rFonts w:ascii="Times New Roman" w:hAnsi="Times New Roman"/>
                <w:kern w:val="2"/>
              </w:rPr>
              <w:t>铁</w:t>
            </w:r>
          </w:p>
        </w:tc>
        <w:tc>
          <w:tcPr>
            <w:tcW w:w="1131" w:type="pct"/>
            <w:vAlign w:val="center"/>
          </w:tcPr>
          <w:p>
            <w:pPr>
              <w:jc w:val="center"/>
              <w:rPr>
                <w:rFonts w:ascii="Times New Roman" w:hAnsi="Times New Roman"/>
                <w:kern w:val="2"/>
              </w:rPr>
            </w:pPr>
            <w:r>
              <w:rPr>
                <w:rFonts w:ascii="Times New Roman" w:hAnsi="Times New Roman"/>
                <w:kern w:val="2"/>
              </w:rPr>
              <w:t>0.25</w:t>
            </w:r>
          </w:p>
        </w:tc>
        <w:tc>
          <w:tcPr>
            <w:tcW w:w="1038" w:type="pct"/>
            <w:vAlign w:val="center"/>
          </w:tcPr>
          <w:p>
            <w:pPr>
              <w:jc w:val="center"/>
              <w:rPr>
                <w:rFonts w:ascii="Times New Roman" w:hAnsi="Times New Roman"/>
                <w:kern w:val="2"/>
              </w:rPr>
            </w:pPr>
            <w:r>
              <w:rPr>
                <w:rFonts w:ascii="Times New Roman" w:hAnsi="Times New Roman"/>
                <w:kern w:val="2"/>
              </w:rPr>
              <w:t>0.26</w:t>
            </w:r>
          </w:p>
        </w:tc>
        <w:tc>
          <w:tcPr>
            <w:tcW w:w="964" w:type="pct"/>
            <w:vAlign w:val="center"/>
          </w:tcPr>
          <w:p>
            <w:pPr>
              <w:jc w:val="center"/>
              <w:rPr>
                <w:rFonts w:ascii="Times New Roman" w:hAnsi="Times New Roman"/>
                <w:kern w:val="2"/>
              </w:rPr>
            </w:pPr>
            <w:r>
              <w:rPr>
                <w:rFonts w:ascii="Times New Roman" w:hAnsi="Times New Roman"/>
                <w:kern w:val="2"/>
              </w:rPr>
              <w:t>0.23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83" w:type="pct"/>
            <w:vMerge w:val="continue"/>
            <w:vAlign w:val="center"/>
          </w:tcPr>
          <w:p>
            <w:pPr>
              <w:jc w:val="center"/>
              <w:rPr>
                <w:rFonts w:ascii="Times New Roman" w:hAnsi="Times New Roman"/>
                <w:kern w:val="2"/>
              </w:rPr>
            </w:pPr>
          </w:p>
        </w:tc>
        <w:tc>
          <w:tcPr>
            <w:tcW w:w="1081" w:type="pct"/>
            <w:vAlign w:val="center"/>
          </w:tcPr>
          <w:p>
            <w:pPr>
              <w:jc w:val="center"/>
              <w:rPr>
                <w:rFonts w:ascii="Times New Roman" w:hAnsi="Times New Roman"/>
                <w:kern w:val="2"/>
              </w:rPr>
            </w:pPr>
            <w:r>
              <w:rPr>
                <w:rFonts w:ascii="Times New Roman" w:hAnsi="Times New Roman"/>
                <w:kern w:val="2"/>
              </w:rPr>
              <w:t>锰</w:t>
            </w:r>
          </w:p>
        </w:tc>
        <w:tc>
          <w:tcPr>
            <w:tcW w:w="1131" w:type="pct"/>
            <w:vAlign w:val="center"/>
          </w:tcPr>
          <w:p>
            <w:pPr>
              <w:jc w:val="center"/>
              <w:rPr>
                <w:rFonts w:ascii="Times New Roman" w:hAnsi="Times New Roman"/>
                <w:kern w:val="2"/>
              </w:rPr>
            </w:pPr>
            <w:r>
              <w:rPr>
                <w:rFonts w:ascii="Times New Roman" w:hAnsi="Times New Roman"/>
                <w:kern w:val="2"/>
              </w:rPr>
              <w:t>0.01L</w:t>
            </w:r>
          </w:p>
        </w:tc>
        <w:tc>
          <w:tcPr>
            <w:tcW w:w="1038" w:type="pct"/>
            <w:vAlign w:val="center"/>
          </w:tcPr>
          <w:p>
            <w:pPr>
              <w:jc w:val="center"/>
              <w:rPr>
                <w:rFonts w:ascii="Times New Roman" w:hAnsi="Times New Roman"/>
                <w:kern w:val="2"/>
              </w:rPr>
            </w:pPr>
            <w:r>
              <w:rPr>
                <w:rFonts w:ascii="Times New Roman" w:hAnsi="Times New Roman"/>
                <w:kern w:val="2"/>
              </w:rPr>
              <w:t>0.01L</w:t>
            </w:r>
          </w:p>
        </w:tc>
        <w:tc>
          <w:tcPr>
            <w:tcW w:w="964" w:type="pct"/>
            <w:vAlign w:val="center"/>
          </w:tcPr>
          <w:p>
            <w:pPr>
              <w:jc w:val="center"/>
              <w:rPr>
                <w:rFonts w:ascii="Times New Roman" w:hAnsi="Times New Roman"/>
                <w:kern w:val="2"/>
              </w:rPr>
            </w:pPr>
            <w:r>
              <w:rPr>
                <w:rFonts w:ascii="Times New Roman" w:hAnsi="Times New Roman"/>
                <w:kern w:val="2"/>
              </w:rPr>
              <w:t>0.01L</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83" w:type="pct"/>
            <w:vMerge w:val="continue"/>
            <w:vAlign w:val="center"/>
          </w:tcPr>
          <w:p>
            <w:pPr>
              <w:jc w:val="center"/>
              <w:rPr>
                <w:rFonts w:ascii="Times New Roman" w:hAnsi="Times New Roman"/>
                <w:kern w:val="2"/>
              </w:rPr>
            </w:pPr>
          </w:p>
        </w:tc>
        <w:tc>
          <w:tcPr>
            <w:tcW w:w="1081" w:type="pct"/>
            <w:vAlign w:val="center"/>
          </w:tcPr>
          <w:p>
            <w:pPr>
              <w:jc w:val="center"/>
              <w:rPr>
                <w:rFonts w:ascii="Times New Roman" w:hAnsi="Times New Roman"/>
                <w:kern w:val="2"/>
              </w:rPr>
            </w:pPr>
            <w:r>
              <w:rPr>
                <w:rFonts w:ascii="Times New Roman" w:hAnsi="Times New Roman"/>
                <w:kern w:val="2"/>
              </w:rPr>
              <w:t>锌</w:t>
            </w:r>
          </w:p>
        </w:tc>
        <w:tc>
          <w:tcPr>
            <w:tcW w:w="1131" w:type="pct"/>
            <w:vAlign w:val="center"/>
          </w:tcPr>
          <w:p>
            <w:pPr>
              <w:jc w:val="center"/>
              <w:rPr>
                <w:rFonts w:ascii="Times New Roman" w:hAnsi="Times New Roman"/>
                <w:kern w:val="2"/>
              </w:rPr>
            </w:pPr>
            <w:r>
              <w:rPr>
                <w:rFonts w:ascii="Times New Roman" w:hAnsi="Times New Roman"/>
                <w:kern w:val="2"/>
              </w:rPr>
              <w:t>0.05L</w:t>
            </w:r>
          </w:p>
        </w:tc>
        <w:tc>
          <w:tcPr>
            <w:tcW w:w="1038" w:type="pct"/>
            <w:vAlign w:val="center"/>
          </w:tcPr>
          <w:p>
            <w:pPr>
              <w:jc w:val="center"/>
              <w:rPr>
                <w:rFonts w:ascii="Times New Roman" w:hAnsi="Times New Roman"/>
                <w:kern w:val="2"/>
              </w:rPr>
            </w:pPr>
            <w:r>
              <w:rPr>
                <w:rFonts w:ascii="Times New Roman" w:hAnsi="Times New Roman"/>
                <w:kern w:val="2"/>
              </w:rPr>
              <w:t>0.05L</w:t>
            </w:r>
          </w:p>
        </w:tc>
        <w:tc>
          <w:tcPr>
            <w:tcW w:w="964" w:type="pct"/>
            <w:vAlign w:val="center"/>
          </w:tcPr>
          <w:p>
            <w:pPr>
              <w:jc w:val="center"/>
              <w:rPr>
                <w:rFonts w:ascii="Times New Roman" w:hAnsi="Times New Roman"/>
                <w:kern w:val="2"/>
              </w:rPr>
            </w:pPr>
            <w:r>
              <w:rPr>
                <w:rFonts w:ascii="Times New Roman" w:hAnsi="Times New Roman"/>
                <w:kern w:val="2"/>
              </w:rPr>
              <w:t>0.05L</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83" w:type="pct"/>
            <w:vMerge w:val="continue"/>
            <w:vAlign w:val="center"/>
          </w:tcPr>
          <w:p>
            <w:pPr>
              <w:jc w:val="center"/>
              <w:rPr>
                <w:rFonts w:ascii="Times New Roman" w:hAnsi="Times New Roman"/>
                <w:kern w:val="2"/>
              </w:rPr>
            </w:pPr>
          </w:p>
        </w:tc>
        <w:tc>
          <w:tcPr>
            <w:tcW w:w="1081" w:type="pct"/>
            <w:vAlign w:val="center"/>
          </w:tcPr>
          <w:p>
            <w:pPr>
              <w:jc w:val="center"/>
              <w:rPr>
                <w:rFonts w:ascii="Times New Roman" w:hAnsi="Times New Roman"/>
                <w:kern w:val="2"/>
              </w:rPr>
            </w:pPr>
            <w:r>
              <w:rPr>
                <w:rFonts w:ascii="Times New Roman" w:hAnsi="Times New Roman"/>
                <w:kern w:val="2"/>
              </w:rPr>
              <w:t>铅</w:t>
            </w:r>
          </w:p>
        </w:tc>
        <w:tc>
          <w:tcPr>
            <w:tcW w:w="1131" w:type="pct"/>
            <w:vAlign w:val="center"/>
          </w:tcPr>
          <w:p>
            <w:pPr>
              <w:jc w:val="center"/>
              <w:rPr>
                <w:rFonts w:ascii="Times New Roman" w:hAnsi="Times New Roman"/>
                <w:kern w:val="2"/>
              </w:rPr>
            </w:pPr>
            <w:r>
              <w:rPr>
                <w:rFonts w:ascii="Times New Roman" w:hAnsi="Times New Roman"/>
                <w:kern w:val="2"/>
              </w:rPr>
              <w:t>0.01L</w:t>
            </w:r>
          </w:p>
        </w:tc>
        <w:tc>
          <w:tcPr>
            <w:tcW w:w="1038" w:type="pct"/>
            <w:vAlign w:val="center"/>
          </w:tcPr>
          <w:p>
            <w:pPr>
              <w:jc w:val="center"/>
              <w:rPr>
                <w:rFonts w:ascii="Times New Roman" w:hAnsi="Times New Roman"/>
                <w:kern w:val="2"/>
              </w:rPr>
            </w:pPr>
            <w:r>
              <w:rPr>
                <w:rFonts w:ascii="Times New Roman" w:hAnsi="Times New Roman"/>
                <w:kern w:val="2"/>
              </w:rPr>
              <w:t>0.01L</w:t>
            </w:r>
          </w:p>
        </w:tc>
        <w:tc>
          <w:tcPr>
            <w:tcW w:w="964" w:type="pct"/>
            <w:vAlign w:val="center"/>
          </w:tcPr>
          <w:p>
            <w:pPr>
              <w:jc w:val="center"/>
              <w:rPr>
                <w:rFonts w:ascii="Times New Roman" w:hAnsi="Times New Roman"/>
                <w:kern w:val="2"/>
              </w:rPr>
            </w:pPr>
            <w:r>
              <w:rPr>
                <w:rFonts w:ascii="Times New Roman" w:hAnsi="Times New Roman"/>
                <w:kern w:val="2"/>
              </w:rPr>
              <w:t>0.01L</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83" w:type="pct"/>
            <w:vMerge w:val="continue"/>
            <w:vAlign w:val="center"/>
          </w:tcPr>
          <w:p>
            <w:pPr>
              <w:jc w:val="center"/>
              <w:rPr>
                <w:rFonts w:ascii="Times New Roman" w:hAnsi="Times New Roman"/>
                <w:kern w:val="2"/>
              </w:rPr>
            </w:pPr>
          </w:p>
        </w:tc>
        <w:tc>
          <w:tcPr>
            <w:tcW w:w="1081" w:type="pct"/>
            <w:vAlign w:val="center"/>
          </w:tcPr>
          <w:p>
            <w:pPr>
              <w:jc w:val="center"/>
              <w:rPr>
                <w:rFonts w:ascii="Times New Roman" w:hAnsi="Times New Roman"/>
                <w:kern w:val="2"/>
              </w:rPr>
            </w:pPr>
            <w:r>
              <w:rPr>
                <w:rFonts w:ascii="Times New Roman" w:hAnsi="Times New Roman"/>
                <w:kern w:val="2"/>
              </w:rPr>
              <w:t>镉</w:t>
            </w:r>
          </w:p>
        </w:tc>
        <w:tc>
          <w:tcPr>
            <w:tcW w:w="1131" w:type="pct"/>
            <w:vAlign w:val="center"/>
          </w:tcPr>
          <w:p>
            <w:pPr>
              <w:jc w:val="center"/>
              <w:rPr>
                <w:rFonts w:ascii="Times New Roman" w:hAnsi="Times New Roman"/>
                <w:kern w:val="2"/>
              </w:rPr>
            </w:pPr>
            <w:r>
              <w:rPr>
                <w:rFonts w:ascii="Times New Roman" w:hAnsi="Times New Roman"/>
                <w:kern w:val="2"/>
              </w:rPr>
              <w:t>0.001L</w:t>
            </w:r>
          </w:p>
        </w:tc>
        <w:tc>
          <w:tcPr>
            <w:tcW w:w="1038" w:type="pct"/>
            <w:vAlign w:val="center"/>
          </w:tcPr>
          <w:p>
            <w:pPr>
              <w:jc w:val="center"/>
              <w:rPr>
                <w:rFonts w:ascii="Times New Roman" w:hAnsi="Times New Roman"/>
                <w:kern w:val="2"/>
              </w:rPr>
            </w:pPr>
            <w:r>
              <w:rPr>
                <w:rFonts w:ascii="Times New Roman" w:hAnsi="Times New Roman"/>
                <w:kern w:val="2"/>
              </w:rPr>
              <w:t>0.001L</w:t>
            </w:r>
          </w:p>
        </w:tc>
        <w:tc>
          <w:tcPr>
            <w:tcW w:w="964" w:type="pct"/>
            <w:vAlign w:val="center"/>
          </w:tcPr>
          <w:p>
            <w:pPr>
              <w:jc w:val="center"/>
              <w:rPr>
                <w:rFonts w:ascii="Times New Roman" w:hAnsi="Times New Roman"/>
                <w:kern w:val="2"/>
              </w:rPr>
            </w:pPr>
            <w:r>
              <w:rPr>
                <w:rFonts w:ascii="Times New Roman" w:hAnsi="Times New Roman"/>
                <w:kern w:val="2"/>
              </w:rPr>
              <w:t>0.001L</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83" w:type="pct"/>
            <w:vMerge w:val="continue"/>
            <w:vAlign w:val="center"/>
          </w:tcPr>
          <w:p>
            <w:pPr>
              <w:jc w:val="center"/>
              <w:rPr>
                <w:rFonts w:ascii="Times New Roman" w:hAnsi="Times New Roman"/>
                <w:kern w:val="2"/>
              </w:rPr>
            </w:pPr>
          </w:p>
        </w:tc>
        <w:tc>
          <w:tcPr>
            <w:tcW w:w="1081" w:type="pct"/>
            <w:vAlign w:val="center"/>
          </w:tcPr>
          <w:p>
            <w:pPr>
              <w:jc w:val="center"/>
              <w:rPr>
                <w:rFonts w:ascii="Times New Roman" w:hAnsi="Times New Roman"/>
                <w:kern w:val="2"/>
              </w:rPr>
            </w:pPr>
            <w:r>
              <w:rPr>
                <w:rFonts w:ascii="Times New Roman" w:hAnsi="Times New Roman"/>
                <w:kern w:val="2"/>
              </w:rPr>
              <w:t>砷</w:t>
            </w:r>
          </w:p>
        </w:tc>
        <w:tc>
          <w:tcPr>
            <w:tcW w:w="1131" w:type="pct"/>
            <w:vAlign w:val="center"/>
          </w:tcPr>
          <w:p>
            <w:pPr>
              <w:jc w:val="center"/>
              <w:rPr>
                <w:rFonts w:ascii="Times New Roman" w:hAnsi="Times New Roman"/>
                <w:kern w:val="2"/>
              </w:rPr>
            </w:pPr>
            <w:r>
              <w:rPr>
                <w:rFonts w:ascii="Times New Roman" w:hAnsi="Times New Roman"/>
                <w:kern w:val="2"/>
              </w:rPr>
              <w:t>0.0003L</w:t>
            </w:r>
          </w:p>
        </w:tc>
        <w:tc>
          <w:tcPr>
            <w:tcW w:w="1038" w:type="pct"/>
            <w:vAlign w:val="center"/>
          </w:tcPr>
          <w:p>
            <w:pPr>
              <w:jc w:val="center"/>
              <w:rPr>
                <w:rFonts w:ascii="Times New Roman" w:hAnsi="Times New Roman"/>
                <w:kern w:val="2"/>
              </w:rPr>
            </w:pPr>
            <w:r>
              <w:rPr>
                <w:rFonts w:ascii="Times New Roman" w:hAnsi="Times New Roman"/>
                <w:kern w:val="2"/>
              </w:rPr>
              <w:t>0.0003L</w:t>
            </w:r>
          </w:p>
        </w:tc>
        <w:tc>
          <w:tcPr>
            <w:tcW w:w="964" w:type="pct"/>
            <w:vAlign w:val="center"/>
          </w:tcPr>
          <w:p>
            <w:pPr>
              <w:jc w:val="center"/>
              <w:rPr>
                <w:rFonts w:ascii="Times New Roman" w:hAnsi="Times New Roman"/>
                <w:kern w:val="2"/>
              </w:rPr>
            </w:pPr>
            <w:r>
              <w:rPr>
                <w:rFonts w:ascii="Times New Roman" w:hAnsi="Times New Roman"/>
                <w:kern w:val="2"/>
              </w:rPr>
              <w:t>0.0003L</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83" w:type="pct"/>
            <w:vMerge w:val="restart"/>
            <w:vAlign w:val="center"/>
          </w:tcPr>
          <w:p>
            <w:pPr>
              <w:jc w:val="center"/>
              <w:rPr>
                <w:rFonts w:ascii="Times New Roman" w:hAnsi="Times New Roman"/>
                <w:kern w:val="2"/>
              </w:rPr>
            </w:pPr>
            <w:r>
              <w:rPr>
                <w:rFonts w:ascii="Times New Roman" w:hAnsi="Times New Roman"/>
                <w:kern w:val="2"/>
              </w:rPr>
              <w:t>3#</w:t>
            </w:r>
          </w:p>
        </w:tc>
        <w:tc>
          <w:tcPr>
            <w:tcW w:w="1081" w:type="pct"/>
            <w:vAlign w:val="center"/>
          </w:tcPr>
          <w:p>
            <w:pPr>
              <w:jc w:val="center"/>
              <w:rPr>
                <w:rFonts w:ascii="Times New Roman" w:hAnsi="Times New Roman"/>
                <w:kern w:val="2"/>
              </w:rPr>
            </w:pPr>
            <w:r>
              <w:rPr>
                <w:rFonts w:ascii="Times New Roman" w:hAnsi="Times New Roman"/>
                <w:kern w:val="2"/>
              </w:rPr>
              <w:t>pH值</w:t>
            </w:r>
          </w:p>
        </w:tc>
        <w:tc>
          <w:tcPr>
            <w:tcW w:w="1131" w:type="pct"/>
            <w:vAlign w:val="center"/>
          </w:tcPr>
          <w:p>
            <w:pPr>
              <w:jc w:val="center"/>
              <w:rPr>
                <w:rFonts w:ascii="Times New Roman" w:hAnsi="Times New Roman"/>
                <w:kern w:val="2"/>
              </w:rPr>
            </w:pPr>
            <w:r>
              <w:rPr>
                <w:rFonts w:ascii="Times New Roman" w:hAnsi="Times New Roman"/>
                <w:kern w:val="2"/>
              </w:rPr>
              <w:t>7.18</w:t>
            </w:r>
          </w:p>
        </w:tc>
        <w:tc>
          <w:tcPr>
            <w:tcW w:w="1038" w:type="pct"/>
            <w:vAlign w:val="center"/>
          </w:tcPr>
          <w:p>
            <w:pPr>
              <w:jc w:val="center"/>
              <w:rPr>
                <w:rFonts w:ascii="Times New Roman" w:hAnsi="Times New Roman"/>
                <w:kern w:val="2"/>
              </w:rPr>
            </w:pPr>
            <w:r>
              <w:rPr>
                <w:rFonts w:ascii="Times New Roman" w:hAnsi="Times New Roman"/>
                <w:kern w:val="2"/>
              </w:rPr>
              <w:t>7.19</w:t>
            </w:r>
          </w:p>
        </w:tc>
        <w:tc>
          <w:tcPr>
            <w:tcW w:w="964" w:type="pct"/>
            <w:vAlign w:val="center"/>
          </w:tcPr>
          <w:p>
            <w:pPr>
              <w:jc w:val="center"/>
              <w:rPr>
                <w:rFonts w:ascii="Times New Roman" w:hAnsi="Times New Roman"/>
                <w:kern w:val="2"/>
              </w:rPr>
            </w:pPr>
            <w:r>
              <w:rPr>
                <w:rFonts w:ascii="Times New Roman" w:hAnsi="Times New Roman"/>
                <w:kern w:val="2"/>
              </w:rPr>
              <w:t>7.19</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83" w:type="pct"/>
            <w:vMerge w:val="continue"/>
            <w:vAlign w:val="center"/>
          </w:tcPr>
          <w:p>
            <w:pPr>
              <w:jc w:val="center"/>
              <w:rPr>
                <w:rFonts w:ascii="Times New Roman" w:hAnsi="Times New Roman"/>
                <w:kern w:val="2"/>
              </w:rPr>
            </w:pPr>
          </w:p>
        </w:tc>
        <w:tc>
          <w:tcPr>
            <w:tcW w:w="1081" w:type="pct"/>
            <w:vAlign w:val="center"/>
          </w:tcPr>
          <w:p>
            <w:pPr>
              <w:jc w:val="center"/>
              <w:rPr>
                <w:rFonts w:ascii="Times New Roman" w:hAnsi="Times New Roman"/>
                <w:kern w:val="2"/>
              </w:rPr>
            </w:pPr>
            <w:r>
              <w:rPr>
                <w:rFonts w:ascii="Times New Roman" w:hAnsi="Times New Roman"/>
                <w:kern w:val="2"/>
              </w:rPr>
              <w:t>COD</w:t>
            </w:r>
          </w:p>
        </w:tc>
        <w:tc>
          <w:tcPr>
            <w:tcW w:w="1131" w:type="pct"/>
            <w:vAlign w:val="center"/>
          </w:tcPr>
          <w:p>
            <w:pPr>
              <w:jc w:val="center"/>
              <w:rPr>
                <w:rFonts w:ascii="Times New Roman" w:hAnsi="Times New Roman"/>
                <w:kern w:val="2"/>
              </w:rPr>
            </w:pPr>
            <w:r>
              <w:rPr>
                <w:rFonts w:ascii="Times New Roman" w:hAnsi="Times New Roman"/>
                <w:kern w:val="2"/>
              </w:rPr>
              <w:t>18</w:t>
            </w:r>
          </w:p>
        </w:tc>
        <w:tc>
          <w:tcPr>
            <w:tcW w:w="1038" w:type="pct"/>
            <w:vAlign w:val="center"/>
          </w:tcPr>
          <w:p>
            <w:pPr>
              <w:jc w:val="center"/>
              <w:rPr>
                <w:rFonts w:ascii="Times New Roman" w:hAnsi="Times New Roman"/>
                <w:kern w:val="2"/>
              </w:rPr>
            </w:pPr>
            <w:r>
              <w:rPr>
                <w:rFonts w:ascii="Times New Roman" w:hAnsi="Times New Roman"/>
                <w:kern w:val="2"/>
              </w:rPr>
              <w:t>18</w:t>
            </w:r>
          </w:p>
        </w:tc>
        <w:tc>
          <w:tcPr>
            <w:tcW w:w="964" w:type="pct"/>
            <w:vAlign w:val="center"/>
          </w:tcPr>
          <w:p>
            <w:pPr>
              <w:jc w:val="center"/>
              <w:rPr>
                <w:rFonts w:ascii="Times New Roman" w:hAnsi="Times New Roman"/>
                <w:kern w:val="2"/>
              </w:rPr>
            </w:pPr>
            <w:r>
              <w:rPr>
                <w:rFonts w:ascii="Times New Roman" w:hAnsi="Times New Roman"/>
                <w:kern w:val="2"/>
              </w:rPr>
              <w:t>19</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83" w:type="pct"/>
            <w:vMerge w:val="continue"/>
            <w:vAlign w:val="center"/>
          </w:tcPr>
          <w:p>
            <w:pPr>
              <w:jc w:val="center"/>
              <w:rPr>
                <w:rFonts w:ascii="Times New Roman" w:hAnsi="Times New Roman"/>
                <w:kern w:val="2"/>
              </w:rPr>
            </w:pPr>
          </w:p>
        </w:tc>
        <w:tc>
          <w:tcPr>
            <w:tcW w:w="1081" w:type="pct"/>
            <w:vAlign w:val="center"/>
          </w:tcPr>
          <w:p>
            <w:pPr>
              <w:jc w:val="center"/>
              <w:rPr>
                <w:rFonts w:ascii="Times New Roman" w:hAnsi="Times New Roman"/>
                <w:kern w:val="2"/>
              </w:rPr>
            </w:pPr>
            <w:r>
              <w:rPr>
                <w:rFonts w:ascii="Times New Roman" w:hAnsi="Times New Roman"/>
                <w:kern w:val="2"/>
              </w:rPr>
              <w:t>BOD</w:t>
            </w:r>
            <w:r>
              <w:rPr>
                <w:rFonts w:ascii="Times New Roman" w:hAnsi="Times New Roman"/>
                <w:kern w:val="2"/>
                <w:vertAlign w:val="subscript"/>
              </w:rPr>
              <w:t>5</w:t>
            </w:r>
          </w:p>
        </w:tc>
        <w:tc>
          <w:tcPr>
            <w:tcW w:w="1131" w:type="pct"/>
            <w:vAlign w:val="center"/>
          </w:tcPr>
          <w:p>
            <w:pPr>
              <w:jc w:val="center"/>
              <w:rPr>
                <w:rFonts w:ascii="Times New Roman" w:hAnsi="Times New Roman"/>
                <w:kern w:val="2"/>
              </w:rPr>
            </w:pPr>
            <w:r>
              <w:rPr>
                <w:rFonts w:ascii="Times New Roman" w:hAnsi="Times New Roman"/>
                <w:kern w:val="2"/>
              </w:rPr>
              <w:t>3.7</w:t>
            </w:r>
          </w:p>
        </w:tc>
        <w:tc>
          <w:tcPr>
            <w:tcW w:w="1038" w:type="pct"/>
            <w:vAlign w:val="center"/>
          </w:tcPr>
          <w:p>
            <w:pPr>
              <w:jc w:val="center"/>
              <w:rPr>
                <w:rFonts w:ascii="Times New Roman" w:hAnsi="Times New Roman"/>
                <w:kern w:val="2"/>
              </w:rPr>
            </w:pPr>
            <w:r>
              <w:rPr>
                <w:rFonts w:ascii="Times New Roman" w:hAnsi="Times New Roman"/>
                <w:kern w:val="2"/>
              </w:rPr>
              <w:t>3.6</w:t>
            </w:r>
          </w:p>
        </w:tc>
        <w:tc>
          <w:tcPr>
            <w:tcW w:w="964" w:type="pct"/>
            <w:vAlign w:val="center"/>
          </w:tcPr>
          <w:p>
            <w:pPr>
              <w:jc w:val="center"/>
              <w:rPr>
                <w:rFonts w:ascii="Times New Roman" w:hAnsi="Times New Roman"/>
                <w:kern w:val="2"/>
              </w:rPr>
            </w:pPr>
            <w:r>
              <w:rPr>
                <w:rFonts w:ascii="Times New Roman" w:hAnsi="Times New Roman"/>
                <w:kern w:val="2"/>
              </w:rPr>
              <w:t>3.8</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83" w:type="pct"/>
            <w:vMerge w:val="continue"/>
            <w:vAlign w:val="center"/>
          </w:tcPr>
          <w:p>
            <w:pPr>
              <w:jc w:val="center"/>
              <w:rPr>
                <w:rFonts w:ascii="Times New Roman" w:hAnsi="Times New Roman"/>
                <w:kern w:val="2"/>
              </w:rPr>
            </w:pPr>
          </w:p>
        </w:tc>
        <w:tc>
          <w:tcPr>
            <w:tcW w:w="1081" w:type="pct"/>
            <w:vAlign w:val="center"/>
          </w:tcPr>
          <w:p>
            <w:pPr>
              <w:jc w:val="center"/>
              <w:rPr>
                <w:rFonts w:ascii="Times New Roman" w:hAnsi="Times New Roman"/>
                <w:kern w:val="2"/>
              </w:rPr>
            </w:pPr>
            <w:r>
              <w:rPr>
                <w:rFonts w:ascii="Times New Roman" w:hAnsi="Times New Roman"/>
                <w:kern w:val="2"/>
              </w:rPr>
              <w:t>氨氮</w:t>
            </w:r>
          </w:p>
        </w:tc>
        <w:tc>
          <w:tcPr>
            <w:tcW w:w="1131" w:type="pct"/>
            <w:vAlign w:val="center"/>
          </w:tcPr>
          <w:p>
            <w:pPr>
              <w:jc w:val="center"/>
              <w:rPr>
                <w:rFonts w:ascii="Times New Roman" w:hAnsi="Times New Roman"/>
                <w:kern w:val="2"/>
              </w:rPr>
            </w:pPr>
            <w:r>
              <w:rPr>
                <w:rFonts w:ascii="Times New Roman" w:hAnsi="Times New Roman"/>
                <w:kern w:val="2"/>
              </w:rPr>
              <w:t>0.429</w:t>
            </w:r>
          </w:p>
        </w:tc>
        <w:tc>
          <w:tcPr>
            <w:tcW w:w="1038" w:type="pct"/>
            <w:vAlign w:val="center"/>
          </w:tcPr>
          <w:p>
            <w:pPr>
              <w:jc w:val="center"/>
              <w:rPr>
                <w:rFonts w:ascii="Times New Roman" w:hAnsi="Times New Roman"/>
                <w:kern w:val="2"/>
              </w:rPr>
            </w:pPr>
            <w:r>
              <w:rPr>
                <w:rFonts w:ascii="Times New Roman" w:hAnsi="Times New Roman"/>
                <w:kern w:val="2"/>
              </w:rPr>
              <w:t>0.435</w:t>
            </w:r>
          </w:p>
        </w:tc>
        <w:tc>
          <w:tcPr>
            <w:tcW w:w="964" w:type="pct"/>
            <w:vAlign w:val="center"/>
          </w:tcPr>
          <w:p>
            <w:pPr>
              <w:jc w:val="center"/>
              <w:rPr>
                <w:rFonts w:ascii="Times New Roman" w:hAnsi="Times New Roman"/>
                <w:kern w:val="2"/>
              </w:rPr>
            </w:pPr>
            <w:r>
              <w:rPr>
                <w:rFonts w:ascii="Times New Roman" w:hAnsi="Times New Roman"/>
                <w:kern w:val="2"/>
              </w:rPr>
              <w:t>0.438</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83" w:type="pct"/>
            <w:vMerge w:val="continue"/>
            <w:vAlign w:val="center"/>
          </w:tcPr>
          <w:p>
            <w:pPr>
              <w:jc w:val="center"/>
              <w:rPr>
                <w:rFonts w:ascii="Times New Roman" w:hAnsi="Times New Roman"/>
                <w:kern w:val="2"/>
              </w:rPr>
            </w:pPr>
          </w:p>
        </w:tc>
        <w:tc>
          <w:tcPr>
            <w:tcW w:w="1081" w:type="pct"/>
            <w:vAlign w:val="center"/>
          </w:tcPr>
          <w:p>
            <w:pPr>
              <w:jc w:val="center"/>
              <w:rPr>
                <w:rFonts w:ascii="Times New Roman" w:hAnsi="Times New Roman"/>
                <w:kern w:val="2"/>
              </w:rPr>
            </w:pPr>
            <w:r>
              <w:rPr>
                <w:rFonts w:ascii="Times New Roman" w:hAnsi="Times New Roman"/>
                <w:kern w:val="2"/>
              </w:rPr>
              <w:t>石油类</w:t>
            </w:r>
          </w:p>
        </w:tc>
        <w:tc>
          <w:tcPr>
            <w:tcW w:w="1131" w:type="pct"/>
            <w:vAlign w:val="center"/>
          </w:tcPr>
          <w:p>
            <w:pPr>
              <w:jc w:val="center"/>
              <w:rPr>
                <w:rFonts w:ascii="Times New Roman" w:hAnsi="Times New Roman"/>
                <w:kern w:val="2"/>
              </w:rPr>
            </w:pPr>
            <w:r>
              <w:rPr>
                <w:rFonts w:ascii="Times New Roman" w:hAnsi="Times New Roman"/>
                <w:kern w:val="2"/>
              </w:rPr>
              <w:t>0.01L</w:t>
            </w:r>
          </w:p>
        </w:tc>
        <w:tc>
          <w:tcPr>
            <w:tcW w:w="1038" w:type="pct"/>
            <w:vAlign w:val="center"/>
          </w:tcPr>
          <w:p>
            <w:pPr>
              <w:jc w:val="center"/>
              <w:rPr>
                <w:rFonts w:ascii="Times New Roman" w:hAnsi="Times New Roman"/>
                <w:kern w:val="2"/>
              </w:rPr>
            </w:pPr>
            <w:r>
              <w:rPr>
                <w:rFonts w:ascii="Times New Roman" w:hAnsi="Times New Roman"/>
                <w:kern w:val="2"/>
              </w:rPr>
              <w:t>0.01L</w:t>
            </w:r>
          </w:p>
        </w:tc>
        <w:tc>
          <w:tcPr>
            <w:tcW w:w="964" w:type="pct"/>
            <w:vAlign w:val="center"/>
          </w:tcPr>
          <w:p>
            <w:pPr>
              <w:jc w:val="center"/>
              <w:rPr>
                <w:rFonts w:ascii="Times New Roman" w:hAnsi="Times New Roman"/>
                <w:kern w:val="2"/>
              </w:rPr>
            </w:pPr>
            <w:r>
              <w:rPr>
                <w:rFonts w:ascii="Times New Roman" w:hAnsi="Times New Roman"/>
                <w:kern w:val="2"/>
              </w:rPr>
              <w:t>0.01L</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83" w:type="pct"/>
            <w:vMerge w:val="continue"/>
            <w:vAlign w:val="center"/>
          </w:tcPr>
          <w:p>
            <w:pPr>
              <w:jc w:val="center"/>
              <w:rPr>
                <w:rFonts w:ascii="Times New Roman" w:hAnsi="Times New Roman"/>
                <w:kern w:val="2"/>
              </w:rPr>
            </w:pPr>
          </w:p>
        </w:tc>
        <w:tc>
          <w:tcPr>
            <w:tcW w:w="1081" w:type="pct"/>
            <w:vAlign w:val="center"/>
          </w:tcPr>
          <w:p>
            <w:pPr>
              <w:jc w:val="center"/>
              <w:rPr>
                <w:rFonts w:ascii="Times New Roman" w:hAnsi="Times New Roman"/>
                <w:kern w:val="2"/>
              </w:rPr>
            </w:pPr>
            <w:r>
              <w:rPr>
                <w:rFonts w:ascii="Times New Roman" w:hAnsi="Times New Roman"/>
                <w:kern w:val="2"/>
              </w:rPr>
              <w:t>硫化物</w:t>
            </w:r>
          </w:p>
        </w:tc>
        <w:tc>
          <w:tcPr>
            <w:tcW w:w="1131" w:type="pct"/>
            <w:vAlign w:val="center"/>
          </w:tcPr>
          <w:p>
            <w:pPr>
              <w:jc w:val="center"/>
              <w:rPr>
                <w:rFonts w:ascii="Times New Roman" w:hAnsi="Times New Roman"/>
                <w:kern w:val="2"/>
              </w:rPr>
            </w:pPr>
            <w:r>
              <w:rPr>
                <w:rFonts w:ascii="Times New Roman" w:hAnsi="Times New Roman"/>
                <w:kern w:val="2"/>
              </w:rPr>
              <w:t>0.005L</w:t>
            </w:r>
          </w:p>
        </w:tc>
        <w:tc>
          <w:tcPr>
            <w:tcW w:w="1038" w:type="pct"/>
            <w:vAlign w:val="center"/>
          </w:tcPr>
          <w:p>
            <w:pPr>
              <w:jc w:val="center"/>
              <w:rPr>
                <w:rFonts w:ascii="Times New Roman" w:hAnsi="Times New Roman"/>
                <w:kern w:val="2"/>
              </w:rPr>
            </w:pPr>
            <w:r>
              <w:rPr>
                <w:rFonts w:ascii="Times New Roman" w:hAnsi="Times New Roman"/>
                <w:kern w:val="2"/>
              </w:rPr>
              <w:t>0.005L</w:t>
            </w:r>
          </w:p>
        </w:tc>
        <w:tc>
          <w:tcPr>
            <w:tcW w:w="964" w:type="pct"/>
            <w:vAlign w:val="center"/>
          </w:tcPr>
          <w:p>
            <w:pPr>
              <w:jc w:val="center"/>
              <w:rPr>
                <w:rFonts w:ascii="Times New Roman" w:hAnsi="Times New Roman"/>
                <w:kern w:val="2"/>
              </w:rPr>
            </w:pPr>
            <w:r>
              <w:rPr>
                <w:rFonts w:ascii="Times New Roman" w:hAnsi="Times New Roman"/>
                <w:kern w:val="2"/>
              </w:rPr>
              <w:t>0.005L</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83" w:type="pct"/>
            <w:vMerge w:val="continue"/>
            <w:vAlign w:val="center"/>
          </w:tcPr>
          <w:p>
            <w:pPr>
              <w:jc w:val="center"/>
              <w:rPr>
                <w:rFonts w:ascii="Times New Roman" w:hAnsi="Times New Roman"/>
                <w:kern w:val="2"/>
              </w:rPr>
            </w:pPr>
          </w:p>
        </w:tc>
        <w:tc>
          <w:tcPr>
            <w:tcW w:w="1081" w:type="pct"/>
            <w:vAlign w:val="center"/>
          </w:tcPr>
          <w:p>
            <w:pPr>
              <w:jc w:val="center"/>
              <w:rPr>
                <w:rFonts w:ascii="Times New Roman" w:hAnsi="Times New Roman"/>
                <w:kern w:val="2"/>
              </w:rPr>
            </w:pPr>
            <w:r>
              <w:rPr>
                <w:rFonts w:ascii="Times New Roman" w:hAnsi="Times New Roman"/>
                <w:kern w:val="2"/>
              </w:rPr>
              <w:t>氟化物</w:t>
            </w:r>
          </w:p>
        </w:tc>
        <w:tc>
          <w:tcPr>
            <w:tcW w:w="1131" w:type="pct"/>
            <w:vAlign w:val="center"/>
          </w:tcPr>
          <w:p>
            <w:pPr>
              <w:jc w:val="center"/>
              <w:rPr>
                <w:rFonts w:ascii="Times New Roman" w:hAnsi="Times New Roman"/>
                <w:kern w:val="2"/>
              </w:rPr>
            </w:pPr>
            <w:r>
              <w:rPr>
                <w:rFonts w:ascii="Times New Roman" w:hAnsi="Times New Roman"/>
                <w:kern w:val="2"/>
              </w:rPr>
              <w:t>0.05L</w:t>
            </w:r>
          </w:p>
        </w:tc>
        <w:tc>
          <w:tcPr>
            <w:tcW w:w="1038" w:type="pct"/>
            <w:vAlign w:val="center"/>
          </w:tcPr>
          <w:p>
            <w:pPr>
              <w:jc w:val="center"/>
              <w:rPr>
                <w:rFonts w:ascii="Times New Roman" w:hAnsi="Times New Roman"/>
                <w:kern w:val="2"/>
              </w:rPr>
            </w:pPr>
            <w:r>
              <w:rPr>
                <w:rFonts w:ascii="Times New Roman" w:hAnsi="Times New Roman"/>
                <w:kern w:val="2"/>
              </w:rPr>
              <w:t>0.05L</w:t>
            </w:r>
          </w:p>
        </w:tc>
        <w:tc>
          <w:tcPr>
            <w:tcW w:w="964" w:type="pct"/>
            <w:vAlign w:val="center"/>
          </w:tcPr>
          <w:p>
            <w:pPr>
              <w:jc w:val="center"/>
              <w:rPr>
                <w:rFonts w:ascii="Times New Roman" w:hAnsi="Times New Roman"/>
                <w:kern w:val="2"/>
              </w:rPr>
            </w:pPr>
            <w:r>
              <w:rPr>
                <w:rFonts w:ascii="Times New Roman" w:hAnsi="Times New Roman"/>
                <w:kern w:val="2"/>
              </w:rPr>
              <w:t>0.05L</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83" w:type="pct"/>
            <w:vMerge w:val="continue"/>
            <w:vAlign w:val="center"/>
          </w:tcPr>
          <w:p>
            <w:pPr>
              <w:jc w:val="center"/>
              <w:rPr>
                <w:rFonts w:ascii="Times New Roman" w:hAnsi="Times New Roman"/>
                <w:kern w:val="2"/>
              </w:rPr>
            </w:pPr>
          </w:p>
        </w:tc>
        <w:tc>
          <w:tcPr>
            <w:tcW w:w="1081" w:type="pct"/>
            <w:vAlign w:val="center"/>
          </w:tcPr>
          <w:p>
            <w:pPr>
              <w:jc w:val="center"/>
              <w:rPr>
                <w:rFonts w:ascii="Times New Roman" w:hAnsi="Times New Roman"/>
                <w:kern w:val="2"/>
              </w:rPr>
            </w:pPr>
            <w:r>
              <w:rPr>
                <w:rFonts w:ascii="Times New Roman" w:hAnsi="Times New Roman"/>
                <w:kern w:val="2"/>
              </w:rPr>
              <w:t>铁</w:t>
            </w:r>
          </w:p>
        </w:tc>
        <w:tc>
          <w:tcPr>
            <w:tcW w:w="1131" w:type="pct"/>
            <w:vAlign w:val="center"/>
          </w:tcPr>
          <w:p>
            <w:pPr>
              <w:jc w:val="center"/>
              <w:rPr>
                <w:rFonts w:ascii="Times New Roman" w:hAnsi="Times New Roman"/>
                <w:kern w:val="2"/>
              </w:rPr>
            </w:pPr>
            <w:r>
              <w:rPr>
                <w:rFonts w:ascii="Times New Roman" w:hAnsi="Times New Roman"/>
                <w:kern w:val="2"/>
              </w:rPr>
              <w:t>0.25</w:t>
            </w:r>
          </w:p>
        </w:tc>
        <w:tc>
          <w:tcPr>
            <w:tcW w:w="1038" w:type="pct"/>
            <w:vAlign w:val="center"/>
          </w:tcPr>
          <w:p>
            <w:pPr>
              <w:jc w:val="center"/>
              <w:rPr>
                <w:rFonts w:ascii="Times New Roman" w:hAnsi="Times New Roman"/>
                <w:kern w:val="2"/>
              </w:rPr>
            </w:pPr>
            <w:r>
              <w:rPr>
                <w:rFonts w:ascii="Times New Roman" w:hAnsi="Times New Roman"/>
                <w:kern w:val="2"/>
              </w:rPr>
              <w:t>0.26</w:t>
            </w:r>
          </w:p>
        </w:tc>
        <w:tc>
          <w:tcPr>
            <w:tcW w:w="964" w:type="pct"/>
            <w:vAlign w:val="center"/>
          </w:tcPr>
          <w:p>
            <w:pPr>
              <w:jc w:val="center"/>
              <w:rPr>
                <w:rFonts w:ascii="Times New Roman" w:hAnsi="Times New Roman"/>
                <w:kern w:val="2"/>
              </w:rPr>
            </w:pPr>
            <w:r>
              <w:rPr>
                <w:rFonts w:ascii="Times New Roman" w:hAnsi="Times New Roman"/>
                <w:kern w:val="2"/>
              </w:rPr>
              <w:t>0.24</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83" w:type="pct"/>
            <w:vMerge w:val="continue"/>
            <w:vAlign w:val="center"/>
          </w:tcPr>
          <w:p>
            <w:pPr>
              <w:jc w:val="center"/>
              <w:rPr>
                <w:rFonts w:ascii="Times New Roman" w:hAnsi="Times New Roman"/>
                <w:kern w:val="2"/>
              </w:rPr>
            </w:pPr>
          </w:p>
        </w:tc>
        <w:tc>
          <w:tcPr>
            <w:tcW w:w="1081" w:type="pct"/>
            <w:vAlign w:val="center"/>
          </w:tcPr>
          <w:p>
            <w:pPr>
              <w:jc w:val="center"/>
              <w:rPr>
                <w:rFonts w:ascii="Times New Roman" w:hAnsi="Times New Roman"/>
                <w:kern w:val="2"/>
              </w:rPr>
            </w:pPr>
            <w:r>
              <w:rPr>
                <w:rFonts w:ascii="Times New Roman" w:hAnsi="Times New Roman"/>
                <w:kern w:val="2"/>
              </w:rPr>
              <w:t>锰</w:t>
            </w:r>
          </w:p>
        </w:tc>
        <w:tc>
          <w:tcPr>
            <w:tcW w:w="1131" w:type="pct"/>
            <w:vAlign w:val="center"/>
          </w:tcPr>
          <w:p>
            <w:pPr>
              <w:jc w:val="center"/>
              <w:rPr>
                <w:rFonts w:ascii="Times New Roman" w:hAnsi="Times New Roman"/>
                <w:kern w:val="2"/>
              </w:rPr>
            </w:pPr>
            <w:r>
              <w:rPr>
                <w:rFonts w:ascii="Times New Roman" w:hAnsi="Times New Roman"/>
                <w:kern w:val="2"/>
              </w:rPr>
              <w:t>0.01L</w:t>
            </w:r>
          </w:p>
        </w:tc>
        <w:tc>
          <w:tcPr>
            <w:tcW w:w="1038" w:type="pct"/>
            <w:vAlign w:val="center"/>
          </w:tcPr>
          <w:p>
            <w:pPr>
              <w:jc w:val="center"/>
              <w:rPr>
                <w:rFonts w:ascii="Times New Roman" w:hAnsi="Times New Roman"/>
                <w:kern w:val="2"/>
              </w:rPr>
            </w:pPr>
            <w:r>
              <w:rPr>
                <w:rFonts w:ascii="Times New Roman" w:hAnsi="Times New Roman"/>
                <w:kern w:val="2"/>
              </w:rPr>
              <w:t>0.01L</w:t>
            </w:r>
          </w:p>
        </w:tc>
        <w:tc>
          <w:tcPr>
            <w:tcW w:w="964" w:type="pct"/>
            <w:vAlign w:val="center"/>
          </w:tcPr>
          <w:p>
            <w:pPr>
              <w:jc w:val="center"/>
              <w:rPr>
                <w:rFonts w:ascii="Times New Roman" w:hAnsi="Times New Roman"/>
                <w:kern w:val="2"/>
              </w:rPr>
            </w:pPr>
            <w:r>
              <w:rPr>
                <w:rFonts w:ascii="Times New Roman" w:hAnsi="Times New Roman"/>
                <w:kern w:val="2"/>
              </w:rPr>
              <w:t>0.01L</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83" w:type="pct"/>
            <w:vMerge w:val="continue"/>
            <w:vAlign w:val="center"/>
          </w:tcPr>
          <w:p>
            <w:pPr>
              <w:jc w:val="center"/>
              <w:rPr>
                <w:rFonts w:ascii="Times New Roman" w:hAnsi="Times New Roman"/>
                <w:kern w:val="2"/>
              </w:rPr>
            </w:pPr>
          </w:p>
        </w:tc>
        <w:tc>
          <w:tcPr>
            <w:tcW w:w="1081" w:type="pct"/>
            <w:vAlign w:val="center"/>
          </w:tcPr>
          <w:p>
            <w:pPr>
              <w:jc w:val="center"/>
              <w:rPr>
                <w:rFonts w:ascii="Times New Roman" w:hAnsi="Times New Roman"/>
                <w:kern w:val="2"/>
              </w:rPr>
            </w:pPr>
            <w:r>
              <w:rPr>
                <w:rFonts w:ascii="Times New Roman" w:hAnsi="Times New Roman"/>
                <w:kern w:val="2"/>
              </w:rPr>
              <w:t>锌</w:t>
            </w:r>
          </w:p>
        </w:tc>
        <w:tc>
          <w:tcPr>
            <w:tcW w:w="1131" w:type="pct"/>
            <w:vAlign w:val="center"/>
          </w:tcPr>
          <w:p>
            <w:pPr>
              <w:jc w:val="center"/>
              <w:rPr>
                <w:rFonts w:ascii="Times New Roman" w:hAnsi="Times New Roman"/>
                <w:kern w:val="2"/>
              </w:rPr>
            </w:pPr>
            <w:r>
              <w:rPr>
                <w:rFonts w:ascii="Times New Roman" w:hAnsi="Times New Roman"/>
                <w:kern w:val="2"/>
              </w:rPr>
              <w:t>0.05L</w:t>
            </w:r>
          </w:p>
        </w:tc>
        <w:tc>
          <w:tcPr>
            <w:tcW w:w="1038" w:type="pct"/>
            <w:vAlign w:val="center"/>
          </w:tcPr>
          <w:p>
            <w:pPr>
              <w:jc w:val="center"/>
              <w:rPr>
                <w:rFonts w:ascii="Times New Roman" w:hAnsi="Times New Roman"/>
                <w:kern w:val="2"/>
              </w:rPr>
            </w:pPr>
            <w:r>
              <w:rPr>
                <w:rFonts w:ascii="Times New Roman" w:hAnsi="Times New Roman"/>
                <w:kern w:val="2"/>
              </w:rPr>
              <w:t>0.05L</w:t>
            </w:r>
          </w:p>
        </w:tc>
        <w:tc>
          <w:tcPr>
            <w:tcW w:w="964" w:type="pct"/>
            <w:vAlign w:val="center"/>
          </w:tcPr>
          <w:p>
            <w:pPr>
              <w:jc w:val="center"/>
              <w:rPr>
                <w:rFonts w:ascii="Times New Roman" w:hAnsi="Times New Roman"/>
                <w:kern w:val="2"/>
              </w:rPr>
            </w:pPr>
            <w:r>
              <w:rPr>
                <w:rFonts w:ascii="Times New Roman" w:hAnsi="Times New Roman"/>
                <w:kern w:val="2"/>
              </w:rPr>
              <w:t>0.05L</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83" w:type="pct"/>
            <w:vMerge w:val="continue"/>
            <w:vAlign w:val="center"/>
          </w:tcPr>
          <w:p>
            <w:pPr>
              <w:jc w:val="center"/>
              <w:rPr>
                <w:rFonts w:ascii="Times New Roman" w:hAnsi="Times New Roman"/>
                <w:kern w:val="2"/>
              </w:rPr>
            </w:pPr>
          </w:p>
        </w:tc>
        <w:tc>
          <w:tcPr>
            <w:tcW w:w="1081" w:type="pct"/>
            <w:vAlign w:val="center"/>
          </w:tcPr>
          <w:p>
            <w:pPr>
              <w:jc w:val="center"/>
              <w:rPr>
                <w:rFonts w:ascii="Times New Roman" w:hAnsi="Times New Roman"/>
                <w:kern w:val="2"/>
              </w:rPr>
            </w:pPr>
            <w:r>
              <w:rPr>
                <w:rFonts w:ascii="Times New Roman" w:hAnsi="Times New Roman"/>
                <w:kern w:val="2"/>
              </w:rPr>
              <w:t>铅</w:t>
            </w:r>
          </w:p>
        </w:tc>
        <w:tc>
          <w:tcPr>
            <w:tcW w:w="1131" w:type="pct"/>
            <w:vAlign w:val="center"/>
          </w:tcPr>
          <w:p>
            <w:pPr>
              <w:jc w:val="center"/>
              <w:rPr>
                <w:rFonts w:ascii="Times New Roman" w:hAnsi="Times New Roman"/>
                <w:kern w:val="2"/>
              </w:rPr>
            </w:pPr>
            <w:r>
              <w:rPr>
                <w:rFonts w:ascii="Times New Roman" w:hAnsi="Times New Roman"/>
                <w:kern w:val="2"/>
              </w:rPr>
              <w:t>0.01L</w:t>
            </w:r>
          </w:p>
        </w:tc>
        <w:tc>
          <w:tcPr>
            <w:tcW w:w="1038" w:type="pct"/>
            <w:vAlign w:val="center"/>
          </w:tcPr>
          <w:p>
            <w:pPr>
              <w:jc w:val="center"/>
              <w:rPr>
                <w:rFonts w:ascii="Times New Roman" w:hAnsi="Times New Roman"/>
                <w:kern w:val="2"/>
              </w:rPr>
            </w:pPr>
            <w:r>
              <w:rPr>
                <w:rFonts w:ascii="Times New Roman" w:hAnsi="Times New Roman"/>
                <w:kern w:val="2"/>
              </w:rPr>
              <w:t>0.01L</w:t>
            </w:r>
          </w:p>
        </w:tc>
        <w:tc>
          <w:tcPr>
            <w:tcW w:w="964" w:type="pct"/>
            <w:vAlign w:val="center"/>
          </w:tcPr>
          <w:p>
            <w:pPr>
              <w:jc w:val="center"/>
              <w:rPr>
                <w:rFonts w:ascii="Times New Roman" w:hAnsi="Times New Roman"/>
                <w:kern w:val="2"/>
              </w:rPr>
            </w:pPr>
            <w:r>
              <w:rPr>
                <w:rFonts w:ascii="Times New Roman" w:hAnsi="Times New Roman"/>
                <w:kern w:val="2"/>
              </w:rPr>
              <w:t>0.01L</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83" w:type="pct"/>
            <w:vMerge w:val="continue"/>
            <w:vAlign w:val="center"/>
          </w:tcPr>
          <w:p>
            <w:pPr>
              <w:jc w:val="center"/>
              <w:rPr>
                <w:rFonts w:ascii="Times New Roman" w:hAnsi="Times New Roman"/>
                <w:kern w:val="2"/>
              </w:rPr>
            </w:pPr>
          </w:p>
        </w:tc>
        <w:tc>
          <w:tcPr>
            <w:tcW w:w="1081" w:type="pct"/>
            <w:vAlign w:val="center"/>
          </w:tcPr>
          <w:p>
            <w:pPr>
              <w:jc w:val="center"/>
              <w:rPr>
                <w:rFonts w:ascii="Times New Roman" w:hAnsi="Times New Roman"/>
                <w:kern w:val="2"/>
              </w:rPr>
            </w:pPr>
            <w:r>
              <w:rPr>
                <w:rFonts w:ascii="Times New Roman" w:hAnsi="Times New Roman"/>
                <w:kern w:val="2"/>
              </w:rPr>
              <w:t>镉</w:t>
            </w:r>
          </w:p>
        </w:tc>
        <w:tc>
          <w:tcPr>
            <w:tcW w:w="1131" w:type="pct"/>
            <w:vAlign w:val="center"/>
          </w:tcPr>
          <w:p>
            <w:pPr>
              <w:jc w:val="center"/>
              <w:rPr>
                <w:rFonts w:ascii="Times New Roman" w:hAnsi="Times New Roman"/>
                <w:kern w:val="2"/>
              </w:rPr>
            </w:pPr>
            <w:r>
              <w:rPr>
                <w:rFonts w:ascii="Times New Roman" w:hAnsi="Times New Roman"/>
                <w:kern w:val="2"/>
              </w:rPr>
              <w:t>0.001L</w:t>
            </w:r>
          </w:p>
        </w:tc>
        <w:tc>
          <w:tcPr>
            <w:tcW w:w="1038" w:type="pct"/>
            <w:vAlign w:val="center"/>
          </w:tcPr>
          <w:p>
            <w:pPr>
              <w:jc w:val="center"/>
              <w:rPr>
                <w:rFonts w:ascii="Times New Roman" w:hAnsi="Times New Roman"/>
                <w:kern w:val="2"/>
              </w:rPr>
            </w:pPr>
            <w:r>
              <w:rPr>
                <w:rFonts w:ascii="Times New Roman" w:hAnsi="Times New Roman"/>
                <w:kern w:val="2"/>
              </w:rPr>
              <w:t>0.001L</w:t>
            </w:r>
          </w:p>
        </w:tc>
        <w:tc>
          <w:tcPr>
            <w:tcW w:w="964" w:type="pct"/>
            <w:vAlign w:val="center"/>
          </w:tcPr>
          <w:p>
            <w:pPr>
              <w:jc w:val="center"/>
              <w:rPr>
                <w:rFonts w:ascii="Times New Roman" w:hAnsi="Times New Roman"/>
                <w:kern w:val="2"/>
              </w:rPr>
            </w:pPr>
            <w:r>
              <w:rPr>
                <w:rFonts w:ascii="Times New Roman" w:hAnsi="Times New Roman"/>
                <w:kern w:val="2"/>
              </w:rPr>
              <w:t>0.001L</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83" w:type="pct"/>
            <w:vMerge w:val="continue"/>
            <w:vAlign w:val="center"/>
          </w:tcPr>
          <w:p>
            <w:pPr>
              <w:jc w:val="center"/>
              <w:rPr>
                <w:rFonts w:ascii="Times New Roman" w:hAnsi="Times New Roman"/>
                <w:kern w:val="2"/>
              </w:rPr>
            </w:pPr>
          </w:p>
        </w:tc>
        <w:tc>
          <w:tcPr>
            <w:tcW w:w="1081" w:type="pct"/>
            <w:vAlign w:val="center"/>
          </w:tcPr>
          <w:p>
            <w:pPr>
              <w:jc w:val="center"/>
              <w:rPr>
                <w:rFonts w:ascii="Times New Roman" w:hAnsi="Times New Roman"/>
                <w:kern w:val="2"/>
              </w:rPr>
            </w:pPr>
            <w:r>
              <w:rPr>
                <w:rFonts w:ascii="Times New Roman" w:hAnsi="Times New Roman"/>
                <w:kern w:val="2"/>
              </w:rPr>
              <w:t>砷</w:t>
            </w:r>
          </w:p>
        </w:tc>
        <w:tc>
          <w:tcPr>
            <w:tcW w:w="1131" w:type="pct"/>
            <w:vAlign w:val="center"/>
          </w:tcPr>
          <w:p>
            <w:pPr>
              <w:jc w:val="center"/>
              <w:rPr>
                <w:rFonts w:ascii="Times New Roman" w:hAnsi="Times New Roman"/>
                <w:kern w:val="2"/>
              </w:rPr>
            </w:pPr>
            <w:r>
              <w:rPr>
                <w:rFonts w:ascii="Times New Roman" w:hAnsi="Times New Roman"/>
                <w:kern w:val="2"/>
              </w:rPr>
              <w:t>0.0003L</w:t>
            </w:r>
          </w:p>
        </w:tc>
        <w:tc>
          <w:tcPr>
            <w:tcW w:w="1038" w:type="pct"/>
            <w:vAlign w:val="center"/>
          </w:tcPr>
          <w:p>
            <w:pPr>
              <w:jc w:val="center"/>
              <w:rPr>
                <w:rFonts w:ascii="Times New Roman" w:hAnsi="Times New Roman"/>
                <w:kern w:val="2"/>
              </w:rPr>
            </w:pPr>
            <w:r>
              <w:rPr>
                <w:rFonts w:ascii="Times New Roman" w:hAnsi="Times New Roman"/>
                <w:kern w:val="2"/>
              </w:rPr>
              <w:t>0.0003L</w:t>
            </w:r>
          </w:p>
        </w:tc>
        <w:tc>
          <w:tcPr>
            <w:tcW w:w="964" w:type="pct"/>
            <w:vAlign w:val="center"/>
          </w:tcPr>
          <w:p>
            <w:pPr>
              <w:jc w:val="center"/>
              <w:rPr>
                <w:rFonts w:ascii="Times New Roman" w:hAnsi="Times New Roman"/>
                <w:kern w:val="2"/>
              </w:rPr>
            </w:pPr>
            <w:r>
              <w:rPr>
                <w:rFonts w:ascii="Times New Roman" w:hAnsi="Times New Roman"/>
                <w:kern w:val="2"/>
              </w:rPr>
              <w:t>0.0003L</w:t>
            </w:r>
          </w:p>
        </w:tc>
      </w:tr>
    </w:tbl>
    <w:p>
      <w:pPr>
        <w:widowControl/>
        <w:spacing w:line="500" w:lineRule="exact"/>
        <w:ind w:firstLine="480" w:firstLineChars="200"/>
        <w:contextualSpacing/>
        <w:rPr>
          <w:rFonts w:ascii="Times New Roman" w:hAnsi="Times New Roman"/>
          <w:kern w:val="2"/>
          <w:sz w:val="24"/>
          <w:szCs w:val="20"/>
        </w:rPr>
      </w:pPr>
      <w:r>
        <w:rPr>
          <w:rFonts w:ascii="Times New Roman" w:hAnsi="Times New Roman"/>
          <w:kern w:val="2"/>
          <w:sz w:val="24"/>
          <w:szCs w:val="20"/>
        </w:rPr>
        <w:t>根据监测数据可知，各监测断面各监测因子标准指数均小于1，扁石河水质满足《地表水环境质量标准》（GB3838-2002）Ⅲ类标准。</w:t>
      </w:r>
    </w:p>
    <w:p>
      <w:pPr>
        <w:pStyle w:val="4"/>
        <w:spacing w:before="120" w:beforeLines="50" w:after="120" w:afterLines="50" w:line="480" w:lineRule="exact"/>
        <w:ind w:left="17"/>
        <w:rPr>
          <w:rFonts w:ascii="Times New Roman" w:hAnsi="Times New Roman" w:eastAsia="黑体"/>
          <w:sz w:val="28"/>
          <w:szCs w:val="28"/>
        </w:rPr>
      </w:pPr>
      <w:bookmarkStart w:id="928" w:name="_Toc23831"/>
      <w:r>
        <w:rPr>
          <w:rFonts w:ascii="Times New Roman" w:hAnsi="Times New Roman" w:eastAsia="黑体"/>
          <w:sz w:val="28"/>
          <w:szCs w:val="28"/>
        </w:rPr>
        <w:t>地下水环境现状评价</w:t>
      </w:r>
      <w:bookmarkEnd w:id="921"/>
      <w:bookmarkEnd w:id="922"/>
      <w:bookmarkEnd w:id="923"/>
      <w:bookmarkEnd w:id="924"/>
      <w:bookmarkEnd w:id="925"/>
      <w:bookmarkEnd w:id="926"/>
      <w:bookmarkEnd w:id="927"/>
      <w:bookmarkEnd w:id="928"/>
    </w:p>
    <w:p>
      <w:pPr>
        <w:widowControl/>
        <w:spacing w:line="480" w:lineRule="exact"/>
        <w:outlineLvl w:val="3"/>
        <w:rPr>
          <w:rFonts w:ascii="Times New Roman" w:hAnsi="Times New Roman" w:eastAsia="黑体"/>
          <w:sz w:val="24"/>
        </w:rPr>
      </w:pPr>
      <w:r>
        <w:rPr>
          <w:rFonts w:ascii="Times New Roman" w:hAnsi="Times New Roman" w:eastAsia="黑体"/>
          <w:sz w:val="24"/>
        </w:rPr>
        <w:t>4.2.3.1.地下水环境现状监测</w:t>
      </w:r>
    </w:p>
    <w:p>
      <w:pPr>
        <w:pStyle w:val="155"/>
        <w:spacing w:line="480" w:lineRule="exact"/>
        <w:ind w:firstLine="480"/>
      </w:pPr>
      <w:r>
        <w:t>本次地下水环境质量现状数据来自黑龙江省华裕检测技术有限公司2022年5月25日</w:t>
      </w:r>
      <w:r>
        <w:rPr>
          <w:szCs w:val="24"/>
        </w:rPr>
        <w:t>对本项目的监测数据</w:t>
      </w:r>
      <w:r>
        <w:t>。</w:t>
      </w:r>
    </w:p>
    <w:p>
      <w:pPr>
        <w:pStyle w:val="155"/>
        <w:spacing w:line="480" w:lineRule="exact"/>
        <w:ind w:firstLine="480"/>
      </w:pPr>
      <w:r>
        <w:t>（1）监测项目</w:t>
      </w:r>
    </w:p>
    <w:p>
      <w:pPr>
        <w:pStyle w:val="155"/>
        <w:spacing w:line="480" w:lineRule="exact"/>
        <w:ind w:firstLine="480"/>
      </w:pPr>
      <w:r>
        <w:t>八大离子检测项目：K</w:t>
      </w:r>
      <w:r>
        <w:rPr>
          <w:vertAlign w:val="superscript"/>
        </w:rPr>
        <w:t>+</w:t>
      </w:r>
      <w:r>
        <w:t>、Na</w:t>
      </w:r>
      <w:r>
        <w:rPr>
          <w:vertAlign w:val="superscript"/>
        </w:rPr>
        <w:t>+</w:t>
      </w:r>
      <w:r>
        <w:t>、Ca</w:t>
      </w:r>
      <w:r>
        <w:rPr>
          <w:vertAlign w:val="superscript"/>
        </w:rPr>
        <w:t>2+</w:t>
      </w:r>
      <w:r>
        <w:t>、Mg</w:t>
      </w:r>
      <w:r>
        <w:rPr>
          <w:vertAlign w:val="superscript"/>
        </w:rPr>
        <w:t>2+</w:t>
      </w:r>
      <w:r>
        <w:t>、CO</w:t>
      </w:r>
      <w:r>
        <w:rPr>
          <w:vertAlign w:val="subscript"/>
        </w:rPr>
        <w:t>3</w:t>
      </w:r>
      <w:r>
        <w:rPr>
          <w:vertAlign w:val="superscript"/>
        </w:rPr>
        <w:t>2-</w:t>
      </w:r>
      <w:r>
        <w:t>、HCO</w:t>
      </w:r>
      <w:r>
        <w:rPr>
          <w:vertAlign w:val="subscript"/>
        </w:rPr>
        <w:t>3</w:t>
      </w:r>
      <w:r>
        <w:rPr>
          <w:vertAlign w:val="superscript"/>
        </w:rPr>
        <w:t>-</w:t>
      </w:r>
      <w:r>
        <w:t>、Cl</w:t>
      </w:r>
      <w:r>
        <w:rPr>
          <w:vertAlign w:val="superscript"/>
        </w:rPr>
        <w:t>-</w:t>
      </w:r>
      <w:r>
        <w:t>、SO</w:t>
      </w:r>
      <w:r>
        <w:rPr>
          <w:vertAlign w:val="subscript"/>
        </w:rPr>
        <w:t>4</w:t>
      </w:r>
      <w:r>
        <w:rPr>
          <w:vertAlign w:val="superscript"/>
        </w:rPr>
        <w:t>2-</w:t>
      </w:r>
      <w:r>
        <w:t>。</w:t>
      </w:r>
    </w:p>
    <w:p>
      <w:pPr>
        <w:pStyle w:val="155"/>
        <w:spacing w:line="480" w:lineRule="exact"/>
        <w:ind w:firstLine="480"/>
      </w:pPr>
      <w:r>
        <w:t>基本检测项目：pH、氨氮、硝酸盐氮、亚硝酸盐氮、挥发性酚类、氟化物、砷、汞、铁、锰、铅、镉、氰化物、总硬度、硫酸盐、六价铬、氯化物、溶解性总固体、耗氧量、总大肠菌群、菌落总数，同时记录井深及监测井位置。</w:t>
      </w:r>
    </w:p>
    <w:p>
      <w:pPr>
        <w:pStyle w:val="155"/>
        <w:spacing w:line="480" w:lineRule="exact"/>
        <w:ind w:firstLine="480"/>
      </w:pPr>
      <w:r>
        <w:t>（2）监测时间及频率</w:t>
      </w:r>
    </w:p>
    <w:p>
      <w:pPr>
        <w:pStyle w:val="155"/>
        <w:spacing w:line="480" w:lineRule="exact"/>
        <w:ind w:firstLine="480"/>
      </w:pPr>
      <w:r>
        <w:t>2022年5月25日，监测一次。</w:t>
      </w:r>
    </w:p>
    <w:p>
      <w:pPr>
        <w:pStyle w:val="155"/>
        <w:spacing w:line="480" w:lineRule="exact"/>
        <w:ind w:firstLine="480"/>
      </w:pPr>
      <w:r>
        <w:t>（3）监测点位</w:t>
      </w:r>
    </w:p>
    <w:p>
      <w:pPr>
        <w:pStyle w:val="155"/>
        <w:spacing w:line="480" w:lineRule="exact"/>
        <w:ind w:firstLine="480"/>
      </w:pPr>
      <w:r>
        <w:t>根据本项目地层特征，以及地下水含水层特点和区域水资源开发利用情况，根据《环境影响评价技术导则 地下水环境》（HJ610-2016），共布设14个地下水监测点（其中潜水井监测点10个，承压水井监测点4个）。水质监测点7个，水位监测点14个。项目地下水环境现状监测频率见表4.2-6，监测点概况见表4.2-7和图4.2-3。</w:t>
      </w:r>
    </w:p>
    <w:p>
      <w:pPr>
        <w:adjustRightInd w:val="0"/>
        <w:snapToGrid w:val="0"/>
        <w:spacing w:line="480" w:lineRule="exact"/>
        <w:jc w:val="center"/>
        <w:rPr>
          <w:rFonts w:ascii="Times New Roman" w:hAnsi="Times New Roman"/>
          <w:b/>
        </w:rPr>
      </w:pPr>
      <w:r>
        <w:rPr>
          <w:rFonts w:ascii="Times New Roman" w:hAnsi="Times New Roman"/>
          <w:b/>
        </w:rPr>
        <w:t>表4.2-6 地下水环境现状监测频率参照表</w:t>
      </w:r>
    </w:p>
    <w:tbl>
      <w:tblPr>
        <w:tblStyle w:val="7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38"/>
        <w:gridCol w:w="1019"/>
        <w:gridCol w:w="1310"/>
        <w:gridCol w:w="824"/>
        <w:gridCol w:w="1161"/>
        <w:gridCol w:w="1305"/>
        <w:gridCol w:w="87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1985" w:type="dxa"/>
            <w:vAlign w:val="center"/>
          </w:tcPr>
          <w:p>
            <w:pPr>
              <w:widowControl/>
              <w:jc w:val="center"/>
              <w:rPr>
                <w:rFonts w:ascii="Times New Roman" w:hAnsi="Times New Roman"/>
                <w:b/>
              </w:rPr>
            </w:pPr>
            <w:r>
              <w:rPr>
                <w:rFonts w:ascii="Times New Roman" w:hAnsi="Times New Roman"/>
                <w:b/>
              </w:rPr>
              <w:t>评价等级</w:t>
            </w:r>
          </w:p>
        </w:tc>
        <w:tc>
          <w:tcPr>
            <w:tcW w:w="3070" w:type="dxa"/>
            <w:gridSpan w:val="3"/>
            <w:vAlign w:val="center"/>
          </w:tcPr>
          <w:p>
            <w:pPr>
              <w:widowControl/>
              <w:jc w:val="center"/>
              <w:rPr>
                <w:rFonts w:ascii="Times New Roman" w:hAnsi="Times New Roman"/>
                <w:b/>
              </w:rPr>
            </w:pPr>
            <w:r>
              <w:rPr>
                <w:rFonts w:ascii="Times New Roman" w:hAnsi="Times New Roman"/>
                <w:b/>
              </w:rPr>
              <w:t>水位监测频率</w:t>
            </w:r>
          </w:p>
        </w:tc>
        <w:tc>
          <w:tcPr>
            <w:tcW w:w="3251" w:type="dxa"/>
            <w:gridSpan w:val="3"/>
            <w:vAlign w:val="center"/>
          </w:tcPr>
          <w:p>
            <w:pPr>
              <w:widowControl/>
              <w:jc w:val="center"/>
              <w:rPr>
                <w:rFonts w:ascii="Times New Roman" w:hAnsi="Times New Roman"/>
                <w:b/>
              </w:rPr>
            </w:pPr>
            <w:r>
              <w:rPr>
                <w:rFonts w:ascii="Times New Roman" w:hAnsi="Times New Roman"/>
                <w:b/>
              </w:rPr>
              <w:t>水质监测频率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85" w:type="dxa"/>
            <w:vAlign w:val="center"/>
          </w:tcPr>
          <w:p>
            <w:pPr>
              <w:widowControl/>
              <w:jc w:val="center"/>
              <w:rPr>
                <w:rFonts w:ascii="Times New Roman" w:hAnsi="Times New Roman"/>
              </w:rPr>
            </w:pPr>
            <w:r>
              <w:rPr>
                <w:rFonts w:ascii="Times New Roman" w:hAnsi="Times New Roman"/>
              </w:rPr>
              <w:t>分布区</w:t>
            </w:r>
          </w:p>
        </w:tc>
        <w:tc>
          <w:tcPr>
            <w:tcW w:w="992" w:type="dxa"/>
            <w:vAlign w:val="center"/>
          </w:tcPr>
          <w:p>
            <w:pPr>
              <w:widowControl/>
              <w:jc w:val="center"/>
              <w:rPr>
                <w:rFonts w:ascii="Times New Roman" w:hAnsi="Times New Roman"/>
              </w:rPr>
            </w:pPr>
            <w:r>
              <w:rPr>
                <w:rFonts w:ascii="Times New Roman" w:hAnsi="Times New Roman"/>
              </w:rPr>
              <w:t>一级</w:t>
            </w:r>
          </w:p>
        </w:tc>
        <w:tc>
          <w:tcPr>
            <w:tcW w:w="1276" w:type="dxa"/>
            <w:vAlign w:val="center"/>
          </w:tcPr>
          <w:p>
            <w:pPr>
              <w:widowControl/>
              <w:jc w:val="center"/>
              <w:rPr>
                <w:rFonts w:ascii="Times New Roman" w:hAnsi="Times New Roman"/>
              </w:rPr>
            </w:pPr>
            <w:r>
              <w:rPr>
                <w:rFonts w:ascii="Times New Roman" w:hAnsi="Times New Roman"/>
              </w:rPr>
              <w:t>二级（√）</w:t>
            </w:r>
          </w:p>
        </w:tc>
        <w:tc>
          <w:tcPr>
            <w:tcW w:w="802" w:type="dxa"/>
            <w:vAlign w:val="center"/>
          </w:tcPr>
          <w:p>
            <w:pPr>
              <w:widowControl/>
              <w:jc w:val="center"/>
              <w:rPr>
                <w:rFonts w:ascii="Times New Roman" w:hAnsi="Times New Roman"/>
              </w:rPr>
            </w:pPr>
            <w:r>
              <w:rPr>
                <w:rFonts w:ascii="Times New Roman" w:hAnsi="Times New Roman"/>
              </w:rPr>
              <w:t>三级</w:t>
            </w:r>
          </w:p>
        </w:tc>
        <w:tc>
          <w:tcPr>
            <w:tcW w:w="1131" w:type="dxa"/>
            <w:vAlign w:val="center"/>
          </w:tcPr>
          <w:p>
            <w:pPr>
              <w:widowControl/>
              <w:jc w:val="center"/>
              <w:rPr>
                <w:rFonts w:ascii="Times New Roman" w:hAnsi="Times New Roman"/>
              </w:rPr>
            </w:pPr>
            <w:r>
              <w:rPr>
                <w:rFonts w:ascii="Times New Roman" w:hAnsi="Times New Roman"/>
              </w:rPr>
              <w:t>一级</w:t>
            </w:r>
          </w:p>
        </w:tc>
        <w:tc>
          <w:tcPr>
            <w:tcW w:w="1271" w:type="dxa"/>
            <w:vAlign w:val="center"/>
          </w:tcPr>
          <w:p>
            <w:pPr>
              <w:widowControl/>
              <w:jc w:val="center"/>
              <w:rPr>
                <w:rFonts w:ascii="Times New Roman" w:hAnsi="Times New Roman"/>
              </w:rPr>
            </w:pPr>
            <w:r>
              <w:rPr>
                <w:rFonts w:ascii="Times New Roman" w:hAnsi="Times New Roman"/>
              </w:rPr>
              <w:t>二级（√）</w:t>
            </w:r>
          </w:p>
        </w:tc>
        <w:tc>
          <w:tcPr>
            <w:tcW w:w="849" w:type="dxa"/>
            <w:vAlign w:val="center"/>
          </w:tcPr>
          <w:p>
            <w:pPr>
              <w:widowControl/>
              <w:jc w:val="center"/>
              <w:rPr>
                <w:rFonts w:ascii="Times New Roman" w:hAnsi="Times New Roman"/>
              </w:rPr>
            </w:pPr>
            <w:r>
              <w:rPr>
                <w:rFonts w:ascii="Times New Roman" w:hAnsi="Times New Roma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85" w:type="dxa"/>
            <w:vAlign w:val="center"/>
          </w:tcPr>
          <w:p>
            <w:pPr>
              <w:widowControl/>
              <w:jc w:val="center"/>
              <w:rPr>
                <w:rFonts w:ascii="Times New Roman" w:hAnsi="Times New Roman"/>
              </w:rPr>
            </w:pPr>
            <w:r>
              <w:rPr>
                <w:rFonts w:ascii="Times New Roman" w:hAnsi="Times New Roman"/>
              </w:rPr>
              <w:t>山前冲（洪）积</w:t>
            </w:r>
          </w:p>
        </w:tc>
        <w:tc>
          <w:tcPr>
            <w:tcW w:w="992" w:type="dxa"/>
            <w:vAlign w:val="center"/>
          </w:tcPr>
          <w:p>
            <w:pPr>
              <w:widowControl/>
              <w:jc w:val="center"/>
              <w:rPr>
                <w:rFonts w:ascii="Times New Roman" w:hAnsi="Times New Roman"/>
              </w:rPr>
            </w:pPr>
            <w:r>
              <w:rPr>
                <w:rFonts w:ascii="Times New Roman" w:hAnsi="Times New Roman"/>
              </w:rPr>
              <w:t>枯平丰</w:t>
            </w:r>
          </w:p>
        </w:tc>
        <w:tc>
          <w:tcPr>
            <w:tcW w:w="1276" w:type="dxa"/>
            <w:vAlign w:val="center"/>
          </w:tcPr>
          <w:p>
            <w:pPr>
              <w:widowControl/>
              <w:jc w:val="center"/>
              <w:rPr>
                <w:rFonts w:ascii="Times New Roman" w:hAnsi="Times New Roman"/>
              </w:rPr>
            </w:pPr>
            <w:r>
              <w:rPr>
                <w:rFonts w:ascii="Times New Roman" w:hAnsi="Times New Roman"/>
              </w:rPr>
              <w:t>枯丰</w:t>
            </w:r>
          </w:p>
        </w:tc>
        <w:tc>
          <w:tcPr>
            <w:tcW w:w="802" w:type="dxa"/>
            <w:vAlign w:val="center"/>
          </w:tcPr>
          <w:p>
            <w:pPr>
              <w:widowControl/>
              <w:jc w:val="center"/>
              <w:rPr>
                <w:rFonts w:ascii="Times New Roman" w:hAnsi="Times New Roman"/>
              </w:rPr>
            </w:pPr>
            <w:r>
              <w:rPr>
                <w:rFonts w:ascii="Times New Roman" w:hAnsi="Times New Roman"/>
              </w:rPr>
              <w:t>一期</w:t>
            </w:r>
          </w:p>
        </w:tc>
        <w:tc>
          <w:tcPr>
            <w:tcW w:w="1131" w:type="dxa"/>
            <w:vAlign w:val="center"/>
          </w:tcPr>
          <w:p>
            <w:pPr>
              <w:widowControl/>
              <w:jc w:val="center"/>
              <w:rPr>
                <w:rFonts w:ascii="Times New Roman" w:hAnsi="Times New Roman"/>
              </w:rPr>
            </w:pPr>
            <w:r>
              <w:rPr>
                <w:rFonts w:ascii="Times New Roman" w:hAnsi="Times New Roman"/>
              </w:rPr>
              <w:t>枯平丰</w:t>
            </w:r>
          </w:p>
        </w:tc>
        <w:tc>
          <w:tcPr>
            <w:tcW w:w="1271" w:type="dxa"/>
            <w:vAlign w:val="center"/>
          </w:tcPr>
          <w:p>
            <w:pPr>
              <w:widowControl/>
              <w:jc w:val="center"/>
              <w:rPr>
                <w:rFonts w:ascii="Times New Roman" w:hAnsi="Times New Roman"/>
              </w:rPr>
            </w:pPr>
            <w:r>
              <w:rPr>
                <w:rFonts w:ascii="Times New Roman" w:hAnsi="Times New Roman"/>
              </w:rPr>
              <w:t>枯丰</w:t>
            </w:r>
          </w:p>
        </w:tc>
        <w:tc>
          <w:tcPr>
            <w:tcW w:w="849" w:type="dxa"/>
            <w:vAlign w:val="center"/>
          </w:tcPr>
          <w:p>
            <w:pPr>
              <w:widowControl/>
              <w:jc w:val="center"/>
              <w:rPr>
                <w:rFonts w:ascii="Times New Roman" w:hAnsi="Times New Roman"/>
              </w:rPr>
            </w:pPr>
            <w:r>
              <w:rPr>
                <w:rFonts w:ascii="Times New Roman" w:hAnsi="Times New Roman"/>
              </w:rPr>
              <w:t>一期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85" w:type="dxa"/>
            <w:vAlign w:val="center"/>
          </w:tcPr>
          <w:p>
            <w:pPr>
              <w:widowControl/>
              <w:jc w:val="center"/>
              <w:rPr>
                <w:rFonts w:ascii="Times New Roman" w:hAnsi="Times New Roman"/>
              </w:rPr>
            </w:pPr>
            <w:r>
              <w:rPr>
                <w:rFonts w:ascii="Times New Roman" w:hAnsi="Times New Roman"/>
              </w:rPr>
              <w:t>滨海（含填海区）</w:t>
            </w:r>
          </w:p>
        </w:tc>
        <w:tc>
          <w:tcPr>
            <w:tcW w:w="992" w:type="dxa"/>
            <w:vAlign w:val="center"/>
          </w:tcPr>
          <w:p>
            <w:pPr>
              <w:widowControl/>
              <w:jc w:val="center"/>
              <w:rPr>
                <w:rFonts w:ascii="Times New Roman" w:hAnsi="Times New Roman"/>
              </w:rPr>
            </w:pPr>
            <w:r>
              <w:rPr>
                <w:rFonts w:ascii="Times New Roman" w:hAnsi="Times New Roman"/>
              </w:rPr>
              <w:t>二期</w:t>
            </w:r>
            <w:r>
              <w:rPr>
                <w:rFonts w:ascii="Times New Roman" w:hAnsi="Times New Roman"/>
                <w:vertAlign w:val="superscript"/>
              </w:rPr>
              <w:t>a</w:t>
            </w:r>
          </w:p>
        </w:tc>
        <w:tc>
          <w:tcPr>
            <w:tcW w:w="1276" w:type="dxa"/>
            <w:vAlign w:val="center"/>
          </w:tcPr>
          <w:p>
            <w:pPr>
              <w:widowControl/>
              <w:jc w:val="center"/>
              <w:rPr>
                <w:rFonts w:ascii="Times New Roman" w:hAnsi="Times New Roman"/>
              </w:rPr>
            </w:pPr>
            <w:r>
              <w:rPr>
                <w:rFonts w:ascii="Times New Roman" w:hAnsi="Times New Roman"/>
              </w:rPr>
              <w:t>一期</w:t>
            </w:r>
          </w:p>
        </w:tc>
        <w:tc>
          <w:tcPr>
            <w:tcW w:w="802" w:type="dxa"/>
            <w:vAlign w:val="center"/>
          </w:tcPr>
          <w:p>
            <w:pPr>
              <w:widowControl/>
              <w:jc w:val="center"/>
              <w:rPr>
                <w:rFonts w:ascii="Times New Roman" w:hAnsi="Times New Roman"/>
              </w:rPr>
            </w:pPr>
            <w:r>
              <w:rPr>
                <w:rFonts w:ascii="Times New Roman" w:hAnsi="Times New Roman"/>
              </w:rPr>
              <w:t>一期</w:t>
            </w:r>
          </w:p>
        </w:tc>
        <w:tc>
          <w:tcPr>
            <w:tcW w:w="1131" w:type="dxa"/>
            <w:vAlign w:val="center"/>
          </w:tcPr>
          <w:p>
            <w:pPr>
              <w:widowControl/>
              <w:jc w:val="center"/>
              <w:rPr>
                <w:rFonts w:ascii="Times New Roman" w:hAnsi="Times New Roman"/>
              </w:rPr>
            </w:pPr>
            <w:r>
              <w:rPr>
                <w:rFonts w:ascii="Times New Roman" w:hAnsi="Times New Roman"/>
              </w:rPr>
              <w:t>一期</w:t>
            </w:r>
          </w:p>
        </w:tc>
        <w:tc>
          <w:tcPr>
            <w:tcW w:w="1271" w:type="dxa"/>
            <w:vAlign w:val="center"/>
          </w:tcPr>
          <w:p>
            <w:pPr>
              <w:widowControl/>
              <w:jc w:val="center"/>
              <w:rPr>
                <w:rFonts w:ascii="Times New Roman" w:hAnsi="Times New Roman"/>
              </w:rPr>
            </w:pPr>
            <w:r>
              <w:rPr>
                <w:rFonts w:ascii="Times New Roman" w:hAnsi="Times New Roman"/>
              </w:rPr>
              <w:t>一期</w:t>
            </w:r>
          </w:p>
        </w:tc>
        <w:tc>
          <w:tcPr>
            <w:tcW w:w="849" w:type="dxa"/>
            <w:vAlign w:val="center"/>
          </w:tcPr>
          <w:p>
            <w:pPr>
              <w:widowControl/>
              <w:jc w:val="center"/>
              <w:rPr>
                <w:rFonts w:ascii="Times New Roman" w:hAnsi="Times New Roman"/>
              </w:rPr>
            </w:pPr>
            <w:r>
              <w:rPr>
                <w:rFonts w:ascii="Times New Roman" w:hAnsi="Times New Roman"/>
              </w:rPr>
              <w:t>一期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85" w:type="dxa"/>
            <w:vAlign w:val="center"/>
          </w:tcPr>
          <w:p>
            <w:pPr>
              <w:widowControl/>
              <w:jc w:val="center"/>
              <w:rPr>
                <w:rFonts w:ascii="Times New Roman" w:hAnsi="Times New Roman"/>
              </w:rPr>
            </w:pPr>
            <w:r>
              <w:rPr>
                <w:rFonts w:ascii="Times New Roman" w:hAnsi="Times New Roman"/>
              </w:rPr>
              <w:t>其他平原区（√）</w:t>
            </w:r>
          </w:p>
        </w:tc>
        <w:tc>
          <w:tcPr>
            <w:tcW w:w="992" w:type="dxa"/>
            <w:vAlign w:val="center"/>
          </w:tcPr>
          <w:p>
            <w:pPr>
              <w:widowControl/>
              <w:jc w:val="center"/>
              <w:rPr>
                <w:rFonts w:ascii="Times New Roman" w:hAnsi="Times New Roman"/>
              </w:rPr>
            </w:pPr>
            <w:r>
              <w:rPr>
                <w:rFonts w:ascii="Times New Roman" w:hAnsi="Times New Roman"/>
              </w:rPr>
              <w:t>枯丰</w:t>
            </w:r>
          </w:p>
        </w:tc>
        <w:tc>
          <w:tcPr>
            <w:tcW w:w="1276" w:type="dxa"/>
            <w:vAlign w:val="center"/>
          </w:tcPr>
          <w:p>
            <w:pPr>
              <w:widowControl/>
              <w:jc w:val="center"/>
              <w:rPr>
                <w:rFonts w:ascii="Times New Roman" w:hAnsi="Times New Roman"/>
              </w:rPr>
            </w:pPr>
            <w:r>
              <w:rPr>
                <w:rFonts w:ascii="Times New Roman" w:hAnsi="Times New Roman"/>
              </w:rPr>
              <w:t>一期（√）</w:t>
            </w:r>
          </w:p>
        </w:tc>
        <w:tc>
          <w:tcPr>
            <w:tcW w:w="802" w:type="dxa"/>
            <w:vAlign w:val="center"/>
          </w:tcPr>
          <w:p>
            <w:pPr>
              <w:widowControl/>
              <w:jc w:val="center"/>
              <w:rPr>
                <w:rFonts w:ascii="Times New Roman" w:hAnsi="Times New Roman"/>
              </w:rPr>
            </w:pPr>
            <w:r>
              <w:rPr>
                <w:rFonts w:ascii="Times New Roman" w:hAnsi="Times New Roman"/>
              </w:rPr>
              <w:t>一期</w:t>
            </w:r>
          </w:p>
        </w:tc>
        <w:tc>
          <w:tcPr>
            <w:tcW w:w="1131" w:type="dxa"/>
            <w:vAlign w:val="center"/>
          </w:tcPr>
          <w:p>
            <w:pPr>
              <w:widowControl/>
              <w:jc w:val="center"/>
              <w:rPr>
                <w:rFonts w:ascii="Times New Roman" w:hAnsi="Times New Roman"/>
              </w:rPr>
            </w:pPr>
            <w:r>
              <w:rPr>
                <w:rFonts w:ascii="Times New Roman" w:hAnsi="Times New Roman"/>
              </w:rPr>
              <w:t>枯</w:t>
            </w:r>
          </w:p>
        </w:tc>
        <w:tc>
          <w:tcPr>
            <w:tcW w:w="1271" w:type="dxa"/>
            <w:vAlign w:val="center"/>
          </w:tcPr>
          <w:p>
            <w:pPr>
              <w:widowControl/>
              <w:jc w:val="center"/>
              <w:rPr>
                <w:rFonts w:ascii="Times New Roman" w:hAnsi="Times New Roman"/>
              </w:rPr>
            </w:pPr>
            <w:r>
              <w:rPr>
                <w:rFonts w:ascii="Times New Roman" w:hAnsi="Times New Roman"/>
              </w:rPr>
              <w:t>一期（√）</w:t>
            </w:r>
          </w:p>
        </w:tc>
        <w:tc>
          <w:tcPr>
            <w:tcW w:w="849" w:type="dxa"/>
            <w:vAlign w:val="center"/>
          </w:tcPr>
          <w:p>
            <w:pPr>
              <w:widowControl/>
              <w:jc w:val="center"/>
              <w:rPr>
                <w:rFonts w:ascii="Times New Roman" w:hAnsi="Times New Roman"/>
              </w:rPr>
            </w:pPr>
            <w:r>
              <w:rPr>
                <w:rFonts w:ascii="Times New Roman" w:hAnsi="Times New Roman"/>
              </w:rPr>
              <w:t>一期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1985" w:type="dxa"/>
            <w:vAlign w:val="center"/>
          </w:tcPr>
          <w:p>
            <w:pPr>
              <w:widowControl/>
              <w:jc w:val="center"/>
              <w:rPr>
                <w:rFonts w:ascii="Times New Roman" w:hAnsi="Times New Roman"/>
              </w:rPr>
            </w:pPr>
            <w:r>
              <w:rPr>
                <w:rFonts w:ascii="Times New Roman" w:hAnsi="Times New Roman"/>
              </w:rPr>
              <w:t>黄土地区</w:t>
            </w:r>
          </w:p>
        </w:tc>
        <w:tc>
          <w:tcPr>
            <w:tcW w:w="992" w:type="dxa"/>
            <w:vAlign w:val="center"/>
          </w:tcPr>
          <w:p>
            <w:pPr>
              <w:widowControl/>
              <w:jc w:val="center"/>
              <w:rPr>
                <w:rFonts w:ascii="Times New Roman" w:hAnsi="Times New Roman"/>
              </w:rPr>
            </w:pPr>
            <w:r>
              <w:rPr>
                <w:rFonts w:ascii="Times New Roman" w:hAnsi="Times New Roman"/>
              </w:rPr>
              <w:t>枯平丰</w:t>
            </w:r>
          </w:p>
        </w:tc>
        <w:tc>
          <w:tcPr>
            <w:tcW w:w="1276" w:type="dxa"/>
            <w:vAlign w:val="center"/>
          </w:tcPr>
          <w:p>
            <w:pPr>
              <w:widowControl/>
              <w:jc w:val="center"/>
              <w:rPr>
                <w:rFonts w:ascii="Times New Roman" w:hAnsi="Times New Roman"/>
              </w:rPr>
            </w:pPr>
            <w:r>
              <w:rPr>
                <w:rFonts w:ascii="Times New Roman" w:hAnsi="Times New Roman"/>
              </w:rPr>
              <w:t>一期</w:t>
            </w:r>
          </w:p>
        </w:tc>
        <w:tc>
          <w:tcPr>
            <w:tcW w:w="802" w:type="dxa"/>
            <w:vAlign w:val="center"/>
          </w:tcPr>
          <w:p>
            <w:pPr>
              <w:widowControl/>
              <w:jc w:val="center"/>
              <w:rPr>
                <w:rFonts w:ascii="Times New Roman" w:hAnsi="Times New Roman"/>
              </w:rPr>
            </w:pPr>
            <w:r>
              <w:rPr>
                <w:rFonts w:ascii="Times New Roman" w:hAnsi="Times New Roman"/>
              </w:rPr>
              <w:t>一期</w:t>
            </w:r>
          </w:p>
        </w:tc>
        <w:tc>
          <w:tcPr>
            <w:tcW w:w="1131" w:type="dxa"/>
            <w:vAlign w:val="center"/>
          </w:tcPr>
          <w:p>
            <w:pPr>
              <w:widowControl/>
              <w:jc w:val="center"/>
              <w:rPr>
                <w:rFonts w:ascii="Times New Roman" w:hAnsi="Times New Roman"/>
              </w:rPr>
            </w:pPr>
            <w:r>
              <w:rPr>
                <w:rFonts w:ascii="Times New Roman" w:hAnsi="Times New Roman"/>
              </w:rPr>
              <w:t>二期</w:t>
            </w:r>
          </w:p>
        </w:tc>
        <w:tc>
          <w:tcPr>
            <w:tcW w:w="1271" w:type="dxa"/>
            <w:vAlign w:val="center"/>
          </w:tcPr>
          <w:p>
            <w:pPr>
              <w:widowControl/>
              <w:jc w:val="center"/>
              <w:rPr>
                <w:rFonts w:ascii="Times New Roman" w:hAnsi="Times New Roman"/>
              </w:rPr>
            </w:pPr>
            <w:r>
              <w:rPr>
                <w:rFonts w:ascii="Times New Roman" w:hAnsi="Times New Roman"/>
              </w:rPr>
              <w:t>一期</w:t>
            </w:r>
          </w:p>
        </w:tc>
        <w:tc>
          <w:tcPr>
            <w:tcW w:w="849" w:type="dxa"/>
            <w:vAlign w:val="center"/>
          </w:tcPr>
          <w:p>
            <w:pPr>
              <w:widowControl/>
              <w:jc w:val="center"/>
              <w:rPr>
                <w:rFonts w:ascii="Times New Roman" w:hAnsi="Times New Roman"/>
              </w:rPr>
            </w:pPr>
            <w:r>
              <w:rPr>
                <w:rFonts w:ascii="Times New Roman" w:hAnsi="Times New Roman"/>
              </w:rPr>
              <w:t>一期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85" w:type="dxa"/>
            <w:vAlign w:val="center"/>
          </w:tcPr>
          <w:p>
            <w:pPr>
              <w:widowControl/>
              <w:jc w:val="center"/>
              <w:rPr>
                <w:rFonts w:ascii="Times New Roman" w:hAnsi="Times New Roman"/>
              </w:rPr>
            </w:pPr>
            <w:r>
              <w:rPr>
                <w:rFonts w:ascii="Times New Roman" w:hAnsi="Times New Roman"/>
              </w:rPr>
              <w:t>沙漠地区</w:t>
            </w:r>
          </w:p>
        </w:tc>
        <w:tc>
          <w:tcPr>
            <w:tcW w:w="992" w:type="dxa"/>
            <w:vAlign w:val="center"/>
          </w:tcPr>
          <w:p>
            <w:pPr>
              <w:widowControl/>
              <w:jc w:val="center"/>
              <w:rPr>
                <w:rFonts w:ascii="Times New Roman" w:hAnsi="Times New Roman"/>
              </w:rPr>
            </w:pPr>
            <w:r>
              <w:rPr>
                <w:rFonts w:ascii="Times New Roman" w:hAnsi="Times New Roman"/>
              </w:rPr>
              <w:t>枯丰</w:t>
            </w:r>
          </w:p>
        </w:tc>
        <w:tc>
          <w:tcPr>
            <w:tcW w:w="1276" w:type="dxa"/>
            <w:vAlign w:val="center"/>
          </w:tcPr>
          <w:p>
            <w:pPr>
              <w:widowControl/>
              <w:jc w:val="center"/>
              <w:rPr>
                <w:rFonts w:ascii="Times New Roman" w:hAnsi="Times New Roman"/>
              </w:rPr>
            </w:pPr>
            <w:r>
              <w:rPr>
                <w:rFonts w:ascii="Times New Roman" w:hAnsi="Times New Roman"/>
              </w:rPr>
              <w:t>一期</w:t>
            </w:r>
          </w:p>
        </w:tc>
        <w:tc>
          <w:tcPr>
            <w:tcW w:w="802" w:type="dxa"/>
            <w:vAlign w:val="center"/>
          </w:tcPr>
          <w:p>
            <w:pPr>
              <w:widowControl/>
              <w:jc w:val="center"/>
              <w:rPr>
                <w:rFonts w:ascii="Times New Roman" w:hAnsi="Times New Roman"/>
              </w:rPr>
            </w:pPr>
            <w:r>
              <w:rPr>
                <w:rFonts w:ascii="Times New Roman" w:hAnsi="Times New Roman"/>
              </w:rPr>
              <w:t>一期</w:t>
            </w:r>
          </w:p>
        </w:tc>
        <w:tc>
          <w:tcPr>
            <w:tcW w:w="1131" w:type="dxa"/>
            <w:vAlign w:val="center"/>
          </w:tcPr>
          <w:p>
            <w:pPr>
              <w:widowControl/>
              <w:jc w:val="center"/>
              <w:rPr>
                <w:rFonts w:ascii="Times New Roman" w:hAnsi="Times New Roman"/>
              </w:rPr>
            </w:pPr>
            <w:r>
              <w:rPr>
                <w:rFonts w:ascii="Times New Roman" w:hAnsi="Times New Roman"/>
              </w:rPr>
              <w:t>一期</w:t>
            </w:r>
          </w:p>
        </w:tc>
        <w:tc>
          <w:tcPr>
            <w:tcW w:w="1271" w:type="dxa"/>
            <w:vAlign w:val="center"/>
          </w:tcPr>
          <w:p>
            <w:pPr>
              <w:widowControl/>
              <w:jc w:val="center"/>
              <w:rPr>
                <w:rFonts w:ascii="Times New Roman" w:hAnsi="Times New Roman"/>
              </w:rPr>
            </w:pPr>
            <w:r>
              <w:rPr>
                <w:rFonts w:ascii="Times New Roman" w:hAnsi="Times New Roman"/>
              </w:rPr>
              <w:t>一期</w:t>
            </w:r>
          </w:p>
        </w:tc>
        <w:tc>
          <w:tcPr>
            <w:tcW w:w="849" w:type="dxa"/>
            <w:vAlign w:val="center"/>
          </w:tcPr>
          <w:p>
            <w:pPr>
              <w:widowControl/>
              <w:jc w:val="center"/>
              <w:rPr>
                <w:rFonts w:ascii="Times New Roman" w:hAnsi="Times New Roman"/>
              </w:rPr>
            </w:pPr>
            <w:r>
              <w:rPr>
                <w:rFonts w:ascii="Times New Roman" w:hAnsi="Times New Roman"/>
              </w:rPr>
              <w:t>一期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1985" w:type="dxa"/>
            <w:vAlign w:val="center"/>
          </w:tcPr>
          <w:p>
            <w:pPr>
              <w:widowControl/>
              <w:jc w:val="center"/>
              <w:rPr>
                <w:rFonts w:ascii="Times New Roman" w:hAnsi="Times New Roman"/>
              </w:rPr>
            </w:pPr>
            <w:r>
              <w:rPr>
                <w:rFonts w:ascii="Times New Roman" w:hAnsi="Times New Roman"/>
              </w:rPr>
              <w:t>丘陵山区</w:t>
            </w:r>
          </w:p>
        </w:tc>
        <w:tc>
          <w:tcPr>
            <w:tcW w:w="992" w:type="dxa"/>
            <w:vAlign w:val="center"/>
          </w:tcPr>
          <w:p>
            <w:pPr>
              <w:widowControl/>
              <w:jc w:val="center"/>
              <w:rPr>
                <w:rFonts w:ascii="Times New Roman" w:hAnsi="Times New Roman"/>
              </w:rPr>
            </w:pPr>
            <w:r>
              <w:rPr>
                <w:rFonts w:ascii="Times New Roman" w:hAnsi="Times New Roman"/>
              </w:rPr>
              <w:t>枯丰</w:t>
            </w:r>
          </w:p>
        </w:tc>
        <w:tc>
          <w:tcPr>
            <w:tcW w:w="1276" w:type="dxa"/>
            <w:vAlign w:val="center"/>
          </w:tcPr>
          <w:p>
            <w:pPr>
              <w:widowControl/>
              <w:jc w:val="center"/>
              <w:rPr>
                <w:rFonts w:ascii="Times New Roman" w:hAnsi="Times New Roman"/>
              </w:rPr>
            </w:pPr>
            <w:r>
              <w:rPr>
                <w:rFonts w:ascii="Times New Roman" w:hAnsi="Times New Roman"/>
              </w:rPr>
              <w:t>一期</w:t>
            </w:r>
          </w:p>
        </w:tc>
        <w:tc>
          <w:tcPr>
            <w:tcW w:w="802" w:type="dxa"/>
            <w:vAlign w:val="center"/>
          </w:tcPr>
          <w:p>
            <w:pPr>
              <w:widowControl/>
              <w:jc w:val="center"/>
              <w:rPr>
                <w:rFonts w:ascii="Times New Roman" w:hAnsi="Times New Roman"/>
              </w:rPr>
            </w:pPr>
            <w:r>
              <w:rPr>
                <w:rFonts w:ascii="Times New Roman" w:hAnsi="Times New Roman"/>
              </w:rPr>
              <w:t>一期</w:t>
            </w:r>
          </w:p>
        </w:tc>
        <w:tc>
          <w:tcPr>
            <w:tcW w:w="1131" w:type="dxa"/>
            <w:vAlign w:val="center"/>
          </w:tcPr>
          <w:p>
            <w:pPr>
              <w:widowControl/>
              <w:jc w:val="center"/>
              <w:rPr>
                <w:rFonts w:ascii="Times New Roman" w:hAnsi="Times New Roman"/>
              </w:rPr>
            </w:pPr>
            <w:r>
              <w:rPr>
                <w:rFonts w:ascii="Times New Roman" w:hAnsi="Times New Roman"/>
              </w:rPr>
              <w:t>一期</w:t>
            </w:r>
          </w:p>
        </w:tc>
        <w:tc>
          <w:tcPr>
            <w:tcW w:w="1271" w:type="dxa"/>
            <w:vAlign w:val="center"/>
          </w:tcPr>
          <w:p>
            <w:pPr>
              <w:widowControl/>
              <w:jc w:val="center"/>
              <w:rPr>
                <w:rFonts w:ascii="Times New Roman" w:hAnsi="Times New Roman"/>
              </w:rPr>
            </w:pPr>
            <w:r>
              <w:rPr>
                <w:rFonts w:ascii="Times New Roman" w:hAnsi="Times New Roman"/>
              </w:rPr>
              <w:t>一期</w:t>
            </w:r>
          </w:p>
        </w:tc>
        <w:tc>
          <w:tcPr>
            <w:tcW w:w="849" w:type="dxa"/>
            <w:vAlign w:val="center"/>
          </w:tcPr>
          <w:p>
            <w:pPr>
              <w:widowControl/>
              <w:jc w:val="center"/>
              <w:rPr>
                <w:rFonts w:ascii="Times New Roman" w:hAnsi="Times New Roman"/>
              </w:rPr>
            </w:pPr>
            <w:r>
              <w:rPr>
                <w:rFonts w:ascii="Times New Roman" w:hAnsi="Times New Roman"/>
              </w:rPr>
              <w:t>一期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1985" w:type="dxa"/>
            <w:vAlign w:val="center"/>
          </w:tcPr>
          <w:p>
            <w:pPr>
              <w:widowControl/>
              <w:jc w:val="center"/>
              <w:rPr>
                <w:rFonts w:ascii="Times New Roman" w:hAnsi="Times New Roman"/>
              </w:rPr>
            </w:pPr>
            <w:r>
              <w:rPr>
                <w:rFonts w:ascii="Times New Roman" w:hAnsi="Times New Roman"/>
              </w:rPr>
              <w:t>岩溶裂隙</w:t>
            </w:r>
          </w:p>
        </w:tc>
        <w:tc>
          <w:tcPr>
            <w:tcW w:w="992" w:type="dxa"/>
            <w:vAlign w:val="center"/>
          </w:tcPr>
          <w:p>
            <w:pPr>
              <w:widowControl/>
              <w:jc w:val="center"/>
              <w:rPr>
                <w:rFonts w:ascii="Times New Roman" w:hAnsi="Times New Roman"/>
              </w:rPr>
            </w:pPr>
            <w:r>
              <w:rPr>
                <w:rFonts w:ascii="Times New Roman" w:hAnsi="Times New Roman"/>
              </w:rPr>
              <w:t>枯丰</w:t>
            </w:r>
          </w:p>
        </w:tc>
        <w:tc>
          <w:tcPr>
            <w:tcW w:w="1276" w:type="dxa"/>
            <w:vAlign w:val="center"/>
          </w:tcPr>
          <w:p>
            <w:pPr>
              <w:widowControl/>
              <w:jc w:val="center"/>
              <w:rPr>
                <w:rFonts w:ascii="Times New Roman" w:hAnsi="Times New Roman"/>
              </w:rPr>
            </w:pPr>
            <w:r>
              <w:rPr>
                <w:rFonts w:ascii="Times New Roman" w:hAnsi="Times New Roman"/>
              </w:rPr>
              <w:t>一期</w:t>
            </w:r>
          </w:p>
        </w:tc>
        <w:tc>
          <w:tcPr>
            <w:tcW w:w="802" w:type="dxa"/>
            <w:vAlign w:val="center"/>
          </w:tcPr>
          <w:p>
            <w:pPr>
              <w:widowControl/>
              <w:jc w:val="center"/>
              <w:rPr>
                <w:rFonts w:ascii="Times New Roman" w:hAnsi="Times New Roman"/>
              </w:rPr>
            </w:pPr>
            <w:r>
              <w:rPr>
                <w:rFonts w:ascii="Times New Roman" w:hAnsi="Times New Roman"/>
              </w:rPr>
              <w:t>一期</w:t>
            </w:r>
          </w:p>
        </w:tc>
        <w:tc>
          <w:tcPr>
            <w:tcW w:w="1131" w:type="dxa"/>
            <w:vAlign w:val="center"/>
          </w:tcPr>
          <w:p>
            <w:pPr>
              <w:widowControl/>
              <w:jc w:val="center"/>
              <w:rPr>
                <w:rFonts w:ascii="Times New Roman" w:hAnsi="Times New Roman"/>
              </w:rPr>
            </w:pPr>
            <w:r>
              <w:rPr>
                <w:rFonts w:ascii="Times New Roman" w:hAnsi="Times New Roman"/>
              </w:rPr>
              <w:t>枯丰</w:t>
            </w:r>
          </w:p>
        </w:tc>
        <w:tc>
          <w:tcPr>
            <w:tcW w:w="1271" w:type="dxa"/>
            <w:vAlign w:val="center"/>
          </w:tcPr>
          <w:p>
            <w:pPr>
              <w:widowControl/>
              <w:jc w:val="center"/>
              <w:rPr>
                <w:rFonts w:ascii="Times New Roman" w:hAnsi="Times New Roman"/>
              </w:rPr>
            </w:pPr>
            <w:r>
              <w:rPr>
                <w:rFonts w:ascii="Times New Roman" w:hAnsi="Times New Roman"/>
              </w:rPr>
              <w:t>一期</w:t>
            </w:r>
          </w:p>
        </w:tc>
        <w:tc>
          <w:tcPr>
            <w:tcW w:w="849" w:type="dxa"/>
            <w:vAlign w:val="center"/>
          </w:tcPr>
          <w:p>
            <w:pPr>
              <w:widowControl/>
              <w:jc w:val="center"/>
              <w:rPr>
                <w:rFonts w:ascii="Times New Roman" w:hAnsi="Times New Roman"/>
              </w:rPr>
            </w:pPr>
            <w:r>
              <w:rPr>
                <w:rFonts w:ascii="Times New Roman" w:hAnsi="Times New Roman"/>
              </w:rPr>
              <w:t>一期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85" w:type="dxa"/>
            <w:vAlign w:val="center"/>
          </w:tcPr>
          <w:p>
            <w:pPr>
              <w:widowControl/>
              <w:jc w:val="center"/>
              <w:rPr>
                <w:rFonts w:ascii="Times New Roman" w:hAnsi="Times New Roman"/>
              </w:rPr>
            </w:pPr>
            <w:r>
              <w:rPr>
                <w:rFonts w:ascii="Times New Roman" w:hAnsi="Times New Roman"/>
              </w:rPr>
              <w:t>岩溶管道</w:t>
            </w:r>
          </w:p>
        </w:tc>
        <w:tc>
          <w:tcPr>
            <w:tcW w:w="992" w:type="dxa"/>
            <w:vAlign w:val="center"/>
          </w:tcPr>
          <w:p>
            <w:pPr>
              <w:widowControl/>
              <w:jc w:val="center"/>
              <w:rPr>
                <w:rFonts w:ascii="Times New Roman" w:hAnsi="Times New Roman"/>
              </w:rPr>
            </w:pPr>
            <w:r>
              <w:rPr>
                <w:rFonts w:ascii="Times New Roman" w:hAnsi="Times New Roman"/>
              </w:rPr>
              <w:t>二期</w:t>
            </w:r>
          </w:p>
        </w:tc>
        <w:tc>
          <w:tcPr>
            <w:tcW w:w="1276" w:type="dxa"/>
            <w:vAlign w:val="center"/>
          </w:tcPr>
          <w:p>
            <w:pPr>
              <w:widowControl/>
              <w:jc w:val="center"/>
              <w:rPr>
                <w:rFonts w:ascii="Times New Roman" w:hAnsi="Times New Roman"/>
              </w:rPr>
            </w:pPr>
            <w:r>
              <w:rPr>
                <w:rFonts w:ascii="Times New Roman" w:hAnsi="Times New Roman"/>
              </w:rPr>
              <w:t>一期</w:t>
            </w:r>
          </w:p>
        </w:tc>
        <w:tc>
          <w:tcPr>
            <w:tcW w:w="802" w:type="dxa"/>
            <w:vAlign w:val="center"/>
          </w:tcPr>
          <w:p>
            <w:pPr>
              <w:widowControl/>
              <w:jc w:val="center"/>
              <w:rPr>
                <w:rFonts w:ascii="Times New Roman" w:hAnsi="Times New Roman"/>
              </w:rPr>
            </w:pPr>
            <w:r>
              <w:rPr>
                <w:rFonts w:ascii="Times New Roman" w:hAnsi="Times New Roman"/>
              </w:rPr>
              <w:t>一期</w:t>
            </w:r>
          </w:p>
        </w:tc>
        <w:tc>
          <w:tcPr>
            <w:tcW w:w="1131" w:type="dxa"/>
            <w:vAlign w:val="center"/>
          </w:tcPr>
          <w:p>
            <w:pPr>
              <w:widowControl/>
              <w:jc w:val="center"/>
              <w:rPr>
                <w:rFonts w:ascii="Times New Roman" w:hAnsi="Times New Roman"/>
              </w:rPr>
            </w:pPr>
            <w:r>
              <w:rPr>
                <w:rFonts w:ascii="Times New Roman" w:hAnsi="Times New Roman"/>
              </w:rPr>
              <w:t>二期</w:t>
            </w:r>
          </w:p>
        </w:tc>
        <w:tc>
          <w:tcPr>
            <w:tcW w:w="1271" w:type="dxa"/>
            <w:vAlign w:val="center"/>
          </w:tcPr>
          <w:p>
            <w:pPr>
              <w:widowControl/>
              <w:jc w:val="center"/>
              <w:rPr>
                <w:rFonts w:ascii="Times New Roman" w:hAnsi="Times New Roman"/>
              </w:rPr>
            </w:pPr>
            <w:r>
              <w:rPr>
                <w:rFonts w:ascii="Times New Roman" w:hAnsi="Times New Roman"/>
              </w:rPr>
              <w:t>一期</w:t>
            </w:r>
          </w:p>
        </w:tc>
        <w:tc>
          <w:tcPr>
            <w:tcW w:w="849" w:type="dxa"/>
            <w:vAlign w:val="center"/>
          </w:tcPr>
          <w:p>
            <w:pPr>
              <w:widowControl/>
              <w:jc w:val="center"/>
              <w:rPr>
                <w:rFonts w:ascii="Times New Roman" w:hAnsi="Times New Roman"/>
              </w:rPr>
            </w:pPr>
            <w:r>
              <w:rPr>
                <w:rFonts w:ascii="Times New Roman" w:hAnsi="Times New Roman"/>
              </w:rPr>
              <w:t>一期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8306" w:type="dxa"/>
            <w:gridSpan w:val="7"/>
            <w:vAlign w:val="center"/>
          </w:tcPr>
          <w:p>
            <w:pPr>
              <w:widowControl/>
              <w:jc w:val="left"/>
              <w:rPr>
                <w:rFonts w:ascii="Times New Roman" w:hAnsi="Times New Roman"/>
              </w:rPr>
            </w:pPr>
            <w:r>
              <w:rPr>
                <w:rFonts w:ascii="Times New Roman" w:hAnsi="Times New Roman"/>
              </w:rPr>
              <w:t>a“二期”的间隔有明显水位变化，其变化幅度接近年内变幅。</w:t>
            </w:r>
          </w:p>
        </w:tc>
      </w:tr>
    </w:tbl>
    <w:p>
      <w:pPr>
        <w:adjustRightInd w:val="0"/>
        <w:snapToGrid w:val="0"/>
        <w:spacing w:line="480" w:lineRule="exact"/>
        <w:jc w:val="center"/>
        <w:rPr>
          <w:rFonts w:ascii="Times New Roman" w:hAnsi="Times New Roman"/>
          <w:b/>
        </w:rPr>
      </w:pPr>
    </w:p>
    <w:p>
      <w:pPr>
        <w:adjustRightInd w:val="0"/>
        <w:snapToGrid w:val="0"/>
        <w:spacing w:line="480" w:lineRule="exact"/>
        <w:jc w:val="center"/>
        <w:rPr>
          <w:rFonts w:ascii="Times New Roman" w:hAnsi="Times New Roman"/>
          <w:b/>
        </w:rPr>
      </w:pPr>
    </w:p>
    <w:p>
      <w:pPr>
        <w:adjustRightInd w:val="0"/>
        <w:snapToGrid w:val="0"/>
        <w:spacing w:line="480" w:lineRule="exact"/>
        <w:jc w:val="center"/>
        <w:rPr>
          <w:rFonts w:ascii="Times New Roman" w:hAnsi="Times New Roman"/>
          <w:b/>
        </w:rPr>
      </w:pPr>
    </w:p>
    <w:p>
      <w:pPr>
        <w:adjustRightInd w:val="0"/>
        <w:snapToGrid w:val="0"/>
        <w:spacing w:line="480" w:lineRule="exact"/>
        <w:jc w:val="center"/>
        <w:rPr>
          <w:rFonts w:ascii="Times New Roman" w:hAnsi="Times New Roman"/>
          <w:b/>
        </w:rPr>
      </w:pPr>
    </w:p>
    <w:p>
      <w:pPr>
        <w:adjustRightInd w:val="0"/>
        <w:snapToGrid w:val="0"/>
        <w:spacing w:line="480" w:lineRule="exact"/>
        <w:jc w:val="center"/>
        <w:rPr>
          <w:rFonts w:ascii="Times New Roman" w:hAnsi="Times New Roman"/>
          <w:b/>
        </w:rPr>
      </w:pPr>
      <w:r>
        <w:rPr>
          <w:rFonts w:ascii="Times New Roman" w:hAnsi="Times New Roman"/>
          <w:b/>
        </w:rPr>
        <w:t>表4.2-7 地下水水质监测点概况表</w:t>
      </w:r>
    </w:p>
    <w:tbl>
      <w:tblPr>
        <w:tblStyle w:val="7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58"/>
        <w:gridCol w:w="1262"/>
        <w:gridCol w:w="1263"/>
        <w:gridCol w:w="1263"/>
        <w:gridCol w:w="1261"/>
        <w:gridCol w:w="1261"/>
        <w:gridCol w:w="126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562" w:type="pct"/>
            <w:vAlign w:val="center"/>
          </w:tcPr>
          <w:p>
            <w:pPr>
              <w:widowControl/>
              <w:jc w:val="center"/>
              <w:rPr>
                <w:rFonts w:ascii="Times New Roman" w:hAnsi="Times New Roman"/>
                <w:b/>
              </w:rPr>
            </w:pPr>
            <w:r>
              <w:rPr>
                <w:rFonts w:ascii="Times New Roman" w:hAnsi="Times New Roman"/>
                <w:b/>
              </w:rPr>
              <w:t>序号</w:t>
            </w:r>
          </w:p>
        </w:tc>
        <w:tc>
          <w:tcPr>
            <w:tcW w:w="740" w:type="pct"/>
          </w:tcPr>
          <w:p>
            <w:pPr>
              <w:widowControl/>
              <w:jc w:val="center"/>
              <w:rPr>
                <w:rFonts w:ascii="Times New Roman" w:hAnsi="Times New Roman"/>
                <w:b/>
              </w:rPr>
            </w:pPr>
            <w:r>
              <w:rPr>
                <w:rFonts w:hint="eastAsia" w:ascii="Times New Roman" w:hAnsi="Times New Roman"/>
                <w:b/>
              </w:rPr>
              <w:t>水井名称</w:t>
            </w:r>
          </w:p>
        </w:tc>
        <w:tc>
          <w:tcPr>
            <w:tcW w:w="740" w:type="pct"/>
          </w:tcPr>
          <w:p>
            <w:pPr>
              <w:widowControl/>
              <w:jc w:val="center"/>
              <w:rPr>
                <w:rFonts w:ascii="Times New Roman" w:hAnsi="Times New Roman"/>
                <w:b/>
              </w:rPr>
            </w:pPr>
            <w:r>
              <w:rPr>
                <w:rFonts w:hint="eastAsia" w:ascii="Times New Roman" w:hAnsi="Times New Roman"/>
                <w:b/>
              </w:rPr>
              <w:t>水井用途</w:t>
            </w:r>
          </w:p>
        </w:tc>
        <w:tc>
          <w:tcPr>
            <w:tcW w:w="740" w:type="pct"/>
            <w:vAlign w:val="center"/>
          </w:tcPr>
          <w:p>
            <w:pPr>
              <w:widowControl/>
              <w:jc w:val="center"/>
              <w:rPr>
                <w:rFonts w:ascii="Times New Roman" w:hAnsi="Times New Roman"/>
                <w:b/>
              </w:rPr>
            </w:pPr>
            <w:r>
              <w:rPr>
                <w:rFonts w:ascii="Times New Roman" w:hAnsi="Times New Roman"/>
                <w:b/>
              </w:rPr>
              <w:t>监测含水层</w:t>
            </w:r>
          </w:p>
        </w:tc>
        <w:tc>
          <w:tcPr>
            <w:tcW w:w="739" w:type="pct"/>
            <w:vAlign w:val="center"/>
          </w:tcPr>
          <w:p>
            <w:pPr>
              <w:widowControl/>
              <w:jc w:val="center"/>
              <w:rPr>
                <w:rFonts w:ascii="Times New Roman" w:hAnsi="Times New Roman"/>
                <w:b/>
              </w:rPr>
            </w:pPr>
            <w:r>
              <w:rPr>
                <w:rFonts w:ascii="Times New Roman" w:hAnsi="Times New Roman"/>
                <w:b/>
              </w:rPr>
              <w:t>监测点</w:t>
            </w:r>
          </w:p>
          <w:p>
            <w:pPr>
              <w:widowControl/>
              <w:jc w:val="center"/>
              <w:rPr>
                <w:rFonts w:ascii="Times New Roman" w:hAnsi="Times New Roman"/>
                <w:b/>
              </w:rPr>
            </w:pPr>
            <w:r>
              <w:rPr>
                <w:rFonts w:ascii="Times New Roman" w:hAnsi="Times New Roman"/>
                <w:b/>
              </w:rPr>
              <w:t>类型</w:t>
            </w:r>
          </w:p>
        </w:tc>
        <w:tc>
          <w:tcPr>
            <w:tcW w:w="739" w:type="pct"/>
            <w:vAlign w:val="center"/>
          </w:tcPr>
          <w:p>
            <w:pPr>
              <w:widowControl/>
              <w:jc w:val="center"/>
              <w:rPr>
                <w:rFonts w:ascii="Times New Roman" w:hAnsi="Times New Roman"/>
                <w:b/>
              </w:rPr>
            </w:pPr>
            <w:r>
              <w:rPr>
                <w:rFonts w:ascii="Times New Roman" w:hAnsi="Times New Roman"/>
                <w:b/>
              </w:rPr>
              <w:t>井深（m）</w:t>
            </w:r>
          </w:p>
        </w:tc>
        <w:tc>
          <w:tcPr>
            <w:tcW w:w="739" w:type="pct"/>
            <w:vAlign w:val="center"/>
          </w:tcPr>
          <w:p>
            <w:pPr>
              <w:widowControl/>
              <w:jc w:val="center"/>
              <w:rPr>
                <w:rFonts w:ascii="Times New Roman" w:hAnsi="Times New Roman"/>
                <w:b/>
              </w:rPr>
            </w:pPr>
            <w:r>
              <w:rPr>
                <w:rFonts w:ascii="Times New Roman" w:hAnsi="Times New Roman"/>
                <w:b/>
              </w:rPr>
              <w:t>水位标高（m）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0" w:hRule="atLeast"/>
          <w:jc w:val="center"/>
        </w:trPr>
        <w:tc>
          <w:tcPr>
            <w:tcW w:w="562" w:type="pct"/>
            <w:vAlign w:val="center"/>
          </w:tcPr>
          <w:p>
            <w:pPr>
              <w:widowControl/>
              <w:jc w:val="center"/>
              <w:rPr>
                <w:rFonts w:ascii="Times New Roman" w:hAnsi="Times New Roman"/>
              </w:rPr>
            </w:pPr>
            <w:r>
              <w:rPr>
                <w:rFonts w:ascii="Times New Roman" w:hAnsi="Times New Roman"/>
              </w:rPr>
              <w:t>1#</w:t>
            </w:r>
          </w:p>
        </w:tc>
        <w:tc>
          <w:tcPr>
            <w:tcW w:w="740" w:type="pct"/>
          </w:tcPr>
          <w:p>
            <w:pPr>
              <w:widowControl/>
              <w:jc w:val="center"/>
              <w:rPr>
                <w:rFonts w:ascii="Times New Roman" w:hAnsi="Times New Roman"/>
              </w:rPr>
            </w:pPr>
            <w:r>
              <w:rPr>
                <w:rFonts w:hint="eastAsia" w:ascii="Times New Roman" w:hAnsi="Times New Roman"/>
              </w:rPr>
              <w:t>垃圾填埋场生活区水井</w:t>
            </w:r>
          </w:p>
        </w:tc>
        <w:tc>
          <w:tcPr>
            <w:tcW w:w="740" w:type="pct"/>
          </w:tcPr>
          <w:p>
            <w:pPr>
              <w:widowControl/>
              <w:jc w:val="center"/>
              <w:rPr>
                <w:rFonts w:ascii="Times New Roman" w:hAnsi="Times New Roman"/>
              </w:rPr>
            </w:pPr>
            <w:r>
              <w:rPr>
                <w:rFonts w:hint="eastAsia" w:ascii="Times New Roman" w:hAnsi="Times New Roman"/>
              </w:rPr>
              <w:t>生活区饮用水水井</w:t>
            </w:r>
          </w:p>
        </w:tc>
        <w:tc>
          <w:tcPr>
            <w:tcW w:w="740" w:type="pct"/>
            <w:vAlign w:val="center"/>
          </w:tcPr>
          <w:p>
            <w:pPr>
              <w:widowControl/>
              <w:jc w:val="center"/>
              <w:rPr>
                <w:rFonts w:ascii="Times New Roman" w:hAnsi="Times New Roman"/>
              </w:rPr>
            </w:pPr>
            <w:r>
              <w:rPr>
                <w:rFonts w:ascii="Times New Roman" w:hAnsi="Times New Roman"/>
              </w:rPr>
              <w:t>潜水含水层</w:t>
            </w:r>
          </w:p>
        </w:tc>
        <w:tc>
          <w:tcPr>
            <w:tcW w:w="739" w:type="pct"/>
            <w:vAlign w:val="center"/>
          </w:tcPr>
          <w:p>
            <w:pPr>
              <w:widowControl/>
              <w:jc w:val="center"/>
              <w:rPr>
                <w:rFonts w:ascii="Times New Roman" w:hAnsi="Times New Roman"/>
              </w:rPr>
            </w:pPr>
            <w:r>
              <w:rPr>
                <w:rFonts w:ascii="Times New Roman" w:hAnsi="Times New Roman"/>
              </w:rPr>
              <w:t>水质、水位</w:t>
            </w:r>
          </w:p>
        </w:tc>
        <w:tc>
          <w:tcPr>
            <w:tcW w:w="739" w:type="pct"/>
            <w:vAlign w:val="center"/>
          </w:tcPr>
          <w:p>
            <w:pPr>
              <w:widowControl/>
              <w:spacing w:line="0" w:lineRule="atLeast"/>
              <w:jc w:val="center"/>
              <w:textAlignment w:val="center"/>
              <w:rPr>
                <w:rFonts w:ascii="Times New Roman" w:hAnsi="Times New Roman"/>
              </w:rPr>
            </w:pPr>
            <w:r>
              <w:rPr>
                <w:rFonts w:ascii="Times New Roman" w:hAnsi="Times New Roman"/>
              </w:rPr>
              <w:t>23</w:t>
            </w:r>
          </w:p>
        </w:tc>
        <w:tc>
          <w:tcPr>
            <w:tcW w:w="739" w:type="pct"/>
            <w:vAlign w:val="center"/>
          </w:tcPr>
          <w:p>
            <w:pPr>
              <w:widowControl/>
              <w:spacing w:line="0" w:lineRule="atLeast"/>
              <w:jc w:val="center"/>
              <w:textAlignment w:val="center"/>
              <w:rPr>
                <w:rFonts w:ascii="Times New Roman" w:hAnsi="Times New Roman"/>
              </w:rPr>
            </w:pPr>
            <w:r>
              <w:rPr>
                <w:rFonts w:ascii="Times New Roman" w:hAnsi="Times New Roman"/>
              </w:rPr>
              <w:t>205</w:t>
            </w:r>
            <w:r>
              <w:rPr>
                <w:rFonts w:hint="eastAsia" w:ascii="Times New Roman" w:hAnsi="Times New Roman"/>
              </w:rPr>
              <w:t>.</w:t>
            </w:r>
            <w:r>
              <w:rPr>
                <w:rFonts w:ascii="Times New Roman" w:hAnsi="Times New Roman"/>
              </w:rPr>
              <w:t>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0" w:hRule="atLeast"/>
          <w:jc w:val="center"/>
        </w:trPr>
        <w:tc>
          <w:tcPr>
            <w:tcW w:w="562" w:type="pct"/>
            <w:vAlign w:val="center"/>
          </w:tcPr>
          <w:p>
            <w:pPr>
              <w:widowControl/>
              <w:jc w:val="center"/>
              <w:rPr>
                <w:rFonts w:ascii="Times New Roman" w:hAnsi="Times New Roman"/>
              </w:rPr>
            </w:pPr>
            <w:r>
              <w:rPr>
                <w:rFonts w:ascii="Times New Roman" w:hAnsi="Times New Roman"/>
              </w:rPr>
              <w:t>2#</w:t>
            </w:r>
          </w:p>
        </w:tc>
        <w:tc>
          <w:tcPr>
            <w:tcW w:w="740" w:type="pct"/>
          </w:tcPr>
          <w:p>
            <w:pPr>
              <w:widowControl/>
              <w:jc w:val="center"/>
              <w:rPr>
                <w:rFonts w:ascii="Times New Roman" w:hAnsi="Times New Roman"/>
              </w:rPr>
            </w:pPr>
            <w:r>
              <w:rPr>
                <w:rFonts w:hint="eastAsia" w:ascii="Times New Roman" w:hAnsi="Times New Roman"/>
              </w:rPr>
              <w:t>灌溉水井</w:t>
            </w:r>
          </w:p>
        </w:tc>
        <w:tc>
          <w:tcPr>
            <w:tcW w:w="740" w:type="pct"/>
          </w:tcPr>
          <w:p>
            <w:pPr>
              <w:widowControl/>
              <w:jc w:val="center"/>
              <w:rPr>
                <w:rFonts w:ascii="Times New Roman" w:hAnsi="Times New Roman"/>
              </w:rPr>
            </w:pPr>
            <w:r>
              <w:rPr>
                <w:rFonts w:hint="eastAsia" w:ascii="Times New Roman" w:hAnsi="Times New Roman"/>
              </w:rPr>
              <w:t>农田灌溉水井</w:t>
            </w:r>
          </w:p>
        </w:tc>
        <w:tc>
          <w:tcPr>
            <w:tcW w:w="740" w:type="pct"/>
            <w:vAlign w:val="center"/>
          </w:tcPr>
          <w:p>
            <w:pPr>
              <w:widowControl/>
              <w:jc w:val="center"/>
              <w:rPr>
                <w:rFonts w:ascii="Times New Roman" w:hAnsi="Times New Roman"/>
              </w:rPr>
            </w:pPr>
            <w:r>
              <w:rPr>
                <w:rFonts w:ascii="Times New Roman" w:hAnsi="Times New Roman"/>
              </w:rPr>
              <w:t>潜水含水层</w:t>
            </w:r>
          </w:p>
        </w:tc>
        <w:tc>
          <w:tcPr>
            <w:tcW w:w="739" w:type="pct"/>
            <w:vAlign w:val="center"/>
          </w:tcPr>
          <w:p>
            <w:pPr>
              <w:widowControl/>
              <w:jc w:val="center"/>
              <w:rPr>
                <w:rFonts w:ascii="Times New Roman" w:hAnsi="Times New Roman"/>
              </w:rPr>
            </w:pPr>
            <w:r>
              <w:rPr>
                <w:rFonts w:ascii="Times New Roman" w:hAnsi="Times New Roman"/>
              </w:rPr>
              <w:t>水质、水位</w:t>
            </w:r>
          </w:p>
        </w:tc>
        <w:tc>
          <w:tcPr>
            <w:tcW w:w="739" w:type="pct"/>
            <w:vAlign w:val="center"/>
          </w:tcPr>
          <w:p>
            <w:pPr>
              <w:widowControl/>
              <w:spacing w:line="0" w:lineRule="atLeast"/>
              <w:jc w:val="center"/>
              <w:textAlignment w:val="center"/>
              <w:rPr>
                <w:rFonts w:ascii="Times New Roman" w:hAnsi="Times New Roman"/>
              </w:rPr>
            </w:pPr>
            <w:r>
              <w:rPr>
                <w:rFonts w:ascii="Times New Roman" w:hAnsi="Times New Roman"/>
              </w:rPr>
              <w:t>24</w:t>
            </w:r>
          </w:p>
        </w:tc>
        <w:tc>
          <w:tcPr>
            <w:tcW w:w="739" w:type="pct"/>
            <w:vAlign w:val="center"/>
          </w:tcPr>
          <w:p>
            <w:pPr>
              <w:widowControl/>
              <w:spacing w:line="0" w:lineRule="atLeast"/>
              <w:jc w:val="center"/>
              <w:textAlignment w:val="center"/>
              <w:rPr>
                <w:rFonts w:ascii="Times New Roman" w:hAnsi="Times New Roman"/>
              </w:rPr>
            </w:pPr>
            <w:r>
              <w:rPr>
                <w:rFonts w:ascii="Times New Roman" w:hAnsi="Times New Roman"/>
              </w:rPr>
              <w:t>220.06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 w:hRule="atLeast"/>
          <w:jc w:val="center"/>
        </w:trPr>
        <w:tc>
          <w:tcPr>
            <w:tcW w:w="562" w:type="pct"/>
            <w:vAlign w:val="center"/>
          </w:tcPr>
          <w:p>
            <w:pPr>
              <w:widowControl/>
              <w:jc w:val="center"/>
              <w:rPr>
                <w:rFonts w:ascii="Times New Roman" w:hAnsi="Times New Roman"/>
              </w:rPr>
            </w:pPr>
            <w:r>
              <w:rPr>
                <w:rFonts w:ascii="Times New Roman" w:hAnsi="Times New Roman"/>
              </w:rPr>
              <w:t>3#</w:t>
            </w:r>
          </w:p>
        </w:tc>
        <w:tc>
          <w:tcPr>
            <w:tcW w:w="740" w:type="pct"/>
          </w:tcPr>
          <w:p>
            <w:pPr>
              <w:widowControl/>
              <w:jc w:val="center"/>
              <w:rPr>
                <w:rFonts w:ascii="Times New Roman" w:hAnsi="Times New Roman"/>
              </w:rPr>
            </w:pPr>
            <w:r>
              <w:rPr>
                <w:rFonts w:hint="eastAsia" w:ascii="Times New Roman" w:hAnsi="Times New Roman"/>
              </w:rPr>
              <w:t>垃圾填埋场监测点</w:t>
            </w:r>
          </w:p>
        </w:tc>
        <w:tc>
          <w:tcPr>
            <w:tcW w:w="740" w:type="pct"/>
          </w:tcPr>
          <w:p>
            <w:pPr>
              <w:widowControl/>
              <w:jc w:val="center"/>
              <w:rPr>
                <w:rFonts w:ascii="Times New Roman" w:hAnsi="Times New Roman"/>
              </w:rPr>
            </w:pPr>
            <w:r>
              <w:rPr>
                <w:rFonts w:hint="eastAsia" w:ascii="Times New Roman" w:hAnsi="Times New Roman"/>
              </w:rPr>
              <w:t>跟踪监测水井</w:t>
            </w:r>
          </w:p>
        </w:tc>
        <w:tc>
          <w:tcPr>
            <w:tcW w:w="740" w:type="pct"/>
            <w:vAlign w:val="center"/>
          </w:tcPr>
          <w:p>
            <w:pPr>
              <w:widowControl/>
              <w:jc w:val="center"/>
              <w:rPr>
                <w:rFonts w:ascii="Times New Roman" w:hAnsi="Times New Roman"/>
              </w:rPr>
            </w:pPr>
            <w:r>
              <w:rPr>
                <w:rFonts w:ascii="Times New Roman" w:hAnsi="Times New Roman"/>
              </w:rPr>
              <w:t>潜水含水层</w:t>
            </w:r>
          </w:p>
        </w:tc>
        <w:tc>
          <w:tcPr>
            <w:tcW w:w="739" w:type="pct"/>
            <w:vAlign w:val="center"/>
          </w:tcPr>
          <w:p>
            <w:pPr>
              <w:widowControl/>
              <w:jc w:val="center"/>
              <w:rPr>
                <w:rFonts w:ascii="Times New Roman" w:hAnsi="Times New Roman"/>
              </w:rPr>
            </w:pPr>
            <w:r>
              <w:rPr>
                <w:rFonts w:ascii="Times New Roman" w:hAnsi="Times New Roman"/>
              </w:rPr>
              <w:t>水质、水位</w:t>
            </w:r>
          </w:p>
        </w:tc>
        <w:tc>
          <w:tcPr>
            <w:tcW w:w="739" w:type="pct"/>
            <w:vAlign w:val="center"/>
          </w:tcPr>
          <w:p>
            <w:pPr>
              <w:widowControl/>
              <w:spacing w:line="0" w:lineRule="atLeast"/>
              <w:jc w:val="center"/>
              <w:textAlignment w:val="center"/>
              <w:rPr>
                <w:rFonts w:ascii="Times New Roman" w:hAnsi="Times New Roman"/>
              </w:rPr>
            </w:pPr>
            <w:r>
              <w:rPr>
                <w:rFonts w:ascii="Times New Roman" w:hAnsi="Times New Roman"/>
              </w:rPr>
              <w:t>22</w:t>
            </w:r>
          </w:p>
        </w:tc>
        <w:tc>
          <w:tcPr>
            <w:tcW w:w="739" w:type="pct"/>
            <w:vAlign w:val="center"/>
          </w:tcPr>
          <w:p>
            <w:pPr>
              <w:widowControl/>
              <w:spacing w:line="0" w:lineRule="atLeast"/>
              <w:jc w:val="center"/>
              <w:textAlignment w:val="center"/>
              <w:rPr>
                <w:rFonts w:ascii="Times New Roman" w:hAnsi="Times New Roman"/>
              </w:rPr>
            </w:pPr>
            <w:r>
              <w:rPr>
                <w:rFonts w:ascii="Times New Roman" w:hAnsi="Times New Roman"/>
              </w:rPr>
              <w:t>200.43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 w:hRule="atLeast"/>
          <w:jc w:val="center"/>
        </w:trPr>
        <w:tc>
          <w:tcPr>
            <w:tcW w:w="562" w:type="pct"/>
            <w:vAlign w:val="center"/>
          </w:tcPr>
          <w:p>
            <w:pPr>
              <w:widowControl/>
              <w:jc w:val="center"/>
              <w:rPr>
                <w:rFonts w:ascii="Times New Roman" w:hAnsi="Times New Roman"/>
              </w:rPr>
            </w:pPr>
            <w:r>
              <w:rPr>
                <w:rFonts w:ascii="Times New Roman" w:hAnsi="Times New Roman"/>
              </w:rPr>
              <w:t>4#</w:t>
            </w:r>
          </w:p>
        </w:tc>
        <w:tc>
          <w:tcPr>
            <w:tcW w:w="740" w:type="pct"/>
          </w:tcPr>
          <w:p>
            <w:pPr>
              <w:widowControl/>
              <w:jc w:val="center"/>
              <w:rPr>
                <w:rFonts w:ascii="Times New Roman" w:hAnsi="Times New Roman"/>
              </w:rPr>
            </w:pPr>
            <w:r>
              <w:rPr>
                <w:rFonts w:hint="eastAsia" w:ascii="Times New Roman" w:hAnsi="Times New Roman"/>
              </w:rPr>
              <w:t>垃圾填埋场监测点</w:t>
            </w:r>
          </w:p>
        </w:tc>
        <w:tc>
          <w:tcPr>
            <w:tcW w:w="740" w:type="pct"/>
          </w:tcPr>
          <w:p>
            <w:pPr>
              <w:widowControl/>
              <w:jc w:val="center"/>
              <w:rPr>
                <w:rFonts w:ascii="Times New Roman" w:hAnsi="Times New Roman"/>
              </w:rPr>
            </w:pPr>
            <w:r>
              <w:rPr>
                <w:rFonts w:hint="eastAsia" w:ascii="Times New Roman" w:hAnsi="Times New Roman"/>
              </w:rPr>
              <w:t>跟踪监测水井</w:t>
            </w:r>
          </w:p>
        </w:tc>
        <w:tc>
          <w:tcPr>
            <w:tcW w:w="740" w:type="pct"/>
            <w:vAlign w:val="center"/>
          </w:tcPr>
          <w:p>
            <w:pPr>
              <w:widowControl/>
              <w:jc w:val="center"/>
              <w:rPr>
                <w:rFonts w:ascii="Times New Roman" w:hAnsi="Times New Roman"/>
              </w:rPr>
            </w:pPr>
            <w:r>
              <w:rPr>
                <w:rFonts w:ascii="Times New Roman" w:hAnsi="Times New Roman"/>
              </w:rPr>
              <w:t>潜水含水层</w:t>
            </w:r>
          </w:p>
        </w:tc>
        <w:tc>
          <w:tcPr>
            <w:tcW w:w="739" w:type="pct"/>
            <w:vAlign w:val="center"/>
          </w:tcPr>
          <w:p>
            <w:pPr>
              <w:widowControl/>
              <w:jc w:val="center"/>
              <w:rPr>
                <w:rFonts w:ascii="Times New Roman" w:hAnsi="Times New Roman"/>
              </w:rPr>
            </w:pPr>
            <w:r>
              <w:rPr>
                <w:rFonts w:ascii="Times New Roman" w:hAnsi="Times New Roman"/>
              </w:rPr>
              <w:t>水质、水位</w:t>
            </w:r>
          </w:p>
        </w:tc>
        <w:tc>
          <w:tcPr>
            <w:tcW w:w="739" w:type="pct"/>
            <w:vAlign w:val="center"/>
          </w:tcPr>
          <w:p>
            <w:pPr>
              <w:widowControl/>
              <w:spacing w:line="0" w:lineRule="atLeast"/>
              <w:jc w:val="center"/>
              <w:textAlignment w:val="center"/>
              <w:rPr>
                <w:rFonts w:ascii="Times New Roman" w:hAnsi="Times New Roman"/>
              </w:rPr>
            </w:pPr>
            <w:r>
              <w:rPr>
                <w:rFonts w:ascii="Times New Roman" w:hAnsi="Times New Roman"/>
              </w:rPr>
              <w:t>21</w:t>
            </w:r>
          </w:p>
        </w:tc>
        <w:tc>
          <w:tcPr>
            <w:tcW w:w="739" w:type="pct"/>
            <w:vAlign w:val="center"/>
          </w:tcPr>
          <w:p>
            <w:pPr>
              <w:widowControl/>
              <w:spacing w:line="0" w:lineRule="atLeast"/>
              <w:jc w:val="center"/>
              <w:textAlignment w:val="center"/>
              <w:rPr>
                <w:rFonts w:ascii="Times New Roman" w:hAnsi="Times New Roman"/>
              </w:rPr>
            </w:pPr>
            <w:r>
              <w:rPr>
                <w:rFonts w:ascii="Times New Roman" w:hAnsi="Times New Roman"/>
              </w:rPr>
              <w:t>180.66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2" w:type="pct"/>
            <w:vAlign w:val="center"/>
          </w:tcPr>
          <w:p>
            <w:pPr>
              <w:widowControl/>
              <w:jc w:val="center"/>
              <w:rPr>
                <w:rFonts w:ascii="Times New Roman" w:hAnsi="Times New Roman"/>
              </w:rPr>
            </w:pPr>
            <w:r>
              <w:rPr>
                <w:rFonts w:ascii="Times New Roman" w:hAnsi="Times New Roman"/>
              </w:rPr>
              <w:t>5#</w:t>
            </w:r>
          </w:p>
        </w:tc>
        <w:tc>
          <w:tcPr>
            <w:tcW w:w="740" w:type="pct"/>
          </w:tcPr>
          <w:p>
            <w:pPr>
              <w:widowControl/>
              <w:jc w:val="center"/>
              <w:rPr>
                <w:rFonts w:ascii="Times New Roman" w:hAnsi="Times New Roman"/>
              </w:rPr>
            </w:pPr>
            <w:r>
              <w:rPr>
                <w:rFonts w:hint="eastAsia" w:ascii="Times New Roman" w:hAnsi="Times New Roman"/>
              </w:rPr>
              <w:t>红星分散水源井</w:t>
            </w:r>
          </w:p>
        </w:tc>
        <w:tc>
          <w:tcPr>
            <w:tcW w:w="740" w:type="pct"/>
          </w:tcPr>
          <w:p>
            <w:pPr>
              <w:widowControl/>
              <w:jc w:val="center"/>
              <w:rPr>
                <w:rFonts w:ascii="Times New Roman" w:hAnsi="Times New Roman"/>
              </w:rPr>
            </w:pPr>
            <w:r>
              <w:rPr>
                <w:rFonts w:hint="eastAsia" w:ascii="Times New Roman" w:hAnsi="Times New Roman"/>
              </w:rPr>
              <w:t>红星饮用水水井</w:t>
            </w:r>
          </w:p>
        </w:tc>
        <w:tc>
          <w:tcPr>
            <w:tcW w:w="740" w:type="pct"/>
            <w:vAlign w:val="center"/>
          </w:tcPr>
          <w:p>
            <w:pPr>
              <w:widowControl/>
              <w:jc w:val="center"/>
              <w:rPr>
                <w:rFonts w:ascii="Times New Roman" w:hAnsi="Times New Roman"/>
              </w:rPr>
            </w:pPr>
            <w:r>
              <w:rPr>
                <w:rFonts w:ascii="Times New Roman" w:hAnsi="Times New Roman"/>
              </w:rPr>
              <w:t>承压水含水层</w:t>
            </w:r>
          </w:p>
        </w:tc>
        <w:tc>
          <w:tcPr>
            <w:tcW w:w="739" w:type="pct"/>
            <w:vAlign w:val="center"/>
          </w:tcPr>
          <w:p>
            <w:pPr>
              <w:widowControl/>
              <w:jc w:val="center"/>
              <w:rPr>
                <w:rFonts w:ascii="Times New Roman" w:hAnsi="Times New Roman"/>
              </w:rPr>
            </w:pPr>
            <w:r>
              <w:rPr>
                <w:rFonts w:ascii="Times New Roman" w:hAnsi="Times New Roman"/>
              </w:rPr>
              <w:t>水质、水位</w:t>
            </w:r>
          </w:p>
        </w:tc>
        <w:tc>
          <w:tcPr>
            <w:tcW w:w="739" w:type="pct"/>
            <w:vAlign w:val="center"/>
          </w:tcPr>
          <w:p>
            <w:pPr>
              <w:widowControl/>
              <w:spacing w:line="0" w:lineRule="atLeast"/>
              <w:jc w:val="center"/>
              <w:textAlignment w:val="center"/>
              <w:rPr>
                <w:rFonts w:ascii="Times New Roman" w:hAnsi="Times New Roman"/>
              </w:rPr>
            </w:pPr>
            <w:r>
              <w:rPr>
                <w:rFonts w:ascii="Times New Roman" w:hAnsi="Times New Roman"/>
              </w:rPr>
              <w:t>125</w:t>
            </w:r>
          </w:p>
        </w:tc>
        <w:tc>
          <w:tcPr>
            <w:tcW w:w="739" w:type="pct"/>
            <w:vAlign w:val="center"/>
          </w:tcPr>
          <w:p>
            <w:pPr>
              <w:widowControl/>
              <w:spacing w:line="0" w:lineRule="atLeast"/>
              <w:jc w:val="center"/>
              <w:textAlignment w:val="center"/>
              <w:rPr>
                <w:rFonts w:ascii="Times New Roman" w:hAnsi="Times New Roman"/>
              </w:rPr>
            </w:pPr>
            <w:r>
              <w:rPr>
                <w:rFonts w:ascii="Times New Roman" w:hAnsi="Times New Roman"/>
              </w:rPr>
              <w:t>155.08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2" w:type="pct"/>
            <w:vAlign w:val="center"/>
          </w:tcPr>
          <w:p>
            <w:pPr>
              <w:widowControl/>
              <w:jc w:val="center"/>
              <w:rPr>
                <w:rFonts w:ascii="Times New Roman" w:hAnsi="Times New Roman"/>
              </w:rPr>
            </w:pPr>
            <w:r>
              <w:rPr>
                <w:rFonts w:ascii="Times New Roman" w:hAnsi="Times New Roman"/>
              </w:rPr>
              <w:t>6#</w:t>
            </w:r>
          </w:p>
        </w:tc>
        <w:tc>
          <w:tcPr>
            <w:tcW w:w="740" w:type="pct"/>
          </w:tcPr>
          <w:p>
            <w:pPr>
              <w:widowControl/>
              <w:jc w:val="center"/>
              <w:rPr>
                <w:rFonts w:ascii="Times New Roman" w:hAnsi="Times New Roman"/>
              </w:rPr>
            </w:pPr>
            <w:r>
              <w:rPr>
                <w:rFonts w:hint="eastAsia" w:ascii="Times New Roman" w:hAnsi="Times New Roman"/>
              </w:rPr>
              <w:t>垃圾填埋场内水井</w:t>
            </w:r>
          </w:p>
        </w:tc>
        <w:tc>
          <w:tcPr>
            <w:tcW w:w="740" w:type="pct"/>
          </w:tcPr>
          <w:p>
            <w:pPr>
              <w:widowControl/>
              <w:jc w:val="center"/>
              <w:rPr>
                <w:rFonts w:ascii="Times New Roman" w:hAnsi="Times New Roman"/>
              </w:rPr>
            </w:pPr>
            <w:r>
              <w:rPr>
                <w:rFonts w:hint="eastAsia" w:ascii="Times New Roman" w:hAnsi="Times New Roman"/>
              </w:rPr>
              <w:t>垃圾焚烧场内生产用水来源</w:t>
            </w:r>
          </w:p>
        </w:tc>
        <w:tc>
          <w:tcPr>
            <w:tcW w:w="740" w:type="pct"/>
            <w:vAlign w:val="center"/>
          </w:tcPr>
          <w:p>
            <w:pPr>
              <w:widowControl/>
              <w:jc w:val="center"/>
              <w:rPr>
                <w:rFonts w:ascii="Times New Roman" w:hAnsi="Times New Roman"/>
              </w:rPr>
            </w:pPr>
            <w:r>
              <w:rPr>
                <w:rFonts w:ascii="Times New Roman" w:hAnsi="Times New Roman"/>
              </w:rPr>
              <w:t>承压水含水层</w:t>
            </w:r>
          </w:p>
        </w:tc>
        <w:tc>
          <w:tcPr>
            <w:tcW w:w="739" w:type="pct"/>
            <w:vAlign w:val="center"/>
          </w:tcPr>
          <w:p>
            <w:pPr>
              <w:widowControl/>
              <w:jc w:val="center"/>
              <w:rPr>
                <w:rFonts w:ascii="Times New Roman" w:hAnsi="Times New Roman"/>
              </w:rPr>
            </w:pPr>
            <w:r>
              <w:rPr>
                <w:rFonts w:ascii="Times New Roman" w:hAnsi="Times New Roman"/>
              </w:rPr>
              <w:t>水质、水位</w:t>
            </w:r>
          </w:p>
        </w:tc>
        <w:tc>
          <w:tcPr>
            <w:tcW w:w="739" w:type="pct"/>
            <w:vAlign w:val="center"/>
          </w:tcPr>
          <w:p>
            <w:pPr>
              <w:widowControl/>
              <w:spacing w:line="0" w:lineRule="atLeast"/>
              <w:jc w:val="center"/>
              <w:textAlignment w:val="center"/>
              <w:rPr>
                <w:rFonts w:ascii="Times New Roman" w:hAnsi="Times New Roman"/>
              </w:rPr>
            </w:pPr>
            <w:r>
              <w:rPr>
                <w:rFonts w:ascii="Times New Roman" w:hAnsi="Times New Roman"/>
              </w:rPr>
              <w:t>126</w:t>
            </w:r>
          </w:p>
        </w:tc>
        <w:tc>
          <w:tcPr>
            <w:tcW w:w="739" w:type="pct"/>
            <w:vAlign w:val="center"/>
          </w:tcPr>
          <w:p>
            <w:pPr>
              <w:widowControl/>
              <w:spacing w:line="0" w:lineRule="atLeast"/>
              <w:jc w:val="center"/>
              <w:textAlignment w:val="center"/>
              <w:rPr>
                <w:rFonts w:ascii="Times New Roman" w:hAnsi="Times New Roman"/>
              </w:rPr>
            </w:pPr>
            <w:r>
              <w:rPr>
                <w:rFonts w:ascii="Times New Roman" w:hAnsi="Times New Roman"/>
              </w:rPr>
              <w:t>210.19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2" w:type="pct"/>
            <w:vAlign w:val="center"/>
          </w:tcPr>
          <w:p>
            <w:pPr>
              <w:widowControl/>
              <w:jc w:val="center"/>
              <w:rPr>
                <w:rFonts w:ascii="Times New Roman" w:hAnsi="Times New Roman"/>
              </w:rPr>
            </w:pPr>
            <w:r>
              <w:rPr>
                <w:rFonts w:ascii="Times New Roman" w:hAnsi="Times New Roman"/>
              </w:rPr>
              <w:t>7#</w:t>
            </w:r>
          </w:p>
        </w:tc>
        <w:tc>
          <w:tcPr>
            <w:tcW w:w="740" w:type="pct"/>
          </w:tcPr>
          <w:p>
            <w:pPr>
              <w:widowControl/>
              <w:jc w:val="center"/>
              <w:rPr>
                <w:rFonts w:ascii="Times New Roman" w:hAnsi="Times New Roman"/>
              </w:rPr>
            </w:pPr>
            <w:r>
              <w:rPr>
                <w:rFonts w:hint="eastAsia" w:ascii="Times New Roman" w:hAnsi="Times New Roman"/>
              </w:rPr>
              <w:t>红星分散水源井</w:t>
            </w:r>
          </w:p>
        </w:tc>
        <w:tc>
          <w:tcPr>
            <w:tcW w:w="740" w:type="pct"/>
          </w:tcPr>
          <w:p>
            <w:pPr>
              <w:widowControl/>
              <w:jc w:val="center"/>
              <w:rPr>
                <w:rFonts w:ascii="Times New Roman" w:hAnsi="Times New Roman"/>
              </w:rPr>
            </w:pPr>
            <w:r>
              <w:rPr>
                <w:rFonts w:hint="eastAsia" w:ascii="Times New Roman" w:hAnsi="Times New Roman"/>
              </w:rPr>
              <w:t>红星饮用水水井</w:t>
            </w:r>
          </w:p>
        </w:tc>
        <w:tc>
          <w:tcPr>
            <w:tcW w:w="740" w:type="pct"/>
            <w:vAlign w:val="center"/>
          </w:tcPr>
          <w:p>
            <w:pPr>
              <w:widowControl/>
              <w:jc w:val="center"/>
              <w:rPr>
                <w:rFonts w:ascii="Times New Roman" w:hAnsi="Times New Roman"/>
              </w:rPr>
            </w:pPr>
            <w:r>
              <w:rPr>
                <w:rFonts w:ascii="Times New Roman" w:hAnsi="Times New Roman"/>
              </w:rPr>
              <w:t>潜水含水层</w:t>
            </w:r>
          </w:p>
        </w:tc>
        <w:tc>
          <w:tcPr>
            <w:tcW w:w="739" w:type="pct"/>
            <w:vAlign w:val="center"/>
          </w:tcPr>
          <w:p>
            <w:pPr>
              <w:widowControl/>
              <w:jc w:val="center"/>
              <w:rPr>
                <w:rFonts w:ascii="Times New Roman" w:hAnsi="Times New Roman"/>
              </w:rPr>
            </w:pPr>
            <w:r>
              <w:rPr>
                <w:rFonts w:ascii="Times New Roman" w:hAnsi="Times New Roman"/>
              </w:rPr>
              <w:t>水质、水位</w:t>
            </w:r>
          </w:p>
        </w:tc>
        <w:tc>
          <w:tcPr>
            <w:tcW w:w="739" w:type="pct"/>
            <w:vAlign w:val="center"/>
          </w:tcPr>
          <w:p>
            <w:pPr>
              <w:widowControl/>
              <w:spacing w:line="0" w:lineRule="atLeast"/>
              <w:jc w:val="center"/>
              <w:textAlignment w:val="center"/>
              <w:rPr>
                <w:rFonts w:ascii="Times New Roman" w:hAnsi="Times New Roman"/>
              </w:rPr>
            </w:pPr>
            <w:r>
              <w:rPr>
                <w:rFonts w:ascii="Times New Roman" w:hAnsi="Times New Roman"/>
              </w:rPr>
              <w:t>23</w:t>
            </w:r>
          </w:p>
        </w:tc>
        <w:tc>
          <w:tcPr>
            <w:tcW w:w="739" w:type="pct"/>
            <w:vAlign w:val="center"/>
          </w:tcPr>
          <w:p>
            <w:pPr>
              <w:widowControl/>
              <w:spacing w:line="0" w:lineRule="atLeast"/>
              <w:jc w:val="center"/>
              <w:textAlignment w:val="center"/>
              <w:rPr>
                <w:rFonts w:ascii="Times New Roman" w:hAnsi="Times New Roman"/>
              </w:rPr>
            </w:pPr>
            <w:r>
              <w:rPr>
                <w:rFonts w:ascii="Times New Roman" w:hAnsi="Times New Roman"/>
              </w:rPr>
              <w:t>175.05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62" w:type="pct"/>
            <w:vAlign w:val="center"/>
          </w:tcPr>
          <w:p>
            <w:pPr>
              <w:widowControl/>
              <w:jc w:val="center"/>
              <w:rPr>
                <w:rFonts w:ascii="Times New Roman" w:hAnsi="Times New Roman"/>
              </w:rPr>
            </w:pPr>
            <w:r>
              <w:rPr>
                <w:rFonts w:ascii="Times New Roman" w:hAnsi="Times New Roman"/>
              </w:rPr>
              <w:t>8#</w:t>
            </w:r>
          </w:p>
        </w:tc>
        <w:tc>
          <w:tcPr>
            <w:tcW w:w="740" w:type="pct"/>
          </w:tcPr>
          <w:p>
            <w:pPr>
              <w:widowControl/>
              <w:jc w:val="center"/>
              <w:rPr>
                <w:rFonts w:ascii="Times New Roman" w:hAnsi="Times New Roman"/>
              </w:rPr>
            </w:pPr>
            <w:r>
              <w:rPr>
                <w:rFonts w:hint="eastAsia" w:ascii="Times New Roman" w:hAnsi="Times New Roman"/>
              </w:rPr>
              <w:t>垃圾填埋场监测点</w:t>
            </w:r>
          </w:p>
        </w:tc>
        <w:tc>
          <w:tcPr>
            <w:tcW w:w="740" w:type="pct"/>
          </w:tcPr>
          <w:p>
            <w:pPr>
              <w:widowControl/>
              <w:jc w:val="center"/>
              <w:rPr>
                <w:rFonts w:ascii="Times New Roman" w:hAnsi="Times New Roman"/>
              </w:rPr>
            </w:pPr>
            <w:r>
              <w:rPr>
                <w:rFonts w:hint="eastAsia" w:ascii="Times New Roman" w:hAnsi="Times New Roman"/>
              </w:rPr>
              <w:t>跟踪监测水井</w:t>
            </w:r>
          </w:p>
        </w:tc>
        <w:tc>
          <w:tcPr>
            <w:tcW w:w="740" w:type="pct"/>
          </w:tcPr>
          <w:p>
            <w:pPr>
              <w:widowControl/>
              <w:jc w:val="center"/>
              <w:rPr>
                <w:rFonts w:ascii="Times New Roman" w:hAnsi="Times New Roman"/>
              </w:rPr>
            </w:pPr>
            <w:r>
              <w:rPr>
                <w:rFonts w:ascii="Times New Roman" w:hAnsi="Times New Roman"/>
              </w:rPr>
              <w:t>承压水含水层</w:t>
            </w:r>
          </w:p>
        </w:tc>
        <w:tc>
          <w:tcPr>
            <w:tcW w:w="739" w:type="pct"/>
            <w:vAlign w:val="center"/>
          </w:tcPr>
          <w:p>
            <w:pPr>
              <w:widowControl/>
              <w:jc w:val="center"/>
              <w:rPr>
                <w:rFonts w:ascii="Times New Roman" w:hAnsi="Times New Roman"/>
              </w:rPr>
            </w:pPr>
            <w:r>
              <w:rPr>
                <w:rFonts w:ascii="Times New Roman" w:hAnsi="Times New Roman"/>
              </w:rPr>
              <w:t>水位</w:t>
            </w:r>
          </w:p>
        </w:tc>
        <w:tc>
          <w:tcPr>
            <w:tcW w:w="739" w:type="pct"/>
            <w:vAlign w:val="center"/>
          </w:tcPr>
          <w:p>
            <w:pPr>
              <w:widowControl/>
              <w:spacing w:line="0" w:lineRule="atLeast"/>
              <w:jc w:val="center"/>
              <w:textAlignment w:val="center"/>
              <w:rPr>
                <w:rFonts w:ascii="Times New Roman" w:hAnsi="Times New Roman"/>
              </w:rPr>
            </w:pPr>
            <w:r>
              <w:rPr>
                <w:rFonts w:ascii="Times New Roman" w:hAnsi="Times New Roman"/>
              </w:rPr>
              <w:t>122</w:t>
            </w:r>
          </w:p>
        </w:tc>
        <w:tc>
          <w:tcPr>
            <w:tcW w:w="739" w:type="pct"/>
            <w:vAlign w:val="center"/>
          </w:tcPr>
          <w:p>
            <w:pPr>
              <w:widowControl/>
              <w:spacing w:line="0" w:lineRule="atLeast"/>
              <w:jc w:val="center"/>
              <w:textAlignment w:val="center"/>
              <w:rPr>
                <w:rFonts w:ascii="Times New Roman" w:hAnsi="Times New Roman"/>
              </w:rPr>
            </w:pPr>
            <w:r>
              <w:rPr>
                <w:rFonts w:ascii="Times New Roman" w:hAnsi="Times New Roman"/>
              </w:rPr>
              <w:t>206.74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62" w:type="pct"/>
            <w:vAlign w:val="center"/>
          </w:tcPr>
          <w:p>
            <w:pPr>
              <w:widowControl/>
              <w:jc w:val="center"/>
              <w:rPr>
                <w:rFonts w:ascii="Times New Roman" w:hAnsi="Times New Roman"/>
              </w:rPr>
            </w:pPr>
            <w:r>
              <w:rPr>
                <w:rFonts w:ascii="Times New Roman" w:hAnsi="Times New Roman"/>
              </w:rPr>
              <w:t>9#</w:t>
            </w:r>
          </w:p>
        </w:tc>
        <w:tc>
          <w:tcPr>
            <w:tcW w:w="740" w:type="pct"/>
          </w:tcPr>
          <w:p>
            <w:pPr>
              <w:widowControl/>
              <w:jc w:val="center"/>
              <w:rPr>
                <w:rFonts w:ascii="Times New Roman" w:hAnsi="Times New Roman"/>
              </w:rPr>
            </w:pPr>
            <w:r>
              <w:rPr>
                <w:rFonts w:hint="eastAsia" w:ascii="Times New Roman" w:hAnsi="Times New Roman"/>
              </w:rPr>
              <w:t>生活区水源井</w:t>
            </w:r>
          </w:p>
        </w:tc>
        <w:tc>
          <w:tcPr>
            <w:tcW w:w="740" w:type="pct"/>
          </w:tcPr>
          <w:p>
            <w:pPr>
              <w:widowControl/>
              <w:jc w:val="center"/>
              <w:rPr>
                <w:rFonts w:ascii="Times New Roman" w:hAnsi="Times New Roman"/>
              </w:rPr>
            </w:pPr>
            <w:r>
              <w:rPr>
                <w:rFonts w:hint="eastAsia" w:ascii="Times New Roman" w:hAnsi="Times New Roman"/>
              </w:rPr>
              <w:t>生活区饮用水水井</w:t>
            </w:r>
          </w:p>
        </w:tc>
        <w:tc>
          <w:tcPr>
            <w:tcW w:w="740" w:type="pct"/>
          </w:tcPr>
          <w:p>
            <w:pPr>
              <w:widowControl/>
              <w:jc w:val="center"/>
              <w:rPr>
                <w:rFonts w:ascii="Times New Roman" w:hAnsi="Times New Roman"/>
              </w:rPr>
            </w:pPr>
            <w:r>
              <w:rPr>
                <w:rFonts w:ascii="Times New Roman" w:hAnsi="Times New Roman"/>
              </w:rPr>
              <w:t>承压水含水层</w:t>
            </w:r>
          </w:p>
        </w:tc>
        <w:tc>
          <w:tcPr>
            <w:tcW w:w="739" w:type="pct"/>
            <w:vAlign w:val="center"/>
          </w:tcPr>
          <w:p>
            <w:pPr>
              <w:widowControl/>
              <w:jc w:val="center"/>
              <w:rPr>
                <w:rFonts w:ascii="Times New Roman" w:hAnsi="Times New Roman"/>
              </w:rPr>
            </w:pPr>
            <w:r>
              <w:rPr>
                <w:rFonts w:ascii="Times New Roman" w:hAnsi="Times New Roman"/>
              </w:rPr>
              <w:t>水位</w:t>
            </w:r>
          </w:p>
        </w:tc>
        <w:tc>
          <w:tcPr>
            <w:tcW w:w="739" w:type="pct"/>
            <w:vAlign w:val="center"/>
          </w:tcPr>
          <w:p>
            <w:pPr>
              <w:widowControl/>
              <w:spacing w:line="0" w:lineRule="atLeast"/>
              <w:jc w:val="center"/>
              <w:textAlignment w:val="center"/>
              <w:rPr>
                <w:rFonts w:ascii="Times New Roman" w:hAnsi="Times New Roman"/>
              </w:rPr>
            </w:pPr>
            <w:r>
              <w:rPr>
                <w:rFonts w:ascii="Times New Roman" w:hAnsi="Times New Roman"/>
              </w:rPr>
              <w:t>128</w:t>
            </w:r>
          </w:p>
        </w:tc>
        <w:tc>
          <w:tcPr>
            <w:tcW w:w="739" w:type="pct"/>
            <w:vAlign w:val="center"/>
          </w:tcPr>
          <w:p>
            <w:pPr>
              <w:widowControl/>
              <w:spacing w:line="0" w:lineRule="atLeast"/>
              <w:jc w:val="center"/>
              <w:textAlignment w:val="center"/>
              <w:rPr>
                <w:rFonts w:ascii="Times New Roman" w:hAnsi="Times New Roman"/>
              </w:rPr>
            </w:pPr>
            <w:r>
              <w:rPr>
                <w:rFonts w:ascii="Times New Roman" w:hAnsi="Times New Roman"/>
              </w:rPr>
              <w:t>210.03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2" w:type="pct"/>
            <w:vAlign w:val="center"/>
          </w:tcPr>
          <w:p>
            <w:pPr>
              <w:widowControl/>
              <w:jc w:val="center"/>
              <w:rPr>
                <w:rFonts w:ascii="Times New Roman" w:hAnsi="Times New Roman"/>
              </w:rPr>
            </w:pPr>
            <w:r>
              <w:rPr>
                <w:rFonts w:ascii="Times New Roman" w:hAnsi="Times New Roman"/>
              </w:rPr>
              <w:t>10#</w:t>
            </w:r>
          </w:p>
        </w:tc>
        <w:tc>
          <w:tcPr>
            <w:tcW w:w="740" w:type="pct"/>
          </w:tcPr>
          <w:p>
            <w:pPr>
              <w:widowControl/>
              <w:jc w:val="center"/>
              <w:rPr>
                <w:rFonts w:ascii="Times New Roman" w:hAnsi="Times New Roman"/>
              </w:rPr>
            </w:pPr>
            <w:r>
              <w:rPr>
                <w:rFonts w:hint="eastAsia" w:ascii="Times New Roman" w:hAnsi="Times New Roman"/>
              </w:rPr>
              <w:t>灌溉水井</w:t>
            </w:r>
          </w:p>
        </w:tc>
        <w:tc>
          <w:tcPr>
            <w:tcW w:w="740" w:type="pct"/>
          </w:tcPr>
          <w:p>
            <w:pPr>
              <w:widowControl/>
              <w:jc w:val="center"/>
              <w:rPr>
                <w:rFonts w:ascii="Times New Roman" w:hAnsi="Times New Roman"/>
              </w:rPr>
            </w:pPr>
            <w:r>
              <w:rPr>
                <w:rFonts w:hint="eastAsia" w:ascii="Times New Roman" w:hAnsi="Times New Roman"/>
              </w:rPr>
              <w:t>农田灌溉水井</w:t>
            </w:r>
          </w:p>
        </w:tc>
        <w:tc>
          <w:tcPr>
            <w:tcW w:w="740" w:type="pct"/>
            <w:vAlign w:val="center"/>
          </w:tcPr>
          <w:p>
            <w:pPr>
              <w:widowControl/>
              <w:jc w:val="center"/>
              <w:rPr>
                <w:rFonts w:ascii="Times New Roman" w:hAnsi="Times New Roman"/>
              </w:rPr>
            </w:pPr>
            <w:r>
              <w:rPr>
                <w:rFonts w:ascii="Times New Roman" w:hAnsi="Times New Roman"/>
              </w:rPr>
              <w:t>潜水含水层</w:t>
            </w:r>
          </w:p>
        </w:tc>
        <w:tc>
          <w:tcPr>
            <w:tcW w:w="739" w:type="pct"/>
            <w:vAlign w:val="center"/>
          </w:tcPr>
          <w:p>
            <w:pPr>
              <w:widowControl/>
              <w:jc w:val="center"/>
              <w:rPr>
                <w:rFonts w:ascii="Times New Roman" w:hAnsi="Times New Roman"/>
              </w:rPr>
            </w:pPr>
            <w:r>
              <w:rPr>
                <w:rFonts w:ascii="Times New Roman" w:hAnsi="Times New Roman"/>
              </w:rPr>
              <w:t>水位</w:t>
            </w:r>
          </w:p>
        </w:tc>
        <w:tc>
          <w:tcPr>
            <w:tcW w:w="739" w:type="pct"/>
            <w:vAlign w:val="center"/>
          </w:tcPr>
          <w:p>
            <w:pPr>
              <w:widowControl/>
              <w:spacing w:line="0" w:lineRule="atLeast"/>
              <w:jc w:val="center"/>
              <w:textAlignment w:val="center"/>
              <w:rPr>
                <w:rFonts w:ascii="Times New Roman" w:hAnsi="Times New Roman"/>
              </w:rPr>
            </w:pPr>
            <w:r>
              <w:rPr>
                <w:rFonts w:ascii="Times New Roman" w:hAnsi="Times New Roman"/>
              </w:rPr>
              <w:t>26</w:t>
            </w:r>
          </w:p>
        </w:tc>
        <w:tc>
          <w:tcPr>
            <w:tcW w:w="739" w:type="pct"/>
            <w:vAlign w:val="center"/>
          </w:tcPr>
          <w:p>
            <w:pPr>
              <w:widowControl/>
              <w:spacing w:line="0" w:lineRule="atLeast"/>
              <w:jc w:val="center"/>
              <w:textAlignment w:val="center"/>
              <w:rPr>
                <w:rFonts w:ascii="Times New Roman" w:hAnsi="Times New Roman"/>
              </w:rPr>
            </w:pPr>
            <w:r>
              <w:rPr>
                <w:rFonts w:ascii="Times New Roman" w:hAnsi="Times New Roman"/>
              </w:rPr>
              <w:t>180.10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562" w:type="pct"/>
            <w:vAlign w:val="center"/>
          </w:tcPr>
          <w:p>
            <w:pPr>
              <w:widowControl/>
              <w:jc w:val="center"/>
              <w:rPr>
                <w:rFonts w:ascii="Times New Roman" w:hAnsi="Times New Roman"/>
              </w:rPr>
            </w:pPr>
            <w:r>
              <w:rPr>
                <w:rFonts w:ascii="Times New Roman" w:hAnsi="Times New Roman"/>
              </w:rPr>
              <w:t>11#</w:t>
            </w:r>
          </w:p>
        </w:tc>
        <w:tc>
          <w:tcPr>
            <w:tcW w:w="740" w:type="pct"/>
          </w:tcPr>
          <w:p>
            <w:pPr>
              <w:widowControl/>
              <w:jc w:val="center"/>
              <w:rPr>
                <w:rFonts w:ascii="Times New Roman" w:hAnsi="Times New Roman"/>
              </w:rPr>
            </w:pPr>
            <w:r>
              <w:rPr>
                <w:rFonts w:hint="eastAsia" w:ascii="Times New Roman" w:hAnsi="Times New Roman"/>
              </w:rPr>
              <w:t>灌溉水井</w:t>
            </w:r>
          </w:p>
        </w:tc>
        <w:tc>
          <w:tcPr>
            <w:tcW w:w="740" w:type="pct"/>
          </w:tcPr>
          <w:p>
            <w:pPr>
              <w:widowControl/>
              <w:jc w:val="center"/>
              <w:rPr>
                <w:rFonts w:ascii="Times New Roman" w:hAnsi="Times New Roman"/>
              </w:rPr>
            </w:pPr>
            <w:r>
              <w:rPr>
                <w:rFonts w:hint="eastAsia" w:ascii="Times New Roman" w:hAnsi="Times New Roman"/>
              </w:rPr>
              <w:t>农田灌溉水井</w:t>
            </w:r>
          </w:p>
        </w:tc>
        <w:tc>
          <w:tcPr>
            <w:tcW w:w="740" w:type="pct"/>
            <w:vAlign w:val="center"/>
          </w:tcPr>
          <w:p>
            <w:pPr>
              <w:widowControl/>
              <w:jc w:val="center"/>
              <w:rPr>
                <w:rFonts w:ascii="Times New Roman" w:hAnsi="Times New Roman"/>
              </w:rPr>
            </w:pPr>
            <w:r>
              <w:rPr>
                <w:rFonts w:ascii="Times New Roman" w:hAnsi="Times New Roman"/>
              </w:rPr>
              <w:t>潜水含水层</w:t>
            </w:r>
          </w:p>
        </w:tc>
        <w:tc>
          <w:tcPr>
            <w:tcW w:w="739" w:type="pct"/>
            <w:vAlign w:val="center"/>
          </w:tcPr>
          <w:p>
            <w:pPr>
              <w:widowControl/>
              <w:jc w:val="center"/>
              <w:rPr>
                <w:rFonts w:ascii="Times New Roman" w:hAnsi="Times New Roman"/>
              </w:rPr>
            </w:pPr>
            <w:r>
              <w:rPr>
                <w:rFonts w:ascii="Times New Roman" w:hAnsi="Times New Roman"/>
              </w:rPr>
              <w:t>水位</w:t>
            </w:r>
          </w:p>
        </w:tc>
        <w:tc>
          <w:tcPr>
            <w:tcW w:w="739" w:type="pct"/>
            <w:vAlign w:val="center"/>
          </w:tcPr>
          <w:p>
            <w:pPr>
              <w:widowControl/>
              <w:spacing w:line="0" w:lineRule="atLeast"/>
              <w:jc w:val="center"/>
              <w:textAlignment w:val="center"/>
              <w:rPr>
                <w:rFonts w:ascii="Times New Roman" w:hAnsi="Times New Roman"/>
              </w:rPr>
            </w:pPr>
            <w:r>
              <w:rPr>
                <w:rFonts w:ascii="Times New Roman" w:hAnsi="Times New Roman"/>
              </w:rPr>
              <w:t>29</w:t>
            </w:r>
          </w:p>
        </w:tc>
        <w:tc>
          <w:tcPr>
            <w:tcW w:w="739" w:type="pct"/>
            <w:vAlign w:val="center"/>
          </w:tcPr>
          <w:p>
            <w:pPr>
              <w:widowControl/>
              <w:spacing w:line="0" w:lineRule="atLeast"/>
              <w:jc w:val="center"/>
              <w:textAlignment w:val="center"/>
              <w:rPr>
                <w:rFonts w:ascii="Times New Roman" w:hAnsi="Times New Roman"/>
              </w:rPr>
            </w:pPr>
            <w:r>
              <w:rPr>
                <w:rFonts w:ascii="Times New Roman" w:hAnsi="Times New Roman"/>
              </w:rPr>
              <w:t>200.22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562" w:type="pct"/>
            <w:vAlign w:val="center"/>
          </w:tcPr>
          <w:p>
            <w:pPr>
              <w:widowControl/>
              <w:jc w:val="center"/>
              <w:rPr>
                <w:rFonts w:ascii="Times New Roman" w:hAnsi="Times New Roman"/>
              </w:rPr>
            </w:pPr>
            <w:r>
              <w:rPr>
                <w:rFonts w:ascii="Times New Roman" w:hAnsi="Times New Roman"/>
              </w:rPr>
              <w:t>12#</w:t>
            </w:r>
          </w:p>
        </w:tc>
        <w:tc>
          <w:tcPr>
            <w:tcW w:w="740" w:type="pct"/>
          </w:tcPr>
          <w:p>
            <w:pPr>
              <w:widowControl/>
              <w:jc w:val="center"/>
              <w:rPr>
                <w:rFonts w:ascii="Times New Roman" w:hAnsi="Times New Roman"/>
              </w:rPr>
            </w:pPr>
            <w:r>
              <w:rPr>
                <w:rFonts w:hint="eastAsia" w:ascii="Times New Roman" w:hAnsi="Times New Roman"/>
              </w:rPr>
              <w:t>厂区生产水井</w:t>
            </w:r>
          </w:p>
        </w:tc>
        <w:tc>
          <w:tcPr>
            <w:tcW w:w="740" w:type="pct"/>
          </w:tcPr>
          <w:p>
            <w:pPr>
              <w:widowControl/>
              <w:jc w:val="center"/>
              <w:rPr>
                <w:rFonts w:ascii="Times New Roman" w:hAnsi="Times New Roman"/>
              </w:rPr>
            </w:pPr>
            <w:r>
              <w:rPr>
                <w:rFonts w:hint="eastAsia" w:ascii="Times New Roman" w:hAnsi="Times New Roman"/>
              </w:rPr>
              <w:t>厂区生产供水水井</w:t>
            </w:r>
          </w:p>
        </w:tc>
        <w:tc>
          <w:tcPr>
            <w:tcW w:w="740" w:type="pct"/>
            <w:vAlign w:val="center"/>
          </w:tcPr>
          <w:p>
            <w:pPr>
              <w:widowControl/>
              <w:jc w:val="center"/>
              <w:rPr>
                <w:rFonts w:ascii="Times New Roman" w:hAnsi="Times New Roman"/>
              </w:rPr>
            </w:pPr>
            <w:r>
              <w:rPr>
                <w:rFonts w:ascii="Times New Roman" w:hAnsi="Times New Roman"/>
              </w:rPr>
              <w:t>潜水含水层</w:t>
            </w:r>
          </w:p>
        </w:tc>
        <w:tc>
          <w:tcPr>
            <w:tcW w:w="739" w:type="pct"/>
            <w:vAlign w:val="center"/>
          </w:tcPr>
          <w:p>
            <w:pPr>
              <w:widowControl/>
              <w:jc w:val="center"/>
              <w:rPr>
                <w:rFonts w:ascii="Times New Roman" w:hAnsi="Times New Roman"/>
              </w:rPr>
            </w:pPr>
            <w:r>
              <w:rPr>
                <w:rFonts w:ascii="Times New Roman" w:hAnsi="Times New Roman"/>
              </w:rPr>
              <w:t>水位</w:t>
            </w:r>
          </w:p>
        </w:tc>
        <w:tc>
          <w:tcPr>
            <w:tcW w:w="739" w:type="pct"/>
            <w:vAlign w:val="center"/>
          </w:tcPr>
          <w:p>
            <w:pPr>
              <w:widowControl/>
              <w:spacing w:line="0" w:lineRule="atLeast"/>
              <w:jc w:val="center"/>
              <w:textAlignment w:val="center"/>
              <w:rPr>
                <w:rFonts w:ascii="Times New Roman" w:hAnsi="Times New Roman"/>
              </w:rPr>
            </w:pPr>
            <w:r>
              <w:rPr>
                <w:rFonts w:ascii="Times New Roman" w:hAnsi="Times New Roman"/>
              </w:rPr>
              <w:t>21</w:t>
            </w:r>
          </w:p>
        </w:tc>
        <w:tc>
          <w:tcPr>
            <w:tcW w:w="739" w:type="pct"/>
            <w:vAlign w:val="center"/>
          </w:tcPr>
          <w:p>
            <w:pPr>
              <w:widowControl/>
              <w:spacing w:line="0" w:lineRule="atLeast"/>
              <w:jc w:val="center"/>
              <w:textAlignment w:val="center"/>
              <w:rPr>
                <w:rFonts w:ascii="Times New Roman" w:hAnsi="Times New Roman"/>
              </w:rPr>
            </w:pPr>
            <w:r>
              <w:rPr>
                <w:rFonts w:ascii="Times New Roman" w:hAnsi="Times New Roman"/>
              </w:rPr>
              <w:t>210.30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2" w:type="pct"/>
            <w:vAlign w:val="center"/>
          </w:tcPr>
          <w:p>
            <w:pPr>
              <w:widowControl/>
              <w:jc w:val="center"/>
              <w:rPr>
                <w:rFonts w:ascii="Times New Roman" w:hAnsi="Times New Roman"/>
              </w:rPr>
            </w:pPr>
            <w:r>
              <w:rPr>
                <w:rFonts w:ascii="Times New Roman" w:hAnsi="Times New Roman"/>
              </w:rPr>
              <w:t>13#</w:t>
            </w:r>
          </w:p>
        </w:tc>
        <w:tc>
          <w:tcPr>
            <w:tcW w:w="740" w:type="pct"/>
          </w:tcPr>
          <w:p>
            <w:pPr>
              <w:widowControl/>
              <w:jc w:val="center"/>
              <w:rPr>
                <w:rFonts w:ascii="Times New Roman" w:hAnsi="Times New Roman"/>
              </w:rPr>
            </w:pPr>
            <w:r>
              <w:rPr>
                <w:rFonts w:hint="eastAsia" w:ascii="Times New Roman" w:hAnsi="Times New Roman"/>
              </w:rPr>
              <w:t>灌溉水井</w:t>
            </w:r>
          </w:p>
        </w:tc>
        <w:tc>
          <w:tcPr>
            <w:tcW w:w="740" w:type="pct"/>
          </w:tcPr>
          <w:p>
            <w:pPr>
              <w:widowControl/>
              <w:jc w:val="center"/>
              <w:rPr>
                <w:rFonts w:ascii="Times New Roman" w:hAnsi="Times New Roman"/>
              </w:rPr>
            </w:pPr>
            <w:r>
              <w:rPr>
                <w:rFonts w:hint="eastAsia" w:ascii="Times New Roman" w:hAnsi="Times New Roman"/>
              </w:rPr>
              <w:t>农田灌溉水井</w:t>
            </w:r>
          </w:p>
        </w:tc>
        <w:tc>
          <w:tcPr>
            <w:tcW w:w="740" w:type="pct"/>
            <w:vAlign w:val="center"/>
          </w:tcPr>
          <w:p>
            <w:pPr>
              <w:widowControl/>
              <w:jc w:val="center"/>
              <w:rPr>
                <w:rFonts w:ascii="Times New Roman" w:hAnsi="Times New Roman"/>
              </w:rPr>
            </w:pPr>
            <w:r>
              <w:rPr>
                <w:rFonts w:ascii="Times New Roman" w:hAnsi="Times New Roman"/>
              </w:rPr>
              <w:t>潜水含水层</w:t>
            </w:r>
          </w:p>
        </w:tc>
        <w:tc>
          <w:tcPr>
            <w:tcW w:w="739" w:type="pct"/>
            <w:vAlign w:val="center"/>
          </w:tcPr>
          <w:p>
            <w:pPr>
              <w:widowControl/>
              <w:jc w:val="center"/>
              <w:rPr>
                <w:rFonts w:ascii="Times New Roman" w:hAnsi="Times New Roman"/>
              </w:rPr>
            </w:pPr>
            <w:r>
              <w:rPr>
                <w:rFonts w:ascii="Times New Roman" w:hAnsi="Times New Roman"/>
              </w:rPr>
              <w:t>水位</w:t>
            </w:r>
          </w:p>
        </w:tc>
        <w:tc>
          <w:tcPr>
            <w:tcW w:w="739" w:type="pct"/>
            <w:vAlign w:val="center"/>
          </w:tcPr>
          <w:p>
            <w:pPr>
              <w:widowControl/>
              <w:spacing w:line="0" w:lineRule="atLeast"/>
              <w:jc w:val="center"/>
              <w:textAlignment w:val="center"/>
              <w:rPr>
                <w:rFonts w:ascii="Times New Roman" w:hAnsi="Times New Roman"/>
              </w:rPr>
            </w:pPr>
            <w:r>
              <w:rPr>
                <w:rFonts w:ascii="Times New Roman" w:hAnsi="Times New Roman"/>
              </w:rPr>
              <w:t>25</w:t>
            </w:r>
          </w:p>
        </w:tc>
        <w:tc>
          <w:tcPr>
            <w:tcW w:w="739" w:type="pct"/>
            <w:vAlign w:val="center"/>
          </w:tcPr>
          <w:p>
            <w:pPr>
              <w:widowControl/>
              <w:spacing w:line="0" w:lineRule="atLeast"/>
              <w:jc w:val="center"/>
              <w:textAlignment w:val="center"/>
              <w:rPr>
                <w:rFonts w:ascii="Times New Roman" w:hAnsi="Times New Roman"/>
              </w:rPr>
            </w:pPr>
            <w:r>
              <w:rPr>
                <w:rFonts w:ascii="Times New Roman" w:hAnsi="Times New Roman"/>
              </w:rPr>
              <w:t>190.67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2" w:type="pct"/>
            <w:vAlign w:val="center"/>
          </w:tcPr>
          <w:p>
            <w:pPr>
              <w:widowControl/>
              <w:jc w:val="center"/>
              <w:rPr>
                <w:rFonts w:ascii="Times New Roman" w:hAnsi="Times New Roman"/>
              </w:rPr>
            </w:pPr>
            <w:r>
              <w:rPr>
                <w:rFonts w:ascii="Times New Roman" w:hAnsi="Times New Roman"/>
              </w:rPr>
              <w:t>14#</w:t>
            </w:r>
          </w:p>
        </w:tc>
        <w:tc>
          <w:tcPr>
            <w:tcW w:w="740" w:type="pct"/>
          </w:tcPr>
          <w:p>
            <w:pPr>
              <w:widowControl/>
              <w:jc w:val="center"/>
              <w:rPr>
                <w:rFonts w:ascii="Times New Roman" w:hAnsi="Times New Roman"/>
              </w:rPr>
            </w:pPr>
            <w:r>
              <w:rPr>
                <w:rFonts w:hint="eastAsia" w:ascii="Times New Roman" w:hAnsi="Times New Roman"/>
              </w:rPr>
              <w:t>灌溉水井</w:t>
            </w:r>
          </w:p>
        </w:tc>
        <w:tc>
          <w:tcPr>
            <w:tcW w:w="740" w:type="pct"/>
          </w:tcPr>
          <w:p>
            <w:pPr>
              <w:widowControl/>
              <w:jc w:val="center"/>
              <w:rPr>
                <w:rFonts w:ascii="Times New Roman" w:hAnsi="Times New Roman"/>
              </w:rPr>
            </w:pPr>
            <w:r>
              <w:rPr>
                <w:rFonts w:hint="eastAsia" w:ascii="Times New Roman" w:hAnsi="Times New Roman"/>
              </w:rPr>
              <w:t>农田灌溉水井</w:t>
            </w:r>
          </w:p>
        </w:tc>
        <w:tc>
          <w:tcPr>
            <w:tcW w:w="740" w:type="pct"/>
            <w:vAlign w:val="center"/>
          </w:tcPr>
          <w:p>
            <w:pPr>
              <w:widowControl/>
              <w:jc w:val="center"/>
              <w:rPr>
                <w:rFonts w:ascii="Times New Roman" w:hAnsi="Times New Roman"/>
              </w:rPr>
            </w:pPr>
            <w:r>
              <w:rPr>
                <w:rFonts w:ascii="Times New Roman" w:hAnsi="Times New Roman"/>
              </w:rPr>
              <w:t>潜水含水层</w:t>
            </w:r>
          </w:p>
        </w:tc>
        <w:tc>
          <w:tcPr>
            <w:tcW w:w="739" w:type="pct"/>
            <w:vAlign w:val="center"/>
          </w:tcPr>
          <w:p>
            <w:pPr>
              <w:widowControl/>
              <w:jc w:val="center"/>
              <w:rPr>
                <w:rFonts w:ascii="Times New Roman" w:hAnsi="Times New Roman"/>
              </w:rPr>
            </w:pPr>
            <w:r>
              <w:rPr>
                <w:rFonts w:ascii="Times New Roman" w:hAnsi="Times New Roman"/>
              </w:rPr>
              <w:t>水位</w:t>
            </w:r>
          </w:p>
        </w:tc>
        <w:tc>
          <w:tcPr>
            <w:tcW w:w="739" w:type="pct"/>
            <w:vAlign w:val="center"/>
          </w:tcPr>
          <w:p>
            <w:pPr>
              <w:widowControl/>
              <w:spacing w:line="0" w:lineRule="atLeast"/>
              <w:jc w:val="center"/>
              <w:textAlignment w:val="center"/>
              <w:rPr>
                <w:rFonts w:ascii="Times New Roman" w:hAnsi="Times New Roman"/>
              </w:rPr>
            </w:pPr>
            <w:r>
              <w:rPr>
                <w:rFonts w:ascii="Times New Roman" w:hAnsi="Times New Roman"/>
              </w:rPr>
              <w:t>27</w:t>
            </w:r>
          </w:p>
        </w:tc>
        <w:tc>
          <w:tcPr>
            <w:tcW w:w="739" w:type="pct"/>
            <w:vAlign w:val="center"/>
          </w:tcPr>
          <w:p>
            <w:pPr>
              <w:widowControl/>
              <w:spacing w:line="0" w:lineRule="atLeast"/>
              <w:jc w:val="center"/>
              <w:textAlignment w:val="center"/>
              <w:rPr>
                <w:rFonts w:ascii="Times New Roman" w:hAnsi="Times New Roman"/>
              </w:rPr>
            </w:pPr>
            <w:r>
              <w:rPr>
                <w:rFonts w:ascii="Times New Roman" w:hAnsi="Times New Roman"/>
              </w:rPr>
              <w:t>250.00</w:t>
            </w:r>
          </w:p>
        </w:tc>
      </w:tr>
    </w:tbl>
    <w:p>
      <w:pPr>
        <w:pStyle w:val="155"/>
        <w:spacing w:line="240" w:lineRule="auto"/>
        <w:ind w:firstLine="0" w:firstLineChars="0"/>
        <w:rPr>
          <w:b/>
          <w:kern w:val="0"/>
          <w:sz w:val="21"/>
          <w:szCs w:val="21"/>
        </w:rPr>
      </w:pPr>
      <w:r>
        <w:rPr>
          <w:b/>
        </w:rPr>
        <w:drawing>
          <wp:inline distT="0" distB="0" distL="114300" distR="114300">
            <wp:extent cx="5391785" cy="3693795"/>
            <wp:effectExtent l="0" t="0" r="8890" b="190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44"/>
                    <a:stretch>
                      <a:fillRect/>
                    </a:stretch>
                  </pic:blipFill>
                  <pic:spPr>
                    <a:xfrm>
                      <a:off x="0" y="0"/>
                      <a:ext cx="5391785" cy="3693795"/>
                    </a:xfrm>
                    <a:prstGeom prst="rect">
                      <a:avLst/>
                    </a:prstGeom>
                    <a:noFill/>
                    <a:ln>
                      <a:noFill/>
                    </a:ln>
                  </pic:spPr>
                </pic:pic>
              </a:graphicData>
            </a:graphic>
          </wp:inline>
        </w:drawing>
      </w:r>
    </w:p>
    <w:p>
      <w:pPr>
        <w:pStyle w:val="155"/>
        <w:spacing w:line="240" w:lineRule="auto"/>
        <w:ind w:firstLine="0" w:firstLineChars="0"/>
        <w:jc w:val="center"/>
      </w:pPr>
      <w:r>
        <w:rPr>
          <w:b/>
          <w:kern w:val="0"/>
          <w:sz w:val="21"/>
          <w:szCs w:val="21"/>
        </w:rPr>
        <w:t>图4.2-3 地下水现状监测点布置图</w:t>
      </w:r>
    </w:p>
    <w:p>
      <w:pPr>
        <w:pStyle w:val="155"/>
        <w:spacing w:line="480" w:lineRule="exact"/>
        <w:ind w:firstLine="480"/>
      </w:pPr>
      <w:r>
        <w:t>（4）监测采样及分析方法</w:t>
      </w:r>
    </w:p>
    <w:p>
      <w:pPr>
        <w:pStyle w:val="155"/>
        <w:spacing w:line="480" w:lineRule="exact"/>
        <w:ind w:firstLine="480"/>
      </w:pPr>
      <w:r>
        <w:t>采样和分析方法按照《地下水环境监测技术规范》（HJ/T64-2004）和《生活饮用水标准检验方法》（GB5750-2006）执行，监测方法见表4.2-8。</w:t>
      </w:r>
    </w:p>
    <w:p>
      <w:pPr>
        <w:pStyle w:val="155"/>
        <w:spacing w:line="480" w:lineRule="exact"/>
        <w:ind w:firstLine="0" w:firstLineChars="0"/>
        <w:jc w:val="center"/>
      </w:pPr>
      <w:r>
        <w:rPr>
          <w:b/>
          <w:kern w:val="0"/>
          <w:sz w:val="21"/>
          <w:szCs w:val="21"/>
        </w:rPr>
        <w:t>表4.2-8 地下水检测方法一览表</w:t>
      </w:r>
    </w:p>
    <w:tbl>
      <w:tblPr>
        <w:tblStyle w:val="78"/>
        <w:tblW w:w="830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85"/>
        <w:gridCol w:w="631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85" w:type="dxa"/>
            <w:vAlign w:val="center"/>
          </w:tcPr>
          <w:p>
            <w:pPr>
              <w:pStyle w:val="155"/>
              <w:spacing w:line="240" w:lineRule="auto"/>
              <w:ind w:firstLine="0" w:firstLineChars="0"/>
              <w:jc w:val="center"/>
              <w:rPr>
                <w:sz w:val="21"/>
                <w:szCs w:val="21"/>
              </w:rPr>
            </w:pPr>
            <w:r>
              <w:rPr>
                <w:b/>
                <w:bCs/>
                <w:sz w:val="21"/>
                <w:szCs w:val="21"/>
              </w:rPr>
              <w:t>检测项目</w:t>
            </w:r>
          </w:p>
        </w:tc>
        <w:tc>
          <w:tcPr>
            <w:tcW w:w="6317" w:type="dxa"/>
            <w:vAlign w:val="center"/>
          </w:tcPr>
          <w:p>
            <w:pPr>
              <w:pStyle w:val="155"/>
              <w:spacing w:line="240" w:lineRule="auto"/>
              <w:ind w:firstLine="0" w:firstLineChars="0"/>
              <w:jc w:val="center"/>
              <w:rPr>
                <w:sz w:val="21"/>
                <w:szCs w:val="21"/>
              </w:rPr>
            </w:pPr>
            <w:r>
              <w:rPr>
                <w:b/>
                <w:bCs/>
                <w:sz w:val="21"/>
                <w:szCs w:val="21"/>
              </w:rPr>
              <w:t>检测方法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85" w:type="dxa"/>
            <w:vAlign w:val="center"/>
          </w:tcPr>
          <w:p>
            <w:pPr>
              <w:pStyle w:val="155"/>
              <w:spacing w:line="240" w:lineRule="auto"/>
              <w:ind w:firstLine="0" w:firstLineChars="0"/>
              <w:jc w:val="center"/>
              <w:rPr>
                <w:sz w:val="21"/>
                <w:szCs w:val="21"/>
              </w:rPr>
            </w:pPr>
            <w:r>
              <w:rPr>
                <w:bCs/>
                <w:sz w:val="21"/>
                <w:szCs w:val="21"/>
              </w:rPr>
              <w:t>钾离子</w:t>
            </w:r>
          </w:p>
        </w:tc>
        <w:tc>
          <w:tcPr>
            <w:tcW w:w="6317" w:type="dxa"/>
            <w:vAlign w:val="center"/>
          </w:tcPr>
          <w:p>
            <w:pPr>
              <w:jc w:val="center"/>
              <w:rPr>
                <w:rFonts w:ascii="Times New Roman" w:hAnsi="Times New Roman"/>
                <w:bCs/>
              </w:rPr>
            </w:pPr>
            <w:r>
              <w:rPr>
                <w:rFonts w:ascii="Times New Roman" w:hAnsi="Times New Roman"/>
                <w:bCs/>
              </w:rPr>
              <w:t>生活饮用水标准检验方法 金属指标</w:t>
            </w:r>
          </w:p>
          <w:p>
            <w:pPr>
              <w:pStyle w:val="155"/>
              <w:spacing w:line="240" w:lineRule="auto"/>
              <w:ind w:firstLine="0" w:firstLineChars="0"/>
              <w:jc w:val="center"/>
              <w:rPr>
                <w:sz w:val="21"/>
                <w:szCs w:val="21"/>
              </w:rPr>
            </w:pPr>
            <w:r>
              <w:rPr>
                <w:bCs/>
                <w:sz w:val="21"/>
                <w:szCs w:val="21"/>
              </w:rPr>
              <w:t>火焰原子吸收分光光度法 GB/T 5750.6-2006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85" w:type="dxa"/>
            <w:vAlign w:val="center"/>
          </w:tcPr>
          <w:p>
            <w:pPr>
              <w:pStyle w:val="155"/>
              <w:spacing w:line="240" w:lineRule="auto"/>
              <w:ind w:firstLine="0" w:firstLineChars="0"/>
              <w:jc w:val="center"/>
              <w:rPr>
                <w:sz w:val="21"/>
                <w:szCs w:val="21"/>
              </w:rPr>
            </w:pPr>
            <w:r>
              <w:rPr>
                <w:bCs/>
                <w:sz w:val="21"/>
                <w:szCs w:val="21"/>
              </w:rPr>
              <w:t>钠离子</w:t>
            </w:r>
          </w:p>
        </w:tc>
        <w:tc>
          <w:tcPr>
            <w:tcW w:w="6317" w:type="dxa"/>
            <w:vAlign w:val="center"/>
          </w:tcPr>
          <w:p>
            <w:pPr>
              <w:jc w:val="center"/>
              <w:rPr>
                <w:rFonts w:ascii="Times New Roman" w:hAnsi="Times New Roman"/>
                <w:bCs/>
              </w:rPr>
            </w:pPr>
            <w:r>
              <w:rPr>
                <w:rFonts w:ascii="Times New Roman" w:hAnsi="Times New Roman"/>
                <w:bCs/>
              </w:rPr>
              <w:t>生活饮用水标准检验方法 金属指标</w:t>
            </w:r>
          </w:p>
          <w:p>
            <w:pPr>
              <w:pStyle w:val="155"/>
              <w:spacing w:line="240" w:lineRule="auto"/>
              <w:ind w:firstLine="0" w:firstLineChars="0"/>
              <w:jc w:val="center"/>
              <w:rPr>
                <w:sz w:val="21"/>
                <w:szCs w:val="21"/>
              </w:rPr>
            </w:pPr>
            <w:r>
              <w:rPr>
                <w:bCs/>
                <w:sz w:val="21"/>
                <w:szCs w:val="21"/>
              </w:rPr>
              <w:t>火焰原子吸收分光光度法 GB/T 5750.6-2006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85" w:type="dxa"/>
            <w:vAlign w:val="center"/>
          </w:tcPr>
          <w:p>
            <w:pPr>
              <w:pStyle w:val="155"/>
              <w:spacing w:line="240" w:lineRule="auto"/>
              <w:ind w:firstLine="0" w:firstLineChars="0"/>
              <w:jc w:val="center"/>
              <w:rPr>
                <w:sz w:val="21"/>
                <w:szCs w:val="21"/>
              </w:rPr>
            </w:pPr>
            <w:r>
              <w:rPr>
                <w:bCs/>
                <w:sz w:val="21"/>
                <w:szCs w:val="21"/>
              </w:rPr>
              <w:t>钙离子</w:t>
            </w:r>
          </w:p>
        </w:tc>
        <w:tc>
          <w:tcPr>
            <w:tcW w:w="6317" w:type="dxa"/>
            <w:vAlign w:val="center"/>
          </w:tcPr>
          <w:p>
            <w:pPr>
              <w:pStyle w:val="155"/>
              <w:spacing w:line="240" w:lineRule="auto"/>
              <w:ind w:firstLine="0" w:firstLineChars="0"/>
              <w:jc w:val="center"/>
              <w:rPr>
                <w:sz w:val="21"/>
                <w:szCs w:val="21"/>
              </w:rPr>
            </w:pPr>
            <w:r>
              <w:rPr>
                <w:bCs/>
                <w:sz w:val="21"/>
                <w:szCs w:val="21"/>
              </w:rPr>
              <w:t>水质 钙和镁的测定 原子吸收分光光度法 GB 11905-89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85" w:type="dxa"/>
            <w:vAlign w:val="center"/>
          </w:tcPr>
          <w:p>
            <w:pPr>
              <w:pStyle w:val="155"/>
              <w:spacing w:line="240" w:lineRule="auto"/>
              <w:ind w:firstLine="0" w:firstLineChars="0"/>
              <w:jc w:val="center"/>
              <w:rPr>
                <w:sz w:val="21"/>
                <w:szCs w:val="21"/>
              </w:rPr>
            </w:pPr>
            <w:r>
              <w:rPr>
                <w:bCs/>
                <w:sz w:val="21"/>
                <w:szCs w:val="21"/>
              </w:rPr>
              <w:t>镁离子</w:t>
            </w:r>
          </w:p>
        </w:tc>
        <w:tc>
          <w:tcPr>
            <w:tcW w:w="6317" w:type="dxa"/>
            <w:vAlign w:val="center"/>
          </w:tcPr>
          <w:p>
            <w:pPr>
              <w:pStyle w:val="155"/>
              <w:spacing w:line="240" w:lineRule="auto"/>
              <w:ind w:firstLine="0" w:firstLineChars="0"/>
              <w:jc w:val="center"/>
              <w:rPr>
                <w:sz w:val="21"/>
                <w:szCs w:val="21"/>
              </w:rPr>
            </w:pPr>
            <w:r>
              <w:rPr>
                <w:bCs/>
                <w:sz w:val="21"/>
                <w:szCs w:val="21"/>
              </w:rPr>
              <w:t>水质 钙和镁的测定 原子吸收分光光度法 GB 11905-89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85" w:type="dxa"/>
            <w:vAlign w:val="center"/>
          </w:tcPr>
          <w:p>
            <w:pPr>
              <w:pStyle w:val="155"/>
              <w:spacing w:line="240" w:lineRule="auto"/>
              <w:ind w:firstLine="0" w:firstLineChars="0"/>
              <w:jc w:val="center"/>
              <w:rPr>
                <w:sz w:val="21"/>
                <w:szCs w:val="21"/>
              </w:rPr>
            </w:pPr>
            <w:r>
              <w:rPr>
                <w:bCs/>
                <w:sz w:val="21"/>
                <w:szCs w:val="21"/>
              </w:rPr>
              <w:t>碳酸根离子</w:t>
            </w:r>
          </w:p>
        </w:tc>
        <w:tc>
          <w:tcPr>
            <w:tcW w:w="6317" w:type="dxa"/>
            <w:vAlign w:val="center"/>
          </w:tcPr>
          <w:p>
            <w:pPr>
              <w:jc w:val="center"/>
              <w:rPr>
                <w:rFonts w:ascii="Times New Roman" w:hAnsi="Times New Roman"/>
                <w:bCs/>
              </w:rPr>
            </w:pPr>
            <w:r>
              <w:rPr>
                <w:rFonts w:ascii="Times New Roman" w:hAnsi="Times New Roman"/>
                <w:bCs/>
              </w:rPr>
              <w:t>水和废水监测分析方法（第四版）国家环境保护总局（2002年）</w:t>
            </w:r>
          </w:p>
          <w:p>
            <w:pPr>
              <w:pStyle w:val="155"/>
              <w:spacing w:line="240" w:lineRule="auto"/>
              <w:ind w:firstLine="0" w:firstLineChars="0"/>
              <w:jc w:val="center"/>
              <w:rPr>
                <w:sz w:val="21"/>
                <w:szCs w:val="21"/>
              </w:rPr>
            </w:pPr>
            <w:r>
              <w:rPr>
                <w:bCs/>
                <w:sz w:val="21"/>
                <w:szCs w:val="21"/>
              </w:rPr>
              <w:t>第三篇（第一章 十二（一）酸碱指示剂滴定法）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85" w:type="dxa"/>
            <w:vAlign w:val="center"/>
          </w:tcPr>
          <w:p>
            <w:pPr>
              <w:pStyle w:val="155"/>
              <w:spacing w:line="240" w:lineRule="auto"/>
              <w:ind w:firstLine="0" w:firstLineChars="0"/>
              <w:jc w:val="center"/>
              <w:rPr>
                <w:sz w:val="21"/>
                <w:szCs w:val="21"/>
              </w:rPr>
            </w:pPr>
            <w:r>
              <w:rPr>
                <w:bCs/>
                <w:sz w:val="21"/>
                <w:szCs w:val="21"/>
              </w:rPr>
              <w:t>碳酸氢根离子</w:t>
            </w:r>
          </w:p>
        </w:tc>
        <w:tc>
          <w:tcPr>
            <w:tcW w:w="6317" w:type="dxa"/>
            <w:vAlign w:val="center"/>
          </w:tcPr>
          <w:p>
            <w:pPr>
              <w:jc w:val="center"/>
              <w:rPr>
                <w:rFonts w:ascii="Times New Roman" w:hAnsi="Times New Roman"/>
                <w:bCs/>
              </w:rPr>
            </w:pPr>
            <w:r>
              <w:rPr>
                <w:rFonts w:ascii="Times New Roman" w:hAnsi="Times New Roman"/>
                <w:bCs/>
              </w:rPr>
              <w:t>水和废水监测分析方法（第四版）国家环境保护总局（2002年）</w:t>
            </w:r>
          </w:p>
          <w:p>
            <w:pPr>
              <w:pStyle w:val="155"/>
              <w:spacing w:line="240" w:lineRule="auto"/>
              <w:ind w:firstLine="0" w:firstLineChars="0"/>
              <w:jc w:val="center"/>
              <w:rPr>
                <w:sz w:val="21"/>
                <w:szCs w:val="21"/>
              </w:rPr>
            </w:pPr>
            <w:r>
              <w:rPr>
                <w:bCs/>
                <w:sz w:val="21"/>
                <w:szCs w:val="21"/>
              </w:rPr>
              <w:t>第三篇（第一章 十二（一）酸碱指示剂滴定法）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85" w:type="dxa"/>
            <w:vAlign w:val="center"/>
          </w:tcPr>
          <w:p>
            <w:pPr>
              <w:pStyle w:val="155"/>
              <w:spacing w:line="240" w:lineRule="auto"/>
              <w:ind w:firstLine="0" w:firstLineChars="0"/>
              <w:jc w:val="center"/>
              <w:rPr>
                <w:sz w:val="21"/>
                <w:szCs w:val="21"/>
              </w:rPr>
            </w:pPr>
            <w:r>
              <w:rPr>
                <w:bCs/>
                <w:sz w:val="21"/>
                <w:szCs w:val="21"/>
              </w:rPr>
              <w:t>氯离子</w:t>
            </w:r>
          </w:p>
        </w:tc>
        <w:tc>
          <w:tcPr>
            <w:tcW w:w="6317" w:type="dxa"/>
            <w:vAlign w:val="center"/>
          </w:tcPr>
          <w:p>
            <w:pPr>
              <w:pStyle w:val="155"/>
              <w:spacing w:line="240" w:lineRule="auto"/>
              <w:ind w:firstLine="0" w:firstLineChars="0"/>
              <w:jc w:val="center"/>
              <w:rPr>
                <w:sz w:val="21"/>
                <w:szCs w:val="21"/>
              </w:rPr>
            </w:pPr>
            <w:r>
              <w:rPr>
                <w:bCs/>
                <w:sz w:val="21"/>
                <w:szCs w:val="21"/>
              </w:rPr>
              <w:t>水质 氯化物的测定 硝酸银滴定法 GB/T 11896-1989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85" w:type="dxa"/>
            <w:vAlign w:val="center"/>
          </w:tcPr>
          <w:p>
            <w:pPr>
              <w:pStyle w:val="155"/>
              <w:spacing w:line="240" w:lineRule="auto"/>
              <w:ind w:firstLine="0" w:firstLineChars="0"/>
              <w:jc w:val="center"/>
              <w:rPr>
                <w:bCs/>
                <w:sz w:val="21"/>
                <w:szCs w:val="21"/>
              </w:rPr>
            </w:pPr>
            <w:r>
              <w:rPr>
                <w:bCs/>
                <w:sz w:val="21"/>
                <w:szCs w:val="21"/>
              </w:rPr>
              <w:t>硫酸根离子</w:t>
            </w:r>
          </w:p>
        </w:tc>
        <w:tc>
          <w:tcPr>
            <w:tcW w:w="6317" w:type="dxa"/>
            <w:vAlign w:val="center"/>
          </w:tcPr>
          <w:p>
            <w:pPr>
              <w:pStyle w:val="155"/>
              <w:spacing w:line="240" w:lineRule="auto"/>
              <w:ind w:firstLine="0" w:firstLineChars="0"/>
              <w:jc w:val="center"/>
              <w:rPr>
                <w:bCs/>
                <w:sz w:val="21"/>
                <w:szCs w:val="21"/>
              </w:rPr>
            </w:pPr>
            <w:r>
              <w:rPr>
                <w:bCs/>
                <w:sz w:val="21"/>
                <w:szCs w:val="21"/>
              </w:rPr>
              <w:t>水质 硫酸盐的测定 铬酸钡分光光度法（试行）HJ/T 342-2007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85" w:type="dxa"/>
            <w:vAlign w:val="center"/>
          </w:tcPr>
          <w:p>
            <w:pPr>
              <w:pStyle w:val="155"/>
              <w:spacing w:line="240" w:lineRule="auto"/>
              <w:ind w:firstLine="0" w:firstLineChars="0"/>
              <w:jc w:val="center"/>
              <w:rPr>
                <w:bCs/>
                <w:sz w:val="21"/>
                <w:szCs w:val="21"/>
              </w:rPr>
            </w:pPr>
            <w:r>
              <w:rPr>
                <w:bCs/>
                <w:sz w:val="21"/>
                <w:szCs w:val="21"/>
              </w:rPr>
              <w:t>pH值</w:t>
            </w:r>
          </w:p>
        </w:tc>
        <w:tc>
          <w:tcPr>
            <w:tcW w:w="6317" w:type="dxa"/>
            <w:vAlign w:val="center"/>
          </w:tcPr>
          <w:p>
            <w:pPr>
              <w:pStyle w:val="155"/>
              <w:spacing w:line="240" w:lineRule="auto"/>
              <w:ind w:firstLine="0" w:firstLineChars="0"/>
              <w:jc w:val="center"/>
              <w:rPr>
                <w:bCs/>
                <w:sz w:val="21"/>
                <w:szCs w:val="21"/>
              </w:rPr>
            </w:pPr>
            <w:r>
              <w:rPr>
                <w:bCs/>
                <w:sz w:val="21"/>
                <w:szCs w:val="21"/>
              </w:rPr>
              <w:t>生活饮用水 pH的测定 玻璃电极法 GB/T 5750.4-2006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85" w:type="dxa"/>
            <w:vAlign w:val="center"/>
          </w:tcPr>
          <w:p>
            <w:pPr>
              <w:pStyle w:val="155"/>
              <w:spacing w:line="240" w:lineRule="auto"/>
              <w:ind w:firstLine="0" w:firstLineChars="0"/>
              <w:jc w:val="center"/>
              <w:rPr>
                <w:bCs/>
                <w:sz w:val="21"/>
                <w:szCs w:val="21"/>
              </w:rPr>
            </w:pPr>
            <w:r>
              <w:rPr>
                <w:bCs/>
                <w:sz w:val="21"/>
                <w:szCs w:val="21"/>
              </w:rPr>
              <w:t>氨氮</w:t>
            </w:r>
          </w:p>
        </w:tc>
        <w:tc>
          <w:tcPr>
            <w:tcW w:w="6317" w:type="dxa"/>
            <w:vAlign w:val="center"/>
          </w:tcPr>
          <w:p>
            <w:pPr>
              <w:pStyle w:val="155"/>
              <w:spacing w:line="240" w:lineRule="auto"/>
              <w:ind w:firstLine="0" w:firstLineChars="0"/>
              <w:jc w:val="center"/>
              <w:rPr>
                <w:bCs/>
                <w:sz w:val="21"/>
                <w:szCs w:val="21"/>
              </w:rPr>
            </w:pPr>
            <w:r>
              <w:rPr>
                <w:bCs/>
                <w:sz w:val="21"/>
                <w:szCs w:val="21"/>
              </w:rPr>
              <w:t>水质 氨氮的测定 纳氏试剂分光光度法 HJ 535-2009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85" w:type="dxa"/>
            <w:vAlign w:val="center"/>
          </w:tcPr>
          <w:p>
            <w:pPr>
              <w:pStyle w:val="155"/>
              <w:spacing w:line="240" w:lineRule="auto"/>
              <w:ind w:firstLine="0" w:firstLineChars="0"/>
              <w:jc w:val="center"/>
              <w:rPr>
                <w:bCs/>
                <w:sz w:val="21"/>
                <w:szCs w:val="21"/>
              </w:rPr>
            </w:pPr>
            <w:r>
              <w:rPr>
                <w:bCs/>
                <w:sz w:val="21"/>
                <w:szCs w:val="21"/>
              </w:rPr>
              <w:t>硝酸盐氮</w:t>
            </w:r>
          </w:p>
        </w:tc>
        <w:tc>
          <w:tcPr>
            <w:tcW w:w="6317" w:type="dxa"/>
            <w:vAlign w:val="center"/>
          </w:tcPr>
          <w:p>
            <w:pPr>
              <w:pStyle w:val="155"/>
              <w:spacing w:line="240" w:lineRule="auto"/>
              <w:ind w:firstLine="0" w:firstLineChars="0"/>
              <w:jc w:val="center"/>
              <w:rPr>
                <w:bCs/>
                <w:sz w:val="21"/>
                <w:szCs w:val="21"/>
              </w:rPr>
            </w:pPr>
            <w:r>
              <w:rPr>
                <w:bCs/>
                <w:sz w:val="21"/>
                <w:szCs w:val="21"/>
              </w:rPr>
              <w:t>水质 硝酸盐氮的测定 紫外分光光度法（试行） HJ/T 346-2007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85" w:type="dxa"/>
            <w:vAlign w:val="center"/>
          </w:tcPr>
          <w:p>
            <w:pPr>
              <w:pStyle w:val="155"/>
              <w:spacing w:line="240" w:lineRule="auto"/>
              <w:ind w:firstLine="0" w:firstLineChars="0"/>
              <w:jc w:val="center"/>
              <w:rPr>
                <w:bCs/>
                <w:sz w:val="21"/>
                <w:szCs w:val="21"/>
              </w:rPr>
            </w:pPr>
            <w:r>
              <w:rPr>
                <w:bCs/>
                <w:sz w:val="21"/>
                <w:szCs w:val="21"/>
              </w:rPr>
              <w:t>亚硝酸盐氮</w:t>
            </w:r>
          </w:p>
        </w:tc>
        <w:tc>
          <w:tcPr>
            <w:tcW w:w="6317" w:type="dxa"/>
            <w:vAlign w:val="center"/>
          </w:tcPr>
          <w:p>
            <w:pPr>
              <w:pStyle w:val="155"/>
              <w:spacing w:line="240" w:lineRule="auto"/>
              <w:ind w:firstLine="0" w:firstLineChars="0"/>
              <w:jc w:val="center"/>
              <w:rPr>
                <w:bCs/>
                <w:sz w:val="21"/>
                <w:szCs w:val="21"/>
              </w:rPr>
            </w:pPr>
            <w:r>
              <w:rPr>
                <w:bCs/>
                <w:sz w:val="21"/>
                <w:szCs w:val="21"/>
              </w:rPr>
              <w:t>水质 亚硝酸盐氮的测定 分光光度法 GB/T 7493-1987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85" w:type="dxa"/>
            <w:vAlign w:val="center"/>
          </w:tcPr>
          <w:p>
            <w:pPr>
              <w:pStyle w:val="155"/>
              <w:spacing w:line="240" w:lineRule="auto"/>
              <w:ind w:firstLine="0" w:firstLineChars="0"/>
              <w:jc w:val="center"/>
              <w:rPr>
                <w:bCs/>
                <w:sz w:val="21"/>
                <w:szCs w:val="21"/>
              </w:rPr>
            </w:pPr>
            <w:r>
              <w:rPr>
                <w:bCs/>
                <w:sz w:val="21"/>
                <w:szCs w:val="21"/>
              </w:rPr>
              <w:t>挥发酚</w:t>
            </w:r>
          </w:p>
        </w:tc>
        <w:tc>
          <w:tcPr>
            <w:tcW w:w="6317" w:type="dxa"/>
            <w:vAlign w:val="center"/>
          </w:tcPr>
          <w:p>
            <w:pPr>
              <w:pStyle w:val="155"/>
              <w:spacing w:line="240" w:lineRule="auto"/>
              <w:ind w:firstLine="0" w:firstLineChars="0"/>
              <w:jc w:val="center"/>
              <w:rPr>
                <w:bCs/>
                <w:sz w:val="21"/>
                <w:szCs w:val="21"/>
              </w:rPr>
            </w:pPr>
            <w:r>
              <w:rPr>
                <w:bCs/>
                <w:sz w:val="21"/>
                <w:szCs w:val="21"/>
              </w:rPr>
              <w:t>水质 挥发酚的测定 4-氨基安替比林分光光度法 HJ 503-2009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85" w:type="dxa"/>
            <w:vAlign w:val="center"/>
          </w:tcPr>
          <w:p>
            <w:pPr>
              <w:pStyle w:val="155"/>
              <w:spacing w:line="240" w:lineRule="auto"/>
              <w:ind w:firstLine="0" w:firstLineChars="0"/>
              <w:jc w:val="center"/>
              <w:rPr>
                <w:bCs/>
                <w:sz w:val="21"/>
                <w:szCs w:val="21"/>
              </w:rPr>
            </w:pPr>
            <w:r>
              <w:rPr>
                <w:bCs/>
                <w:sz w:val="21"/>
                <w:szCs w:val="21"/>
              </w:rPr>
              <w:t>氰化物</w:t>
            </w:r>
          </w:p>
        </w:tc>
        <w:tc>
          <w:tcPr>
            <w:tcW w:w="6317" w:type="dxa"/>
            <w:vAlign w:val="center"/>
          </w:tcPr>
          <w:p>
            <w:pPr>
              <w:jc w:val="center"/>
              <w:rPr>
                <w:rFonts w:ascii="Times New Roman" w:hAnsi="Times New Roman"/>
                <w:bCs/>
              </w:rPr>
            </w:pPr>
            <w:r>
              <w:rPr>
                <w:rFonts w:ascii="Times New Roman" w:hAnsi="Times New Roman"/>
                <w:bCs/>
              </w:rPr>
              <w:t>生活饮用水标准检验方法 无机非金属指标</w:t>
            </w:r>
          </w:p>
          <w:p>
            <w:pPr>
              <w:pStyle w:val="155"/>
              <w:spacing w:line="240" w:lineRule="auto"/>
              <w:ind w:firstLine="0" w:firstLineChars="0"/>
              <w:jc w:val="center"/>
              <w:rPr>
                <w:bCs/>
                <w:sz w:val="21"/>
                <w:szCs w:val="21"/>
              </w:rPr>
            </w:pPr>
            <w:r>
              <w:rPr>
                <w:bCs/>
                <w:sz w:val="21"/>
                <w:szCs w:val="21"/>
              </w:rPr>
              <w:t>异烟酸-吡唑酮分光光度法GB/T 5750.5-2006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85" w:type="dxa"/>
            <w:vAlign w:val="center"/>
          </w:tcPr>
          <w:p>
            <w:pPr>
              <w:pStyle w:val="155"/>
              <w:spacing w:line="240" w:lineRule="auto"/>
              <w:ind w:firstLine="0" w:firstLineChars="0"/>
              <w:jc w:val="center"/>
              <w:rPr>
                <w:bCs/>
                <w:sz w:val="21"/>
                <w:szCs w:val="21"/>
              </w:rPr>
            </w:pPr>
            <w:r>
              <w:rPr>
                <w:bCs/>
                <w:sz w:val="21"/>
                <w:szCs w:val="21"/>
              </w:rPr>
              <w:t>砷</w:t>
            </w:r>
          </w:p>
        </w:tc>
        <w:tc>
          <w:tcPr>
            <w:tcW w:w="6317" w:type="dxa"/>
            <w:vAlign w:val="center"/>
          </w:tcPr>
          <w:p>
            <w:pPr>
              <w:jc w:val="center"/>
              <w:rPr>
                <w:rFonts w:ascii="Times New Roman" w:hAnsi="Times New Roman"/>
                <w:bCs/>
              </w:rPr>
            </w:pPr>
            <w:r>
              <w:rPr>
                <w:rFonts w:ascii="Times New Roman" w:hAnsi="Times New Roman"/>
                <w:bCs/>
              </w:rPr>
              <w:t>生活饮用水标准检验方法 金属指标 氢化物原子荧光法 GB/T 5750.6-2006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85" w:type="dxa"/>
            <w:vAlign w:val="center"/>
          </w:tcPr>
          <w:p>
            <w:pPr>
              <w:pStyle w:val="155"/>
              <w:spacing w:line="240" w:lineRule="auto"/>
              <w:ind w:firstLine="0" w:firstLineChars="0"/>
              <w:jc w:val="center"/>
              <w:rPr>
                <w:bCs/>
                <w:sz w:val="21"/>
                <w:szCs w:val="21"/>
              </w:rPr>
            </w:pPr>
            <w:r>
              <w:rPr>
                <w:bCs/>
                <w:sz w:val="21"/>
                <w:szCs w:val="21"/>
              </w:rPr>
              <w:t>汞</w:t>
            </w:r>
          </w:p>
        </w:tc>
        <w:tc>
          <w:tcPr>
            <w:tcW w:w="6317" w:type="dxa"/>
            <w:vAlign w:val="center"/>
          </w:tcPr>
          <w:p>
            <w:pPr>
              <w:jc w:val="center"/>
              <w:rPr>
                <w:rFonts w:ascii="Times New Roman" w:hAnsi="Times New Roman"/>
                <w:bCs/>
              </w:rPr>
            </w:pPr>
            <w:r>
              <w:rPr>
                <w:rFonts w:ascii="Times New Roman" w:hAnsi="Times New Roman"/>
                <w:bCs/>
              </w:rPr>
              <w:t>生活饮用水标准检验方法 金属指标 原子荧光法GB/T 5750.6-2006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85" w:type="dxa"/>
            <w:vAlign w:val="center"/>
          </w:tcPr>
          <w:p>
            <w:pPr>
              <w:pStyle w:val="155"/>
              <w:spacing w:line="240" w:lineRule="auto"/>
              <w:ind w:firstLine="0" w:firstLineChars="0"/>
              <w:jc w:val="center"/>
              <w:rPr>
                <w:bCs/>
                <w:sz w:val="21"/>
                <w:szCs w:val="21"/>
              </w:rPr>
            </w:pPr>
            <w:r>
              <w:rPr>
                <w:bCs/>
                <w:sz w:val="21"/>
                <w:szCs w:val="21"/>
              </w:rPr>
              <w:t>六价铬</w:t>
            </w:r>
          </w:p>
        </w:tc>
        <w:tc>
          <w:tcPr>
            <w:tcW w:w="6317" w:type="dxa"/>
            <w:vAlign w:val="center"/>
          </w:tcPr>
          <w:p>
            <w:pPr>
              <w:jc w:val="center"/>
              <w:rPr>
                <w:rFonts w:ascii="Times New Roman" w:hAnsi="Times New Roman"/>
                <w:bCs/>
              </w:rPr>
            </w:pPr>
            <w:r>
              <w:rPr>
                <w:rFonts w:ascii="Times New Roman" w:hAnsi="Times New Roman"/>
                <w:bCs/>
              </w:rPr>
              <w:t>生活饮用水标准检验方法 金属指标</w:t>
            </w:r>
          </w:p>
          <w:p>
            <w:pPr>
              <w:jc w:val="center"/>
              <w:rPr>
                <w:rFonts w:ascii="Times New Roman" w:hAnsi="Times New Roman"/>
                <w:bCs/>
              </w:rPr>
            </w:pPr>
            <w:r>
              <w:rPr>
                <w:rFonts w:ascii="Times New Roman" w:hAnsi="Times New Roman"/>
                <w:bCs/>
              </w:rPr>
              <w:t>二苯碳酰二肼分光光度法GB/T 5750.6-2006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85" w:type="dxa"/>
            <w:vAlign w:val="center"/>
          </w:tcPr>
          <w:p>
            <w:pPr>
              <w:pStyle w:val="155"/>
              <w:spacing w:line="240" w:lineRule="auto"/>
              <w:ind w:firstLine="0" w:firstLineChars="0"/>
              <w:jc w:val="center"/>
              <w:rPr>
                <w:bCs/>
                <w:sz w:val="21"/>
                <w:szCs w:val="21"/>
              </w:rPr>
            </w:pPr>
            <w:r>
              <w:rPr>
                <w:bCs/>
                <w:sz w:val="21"/>
                <w:szCs w:val="21"/>
              </w:rPr>
              <w:t>总硬度</w:t>
            </w:r>
          </w:p>
        </w:tc>
        <w:tc>
          <w:tcPr>
            <w:tcW w:w="6317" w:type="dxa"/>
            <w:vAlign w:val="center"/>
          </w:tcPr>
          <w:p>
            <w:pPr>
              <w:jc w:val="center"/>
              <w:rPr>
                <w:rFonts w:ascii="Times New Roman" w:hAnsi="Times New Roman"/>
                <w:bCs/>
              </w:rPr>
            </w:pPr>
            <w:r>
              <w:rPr>
                <w:rFonts w:ascii="Times New Roman" w:hAnsi="Times New Roman"/>
                <w:bCs/>
              </w:rPr>
              <w:t>生活饮用水标准检验方法 感官性状和物理指标 重量法GB/T 5750.4-2006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85" w:type="dxa"/>
            <w:vAlign w:val="center"/>
          </w:tcPr>
          <w:p>
            <w:pPr>
              <w:pStyle w:val="155"/>
              <w:spacing w:line="240" w:lineRule="auto"/>
              <w:ind w:firstLine="0" w:firstLineChars="0"/>
              <w:jc w:val="center"/>
              <w:rPr>
                <w:bCs/>
                <w:sz w:val="21"/>
                <w:szCs w:val="21"/>
              </w:rPr>
            </w:pPr>
            <w:r>
              <w:rPr>
                <w:bCs/>
                <w:sz w:val="21"/>
                <w:szCs w:val="21"/>
              </w:rPr>
              <w:t>铅</w:t>
            </w:r>
          </w:p>
        </w:tc>
        <w:tc>
          <w:tcPr>
            <w:tcW w:w="6317" w:type="dxa"/>
            <w:vAlign w:val="center"/>
          </w:tcPr>
          <w:p>
            <w:pPr>
              <w:jc w:val="center"/>
              <w:rPr>
                <w:rFonts w:ascii="Times New Roman" w:hAnsi="Times New Roman"/>
                <w:bCs/>
              </w:rPr>
            </w:pPr>
            <w:r>
              <w:rPr>
                <w:rFonts w:ascii="Times New Roman" w:hAnsi="Times New Roman"/>
                <w:bCs/>
              </w:rPr>
              <w:t>生活饮用水标准检验方法 金属指标</w:t>
            </w:r>
          </w:p>
          <w:p>
            <w:pPr>
              <w:jc w:val="center"/>
              <w:rPr>
                <w:rFonts w:ascii="Times New Roman" w:hAnsi="Times New Roman"/>
                <w:bCs/>
              </w:rPr>
            </w:pPr>
            <w:r>
              <w:rPr>
                <w:rFonts w:ascii="Times New Roman" w:hAnsi="Times New Roman"/>
                <w:bCs/>
              </w:rPr>
              <w:t>无火焰原子吸收分光光度法GB/T 5750.6-2006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85" w:type="dxa"/>
            <w:vAlign w:val="center"/>
          </w:tcPr>
          <w:p>
            <w:pPr>
              <w:pStyle w:val="155"/>
              <w:spacing w:line="240" w:lineRule="auto"/>
              <w:ind w:firstLine="0" w:firstLineChars="0"/>
              <w:jc w:val="center"/>
              <w:rPr>
                <w:bCs/>
                <w:sz w:val="21"/>
                <w:szCs w:val="21"/>
              </w:rPr>
            </w:pPr>
            <w:r>
              <w:rPr>
                <w:bCs/>
                <w:sz w:val="21"/>
                <w:szCs w:val="21"/>
              </w:rPr>
              <w:t>氟化物</w:t>
            </w:r>
          </w:p>
        </w:tc>
        <w:tc>
          <w:tcPr>
            <w:tcW w:w="6317" w:type="dxa"/>
            <w:vAlign w:val="center"/>
          </w:tcPr>
          <w:p>
            <w:pPr>
              <w:jc w:val="center"/>
              <w:rPr>
                <w:rFonts w:ascii="Times New Roman" w:hAnsi="Times New Roman"/>
                <w:bCs/>
              </w:rPr>
            </w:pPr>
            <w:r>
              <w:rPr>
                <w:rFonts w:ascii="Times New Roman" w:hAnsi="Times New Roman"/>
                <w:bCs/>
              </w:rPr>
              <w:t>水质 氟化物的测定 氟试剂分光光度法 HJ 488-2009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85" w:type="dxa"/>
            <w:vAlign w:val="center"/>
          </w:tcPr>
          <w:p>
            <w:pPr>
              <w:pStyle w:val="155"/>
              <w:spacing w:line="240" w:lineRule="auto"/>
              <w:ind w:firstLine="0" w:firstLineChars="0"/>
              <w:jc w:val="center"/>
              <w:rPr>
                <w:bCs/>
                <w:sz w:val="21"/>
                <w:szCs w:val="21"/>
              </w:rPr>
            </w:pPr>
            <w:r>
              <w:rPr>
                <w:bCs/>
                <w:sz w:val="21"/>
                <w:szCs w:val="21"/>
              </w:rPr>
              <w:t>镉</w:t>
            </w:r>
          </w:p>
        </w:tc>
        <w:tc>
          <w:tcPr>
            <w:tcW w:w="6317" w:type="dxa"/>
            <w:vAlign w:val="center"/>
          </w:tcPr>
          <w:p>
            <w:pPr>
              <w:jc w:val="center"/>
              <w:rPr>
                <w:rFonts w:ascii="Times New Roman" w:hAnsi="Times New Roman"/>
                <w:bCs/>
              </w:rPr>
            </w:pPr>
            <w:r>
              <w:rPr>
                <w:rFonts w:ascii="Times New Roman" w:hAnsi="Times New Roman"/>
                <w:bCs/>
              </w:rPr>
              <w:t>生活饮用水标准检验方法 金属指标</w:t>
            </w:r>
          </w:p>
          <w:p>
            <w:pPr>
              <w:jc w:val="center"/>
              <w:rPr>
                <w:rFonts w:ascii="Times New Roman" w:hAnsi="Times New Roman"/>
                <w:bCs/>
              </w:rPr>
            </w:pPr>
            <w:r>
              <w:rPr>
                <w:rFonts w:ascii="Times New Roman" w:hAnsi="Times New Roman"/>
                <w:bCs/>
              </w:rPr>
              <w:t>无火焰原子吸收分光光度法GB/T 5750.6-2006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85" w:type="dxa"/>
            <w:vAlign w:val="center"/>
          </w:tcPr>
          <w:p>
            <w:pPr>
              <w:pStyle w:val="155"/>
              <w:spacing w:line="240" w:lineRule="auto"/>
              <w:ind w:firstLine="0" w:firstLineChars="0"/>
              <w:jc w:val="center"/>
              <w:rPr>
                <w:bCs/>
                <w:sz w:val="21"/>
                <w:szCs w:val="21"/>
              </w:rPr>
            </w:pPr>
            <w:r>
              <w:rPr>
                <w:bCs/>
                <w:sz w:val="21"/>
                <w:szCs w:val="21"/>
              </w:rPr>
              <w:t>铁</w:t>
            </w:r>
          </w:p>
        </w:tc>
        <w:tc>
          <w:tcPr>
            <w:tcW w:w="6317" w:type="dxa"/>
            <w:vAlign w:val="center"/>
          </w:tcPr>
          <w:p>
            <w:pPr>
              <w:jc w:val="center"/>
              <w:rPr>
                <w:rFonts w:ascii="Times New Roman" w:hAnsi="Times New Roman"/>
                <w:bCs/>
              </w:rPr>
            </w:pPr>
            <w:r>
              <w:rPr>
                <w:rFonts w:ascii="Times New Roman" w:hAnsi="Times New Roman"/>
                <w:bCs/>
              </w:rPr>
              <w:t>水质 铁、锰的测定 火焰原子吸收分光光度法 GB/T 11911-1989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85" w:type="dxa"/>
            <w:vAlign w:val="center"/>
          </w:tcPr>
          <w:p>
            <w:pPr>
              <w:pStyle w:val="155"/>
              <w:spacing w:line="240" w:lineRule="auto"/>
              <w:ind w:firstLine="0" w:firstLineChars="0"/>
              <w:jc w:val="center"/>
              <w:rPr>
                <w:bCs/>
                <w:sz w:val="21"/>
                <w:szCs w:val="21"/>
              </w:rPr>
            </w:pPr>
            <w:r>
              <w:rPr>
                <w:bCs/>
                <w:sz w:val="21"/>
                <w:szCs w:val="21"/>
              </w:rPr>
              <w:t>锰</w:t>
            </w:r>
          </w:p>
        </w:tc>
        <w:tc>
          <w:tcPr>
            <w:tcW w:w="6317" w:type="dxa"/>
            <w:vAlign w:val="center"/>
          </w:tcPr>
          <w:p>
            <w:pPr>
              <w:jc w:val="center"/>
              <w:rPr>
                <w:rFonts w:ascii="Times New Roman" w:hAnsi="Times New Roman"/>
                <w:bCs/>
              </w:rPr>
            </w:pPr>
            <w:r>
              <w:rPr>
                <w:rFonts w:ascii="Times New Roman" w:hAnsi="Times New Roman"/>
                <w:bCs/>
              </w:rPr>
              <w:t>水质 铁、锰的测定 火焰原子吸收分光光度法GB/T 11911-1989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85" w:type="dxa"/>
            <w:vAlign w:val="center"/>
          </w:tcPr>
          <w:p>
            <w:pPr>
              <w:pStyle w:val="155"/>
              <w:spacing w:line="240" w:lineRule="auto"/>
              <w:ind w:firstLine="0" w:firstLineChars="0"/>
              <w:jc w:val="center"/>
              <w:rPr>
                <w:bCs/>
                <w:sz w:val="21"/>
                <w:szCs w:val="21"/>
              </w:rPr>
            </w:pPr>
            <w:r>
              <w:rPr>
                <w:bCs/>
                <w:sz w:val="21"/>
                <w:szCs w:val="21"/>
              </w:rPr>
              <w:t>溶解性总固体</w:t>
            </w:r>
          </w:p>
        </w:tc>
        <w:tc>
          <w:tcPr>
            <w:tcW w:w="6317" w:type="dxa"/>
            <w:vAlign w:val="center"/>
          </w:tcPr>
          <w:p>
            <w:pPr>
              <w:jc w:val="center"/>
              <w:rPr>
                <w:rFonts w:ascii="Times New Roman" w:hAnsi="Times New Roman"/>
                <w:bCs/>
              </w:rPr>
            </w:pPr>
            <w:r>
              <w:rPr>
                <w:rFonts w:ascii="Times New Roman" w:hAnsi="Times New Roman"/>
                <w:bCs/>
              </w:rPr>
              <w:t>生活饮用水标准检验方法 感官性状和物理指标</w:t>
            </w:r>
          </w:p>
          <w:p>
            <w:pPr>
              <w:jc w:val="center"/>
              <w:rPr>
                <w:rFonts w:ascii="Times New Roman" w:hAnsi="Times New Roman"/>
                <w:bCs/>
              </w:rPr>
            </w:pPr>
            <w:r>
              <w:rPr>
                <w:rFonts w:ascii="Times New Roman" w:hAnsi="Times New Roman"/>
                <w:bCs/>
              </w:rPr>
              <w:t>重量法GB/T 5750.4-2006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85" w:type="dxa"/>
            <w:vAlign w:val="center"/>
          </w:tcPr>
          <w:p>
            <w:pPr>
              <w:pStyle w:val="155"/>
              <w:spacing w:line="240" w:lineRule="auto"/>
              <w:ind w:firstLine="0" w:firstLineChars="0"/>
              <w:jc w:val="center"/>
              <w:rPr>
                <w:bCs/>
                <w:sz w:val="21"/>
                <w:szCs w:val="21"/>
              </w:rPr>
            </w:pPr>
            <w:r>
              <w:rPr>
                <w:bCs/>
                <w:sz w:val="21"/>
                <w:szCs w:val="21"/>
              </w:rPr>
              <w:t>耗氧量</w:t>
            </w:r>
          </w:p>
        </w:tc>
        <w:tc>
          <w:tcPr>
            <w:tcW w:w="6317" w:type="dxa"/>
            <w:vAlign w:val="center"/>
          </w:tcPr>
          <w:p>
            <w:pPr>
              <w:jc w:val="center"/>
              <w:rPr>
                <w:rFonts w:ascii="Times New Roman" w:hAnsi="Times New Roman"/>
                <w:bCs/>
              </w:rPr>
            </w:pPr>
            <w:r>
              <w:rPr>
                <w:rFonts w:ascii="Times New Roman" w:hAnsi="Times New Roman"/>
                <w:bCs/>
              </w:rPr>
              <w:t>生活饮用水标准检验方法 有机物综合指标</w:t>
            </w:r>
          </w:p>
          <w:p>
            <w:pPr>
              <w:jc w:val="center"/>
              <w:rPr>
                <w:rFonts w:ascii="Times New Roman" w:hAnsi="Times New Roman"/>
                <w:bCs/>
              </w:rPr>
            </w:pPr>
            <w:r>
              <w:rPr>
                <w:rFonts w:ascii="Times New Roman" w:hAnsi="Times New Roman"/>
                <w:bCs/>
              </w:rPr>
              <w:t>1.1酸性高锰酸钾法GB/T5750.7-2006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85" w:type="dxa"/>
            <w:vAlign w:val="center"/>
          </w:tcPr>
          <w:p>
            <w:pPr>
              <w:pStyle w:val="155"/>
              <w:spacing w:line="240" w:lineRule="auto"/>
              <w:ind w:firstLine="0" w:firstLineChars="0"/>
              <w:jc w:val="center"/>
              <w:rPr>
                <w:bCs/>
                <w:sz w:val="21"/>
                <w:szCs w:val="21"/>
              </w:rPr>
            </w:pPr>
            <w:r>
              <w:rPr>
                <w:bCs/>
                <w:sz w:val="21"/>
                <w:szCs w:val="21"/>
              </w:rPr>
              <w:t>硫酸盐</w:t>
            </w:r>
          </w:p>
        </w:tc>
        <w:tc>
          <w:tcPr>
            <w:tcW w:w="6317" w:type="dxa"/>
            <w:vAlign w:val="center"/>
          </w:tcPr>
          <w:p>
            <w:pPr>
              <w:jc w:val="center"/>
              <w:rPr>
                <w:rFonts w:ascii="Times New Roman" w:hAnsi="Times New Roman"/>
                <w:bCs/>
              </w:rPr>
            </w:pPr>
            <w:r>
              <w:rPr>
                <w:rFonts w:ascii="Times New Roman" w:hAnsi="Times New Roman"/>
                <w:bCs/>
              </w:rPr>
              <w:t>水质 硫酸盐的测定 铬酸钡分光光度法（试行）HJ/T 342-2007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85" w:type="dxa"/>
            <w:vAlign w:val="center"/>
          </w:tcPr>
          <w:p>
            <w:pPr>
              <w:pStyle w:val="155"/>
              <w:spacing w:line="240" w:lineRule="auto"/>
              <w:ind w:firstLine="0" w:firstLineChars="0"/>
              <w:jc w:val="center"/>
              <w:rPr>
                <w:bCs/>
                <w:sz w:val="21"/>
                <w:szCs w:val="21"/>
              </w:rPr>
            </w:pPr>
            <w:r>
              <w:rPr>
                <w:bCs/>
                <w:sz w:val="21"/>
                <w:szCs w:val="21"/>
              </w:rPr>
              <w:t>氯化物</w:t>
            </w:r>
          </w:p>
        </w:tc>
        <w:tc>
          <w:tcPr>
            <w:tcW w:w="6317" w:type="dxa"/>
            <w:vAlign w:val="center"/>
          </w:tcPr>
          <w:p>
            <w:pPr>
              <w:jc w:val="center"/>
              <w:rPr>
                <w:rFonts w:ascii="Times New Roman" w:hAnsi="Times New Roman"/>
                <w:bCs/>
              </w:rPr>
            </w:pPr>
            <w:r>
              <w:rPr>
                <w:rFonts w:ascii="Times New Roman" w:hAnsi="Times New Roman"/>
                <w:bCs/>
              </w:rPr>
              <w:t>水质 氯化物的测定 硝酸银滴定法 GB/T 11896-1989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85" w:type="dxa"/>
            <w:vAlign w:val="center"/>
          </w:tcPr>
          <w:p>
            <w:pPr>
              <w:pStyle w:val="155"/>
              <w:spacing w:line="240" w:lineRule="auto"/>
              <w:ind w:firstLine="0" w:firstLineChars="0"/>
              <w:jc w:val="center"/>
              <w:rPr>
                <w:bCs/>
                <w:sz w:val="21"/>
                <w:szCs w:val="21"/>
              </w:rPr>
            </w:pPr>
            <w:r>
              <w:rPr>
                <w:bCs/>
                <w:sz w:val="21"/>
                <w:szCs w:val="21"/>
              </w:rPr>
              <w:t>总大肠菌群</w:t>
            </w:r>
          </w:p>
        </w:tc>
        <w:tc>
          <w:tcPr>
            <w:tcW w:w="6317" w:type="dxa"/>
            <w:vAlign w:val="center"/>
          </w:tcPr>
          <w:p>
            <w:pPr>
              <w:jc w:val="center"/>
              <w:rPr>
                <w:rFonts w:ascii="Times New Roman" w:hAnsi="Times New Roman"/>
                <w:bCs/>
              </w:rPr>
            </w:pPr>
            <w:r>
              <w:rPr>
                <w:rFonts w:ascii="Times New Roman" w:hAnsi="Times New Roman"/>
                <w:bCs/>
              </w:rPr>
              <w:t>《水和废水监测分析方法》（第四版 增补版）</w:t>
            </w:r>
          </w:p>
          <w:p>
            <w:pPr>
              <w:jc w:val="center"/>
              <w:rPr>
                <w:rFonts w:ascii="Times New Roman" w:hAnsi="Times New Roman"/>
                <w:bCs/>
              </w:rPr>
            </w:pPr>
            <w:r>
              <w:rPr>
                <w:rFonts w:ascii="Times New Roman" w:hAnsi="Times New Roman"/>
                <w:bCs/>
              </w:rPr>
              <w:t>国家环保总局（2002）多管发酵法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85" w:type="dxa"/>
            <w:vAlign w:val="center"/>
          </w:tcPr>
          <w:p>
            <w:pPr>
              <w:pStyle w:val="155"/>
              <w:spacing w:line="240" w:lineRule="auto"/>
              <w:ind w:firstLine="0" w:firstLineChars="0"/>
              <w:jc w:val="center"/>
              <w:rPr>
                <w:bCs/>
                <w:sz w:val="21"/>
                <w:szCs w:val="21"/>
              </w:rPr>
            </w:pPr>
            <w:r>
              <w:rPr>
                <w:bCs/>
                <w:sz w:val="21"/>
                <w:szCs w:val="21"/>
              </w:rPr>
              <w:t>菌落总数</w:t>
            </w:r>
          </w:p>
        </w:tc>
        <w:tc>
          <w:tcPr>
            <w:tcW w:w="6317" w:type="dxa"/>
            <w:vAlign w:val="center"/>
          </w:tcPr>
          <w:p>
            <w:pPr>
              <w:jc w:val="center"/>
              <w:rPr>
                <w:rFonts w:ascii="Times New Roman" w:hAnsi="Times New Roman"/>
                <w:bCs/>
              </w:rPr>
            </w:pPr>
            <w:r>
              <w:rPr>
                <w:rFonts w:ascii="Times New Roman" w:hAnsi="Times New Roman"/>
                <w:bCs/>
              </w:rPr>
              <w:t>水中细菌总数的测定《水和废水监测分析方法》（第四版增补版）</w:t>
            </w:r>
          </w:p>
          <w:p>
            <w:pPr>
              <w:jc w:val="center"/>
              <w:rPr>
                <w:rFonts w:ascii="Times New Roman" w:hAnsi="Times New Roman"/>
                <w:bCs/>
              </w:rPr>
            </w:pPr>
            <w:r>
              <w:rPr>
                <w:rFonts w:ascii="Times New Roman" w:hAnsi="Times New Roman"/>
                <w:bCs/>
              </w:rPr>
              <w:t>国家环境保护总局（2002）</w:t>
            </w:r>
          </w:p>
        </w:tc>
      </w:tr>
    </w:tbl>
    <w:p>
      <w:pPr>
        <w:pStyle w:val="155"/>
        <w:spacing w:line="480" w:lineRule="exact"/>
        <w:ind w:firstLine="480"/>
      </w:pPr>
      <w:r>
        <w:t>（5）监测结果统计与分析</w:t>
      </w:r>
    </w:p>
    <w:p>
      <w:pPr>
        <w:pStyle w:val="155"/>
        <w:spacing w:line="480" w:lineRule="exact"/>
        <w:ind w:firstLine="480"/>
        <w:sectPr>
          <w:pgSz w:w="11907" w:h="16839"/>
          <w:pgMar w:top="1440" w:right="1797" w:bottom="1440" w:left="1797" w:header="851" w:footer="850" w:gutter="0"/>
          <w:cols w:space="720" w:num="1"/>
          <w:docGrid w:linePitch="312" w:charSpace="0"/>
        </w:sectPr>
      </w:pPr>
      <w:r>
        <w:t>本项目地下水监测结果见表4.2-9。</w:t>
      </w:r>
    </w:p>
    <w:p>
      <w:pPr>
        <w:pStyle w:val="476"/>
        <w:ind w:right="210"/>
        <w:jc w:val="right"/>
        <w:rPr>
          <w:rFonts w:ascii="Times New Roman" w:hAnsi="Times New Roman"/>
          <w:kern w:val="2"/>
          <w:sz w:val="21"/>
          <w:szCs w:val="21"/>
        </w:rPr>
      </w:pPr>
      <w:r>
        <w:rPr>
          <w:rFonts w:ascii="Times New Roman" w:hAnsi="Times New Roman"/>
          <w:sz w:val="21"/>
          <w:szCs w:val="21"/>
        </w:rPr>
        <w:t xml:space="preserve">表4.2-9 地下水检测结果                                          </w:t>
      </w:r>
      <w:r>
        <w:rPr>
          <w:rFonts w:ascii="Times New Roman" w:hAnsi="Times New Roman"/>
          <w:kern w:val="2"/>
          <w:sz w:val="21"/>
          <w:szCs w:val="21"/>
        </w:rPr>
        <w:t>单位：mg/L</w:t>
      </w:r>
    </w:p>
    <w:tbl>
      <w:tblPr>
        <w:tblStyle w:val="7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2"/>
        <w:gridCol w:w="1766"/>
        <w:gridCol w:w="1373"/>
        <w:gridCol w:w="1373"/>
        <w:gridCol w:w="1373"/>
        <w:gridCol w:w="1373"/>
        <w:gridCol w:w="1373"/>
        <w:gridCol w:w="1373"/>
        <w:gridCol w:w="1225"/>
        <w:gridCol w:w="15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9" w:hRule="atLeast"/>
        </w:trPr>
        <w:tc>
          <w:tcPr>
            <w:tcW w:w="268" w:type="pct"/>
            <w:vMerge w:val="restar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kern w:val="2"/>
              </w:rPr>
              <w:t>序号</w:t>
            </w:r>
          </w:p>
        </w:tc>
        <w:tc>
          <w:tcPr>
            <w:tcW w:w="656" w:type="pct"/>
            <w:vMerge w:val="restar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kern w:val="2"/>
              </w:rPr>
              <w:t>检测项目</w:t>
            </w:r>
          </w:p>
        </w:tc>
        <w:tc>
          <w:tcPr>
            <w:tcW w:w="3515" w:type="pct"/>
            <w:gridSpan w:val="7"/>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2022.05.25</w:t>
            </w:r>
          </w:p>
        </w:tc>
        <w:tc>
          <w:tcPr>
            <w:tcW w:w="561" w:type="pct"/>
            <w:vMerge w:val="restart"/>
            <w:tcBorders>
              <w:top w:val="single" w:color="auto" w:sz="4" w:space="0"/>
              <w:left w:val="single" w:color="auto" w:sz="4" w:space="0"/>
              <w:bottom w:val="single" w:color="auto" w:sz="4" w:space="0"/>
              <w:right w:val="single" w:color="auto" w:sz="4" w:space="0"/>
            </w:tcBorders>
            <w:vAlign w:val="center"/>
          </w:tcPr>
          <w:p>
            <w:pPr>
              <w:snapToGrid w:val="0"/>
              <w:jc w:val="center"/>
              <w:rPr>
                <w:rFonts w:ascii="Times New Roman" w:hAnsi="Times New Roman"/>
                <w:kern w:val="2"/>
              </w:rPr>
            </w:pPr>
            <w:r>
              <w:rPr>
                <w:rFonts w:hint="eastAsia"/>
              </w:rPr>
              <w:t>《地下水质量标准》中Ⅲ类标准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kern w:val="2"/>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kern w:val="2"/>
              </w:rPr>
            </w:pPr>
          </w:p>
        </w:tc>
        <w:tc>
          <w:tcPr>
            <w:tcW w:w="510" w:type="pct"/>
            <w:tcBorders>
              <w:top w:val="single" w:color="auto" w:sz="4" w:space="0"/>
              <w:left w:val="single" w:color="auto" w:sz="4" w:space="0"/>
              <w:bottom w:val="single" w:color="auto" w:sz="4" w:space="0"/>
              <w:right w:val="single" w:color="auto" w:sz="4" w:space="0"/>
            </w:tcBorders>
            <w:vAlign w:val="center"/>
          </w:tcPr>
          <w:p>
            <w:pPr>
              <w:snapToGrid w:val="0"/>
              <w:jc w:val="center"/>
              <w:rPr>
                <w:rFonts w:ascii="Times New Roman" w:hAnsi="Times New Roman"/>
                <w:kern w:val="2"/>
              </w:rPr>
            </w:pPr>
            <w:r>
              <w:rPr>
                <w:rFonts w:ascii="Times New Roman" w:hAnsi="Times New Roman"/>
                <w:kern w:val="2"/>
              </w:rPr>
              <w:t>1</w:t>
            </w:r>
            <w:r>
              <w:rPr>
                <w:rFonts w:ascii="Segoe UI Symbol" w:hAnsi="Segoe UI Symbol"/>
                <w:kern w:val="2"/>
              </w:rPr>
              <w:t>☆</w:t>
            </w:r>
          </w:p>
        </w:tc>
        <w:tc>
          <w:tcPr>
            <w:tcW w:w="510" w:type="pct"/>
            <w:tcBorders>
              <w:top w:val="single" w:color="auto" w:sz="4" w:space="0"/>
              <w:left w:val="single" w:color="auto" w:sz="4" w:space="0"/>
              <w:bottom w:val="single" w:color="auto" w:sz="4" w:space="0"/>
              <w:right w:val="single" w:color="auto" w:sz="4" w:space="0"/>
            </w:tcBorders>
            <w:vAlign w:val="center"/>
          </w:tcPr>
          <w:p>
            <w:pPr>
              <w:snapToGrid w:val="0"/>
              <w:jc w:val="center"/>
              <w:rPr>
                <w:rFonts w:ascii="Times New Roman" w:hAnsi="Times New Roman"/>
                <w:kern w:val="2"/>
              </w:rPr>
            </w:pPr>
            <w:r>
              <w:rPr>
                <w:rFonts w:hint="eastAsia" w:ascii="Times New Roman" w:hAnsi="Times New Roman"/>
                <w:kern w:val="2"/>
              </w:rPr>
              <w:t>2</w:t>
            </w:r>
            <w:r>
              <w:rPr>
                <w:rFonts w:ascii="Segoe UI Symbol" w:hAnsi="Segoe UI Symbol"/>
                <w:kern w:val="2"/>
              </w:rPr>
              <w:t>☆</w:t>
            </w:r>
          </w:p>
        </w:tc>
        <w:tc>
          <w:tcPr>
            <w:tcW w:w="510" w:type="pct"/>
            <w:tcBorders>
              <w:top w:val="single" w:color="auto" w:sz="4" w:space="0"/>
              <w:left w:val="single" w:color="auto" w:sz="4" w:space="0"/>
              <w:bottom w:val="single" w:color="auto" w:sz="4" w:space="0"/>
              <w:right w:val="single" w:color="auto" w:sz="4" w:space="0"/>
            </w:tcBorders>
            <w:vAlign w:val="center"/>
          </w:tcPr>
          <w:p>
            <w:pPr>
              <w:snapToGrid w:val="0"/>
              <w:jc w:val="center"/>
              <w:rPr>
                <w:rFonts w:ascii="Times New Roman" w:hAnsi="Times New Roman"/>
                <w:kern w:val="2"/>
              </w:rPr>
            </w:pPr>
            <w:r>
              <w:rPr>
                <w:rFonts w:hint="eastAsia" w:ascii="Times New Roman" w:hAnsi="Times New Roman"/>
                <w:kern w:val="2"/>
              </w:rPr>
              <w:t>3</w:t>
            </w:r>
            <w:r>
              <w:rPr>
                <w:rFonts w:ascii="Segoe UI Symbol" w:hAnsi="Segoe UI Symbol"/>
                <w:kern w:val="2"/>
              </w:rPr>
              <w:t>☆</w:t>
            </w:r>
          </w:p>
        </w:tc>
        <w:tc>
          <w:tcPr>
            <w:tcW w:w="510" w:type="pct"/>
            <w:tcBorders>
              <w:top w:val="single" w:color="auto" w:sz="4" w:space="0"/>
              <w:left w:val="single" w:color="auto" w:sz="4" w:space="0"/>
              <w:bottom w:val="single" w:color="auto" w:sz="4" w:space="0"/>
              <w:right w:val="single" w:color="auto" w:sz="4" w:space="0"/>
            </w:tcBorders>
            <w:vAlign w:val="center"/>
          </w:tcPr>
          <w:p>
            <w:pPr>
              <w:snapToGrid w:val="0"/>
              <w:jc w:val="center"/>
              <w:rPr>
                <w:rFonts w:ascii="Times New Roman" w:hAnsi="Times New Roman"/>
                <w:kern w:val="2"/>
              </w:rPr>
            </w:pPr>
            <w:r>
              <w:rPr>
                <w:rFonts w:hint="eastAsia" w:ascii="Times New Roman" w:hAnsi="Times New Roman"/>
                <w:kern w:val="2"/>
              </w:rPr>
              <w:t>4</w:t>
            </w:r>
            <w:r>
              <w:rPr>
                <w:rFonts w:ascii="Segoe UI Symbol" w:hAnsi="Segoe UI Symbol"/>
                <w:kern w:val="2"/>
              </w:rPr>
              <w:t>☆</w:t>
            </w:r>
          </w:p>
        </w:tc>
        <w:tc>
          <w:tcPr>
            <w:tcW w:w="510" w:type="pct"/>
            <w:tcBorders>
              <w:top w:val="single" w:color="auto" w:sz="4" w:space="0"/>
              <w:left w:val="single" w:color="auto" w:sz="4" w:space="0"/>
              <w:bottom w:val="single" w:color="auto" w:sz="4" w:space="0"/>
              <w:right w:val="single" w:color="auto" w:sz="4" w:space="0"/>
            </w:tcBorders>
            <w:vAlign w:val="center"/>
          </w:tcPr>
          <w:p>
            <w:pPr>
              <w:snapToGrid w:val="0"/>
              <w:jc w:val="center"/>
              <w:rPr>
                <w:rFonts w:ascii="Times New Roman" w:hAnsi="Times New Roman"/>
                <w:kern w:val="2"/>
              </w:rPr>
            </w:pPr>
            <w:r>
              <w:rPr>
                <w:rFonts w:hint="eastAsia" w:ascii="Times New Roman" w:hAnsi="Times New Roman"/>
                <w:kern w:val="2"/>
              </w:rPr>
              <w:t>5</w:t>
            </w:r>
            <w:r>
              <w:rPr>
                <w:rFonts w:ascii="Segoe UI Symbol" w:hAnsi="Segoe UI Symbol"/>
                <w:kern w:val="2"/>
              </w:rPr>
              <w:t>☆</w:t>
            </w:r>
          </w:p>
        </w:tc>
        <w:tc>
          <w:tcPr>
            <w:tcW w:w="510" w:type="pct"/>
            <w:tcBorders>
              <w:top w:val="single" w:color="auto" w:sz="4" w:space="0"/>
              <w:left w:val="single" w:color="auto" w:sz="4" w:space="0"/>
              <w:bottom w:val="single" w:color="auto" w:sz="4" w:space="0"/>
              <w:right w:val="single" w:color="auto" w:sz="4" w:space="0"/>
            </w:tcBorders>
            <w:vAlign w:val="center"/>
          </w:tcPr>
          <w:p>
            <w:pPr>
              <w:snapToGrid w:val="0"/>
              <w:jc w:val="center"/>
              <w:rPr>
                <w:rFonts w:ascii="Times New Roman" w:hAnsi="Times New Roman"/>
                <w:kern w:val="2"/>
              </w:rPr>
            </w:pPr>
            <w:r>
              <w:rPr>
                <w:rFonts w:hint="eastAsia" w:ascii="Times New Roman" w:hAnsi="Times New Roman"/>
                <w:kern w:val="2"/>
              </w:rPr>
              <w:t>6</w:t>
            </w:r>
            <w:r>
              <w:rPr>
                <w:rFonts w:ascii="Segoe UI Symbol" w:hAnsi="Segoe UI Symbol"/>
                <w:kern w:val="2"/>
              </w:rPr>
              <w:t>☆</w:t>
            </w:r>
          </w:p>
        </w:tc>
        <w:tc>
          <w:tcPr>
            <w:tcW w:w="455" w:type="pct"/>
            <w:tcBorders>
              <w:top w:val="single" w:color="auto" w:sz="4" w:space="0"/>
              <w:left w:val="single" w:color="auto" w:sz="4" w:space="0"/>
              <w:bottom w:val="single" w:color="auto" w:sz="4" w:space="0"/>
              <w:right w:val="single" w:color="auto" w:sz="4" w:space="0"/>
            </w:tcBorders>
            <w:vAlign w:val="center"/>
          </w:tcPr>
          <w:p>
            <w:pPr>
              <w:snapToGrid w:val="0"/>
              <w:jc w:val="center"/>
              <w:rPr>
                <w:rFonts w:ascii="Times New Roman" w:hAnsi="Times New Roman"/>
                <w:kern w:val="2"/>
              </w:rPr>
            </w:pPr>
            <w:r>
              <w:rPr>
                <w:rFonts w:hint="eastAsia" w:ascii="Times New Roman" w:hAnsi="Times New Roman"/>
                <w:kern w:val="2"/>
              </w:rPr>
              <w:t>7</w:t>
            </w:r>
            <w:r>
              <w:rPr>
                <w:rFonts w:ascii="Segoe UI Symbol" w:hAnsi="Segoe UI Symbol"/>
                <w:kern w:val="2"/>
              </w:rPr>
              <w:t>☆</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9" w:hRule="atLeast"/>
        </w:trPr>
        <w:tc>
          <w:tcPr>
            <w:tcW w:w="268"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rPr>
            </w:pPr>
            <w:r>
              <w:rPr>
                <w:rFonts w:hint="eastAsia" w:ascii="Times New Roman" w:hAnsi="Times New Roman"/>
              </w:rPr>
              <w:t>1</w:t>
            </w:r>
          </w:p>
        </w:tc>
        <w:tc>
          <w:tcPr>
            <w:tcW w:w="656" w:type="pct"/>
            <w:tcBorders>
              <w:top w:val="single" w:color="auto" w:sz="4" w:space="0"/>
              <w:left w:val="nil"/>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pH</w:t>
            </w:r>
            <w:r>
              <w:rPr>
                <w:kern w:val="2"/>
              </w:rPr>
              <w:t>值</w:t>
            </w:r>
            <w:r>
              <w:rPr>
                <w:rFonts w:hint="eastAsia"/>
                <w:kern w:val="2"/>
              </w:rPr>
              <w:t>（无量纲）</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7.4</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7.3</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7.1</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6.9</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7.4</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7.0</w:t>
            </w:r>
          </w:p>
        </w:tc>
        <w:tc>
          <w:tcPr>
            <w:tcW w:w="455"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7.6</w:t>
            </w:r>
          </w:p>
        </w:tc>
        <w:tc>
          <w:tcPr>
            <w:tcW w:w="561"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kern w:val="2"/>
              </w:rPr>
            </w:pPr>
            <w:r>
              <w:rPr>
                <w:rFonts w:hint="eastAsia" w:ascii="Times New Roman" w:hAnsi="Times New Roman"/>
                <w:kern w:val="2"/>
              </w:rPr>
              <w:t>6</w:t>
            </w:r>
            <w:r>
              <w:rPr>
                <w:rFonts w:ascii="Times New Roman" w:hAnsi="Times New Roman"/>
                <w:kern w:val="2"/>
              </w:rPr>
              <w:t>.5</w:t>
            </w:r>
            <w:r>
              <w:rPr>
                <w:rFonts w:hint="eastAsia"/>
                <w:kern w:val="2"/>
              </w:rPr>
              <w:t>≤</w:t>
            </w:r>
            <w:r>
              <w:rPr>
                <w:rFonts w:hint="eastAsia" w:ascii="Times New Roman" w:hAnsi="Times New Roman"/>
                <w:kern w:val="2"/>
              </w:rPr>
              <w:t>p</w:t>
            </w:r>
            <w:r>
              <w:rPr>
                <w:rFonts w:ascii="Times New Roman" w:hAnsi="Times New Roman"/>
                <w:kern w:val="2"/>
              </w:rPr>
              <w:t>H</w:t>
            </w:r>
            <w:r>
              <w:rPr>
                <w:rFonts w:hint="eastAsia"/>
                <w:kern w:val="2"/>
              </w:rPr>
              <w:t>≤</w:t>
            </w:r>
            <w:r>
              <w:rPr>
                <w:rFonts w:hint="eastAsia" w:ascii="Times New Roman" w:hAnsi="Times New Roman"/>
                <w:kern w:val="2"/>
              </w:rPr>
              <w:t>8</w:t>
            </w:r>
            <w:r>
              <w:rPr>
                <w:rFonts w:ascii="Times New Roman" w:hAnsi="Times New Roman"/>
                <w:kern w:val="2"/>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68"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rPr>
            </w:pPr>
            <w:r>
              <w:rPr>
                <w:rFonts w:hint="eastAsia" w:ascii="Times New Roman" w:hAnsi="Times New Roman"/>
              </w:rPr>
              <w:t>2</w:t>
            </w:r>
          </w:p>
        </w:tc>
        <w:tc>
          <w:tcPr>
            <w:tcW w:w="656" w:type="pct"/>
            <w:tcBorders>
              <w:top w:val="single" w:color="auto" w:sz="4" w:space="0"/>
              <w:left w:val="nil"/>
              <w:bottom w:val="single" w:color="auto" w:sz="4" w:space="0"/>
              <w:right w:val="single" w:color="auto" w:sz="4" w:space="0"/>
            </w:tcBorders>
            <w:vAlign w:val="center"/>
          </w:tcPr>
          <w:p>
            <w:pPr>
              <w:jc w:val="center"/>
              <w:rPr>
                <w:rFonts w:ascii="Times New Roman" w:hAnsi="Times New Roman"/>
                <w:kern w:val="2"/>
              </w:rPr>
            </w:pPr>
            <w:r>
              <w:rPr>
                <w:kern w:val="2"/>
              </w:rPr>
              <w:t>氨氮</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0.025L</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0.025L</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0.025L</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0.025L</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0.025L</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0.025L</w:t>
            </w:r>
          </w:p>
        </w:tc>
        <w:tc>
          <w:tcPr>
            <w:tcW w:w="455"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0.025L</w:t>
            </w:r>
          </w:p>
        </w:tc>
        <w:tc>
          <w:tcPr>
            <w:tcW w:w="561"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kern w:val="2"/>
              </w:rPr>
            </w:pPr>
            <w:r>
              <w:rPr>
                <w:rFonts w:hint="eastAsia"/>
                <w:kern w:val="2"/>
              </w:rPr>
              <w:t>≤</w:t>
            </w:r>
            <w:r>
              <w:rPr>
                <w:rFonts w:hint="eastAsia" w:ascii="Times New Roman" w:hAnsi="Times New Roman"/>
                <w:kern w:val="2"/>
              </w:rPr>
              <w:t>0</w:t>
            </w:r>
            <w:r>
              <w:rPr>
                <w:rFonts w:ascii="Times New Roman" w:hAnsi="Times New Roman"/>
                <w:kern w:val="2"/>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68"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rPr>
            </w:pPr>
            <w:r>
              <w:rPr>
                <w:rFonts w:hint="eastAsia" w:ascii="Times New Roman" w:hAnsi="Times New Roman"/>
              </w:rPr>
              <w:t>3</w:t>
            </w:r>
          </w:p>
        </w:tc>
        <w:tc>
          <w:tcPr>
            <w:tcW w:w="656" w:type="pct"/>
            <w:tcBorders>
              <w:top w:val="single" w:color="auto" w:sz="4" w:space="0"/>
              <w:left w:val="nil"/>
              <w:bottom w:val="single" w:color="auto" w:sz="4" w:space="0"/>
              <w:right w:val="single" w:color="auto" w:sz="4" w:space="0"/>
            </w:tcBorders>
            <w:vAlign w:val="center"/>
          </w:tcPr>
          <w:p>
            <w:pPr>
              <w:jc w:val="center"/>
              <w:rPr>
                <w:rFonts w:ascii="Times New Roman" w:hAnsi="Times New Roman"/>
                <w:kern w:val="2"/>
              </w:rPr>
            </w:pPr>
            <w:r>
              <w:rPr>
                <w:kern w:val="2"/>
              </w:rPr>
              <w:t>挥发酚</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0.0003L</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0.0003L</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0.0003L</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0.0003L</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0.0003L</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0.0003L</w:t>
            </w:r>
          </w:p>
        </w:tc>
        <w:tc>
          <w:tcPr>
            <w:tcW w:w="455"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0.0003L</w:t>
            </w:r>
          </w:p>
        </w:tc>
        <w:tc>
          <w:tcPr>
            <w:tcW w:w="561"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kern w:val="2"/>
              </w:rPr>
            </w:pPr>
            <w:r>
              <w:rPr>
                <w:rFonts w:hint="eastAsia"/>
                <w:kern w:val="2"/>
              </w:rPr>
              <w:t>≤</w:t>
            </w:r>
            <w:r>
              <w:rPr>
                <w:rFonts w:hint="eastAsia" w:ascii="Times New Roman" w:hAnsi="Times New Roman"/>
                <w:kern w:val="2"/>
              </w:rPr>
              <w:t>0</w:t>
            </w:r>
            <w:r>
              <w:rPr>
                <w:rFonts w:ascii="Times New Roman" w:hAnsi="Times New Roman"/>
                <w:kern w:val="2"/>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68"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rPr>
            </w:pPr>
            <w:r>
              <w:rPr>
                <w:rFonts w:hint="eastAsia" w:ascii="Times New Roman" w:hAnsi="Times New Roman"/>
              </w:rPr>
              <w:t>4</w:t>
            </w:r>
          </w:p>
        </w:tc>
        <w:tc>
          <w:tcPr>
            <w:tcW w:w="656" w:type="pct"/>
            <w:tcBorders>
              <w:top w:val="single" w:color="auto" w:sz="4" w:space="0"/>
              <w:left w:val="nil"/>
              <w:bottom w:val="single" w:color="auto" w:sz="4" w:space="0"/>
              <w:right w:val="single" w:color="auto" w:sz="4" w:space="0"/>
            </w:tcBorders>
            <w:vAlign w:val="center"/>
          </w:tcPr>
          <w:p>
            <w:pPr>
              <w:jc w:val="center"/>
              <w:rPr>
                <w:rFonts w:ascii="Times New Roman" w:hAnsi="Times New Roman"/>
                <w:kern w:val="2"/>
              </w:rPr>
            </w:pPr>
            <w:r>
              <w:rPr>
                <w:kern w:val="2"/>
              </w:rPr>
              <w:t>氰化物</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0.004L</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0.004L</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0.004L</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0.004L</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0.004L</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0.004L</w:t>
            </w:r>
          </w:p>
        </w:tc>
        <w:tc>
          <w:tcPr>
            <w:tcW w:w="455"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0.004L</w:t>
            </w:r>
          </w:p>
        </w:tc>
        <w:tc>
          <w:tcPr>
            <w:tcW w:w="561"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kern w:val="2"/>
              </w:rPr>
            </w:pPr>
            <w:r>
              <w:rPr>
                <w:rFonts w:hint="eastAsia"/>
                <w:kern w:val="2"/>
              </w:rPr>
              <w:t>≤</w:t>
            </w:r>
            <w:r>
              <w:rPr>
                <w:rFonts w:hint="eastAsia" w:ascii="Times New Roman" w:hAnsi="Times New Roman"/>
                <w:kern w:val="2"/>
              </w:rPr>
              <w:t>0</w:t>
            </w:r>
            <w:r>
              <w:rPr>
                <w:rFonts w:ascii="Times New Roman" w:hAnsi="Times New Roman"/>
                <w:kern w:val="2"/>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68"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rPr>
            </w:pPr>
            <w:r>
              <w:rPr>
                <w:rFonts w:hint="eastAsia" w:ascii="Times New Roman" w:hAnsi="Times New Roman"/>
              </w:rPr>
              <w:t>5</w:t>
            </w:r>
          </w:p>
        </w:tc>
        <w:tc>
          <w:tcPr>
            <w:tcW w:w="656" w:type="pct"/>
            <w:tcBorders>
              <w:top w:val="single" w:color="auto" w:sz="4" w:space="0"/>
              <w:left w:val="nil"/>
              <w:bottom w:val="single" w:color="auto" w:sz="4" w:space="0"/>
              <w:right w:val="single" w:color="auto" w:sz="4" w:space="0"/>
            </w:tcBorders>
            <w:vAlign w:val="center"/>
          </w:tcPr>
          <w:p>
            <w:pPr>
              <w:jc w:val="center"/>
              <w:rPr>
                <w:rFonts w:ascii="Times New Roman" w:hAnsi="Times New Roman"/>
                <w:kern w:val="2"/>
              </w:rPr>
            </w:pPr>
            <w:r>
              <w:rPr>
                <w:kern w:val="2"/>
              </w:rPr>
              <w:t>汞</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0.00001L</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0.00001L</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0.00001L</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0.00001L</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0.00001L</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0.00001L</w:t>
            </w:r>
          </w:p>
        </w:tc>
        <w:tc>
          <w:tcPr>
            <w:tcW w:w="455"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0.00001L</w:t>
            </w:r>
          </w:p>
        </w:tc>
        <w:tc>
          <w:tcPr>
            <w:tcW w:w="561"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kern w:val="2"/>
              </w:rPr>
            </w:pPr>
            <w:r>
              <w:rPr>
                <w:rFonts w:hint="eastAsia"/>
                <w:kern w:val="2"/>
              </w:rPr>
              <w:t>≤</w:t>
            </w:r>
            <w:r>
              <w:rPr>
                <w:rFonts w:hint="eastAsia" w:ascii="Times New Roman" w:hAnsi="Times New Roman"/>
                <w:kern w:val="2"/>
              </w:rPr>
              <w:t>0</w:t>
            </w:r>
            <w:r>
              <w:rPr>
                <w:rFonts w:ascii="Times New Roman" w:hAnsi="Times New Roman"/>
                <w:kern w:val="2"/>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9" w:hRule="atLeast"/>
        </w:trPr>
        <w:tc>
          <w:tcPr>
            <w:tcW w:w="268"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rPr>
            </w:pPr>
            <w:r>
              <w:rPr>
                <w:rFonts w:hint="eastAsia" w:ascii="Times New Roman" w:hAnsi="Times New Roman"/>
              </w:rPr>
              <w:t>6</w:t>
            </w:r>
          </w:p>
        </w:tc>
        <w:tc>
          <w:tcPr>
            <w:tcW w:w="656" w:type="pct"/>
            <w:tcBorders>
              <w:top w:val="single" w:color="auto" w:sz="4" w:space="0"/>
              <w:left w:val="nil"/>
              <w:bottom w:val="single" w:color="auto" w:sz="4" w:space="0"/>
              <w:right w:val="single" w:color="auto" w:sz="4" w:space="0"/>
            </w:tcBorders>
            <w:vAlign w:val="center"/>
          </w:tcPr>
          <w:p>
            <w:pPr>
              <w:jc w:val="center"/>
              <w:rPr>
                <w:rFonts w:ascii="Times New Roman" w:hAnsi="Times New Roman"/>
                <w:kern w:val="2"/>
              </w:rPr>
            </w:pPr>
            <w:r>
              <w:rPr>
                <w:kern w:val="2"/>
              </w:rPr>
              <w:t>镉</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0.0001L</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0.0001L</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0.0001L</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0.0001L</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0.0001L</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0.0001L</w:t>
            </w:r>
          </w:p>
        </w:tc>
        <w:tc>
          <w:tcPr>
            <w:tcW w:w="455"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0.0001L</w:t>
            </w:r>
          </w:p>
        </w:tc>
        <w:tc>
          <w:tcPr>
            <w:tcW w:w="561"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kern w:val="2"/>
              </w:rPr>
            </w:pPr>
            <w:r>
              <w:rPr>
                <w:rFonts w:hint="eastAsia"/>
                <w:kern w:val="2"/>
              </w:rPr>
              <w:t>≤</w:t>
            </w:r>
            <w:r>
              <w:rPr>
                <w:rFonts w:hint="eastAsia" w:ascii="Times New Roman" w:hAnsi="Times New Roman"/>
                <w:kern w:val="2"/>
              </w:rPr>
              <w:t>0</w:t>
            </w:r>
            <w:r>
              <w:rPr>
                <w:rFonts w:ascii="Times New Roman" w:hAnsi="Times New Roman"/>
                <w:kern w:val="2"/>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9" w:hRule="atLeast"/>
        </w:trPr>
        <w:tc>
          <w:tcPr>
            <w:tcW w:w="268"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rPr>
            </w:pPr>
            <w:r>
              <w:rPr>
                <w:rFonts w:hint="eastAsia" w:ascii="Times New Roman" w:hAnsi="Times New Roman"/>
              </w:rPr>
              <w:t>7</w:t>
            </w:r>
          </w:p>
        </w:tc>
        <w:tc>
          <w:tcPr>
            <w:tcW w:w="656" w:type="pct"/>
            <w:tcBorders>
              <w:top w:val="single" w:color="auto" w:sz="4" w:space="0"/>
              <w:left w:val="nil"/>
              <w:bottom w:val="single" w:color="auto" w:sz="4" w:space="0"/>
              <w:right w:val="single" w:color="auto" w:sz="4" w:space="0"/>
            </w:tcBorders>
            <w:vAlign w:val="center"/>
          </w:tcPr>
          <w:p>
            <w:pPr>
              <w:jc w:val="center"/>
              <w:rPr>
                <w:rFonts w:ascii="Times New Roman" w:hAnsi="Times New Roman"/>
                <w:kern w:val="2"/>
              </w:rPr>
            </w:pPr>
            <w:r>
              <w:rPr>
                <w:kern w:val="2"/>
              </w:rPr>
              <w:t>六价铬</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0.004L</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0.004L</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0.004L</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0.004L</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0.004L</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0.004L</w:t>
            </w:r>
          </w:p>
        </w:tc>
        <w:tc>
          <w:tcPr>
            <w:tcW w:w="455"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0.004L</w:t>
            </w:r>
          </w:p>
        </w:tc>
        <w:tc>
          <w:tcPr>
            <w:tcW w:w="561"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kern w:val="2"/>
              </w:rPr>
            </w:pPr>
            <w:r>
              <w:rPr>
                <w:rFonts w:hint="eastAsia"/>
                <w:kern w:val="2"/>
              </w:rPr>
              <w:t>≤</w:t>
            </w:r>
            <w:r>
              <w:rPr>
                <w:rFonts w:hint="eastAsia" w:ascii="Times New Roman" w:hAnsi="Times New Roman"/>
                <w:kern w:val="2"/>
              </w:rPr>
              <w:t>0</w:t>
            </w:r>
            <w:r>
              <w:rPr>
                <w:rFonts w:ascii="Times New Roman" w:hAnsi="Times New Roman"/>
                <w:kern w:val="2"/>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9" w:hRule="atLeast"/>
        </w:trPr>
        <w:tc>
          <w:tcPr>
            <w:tcW w:w="268"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rPr>
            </w:pPr>
            <w:r>
              <w:rPr>
                <w:rFonts w:hint="eastAsia" w:ascii="Times New Roman" w:hAnsi="Times New Roman"/>
              </w:rPr>
              <w:t>8</w:t>
            </w:r>
          </w:p>
        </w:tc>
        <w:tc>
          <w:tcPr>
            <w:tcW w:w="656" w:type="pct"/>
            <w:tcBorders>
              <w:top w:val="single" w:color="auto" w:sz="4" w:space="0"/>
              <w:left w:val="nil"/>
              <w:bottom w:val="single" w:color="auto" w:sz="4" w:space="0"/>
              <w:right w:val="single" w:color="auto" w:sz="4" w:space="0"/>
            </w:tcBorders>
            <w:vAlign w:val="center"/>
          </w:tcPr>
          <w:p>
            <w:pPr>
              <w:jc w:val="center"/>
              <w:rPr>
                <w:rFonts w:ascii="Times New Roman" w:hAnsi="Times New Roman"/>
                <w:kern w:val="2"/>
              </w:rPr>
            </w:pPr>
            <w:r>
              <w:rPr>
                <w:kern w:val="2"/>
              </w:rPr>
              <w:t>砷</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0.0003L</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0.0003L</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0.0003L</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0.0003L</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0.0003L</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0.0003L</w:t>
            </w:r>
          </w:p>
        </w:tc>
        <w:tc>
          <w:tcPr>
            <w:tcW w:w="455"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0.0003L</w:t>
            </w:r>
          </w:p>
        </w:tc>
        <w:tc>
          <w:tcPr>
            <w:tcW w:w="561"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kern w:val="2"/>
              </w:rPr>
            </w:pPr>
            <w:r>
              <w:rPr>
                <w:rFonts w:hint="eastAsia"/>
                <w:kern w:val="2"/>
              </w:rPr>
              <w:t>≤</w:t>
            </w:r>
            <w:r>
              <w:rPr>
                <w:rFonts w:hint="eastAsia" w:ascii="Times New Roman" w:hAnsi="Times New Roman"/>
                <w:kern w:val="2"/>
              </w:rPr>
              <w:t>0</w:t>
            </w:r>
            <w:r>
              <w:rPr>
                <w:rFonts w:ascii="Times New Roman" w:hAnsi="Times New Roman"/>
                <w:kern w:val="2"/>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68"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rPr>
            </w:pPr>
            <w:r>
              <w:rPr>
                <w:rFonts w:hint="eastAsia" w:ascii="Times New Roman" w:hAnsi="Times New Roman"/>
              </w:rPr>
              <w:t>9</w:t>
            </w:r>
          </w:p>
        </w:tc>
        <w:tc>
          <w:tcPr>
            <w:tcW w:w="656" w:type="pct"/>
            <w:tcBorders>
              <w:top w:val="single" w:color="auto" w:sz="4" w:space="0"/>
              <w:left w:val="nil"/>
              <w:bottom w:val="single" w:color="auto" w:sz="4" w:space="0"/>
              <w:right w:val="single" w:color="auto" w:sz="4" w:space="0"/>
            </w:tcBorders>
            <w:vAlign w:val="center"/>
          </w:tcPr>
          <w:p>
            <w:pPr>
              <w:jc w:val="center"/>
              <w:rPr>
                <w:rFonts w:ascii="Times New Roman" w:hAnsi="Times New Roman"/>
                <w:kern w:val="2"/>
              </w:rPr>
            </w:pPr>
            <w:r>
              <w:rPr>
                <w:kern w:val="2"/>
              </w:rPr>
              <w:t>铅</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0.010L</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0.010L</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0.010L</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0.010L</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0.010L</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0.010L</w:t>
            </w:r>
          </w:p>
        </w:tc>
        <w:tc>
          <w:tcPr>
            <w:tcW w:w="455"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0.010L</w:t>
            </w:r>
          </w:p>
        </w:tc>
        <w:tc>
          <w:tcPr>
            <w:tcW w:w="561"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kern w:val="2"/>
              </w:rPr>
            </w:pPr>
            <w:r>
              <w:rPr>
                <w:rFonts w:hint="eastAsia"/>
                <w:kern w:val="2"/>
              </w:rPr>
              <w:t>≤</w:t>
            </w:r>
            <w:r>
              <w:rPr>
                <w:rFonts w:hint="eastAsia" w:ascii="Times New Roman" w:hAnsi="Times New Roman"/>
                <w:kern w:val="2"/>
              </w:rPr>
              <w:t>0</w:t>
            </w:r>
            <w:r>
              <w:rPr>
                <w:rFonts w:ascii="Times New Roman" w:hAnsi="Times New Roman"/>
                <w:kern w:val="2"/>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68"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rPr>
            </w:pPr>
            <w:r>
              <w:rPr>
                <w:rFonts w:hint="eastAsia" w:ascii="Times New Roman" w:hAnsi="Times New Roman"/>
              </w:rPr>
              <w:t>1</w:t>
            </w:r>
            <w:r>
              <w:rPr>
                <w:rFonts w:ascii="Times New Roman" w:hAnsi="Times New Roman"/>
              </w:rPr>
              <w:t>0</w:t>
            </w:r>
          </w:p>
        </w:tc>
        <w:tc>
          <w:tcPr>
            <w:tcW w:w="656" w:type="pct"/>
            <w:tcBorders>
              <w:top w:val="single" w:color="auto" w:sz="4" w:space="0"/>
              <w:left w:val="nil"/>
              <w:bottom w:val="single" w:color="auto" w:sz="4" w:space="0"/>
              <w:right w:val="single" w:color="auto" w:sz="4" w:space="0"/>
            </w:tcBorders>
            <w:vAlign w:val="center"/>
          </w:tcPr>
          <w:p>
            <w:pPr>
              <w:jc w:val="center"/>
              <w:rPr>
                <w:rFonts w:ascii="Times New Roman" w:hAnsi="Times New Roman"/>
                <w:kern w:val="2"/>
              </w:rPr>
            </w:pPr>
            <w:r>
              <w:rPr>
                <w:rFonts w:hint="eastAsia"/>
                <w:kern w:val="2"/>
              </w:rPr>
              <w:t>总硬度</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104</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99</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123</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109</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82</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78</w:t>
            </w:r>
          </w:p>
        </w:tc>
        <w:tc>
          <w:tcPr>
            <w:tcW w:w="455"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86</w:t>
            </w:r>
          </w:p>
        </w:tc>
        <w:tc>
          <w:tcPr>
            <w:tcW w:w="561"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kern w:val="2"/>
              </w:rPr>
            </w:pPr>
            <w:r>
              <w:rPr>
                <w:rFonts w:hint="eastAsia"/>
                <w:kern w:val="2"/>
              </w:rPr>
              <w:t>≤</w:t>
            </w:r>
            <w:r>
              <w:rPr>
                <w:rFonts w:hint="eastAsia" w:ascii="Times New Roman" w:hAnsi="Times New Roman"/>
                <w:kern w:val="2"/>
              </w:rPr>
              <w:t>4</w:t>
            </w:r>
            <w:r>
              <w:rPr>
                <w:rFonts w:ascii="Times New Roman" w:hAnsi="Times New Roman"/>
                <w:kern w:val="2"/>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68"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rPr>
            </w:pPr>
            <w:r>
              <w:rPr>
                <w:rFonts w:hint="eastAsia" w:ascii="Times New Roman" w:hAnsi="Times New Roman"/>
              </w:rPr>
              <w:t>1</w:t>
            </w:r>
            <w:r>
              <w:rPr>
                <w:rFonts w:ascii="Times New Roman" w:hAnsi="Times New Roman"/>
              </w:rPr>
              <w:t>1</w:t>
            </w:r>
          </w:p>
        </w:tc>
        <w:tc>
          <w:tcPr>
            <w:tcW w:w="656"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kern w:val="2"/>
              </w:rPr>
              <w:t>耗氧量</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2.6</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1.9</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2.2</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2.5</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1.7</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1.4</w:t>
            </w:r>
          </w:p>
        </w:tc>
        <w:tc>
          <w:tcPr>
            <w:tcW w:w="455"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2.3</w:t>
            </w:r>
          </w:p>
        </w:tc>
        <w:tc>
          <w:tcPr>
            <w:tcW w:w="561"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kern w:val="2"/>
              </w:rPr>
            </w:pPr>
            <w:r>
              <w:rPr>
                <w:rFonts w:hint="eastAsia"/>
                <w:kern w:val="2"/>
              </w:rPr>
              <w:t>≤</w:t>
            </w:r>
            <w:r>
              <w:rPr>
                <w:rFonts w:hint="eastAsia" w:ascii="Times New Roman" w:hAnsi="Times New Roman"/>
                <w:kern w:val="2"/>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68"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rPr>
            </w:pPr>
            <w:r>
              <w:rPr>
                <w:rFonts w:hint="eastAsia" w:ascii="Times New Roman" w:hAnsi="Times New Roman"/>
              </w:rPr>
              <w:t>1</w:t>
            </w:r>
            <w:r>
              <w:rPr>
                <w:rFonts w:ascii="Times New Roman" w:hAnsi="Times New Roman"/>
              </w:rPr>
              <w:t>2</w:t>
            </w:r>
          </w:p>
        </w:tc>
        <w:tc>
          <w:tcPr>
            <w:tcW w:w="656"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kern w:val="2"/>
              </w:rPr>
              <w:t>氟化物</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0.223</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0.347</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0.294</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0.163</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0.278</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0.236</w:t>
            </w:r>
          </w:p>
        </w:tc>
        <w:tc>
          <w:tcPr>
            <w:tcW w:w="455"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0.197</w:t>
            </w:r>
          </w:p>
        </w:tc>
        <w:tc>
          <w:tcPr>
            <w:tcW w:w="561"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kern w:val="2"/>
              </w:rPr>
            </w:pPr>
            <w:r>
              <w:rPr>
                <w:rFonts w:hint="eastAsia"/>
                <w:kern w:val="2"/>
              </w:rPr>
              <w:t>≤</w:t>
            </w:r>
            <w:r>
              <w:rPr>
                <w:rFonts w:hint="eastAsia" w:ascii="Times New Roman" w:hAnsi="Times New Roman"/>
                <w:kern w:val="2"/>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68"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rPr>
            </w:pPr>
            <w:r>
              <w:rPr>
                <w:rFonts w:hint="eastAsia" w:ascii="Times New Roman" w:hAnsi="Times New Roman"/>
              </w:rPr>
              <w:t>1</w:t>
            </w:r>
            <w:r>
              <w:rPr>
                <w:rFonts w:ascii="Times New Roman" w:hAnsi="Times New Roman"/>
              </w:rPr>
              <w:t>3</w:t>
            </w:r>
          </w:p>
        </w:tc>
        <w:tc>
          <w:tcPr>
            <w:tcW w:w="656"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kern w:val="2"/>
              </w:rPr>
              <w:t>铁</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0.03L</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0.03L</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0.03L</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0.03L</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0.03L</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0.03L</w:t>
            </w:r>
          </w:p>
        </w:tc>
        <w:tc>
          <w:tcPr>
            <w:tcW w:w="455"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0.03L</w:t>
            </w:r>
          </w:p>
        </w:tc>
        <w:tc>
          <w:tcPr>
            <w:tcW w:w="561"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kern w:val="2"/>
              </w:rPr>
            </w:pPr>
            <w:r>
              <w:rPr>
                <w:rFonts w:hint="eastAsia"/>
                <w:kern w:val="2"/>
              </w:rPr>
              <w:t>≤</w:t>
            </w:r>
            <w:r>
              <w:rPr>
                <w:rFonts w:hint="eastAsia" w:ascii="Times New Roman" w:hAnsi="Times New Roman"/>
                <w:kern w:val="2"/>
              </w:rPr>
              <w:t>0</w:t>
            </w:r>
            <w:r>
              <w:rPr>
                <w:rFonts w:ascii="Times New Roman" w:hAnsi="Times New Roman"/>
                <w:kern w:val="2"/>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9" w:hRule="atLeast"/>
        </w:trPr>
        <w:tc>
          <w:tcPr>
            <w:tcW w:w="268"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rPr>
            </w:pPr>
            <w:r>
              <w:rPr>
                <w:rFonts w:hint="eastAsia" w:ascii="Times New Roman" w:hAnsi="Times New Roman"/>
              </w:rPr>
              <w:t>1</w:t>
            </w:r>
            <w:r>
              <w:rPr>
                <w:rFonts w:ascii="Times New Roman" w:hAnsi="Times New Roman"/>
              </w:rPr>
              <w:t>4</w:t>
            </w:r>
          </w:p>
        </w:tc>
        <w:tc>
          <w:tcPr>
            <w:tcW w:w="656"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kern w:val="2"/>
              </w:rPr>
              <w:t>锰</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0.01L</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0.01L</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0.01L</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0.01L</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0.01L</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0.01L</w:t>
            </w:r>
          </w:p>
        </w:tc>
        <w:tc>
          <w:tcPr>
            <w:tcW w:w="455"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0.01L</w:t>
            </w:r>
          </w:p>
        </w:tc>
        <w:tc>
          <w:tcPr>
            <w:tcW w:w="561"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kern w:val="2"/>
              </w:rPr>
            </w:pPr>
            <w:r>
              <w:rPr>
                <w:rFonts w:hint="eastAsia"/>
                <w:kern w:val="2"/>
              </w:rPr>
              <w:t>≤</w:t>
            </w:r>
            <w:r>
              <w:rPr>
                <w:rFonts w:hint="eastAsia" w:ascii="Times New Roman" w:hAnsi="Times New Roman"/>
                <w:kern w:val="2"/>
              </w:rPr>
              <w:t>0</w:t>
            </w:r>
            <w:r>
              <w:rPr>
                <w:rFonts w:ascii="Times New Roman" w:hAnsi="Times New Roman"/>
                <w:kern w:val="2"/>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68"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rPr>
            </w:pPr>
            <w:r>
              <w:rPr>
                <w:rFonts w:hint="eastAsia" w:ascii="Times New Roman" w:hAnsi="Times New Roman"/>
              </w:rPr>
              <w:t>1</w:t>
            </w:r>
            <w:r>
              <w:rPr>
                <w:rFonts w:ascii="Times New Roman" w:hAnsi="Times New Roman"/>
              </w:rPr>
              <w:t>5</w:t>
            </w:r>
          </w:p>
        </w:tc>
        <w:tc>
          <w:tcPr>
            <w:tcW w:w="656"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kern w:val="2"/>
              </w:rPr>
              <w:t>硝酸盐（以</w:t>
            </w:r>
            <w:r>
              <w:rPr>
                <w:rFonts w:hint="eastAsia" w:ascii="Times New Roman" w:hAnsi="Times New Roman"/>
                <w:kern w:val="2"/>
              </w:rPr>
              <w:t>N</w:t>
            </w:r>
            <w:r>
              <w:rPr>
                <w:rFonts w:hint="eastAsia"/>
                <w:kern w:val="2"/>
              </w:rPr>
              <w:t>计）</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7.30</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8.62</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8.16</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7.98</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7.54</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9.24</w:t>
            </w:r>
          </w:p>
        </w:tc>
        <w:tc>
          <w:tcPr>
            <w:tcW w:w="455"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7.11</w:t>
            </w:r>
          </w:p>
        </w:tc>
        <w:tc>
          <w:tcPr>
            <w:tcW w:w="561"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kern w:val="2"/>
              </w:rPr>
            </w:pPr>
            <w:r>
              <w:rPr>
                <w:rFonts w:hint="eastAsia"/>
                <w:kern w:val="2"/>
              </w:rPr>
              <w:t>≤</w:t>
            </w:r>
            <w:r>
              <w:rPr>
                <w:rFonts w:hint="eastAsia" w:ascii="Times New Roman" w:hAnsi="Times New Roman"/>
                <w:kern w:val="2"/>
              </w:rPr>
              <w:t>2</w:t>
            </w:r>
            <w:r>
              <w:rPr>
                <w:rFonts w:ascii="Times New Roman" w:hAnsi="Times New Roman"/>
                <w:kern w:val="2"/>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68"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rPr>
            </w:pPr>
            <w:r>
              <w:rPr>
                <w:rFonts w:hint="eastAsia" w:ascii="Times New Roman" w:hAnsi="Times New Roman"/>
              </w:rPr>
              <w:t>1</w:t>
            </w:r>
            <w:r>
              <w:rPr>
                <w:rFonts w:ascii="Times New Roman" w:hAnsi="Times New Roman"/>
              </w:rPr>
              <w:t>6</w:t>
            </w:r>
          </w:p>
        </w:tc>
        <w:tc>
          <w:tcPr>
            <w:tcW w:w="656"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kern w:val="2"/>
              </w:rPr>
              <w:t>亚硝酸盐氮</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0.03L</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0.03L</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0.03L</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0.03L</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0.03L</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0.03L</w:t>
            </w:r>
          </w:p>
        </w:tc>
        <w:tc>
          <w:tcPr>
            <w:tcW w:w="455"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0.03L</w:t>
            </w:r>
          </w:p>
        </w:tc>
        <w:tc>
          <w:tcPr>
            <w:tcW w:w="561"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kern w:val="2"/>
              </w:rPr>
            </w:pPr>
            <w:r>
              <w:rPr>
                <w:rFonts w:hint="eastAsia"/>
                <w:kern w:val="2"/>
              </w:rPr>
              <w:t>≤</w:t>
            </w:r>
            <w:r>
              <w:rPr>
                <w:rFonts w:hint="eastAsia" w:ascii="Times New Roman" w:hAnsi="Times New Roman"/>
                <w:kern w:val="2"/>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68"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rPr>
            </w:pPr>
            <w:r>
              <w:rPr>
                <w:rFonts w:hint="eastAsia" w:ascii="Times New Roman" w:hAnsi="Times New Roman"/>
              </w:rPr>
              <w:t>1</w:t>
            </w:r>
            <w:r>
              <w:rPr>
                <w:rFonts w:ascii="Times New Roman" w:hAnsi="Times New Roman"/>
              </w:rPr>
              <w:t>7</w:t>
            </w:r>
          </w:p>
        </w:tc>
        <w:tc>
          <w:tcPr>
            <w:tcW w:w="656"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kern w:val="2"/>
              </w:rPr>
              <w:t>硫酸盐</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20</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25</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19</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18</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19</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17</w:t>
            </w:r>
          </w:p>
        </w:tc>
        <w:tc>
          <w:tcPr>
            <w:tcW w:w="455"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22</w:t>
            </w:r>
          </w:p>
        </w:tc>
        <w:tc>
          <w:tcPr>
            <w:tcW w:w="561"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kern w:val="2"/>
              </w:rPr>
            </w:pPr>
            <w:r>
              <w:rPr>
                <w:rFonts w:hint="eastAsia"/>
                <w:kern w:val="2"/>
              </w:rPr>
              <w:t>≤</w:t>
            </w:r>
            <w:r>
              <w:rPr>
                <w:rFonts w:ascii="Times New Roman" w:hAnsi="Times New Roman"/>
                <w:kern w:val="2"/>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9" w:hRule="atLeast"/>
        </w:trPr>
        <w:tc>
          <w:tcPr>
            <w:tcW w:w="268"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rPr>
            </w:pPr>
            <w:r>
              <w:rPr>
                <w:rFonts w:hint="eastAsia" w:ascii="Times New Roman" w:hAnsi="Times New Roman"/>
              </w:rPr>
              <w:t>1</w:t>
            </w:r>
            <w:r>
              <w:rPr>
                <w:rFonts w:ascii="Times New Roman" w:hAnsi="Times New Roman"/>
              </w:rPr>
              <w:t>8</w:t>
            </w:r>
          </w:p>
        </w:tc>
        <w:tc>
          <w:tcPr>
            <w:tcW w:w="656"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kern w:val="2"/>
              </w:rPr>
              <w:t>氯化物</w:t>
            </w:r>
          </w:p>
        </w:tc>
        <w:tc>
          <w:tcPr>
            <w:tcW w:w="510"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Times New Roman" w:hAnsi="Times New Roman"/>
                <w:kern w:val="2"/>
              </w:rPr>
            </w:pPr>
            <w:r>
              <w:rPr>
                <w:rFonts w:hint="eastAsia" w:ascii="Times New Roman" w:hAnsi="Times New Roman"/>
              </w:rPr>
              <w:t>9.1</w:t>
            </w:r>
          </w:p>
        </w:tc>
        <w:tc>
          <w:tcPr>
            <w:tcW w:w="510"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Times New Roman" w:hAnsi="Times New Roman"/>
                <w:kern w:val="2"/>
              </w:rPr>
            </w:pPr>
            <w:r>
              <w:rPr>
                <w:rFonts w:hint="eastAsia" w:ascii="Times New Roman" w:hAnsi="Times New Roman"/>
              </w:rPr>
              <w:t>9.6</w:t>
            </w:r>
          </w:p>
        </w:tc>
        <w:tc>
          <w:tcPr>
            <w:tcW w:w="510"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Times New Roman" w:hAnsi="Times New Roman"/>
                <w:kern w:val="2"/>
              </w:rPr>
            </w:pPr>
            <w:r>
              <w:rPr>
                <w:rFonts w:hint="eastAsia" w:ascii="Times New Roman" w:hAnsi="Times New Roman"/>
              </w:rPr>
              <w:t>8.5</w:t>
            </w:r>
          </w:p>
        </w:tc>
        <w:tc>
          <w:tcPr>
            <w:tcW w:w="510"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Times New Roman" w:hAnsi="Times New Roman"/>
                <w:kern w:val="2"/>
              </w:rPr>
            </w:pPr>
            <w:r>
              <w:rPr>
                <w:rFonts w:ascii="Times New Roman" w:hAnsi="Times New Roman"/>
              </w:rPr>
              <w:t>1</w:t>
            </w:r>
            <w:r>
              <w:rPr>
                <w:rFonts w:hint="eastAsia" w:ascii="Times New Roman" w:hAnsi="Times New Roman"/>
              </w:rPr>
              <w:t>1.8</w:t>
            </w:r>
          </w:p>
        </w:tc>
        <w:tc>
          <w:tcPr>
            <w:tcW w:w="510"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Times New Roman" w:hAnsi="Times New Roman"/>
                <w:kern w:val="2"/>
              </w:rPr>
            </w:pPr>
            <w:r>
              <w:rPr>
                <w:rFonts w:hint="eastAsia" w:ascii="Times New Roman" w:hAnsi="Times New Roman"/>
              </w:rPr>
              <w:t>10.3</w:t>
            </w:r>
          </w:p>
        </w:tc>
        <w:tc>
          <w:tcPr>
            <w:tcW w:w="510"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Times New Roman" w:hAnsi="Times New Roman"/>
                <w:kern w:val="2"/>
              </w:rPr>
            </w:pPr>
            <w:r>
              <w:rPr>
                <w:rFonts w:ascii="Times New Roman" w:hAnsi="Times New Roman"/>
              </w:rPr>
              <w:t>1</w:t>
            </w:r>
            <w:r>
              <w:rPr>
                <w:rFonts w:hint="eastAsia" w:ascii="Times New Roman" w:hAnsi="Times New Roman"/>
              </w:rPr>
              <w:t>2.8</w:t>
            </w:r>
          </w:p>
        </w:tc>
        <w:tc>
          <w:tcPr>
            <w:tcW w:w="455"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Times New Roman" w:hAnsi="Times New Roman"/>
                <w:kern w:val="2"/>
              </w:rPr>
            </w:pPr>
            <w:r>
              <w:rPr>
                <w:rFonts w:hint="eastAsia" w:ascii="Times New Roman" w:hAnsi="Times New Roman"/>
              </w:rPr>
              <w:t>10.9</w:t>
            </w:r>
          </w:p>
        </w:tc>
        <w:tc>
          <w:tcPr>
            <w:tcW w:w="561"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kern w:val="2"/>
              </w:rPr>
            </w:pPr>
            <w:r>
              <w:rPr>
                <w:rFonts w:hint="eastAsia"/>
                <w:kern w:val="2"/>
              </w:rPr>
              <w:t>≤</w:t>
            </w:r>
            <w:r>
              <w:rPr>
                <w:rFonts w:ascii="Times New Roman" w:hAnsi="Times New Roman"/>
                <w:kern w:val="2"/>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68"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rPr>
            </w:pPr>
            <w:r>
              <w:rPr>
                <w:rFonts w:hint="eastAsia" w:ascii="Times New Roman" w:hAnsi="Times New Roman"/>
              </w:rPr>
              <w:t>1</w:t>
            </w:r>
            <w:r>
              <w:rPr>
                <w:rFonts w:ascii="Times New Roman" w:hAnsi="Times New Roman"/>
              </w:rPr>
              <w:t>9</w:t>
            </w:r>
          </w:p>
        </w:tc>
        <w:tc>
          <w:tcPr>
            <w:tcW w:w="656"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kern w:val="2"/>
              </w:rPr>
              <w:t>总大肠菌群（</w:t>
            </w:r>
            <w:r>
              <w:rPr>
                <w:rFonts w:hint="eastAsia" w:ascii="Times New Roman" w:hAnsi="Times New Roman"/>
                <w:kern w:val="2"/>
              </w:rPr>
              <w:t>MPN/100mL</w:t>
            </w:r>
            <w:r>
              <w:rPr>
                <w:rFonts w:hint="eastAsia"/>
                <w:kern w:val="2"/>
              </w:rPr>
              <w:t>）</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kern w:val="2"/>
              </w:rPr>
              <w:t>未检出</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kern w:val="2"/>
              </w:rPr>
              <w:t>未检出</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kern w:val="2"/>
              </w:rPr>
              <w:t>未检出</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kern w:val="2"/>
              </w:rPr>
              <w:t>未检出</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kern w:val="2"/>
              </w:rPr>
              <w:t>未检出</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kern w:val="2"/>
              </w:rPr>
              <w:t>未检出</w:t>
            </w:r>
          </w:p>
        </w:tc>
        <w:tc>
          <w:tcPr>
            <w:tcW w:w="455"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kern w:val="2"/>
              </w:rPr>
              <w:t>未检出</w:t>
            </w:r>
          </w:p>
        </w:tc>
        <w:tc>
          <w:tcPr>
            <w:tcW w:w="561"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kern w:val="2"/>
              </w:rPr>
            </w:pPr>
            <w:r>
              <w:rPr>
                <w:rFonts w:hint="eastAsia"/>
                <w:kern w:val="2"/>
              </w:rPr>
              <w:t>≤</w:t>
            </w:r>
            <w:r>
              <w:rPr>
                <w:rFonts w:hint="eastAsia" w:ascii="Times New Roman" w:hAnsi="Times New Roman"/>
                <w:kern w:val="2"/>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68"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rPr>
            </w:pPr>
            <w:r>
              <w:rPr>
                <w:rFonts w:hint="eastAsia" w:ascii="Times New Roman" w:hAnsi="Times New Roman"/>
              </w:rPr>
              <w:t>2</w:t>
            </w:r>
            <w:r>
              <w:rPr>
                <w:rFonts w:ascii="Times New Roman" w:hAnsi="Times New Roman"/>
              </w:rPr>
              <w:t>0</w:t>
            </w:r>
          </w:p>
        </w:tc>
        <w:tc>
          <w:tcPr>
            <w:tcW w:w="656"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kern w:val="2"/>
              </w:rPr>
              <w:t>细菌总数（</w:t>
            </w:r>
            <w:r>
              <w:rPr>
                <w:rFonts w:hint="eastAsia" w:ascii="Times New Roman" w:hAnsi="Times New Roman"/>
                <w:kern w:val="2"/>
              </w:rPr>
              <w:t>CFU/mL</w:t>
            </w:r>
            <w:r>
              <w:rPr>
                <w:rFonts w:hint="eastAsia"/>
                <w:kern w:val="2"/>
              </w:rPr>
              <w:t>）</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50</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42</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58</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63</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44</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51</w:t>
            </w:r>
          </w:p>
        </w:tc>
        <w:tc>
          <w:tcPr>
            <w:tcW w:w="455"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60</w:t>
            </w:r>
          </w:p>
        </w:tc>
        <w:tc>
          <w:tcPr>
            <w:tcW w:w="561"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kern w:val="2"/>
              </w:rPr>
            </w:pPr>
            <w:r>
              <w:rPr>
                <w:rFonts w:hint="eastAsia"/>
                <w:kern w:val="2"/>
              </w:rPr>
              <w:t>≤</w:t>
            </w:r>
            <w:r>
              <w:rPr>
                <w:rFonts w:ascii="Times New Roman" w:hAnsi="Times New Roman"/>
                <w:kern w:val="2"/>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68"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rPr>
            </w:pPr>
            <w:r>
              <w:rPr>
                <w:rFonts w:hint="eastAsia" w:ascii="Times New Roman" w:hAnsi="Times New Roman"/>
              </w:rPr>
              <w:t>2</w:t>
            </w:r>
            <w:r>
              <w:rPr>
                <w:rFonts w:ascii="Times New Roman" w:hAnsi="Times New Roman"/>
              </w:rPr>
              <w:t>1</w:t>
            </w:r>
          </w:p>
        </w:tc>
        <w:tc>
          <w:tcPr>
            <w:tcW w:w="656"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kern w:val="2"/>
              </w:rPr>
              <w:t>溶解性总固体</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184</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176</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208</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195</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163</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151</w:t>
            </w:r>
          </w:p>
        </w:tc>
        <w:tc>
          <w:tcPr>
            <w:tcW w:w="455"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170</w:t>
            </w:r>
          </w:p>
        </w:tc>
        <w:tc>
          <w:tcPr>
            <w:tcW w:w="561"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kern w:val="2"/>
              </w:rPr>
            </w:pPr>
            <w:r>
              <w:rPr>
                <w:rFonts w:hint="eastAsia"/>
                <w:kern w:val="2"/>
              </w:rPr>
              <w:t>≤</w:t>
            </w:r>
            <w:r>
              <w:rPr>
                <w:rFonts w:ascii="Times New Roman" w:hAnsi="Times New Roman"/>
                <w:kern w:val="2"/>
              </w:rPr>
              <w:t>1000</w:t>
            </w:r>
          </w:p>
        </w:tc>
      </w:tr>
    </w:tbl>
    <w:p>
      <w:pPr>
        <w:rPr>
          <w:rFonts w:ascii="Times New Roman" w:hAnsi="Times New Roman"/>
          <w:kern w:val="2"/>
          <w:sz w:val="18"/>
          <w:szCs w:val="18"/>
        </w:rPr>
      </w:pPr>
      <w:r>
        <w:rPr>
          <w:rFonts w:ascii="Times New Roman" w:hAnsi="Times New Roman"/>
          <w:kern w:val="2"/>
          <w:sz w:val="18"/>
          <w:szCs w:val="18"/>
        </w:rPr>
        <w:t>注：“L”表示低于检出限。</w:t>
      </w:r>
    </w:p>
    <w:p>
      <w:pPr>
        <w:widowControl/>
        <w:spacing w:line="480" w:lineRule="exact"/>
        <w:outlineLvl w:val="3"/>
        <w:rPr>
          <w:rFonts w:ascii="Times New Roman" w:hAnsi="Times New Roman" w:eastAsia="黑体"/>
          <w:sz w:val="24"/>
        </w:rPr>
        <w:sectPr>
          <w:pgSz w:w="16839" w:h="11907" w:orient="landscape"/>
          <w:pgMar w:top="1440" w:right="1797" w:bottom="1440" w:left="1797" w:header="851" w:footer="850" w:gutter="0"/>
          <w:cols w:space="720" w:num="1"/>
          <w:docGrid w:linePitch="312" w:charSpace="0"/>
        </w:sectPr>
      </w:pPr>
    </w:p>
    <w:p>
      <w:pPr>
        <w:widowControl/>
        <w:spacing w:line="480" w:lineRule="exact"/>
        <w:outlineLvl w:val="3"/>
        <w:rPr>
          <w:rFonts w:ascii="Times New Roman" w:hAnsi="Times New Roman" w:eastAsia="黑体"/>
          <w:sz w:val="24"/>
        </w:rPr>
      </w:pPr>
      <w:r>
        <w:rPr>
          <w:rFonts w:ascii="Times New Roman" w:hAnsi="Times New Roman" w:eastAsia="黑体"/>
          <w:sz w:val="24"/>
        </w:rPr>
        <w:t>4.2.3.2.地下水环境质量现状评价</w:t>
      </w:r>
    </w:p>
    <w:p>
      <w:pPr>
        <w:pStyle w:val="41"/>
        <w:spacing w:line="480" w:lineRule="exact"/>
        <w:ind w:firstLine="480" w:firstLineChars="200"/>
        <w:rPr>
          <w:rFonts w:ascii="Times New Roman" w:hAnsi="Times New Roman"/>
          <w:sz w:val="24"/>
        </w:rPr>
      </w:pPr>
      <w:r>
        <w:rPr>
          <w:rFonts w:ascii="Times New Roman" w:hAnsi="Times New Roman"/>
          <w:sz w:val="24"/>
        </w:rPr>
        <w:t>（1）评价标准</w:t>
      </w:r>
    </w:p>
    <w:p>
      <w:pPr>
        <w:pStyle w:val="155"/>
        <w:spacing w:line="480" w:lineRule="exact"/>
        <w:ind w:firstLine="480"/>
      </w:pPr>
      <w:r>
        <w:t>本项目评价标准，采用《地下水质量标准》中Ⅲ类标准。</w:t>
      </w:r>
    </w:p>
    <w:p>
      <w:pPr>
        <w:pStyle w:val="155"/>
        <w:spacing w:line="480" w:lineRule="exact"/>
        <w:ind w:firstLine="480"/>
      </w:pPr>
      <w:r>
        <w:t>（2）评价方法</w:t>
      </w:r>
    </w:p>
    <w:p>
      <w:pPr>
        <w:pStyle w:val="155"/>
        <w:spacing w:line="480" w:lineRule="exact"/>
        <w:ind w:firstLine="480"/>
      </w:pPr>
      <w:r>
        <w:t>根据《环境影响评价技术导则 地下水环境》，本次地下水现状评价以评价区域地下水水体各监测点位的水质单项指标测定值作为水质评价参数，对照《地下水质量标准》（GB14848-2017）中Ⅲ类标准，采用标准指数法进行水质参数的评价。</w:t>
      </w:r>
    </w:p>
    <w:p>
      <w:pPr>
        <w:pStyle w:val="155"/>
        <w:spacing w:line="480" w:lineRule="exact"/>
        <w:ind w:firstLine="480"/>
      </w:pPr>
      <w:r>
        <w:t>对于评价标准为定值的水质因子，其标准指数计算公式：</w:t>
      </w:r>
    </w:p>
    <w:p>
      <w:pPr>
        <w:pStyle w:val="155"/>
        <w:spacing w:line="240" w:lineRule="auto"/>
        <w:ind w:firstLine="0" w:firstLineChars="0"/>
        <w:jc w:val="center"/>
      </w:pPr>
      <w:r>
        <w:drawing>
          <wp:inline distT="0" distB="0" distL="114300" distR="114300">
            <wp:extent cx="636270" cy="435610"/>
            <wp:effectExtent l="0" t="0" r="1905" b="2540"/>
            <wp:docPr id="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
                    <pic:cNvPicPr>
                      <a:picLocks noChangeAspect="1"/>
                    </pic:cNvPicPr>
                  </pic:nvPicPr>
                  <pic:blipFill>
                    <a:blip r:embed="rId45"/>
                    <a:stretch>
                      <a:fillRect/>
                    </a:stretch>
                  </pic:blipFill>
                  <pic:spPr>
                    <a:xfrm>
                      <a:off x="0" y="0"/>
                      <a:ext cx="636270" cy="435610"/>
                    </a:xfrm>
                    <a:prstGeom prst="rect">
                      <a:avLst/>
                    </a:prstGeom>
                    <a:noFill/>
                    <a:ln>
                      <a:noFill/>
                    </a:ln>
                  </pic:spPr>
                </pic:pic>
              </a:graphicData>
            </a:graphic>
          </wp:inline>
        </w:drawing>
      </w:r>
    </w:p>
    <w:p>
      <w:pPr>
        <w:spacing w:line="480" w:lineRule="exact"/>
        <w:ind w:firstLine="480" w:firstLineChars="200"/>
        <w:rPr>
          <w:rFonts w:ascii="Times New Roman" w:hAnsi="Times New Roman"/>
          <w:sz w:val="24"/>
        </w:rPr>
      </w:pPr>
      <w:r>
        <w:rPr>
          <w:rFonts w:ascii="Times New Roman" w:hAnsi="Times New Roman"/>
          <w:sz w:val="24"/>
        </w:rPr>
        <w:t>式中：P</w:t>
      </w:r>
      <w:r>
        <w:rPr>
          <w:rFonts w:ascii="Times New Roman" w:hAnsi="Times New Roman"/>
          <w:sz w:val="24"/>
          <w:vertAlign w:val="subscript"/>
        </w:rPr>
        <w:t>i</w:t>
      </w:r>
      <w:r>
        <w:rPr>
          <w:rFonts w:ascii="Times New Roman" w:hAnsi="Times New Roman"/>
          <w:sz w:val="24"/>
        </w:rPr>
        <w:t>—第i个水质因子的标准指数，无量纲；</w:t>
      </w:r>
    </w:p>
    <w:p>
      <w:pPr>
        <w:spacing w:line="480" w:lineRule="exact"/>
        <w:ind w:firstLine="1200" w:firstLineChars="500"/>
        <w:rPr>
          <w:rFonts w:ascii="Times New Roman" w:hAnsi="Times New Roman"/>
          <w:sz w:val="24"/>
        </w:rPr>
      </w:pPr>
      <w:r>
        <w:rPr>
          <w:rFonts w:ascii="Times New Roman" w:hAnsi="Times New Roman"/>
          <w:sz w:val="24"/>
        </w:rPr>
        <w:t>C</w:t>
      </w:r>
      <w:r>
        <w:rPr>
          <w:rFonts w:ascii="Times New Roman" w:hAnsi="Times New Roman"/>
          <w:sz w:val="24"/>
          <w:vertAlign w:val="subscript"/>
        </w:rPr>
        <w:t>i</w:t>
      </w:r>
      <w:r>
        <w:rPr>
          <w:rFonts w:ascii="Times New Roman" w:hAnsi="Times New Roman"/>
          <w:sz w:val="24"/>
        </w:rPr>
        <w:t>—第i个水质因子的监测浓度值，mg/L；</w:t>
      </w:r>
    </w:p>
    <w:p>
      <w:pPr>
        <w:spacing w:line="480" w:lineRule="exact"/>
        <w:ind w:firstLine="1200" w:firstLineChars="500"/>
        <w:rPr>
          <w:rFonts w:ascii="Times New Roman" w:hAnsi="Times New Roman"/>
          <w:sz w:val="24"/>
        </w:rPr>
      </w:pPr>
      <w:r>
        <w:rPr>
          <w:rFonts w:ascii="Times New Roman" w:hAnsi="Times New Roman"/>
          <w:sz w:val="24"/>
        </w:rPr>
        <w:t>C</w:t>
      </w:r>
      <w:r>
        <w:rPr>
          <w:rFonts w:ascii="Times New Roman" w:hAnsi="Times New Roman"/>
          <w:sz w:val="24"/>
          <w:vertAlign w:val="subscript"/>
        </w:rPr>
        <w:t>si</w:t>
      </w:r>
      <w:r>
        <w:rPr>
          <w:rFonts w:ascii="Times New Roman" w:hAnsi="Times New Roman"/>
          <w:sz w:val="24"/>
        </w:rPr>
        <w:t>—第i个水质因子的标准浓度值，mg/L。</w:t>
      </w:r>
    </w:p>
    <w:p>
      <w:pPr>
        <w:pStyle w:val="155"/>
        <w:spacing w:line="480" w:lineRule="exact"/>
        <w:ind w:firstLine="480"/>
      </w:pPr>
      <w:r>
        <w:rPr>
          <w:rFonts w:hint="eastAsia" w:ascii="宋体" w:hAnsi="宋体" w:cs="宋体"/>
        </w:rPr>
        <w:t>②</w:t>
      </w:r>
      <w:r>
        <w:t>对于评价标准为区间值的水质因子（如pH值），其标准指数计算公式：</w:t>
      </w:r>
    </w:p>
    <w:p>
      <w:pPr>
        <w:pStyle w:val="155"/>
        <w:spacing w:line="240" w:lineRule="auto"/>
        <w:ind w:firstLine="0" w:firstLineChars="0"/>
        <w:jc w:val="center"/>
      </w:pPr>
      <w:r>
        <w:drawing>
          <wp:inline distT="0" distB="0" distL="114300" distR="114300">
            <wp:extent cx="2334895" cy="1029970"/>
            <wp:effectExtent l="0" t="0" r="8255" b="8255"/>
            <wp:docPr id="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
                    <pic:cNvPicPr>
                      <a:picLocks noChangeAspect="1"/>
                    </pic:cNvPicPr>
                  </pic:nvPicPr>
                  <pic:blipFill>
                    <a:blip r:embed="rId46"/>
                    <a:stretch>
                      <a:fillRect/>
                    </a:stretch>
                  </pic:blipFill>
                  <pic:spPr>
                    <a:xfrm>
                      <a:off x="0" y="0"/>
                      <a:ext cx="2334895" cy="1029970"/>
                    </a:xfrm>
                    <a:prstGeom prst="rect">
                      <a:avLst/>
                    </a:prstGeom>
                    <a:noFill/>
                    <a:ln>
                      <a:noFill/>
                    </a:ln>
                  </pic:spPr>
                </pic:pic>
              </a:graphicData>
            </a:graphic>
          </wp:inline>
        </w:drawing>
      </w:r>
    </w:p>
    <w:p>
      <w:pPr>
        <w:spacing w:line="480" w:lineRule="exact"/>
        <w:ind w:firstLine="480" w:firstLineChars="200"/>
        <w:rPr>
          <w:rFonts w:ascii="Times New Roman" w:hAnsi="Times New Roman"/>
          <w:sz w:val="24"/>
        </w:rPr>
      </w:pPr>
      <w:r>
        <w:rPr>
          <w:rFonts w:ascii="Times New Roman" w:hAnsi="Times New Roman"/>
          <w:sz w:val="24"/>
        </w:rPr>
        <w:t>式中：P</w:t>
      </w:r>
      <w:r>
        <w:rPr>
          <w:rFonts w:ascii="Times New Roman" w:hAnsi="Times New Roman"/>
          <w:sz w:val="24"/>
          <w:vertAlign w:val="subscript"/>
        </w:rPr>
        <w:t>pH</w:t>
      </w:r>
      <w:r>
        <w:rPr>
          <w:rFonts w:ascii="Times New Roman" w:hAnsi="Times New Roman"/>
          <w:sz w:val="24"/>
        </w:rPr>
        <w:t>—pH的标准指数，无量纲；</w:t>
      </w:r>
    </w:p>
    <w:p>
      <w:pPr>
        <w:spacing w:line="480" w:lineRule="exact"/>
        <w:ind w:firstLine="1200" w:firstLineChars="500"/>
        <w:rPr>
          <w:rFonts w:ascii="Times New Roman" w:hAnsi="Times New Roman"/>
          <w:sz w:val="24"/>
        </w:rPr>
      </w:pPr>
      <w:r>
        <w:rPr>
          <w:rFonts w:ascii="Times New Roman" w:hAnsi="Times New Roman"/>
          <w:sz w:val="24"/>
        </w:rPr>
        <w:t>pH—pH监测值；</w:t>
      </w:r>
    </w:p>
    <w:p>
      <w:pPr>
        <w:spacing w:line="480" w:lineRule="exact"/>
        <w:ind w:firstLine="1200" w:firstLineChars="500"/>
        <w:rPr>
          <w:rFonts w:ascii="Times New Roman" w:hAnsi="Times New Roman"/>
          <w:sz w:val="24"/>
        </w:rPr>
      </w:pPr>
      <w:r>
        <w:rPr>
          <w:rFonts w:ascii="Times New Roman" w:hAnsi="Times New Roman"/>
          <w:sz w:val="24"/>
        </w:rPr>
        <w:t>pH</w:t>
      </w:r>
      <w:r>
        <w:rPr>
          <w:rFonts w:ascii="Times New Roman" w:hAnsi="Times New Roman"/>
          <w:sz w:val="24"/>
          <w:vertAlign w:val="subscript"/>
        </w:rPr>
        <w:t>su</w:t>
      </w:r>
      <w:r>
        <w:rPr>
          <w:rFonts w:ascii="Times New Roman" w:hAnsi="Times New Roman"/>
          <w:sz w:val="24"/>
        </w:rPr>
        <w:t>—标准中pH的上限值；</w:t>
      </w:r>
    </w:p>
    <w:p>
      <w:pPr>
        <w:spacing w:line="480" w:lineRule="exact"/>
        <w:ind w:firstLine="1200" w:firstLineChars="500"/>
        <w:rPr>
          <w:rFonts w:ascii="Times New Roman" w:hAnsi="Times New Roman"/>
          <w:sz w:val="24"/>
        </w:rPr>
      </w:pPr>
      <w:r>
        <w:rPr>
          <w:rFonts w:ascii="Times New Roman" w:hAnsi="Times New Roman"/>
          <w:sz w:val="24"/>
        </w:rPr>
        <w:t>pH</w:t>
      </w:r>
      <w:r>
        <w:rPr>
          <w:rFonts w:ascii="Times New Roman" w:hAnsi="Times New Roman"/>
          <w:sz w:val="24"/>
          <w:vertAlign w:val="subscript"/>
        </w:rPr>
        <w:t>sd</w:t>
      </w:r>
      <w:r>
        <w:rPr>
          <w:rFonts w:ascii="Times New Roman" w:hAnsi="Times New Roman"/>
          <w:sz w:val="24"/>
        </w:rPr>
        <w:t>—标准中pH的下限值。</w:t>
      </w:r>
    </w:p>
    <w:p>
      <w:pPr>
        <w:pStyle w:val="155"/>
        <w:spacing w:line="480" w:lineRule="exact"/>
        <w:ind w:firstLine="480"/>
      </w:pPr>
      <w:r>
        <w:t>标准指数P&gt;1时，即表明该水质因子已经超过了规定的水质标准，且指数越大，超标越严重。</w:t>
      </w:r>
    </w:p>
    <w:p>
      <w:pPr>
        <w:pStyle w:val="155"/>
        <w:spacing w:line="480" w:lineRule="exact"/>
        <w:ind w:firstLine="480"/>
      </w:pPr>
      <w:r>
        <w:t>（3）评价结果</w:t>
      </w:r>
    </w:p>
    <w:p>
      <w:pPr>
        <w:pStyle w:val="155"/>
        <w:spacing w:line="480" w:lineRule="exact"/>
        <w:ind w:firstLine="480"/>
        <w:sectPr>
          <w:pgSz w:w="11907" w:h="16839"/>
          <w:pgMar w:top="1440" w:right="1797" w:bottom="1440" w:left="1797" w:header="851" w:footer="850" w:gutter="0"/>
          <w:cols w:space="720" w:num="1"/>
          <w:docGrid w:linePitch="312" w:charSpace="0"/>
        </w:sectPr>
      </w:pPr>
      <w:r>
        <w:t>标准指数法计算结果见表4.2-10。</w:t>
      </w:r>
    </w:p>
    <w:p>
      <w:pPr>
        <w:pStyle w:val="155"/>
        <w:spacing w:line="480" w:lineRule="exact"/>
        <w:ind w:firstLine="0" w:firstLineChars="0"/>
        <w:jc w:val="center"/>
        <w:rPr>
          <w:b/>
          <w:kern w:val="0"/>
          <w:sz w:val="21"/>
          <w:szCs w:val="21"/>
        </w:rPr>
      </w:pPr>
      <w:r>
        <w:rPr>
          <w:b/>
          <w:kern w:val="0"/>
          <w:sz w:val="21"/>
          <w:szCs w:val="21"/>
        </w:rPr>
        <w:t>表4.2-10 地下水监测评价成果表（标准指数）</w:t>
      </w:r>
    </w:p>
    <w:tbl>
      <w:tblPr>
        <w:tblStyle w:val="7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2"/>
        <w:gridCol w:w="1766"/>
        <w:gridCol w:w="1373"/>
        <w:gridCol w:w="1373"/>
        <w:gridCol w:w="1373"/>
        <w:gridCol w:w="1373"/>
        <w:gridCol w:w="1373"/>
        <w:gridCol w:w="1373"/>
        <w:gridCol w:w="1225"/>
        <w:gridCol w:w="15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68" w:type="pct"/>
            <w:vMerge w:val="restar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kern w:val="2"/>
              </w:rPr>
              <w:t>序号</w:t>
            </w:r>
          </w:p>
        </w:tc>
        <w:tc>
          <w:tcPr>
            <w:tcW w:w="656" w:type="pct"/>
            <w:vMerge w:val="restar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kern w:val="2"/>
              </w:rPr>
              <w:t>检测项目</w:t>
            </w:r>
          </w:p>
        </w:tc>
        <w:tc>
          <w:tcPr>
            <w:tcW w:w="3515" w:type="pct"/>
            <w:gridSpan w:val="7"/>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P</w:t>
            </w:r>
            <w:r>
              <w:rPr>
                <w:rFonts w:hint="eastAsia" w:ascii="Times New Roman" w:hAnsi="Times New Roman"/>
                <w:kern w:val="2"/>
              </w:rPr>
              <w:t>i</w:t>
            </w:r>
            <w:r>
              <w:rPr>
                <w:rFonts w:hint="eastAsia"/>
                <w:kern w:val="2"/>
              </w:rPr>
              <w:t>值</w:t>
            </w:r>
          </w:p>
        </w:tc>
        <w:tc>
          <w:tcPr>
            <w:tcW w:w="561" w:type="pct"/>
            <w:vMerge w:val="restart"/>
            <w:tcBorders>
              <w:top w:val="single" w:color="auto" w:sz="4" w:space="0"/>
              <w:left w:val="single" w:color="auto" w:sz="4" w:space="0"/>
              <w:bottom w:val="single" w:color="auto" w:sz="4" w:space="0"/>
              <w:right w:val="single" w:color="auto" w:sz="4" w:space="0"/>
            </w:tcBorders>
            <w:vAlign w:val="center"/>
          </w:tcPr>
          <w:p>
            <w:pPr>
              <w:snapToGrid w:val="0"/>
              <w:jc w:val="center"/>
              <w:rPr>
                <w:rFonts w:ascii="Times New Roman" w:hAnsi="Times New Roman"/>
                <w:kern w:val="2"/>
              </w:rPr>
            </w:pPr>
            <w:r>
              <w:rPr>
                <w:rFonts w:hint="eastAsia"/>
              </w:rPr>
              <w:t>《地下水质量标准》中Ⅲ类标准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kern w:val="2"/>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kern w:val="2"/>
              </w:rPr>
            </w:pPr>
          </w:p>
        </w:tc>
        <w:tc>
          <w:tcPr>
            <w:tcW w:w="510" w:type="pct"/>
            <w:tcBorders>
              <w:top w:val="single" w:color="auto" w:sz="4" w:space="0"/>
              <w:left w:val="single" w:color="auto" w:sz="4" w:space="0"/>
              <w:bottom w:val="single" w:color="auto" w:sz="4" w:space="0"/>
              <w:right w:val="single" w:color="auto" w:sz="4" w:space="0"/>
            </w:tcBorders>
            <w:vAlign w:val="center"/>
          </w:tcPr>
          <w:p>
            <w:pPr>
              <w:snapToGrid w:val="0"/>
              <w:jc w:val="center"/>
              <w:rPr>
                <w:rFonts w:ascii="Times New Roman" w:hAnsi="Times New Roman"/>
                <w:kern w:val="2"/>
              </w:rPr>
            </w:pPr>
            <w:r>
              <w:rPr>
                <w:rFonts w:ascii="Times New Roman" w:hAnsi="Times New Roman"/>
                <w:kern w:val="2"/>
              </w:rPr>
              <w:t>1</w:t>
            </w:r>
            <w:r>
              <w:rPr>
                <w:rFonts w:ascii="Segoe UI Symbol" w:hAnsi="Segoe UI Symbol"/>
                <w:kern w:val="2"/>
              </w:rPr>
              <w:t>☆</w:t>
            </w:r>
          </w:p>
        </w:tc>
        <w:tc>
          <w:tcPr>
            <w:tcW w:w="510" w:type="pct"/>
            <w:tcBorders>
              <w:top w:val="single" w:color="auto" w:sz="4" w:space="0"/>
              <w:left w:val="single" w:color="auto" w:sz="4" w:space="0"/>
              <w:bottom w:val="single" w:color="auto" w:sz="4" w:space="0"/>
              <w:right w:val="single" w:color="auto" w:sz="4" w:space="0"/>
            </w:tcBorders>
            <w:vAlign w:val="center"/>
          </w:tcPr>
          <w:p>
            <w:pPr>
              <w:snapToGrid w:val="0"/>
              <w:jc w:val="center"/>
              <w:rPr>
                <w:rFonts w:ascii="Times New Roman" w:hAnsi="Times New Roman"/>
                <w:kern w:val="2"/>
              </w:rPr>
            </w:pPr>
            <w:r>
              <w:rPr>
                <w:rFonts w:hint="eastAsia" w:ascii="Times New Roman" w:hAnsi="Times New Roman"/>
                <w:kern w:val="2"/>
              </w:rPr>
              <w:t>2</w:t>
            </w:r>
            <w:r>
              <w:rPr>
                <w:rFonts w:ascii="Segoe UI Symbol" w:hAnsi="Segoe UI Symbol"/>
                <w:kern w:val="2"/>
              </w:rPr>
              <w:t>☆</w:t>
            </w:r>
          </w:p>
        </w:tc>
        <w:tc>
          <w:tcPr>
            <w:tcW w:w="510" w:type="pct"/>
            <w:tcBorders>
              <w:top w:val="single" w:color="auto" w:sz="4" w:space="0"/>
              <w:left w:val="single" w:color="auto" w:sz="4" w:space="0"/>
              <w:bottom w:val="single" w:color="auto" w:sz="4" w:space="0"/>
              <w:right w:val="single" w:color="auto" w:sz="4" w:space="0"/>
            </w:tcBorders>
            <w:vAlign w:val="center"/>
          </w:tcPr>
          <w:p>
            <w:pPr>
              <w:snapToGrid w:val="0"/>
              <w:jc w:val="center"/>
              <w:rPr>
                <w:rFonts w:ascii="Times New Roman" w:hAnsi="Times New Roman"/>
                <w:kern w:val="2"/>
              </w:rPr>
            </w:pPr>
            <w:r>
              <w:rPr>
                <w:rFonts w:hint="eastAsia" w:ascii="Times New Roman" w:hAnsi="Times New Roman"/>
                <w:kern w:val="2"/>
              </w:rPr>
              <w:t>3</w:t>
            </w:r>
            <w:r>
              <w:rPr>
                <w:rFonts w:ascii="Segoe UI Symbol" w:hAnsi="Segoe UI Symbol"/>
                <w:kern w:val="2"/>
              </w:rPr>
              <w:t>☆</w:t>
            </w:r>
          </w:p>
        </w:tc>
        <w:tc>
          <w:tcPr>
            <w:tcW w:w="510" w:type="pct"/>
            <w:tcBorders>
              <w:top w:val="single" w:color="auto" w:sz="4" w:space="0"/>
              <w:left w:val="single" w:color="auto" w:sz="4" w:space="0"/>
              <w:bottom w:val="single" w:color="auto" w:sz="4" w:space="0"/>
              <w:right w:val="single" w:color="auto" w:sz="4" w:space="0"/>
            </w:tcBorders>
            <w:vAlign w:val="center"/>
          </w:tcPr>
          <w:p>
            <w:pPr>
              <w:snapToGrid w:val="0"/>
              <w:jc w:val="center"/>
              <w:rPr>
                <w:rFonts w:ascii="Times New Roman" w:hAnsi="Times New Roman"/>
                <w:kern w:val="2"/>
              </w:rPr>
            </w:pPr>
            <w:r>
              <w:rPr>
                <w:rFonts w:hint="eastAsia" w:ascii="Times New Roman" w:hAnsi="Times New Roman"/>
                <w:kern w:val="2"/>
              </w:rPr>
              <w:t>4</w:t>
            </w:r>
            <w:r>
              <w:rPr>
                <w:rFonts w:ascii="Segoe UI Symbol" w:hAnsi="Segoe UI Symbol"/>
                <w:kern w:val="2"/>
              </w:rPr>
              <w:t>☆</w:t>
            </w:r>
          </w:p>
        </w:tc>
        <w:tc>
          <w:tcPr>
            <w:tcW w:w="510" w:type="pct"/>
            <w:tcBorders>
              <w:top w:val="single" w:color="auto" w:sz="4" w:space="0"/>
              <w:left w:val="single" w:color="auto" w:sz="4" w:space="0"/>
              <w:bottom w:val="single" w:color="auto" w:sz="4" w:space="0"/>
              <w:right w:val="single" w:color="auto" w:sz="4" w:space="0"/>
            </w:tcBorders>
            <w:vAlign w:val="center"/>
          </w:tcPr>
          <w:p>
            <w:pPr>
              <w:snapToGrid w:val="0"/>
              <w:jc w:val="center"/>
              <w:rPr>
                <w:rFonts w:ascii="Times New Roman" w:hAnsi="Times New Roman"/>
                <w:kern w:val="2"/>
              </w:rPr>
            </w:pPr>
            <w:r>
              <w:rPr>
                <w:rFonts w:hint="eastAsia" w:ascii="Times New Roman" w:hAnsi="Times New Roman"/>
                <w:kern w:val="2"/>
              </w:rPr>
              <w:t>5</w:t>
            </w:r>
            <w:r>
              <w:rPr>
                <w:rFonts w:ascii="Segoe UI Symbol" w:hAnsi="Segoe UI Symbol"/>
                <w:kern w:val="2"/>
              </w:rPr>
              <w:t>☆</w:t>
            </w:r>
          </w:p>
        </w:tc>
        <w:tc>
          <w:tcPr>
            <w:tcW w:w="510" w:type="pct"/>
            <w:tcBorders>
              <w:top w:val="single" w:color="auto" w:sz="4" w:space="0"/>
              <w:left w:val="single" w:color="auto" w:sz="4" w:space="0"/>
              <w:bottom w:val="single" w:color="auto" w:sz="4" w:space="0"/>
              <w:right w:val="single" w:color="auto" w:sz="4" w:space="0"/>
            </w:tcBorders>
            <w:vAlign w:val="center"/>
          </w:tcPr>
          <w:p>
            <w:pPr>
              <w:snapToGrid w:val="0"/>
              <w:jc w:val="center"/>
              <w:rPr>
                <w:rFonts w:ascii="Times New Roman" w:hAnsi="Times New Roman"/>
                <w:kern w:val="2"/>
              </w:rPr>
            </w:pPr>
            <w:r>
              <w:rPr>
                <w:rFonts w:hint="eastAsia" w:ascii="Times New Roman" w:hAnsi="Times New Roman"/>
                <w:kern w:val="2"/>
              </w:rPr>
              <w:t>6</w:t>
            </w:r>
            <w:r>
              <w:rPr>
                <w:rFonts w:ascii="Segoe UI Symbol" w:hAnsi="Segoe UI Symbol"/>
                <w:kern w:val="2"/>
              </w:rPr>
              <w:t>☆</w:t>
            </w:r>
          </w:p>
        </w:tc>
        <w:tc>
          <w:tcPr>
            <w:tcW w:w="455" w:type="pct"/>
            <w:tcBorders>
              <w:top w:val="single" w:color="auto" w:sz="4" w:space="0"/>
              <w:left w:val="single" w:color="auto" w:sz="4" w:space="0"/>
              <w:bottom w:val="single" w:color="auto" w:sz="4" w:space="0"/>
              <w:right w:val="single" w:color="auto" w:sz="4" w:space="0"/>
            </w:tcBorders>
            <w:vAlign w:val="center"/>
          </w:tcPr>
          <w:p>
            <w:pPr>
              <w:snapToGrid w:val="0"/>
              <w:jc w:val="center"/>
              <w:rPr>
                <w:rFonts w:ascii="Times New Roman" w:hAnsi="Times New Roman"/>
                <w:kern w:val="2"/>
              </w:rPr>
            </w:pPr>
            <w:r>
              <w:rPr>
                <w:rFonts w:hint="eastAsia" w:ascii="Times New Roman" w:hAnsi="Times New Roman"/>
                <w:kern w:val="2"/>
              </w:rPr>
              <w:t>7</w:t>
            </w:r>
            <w:r>
              <w:rPr>
                <w:rFonts w:ascii="Segoe UI Symbol" w:hAnsi="Segoe UI Symbol"/>
                <w:kern w:val="2"/>
              </w:rPr>
              <w:t>☆</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68"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rPr>
            </w:pPr>
            <w:r>
              <w:rPr>
                <w:rFonts w:hint="eastAsia" w:ascii="Times New Roman" w:hAnsi="Times New Roman"/>
              </w:rPr>
              <w:t>1</w:t>
            </w:r>
          </w:p>
        </w:tc>
        <w:tc>
          <w:tcPr>
            <w:tcW w:w="656" w:type="pct"/>
            <w:tcBorders>
              <w:top w:val="single" w:color="auto" w:sz="4" w:space="0"/>
              <w:left w:val="nil"/>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pH</w:t>
            </w:r>
            <w:r>
              <w:rPr>
                <w:kern w:val="2"/>
              </w:rPr>
              <w:t>值</w:t>
            </w:r>
            <w:r>
              <w:rPr>
                <w:rFonts w:hint="eastAsia"/>
                <w:kern w:val="2"/>
              </w:rPr>
              <w:t>（无量纲）</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0.26</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w:t>
            </w:r>
            <w:r>
              <w:rPr>
                <w:rFonts w:ascii="Times New Roman" w:hAnsi="Times New Roman"/>
                <w:kern w:val="2"/>
              </w:rPr>
              <w:t>.2</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w:t>
            </w:r>
            <w:r>
              <w:rPr>
                <w:rFonts w:ascii="Times New Roman" w:hAnsi="Times New Roman"/>
                <w:kern w:val="2"/>
              </w:rPr>
              <w:t>.06</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w:t>
            </w:r>
            <w:r>
              <w:rPr>
                <w:rFonts w:ascii="Times New Roman" w:hAnsi="Times New Roman"/>
                <w:kern w:val="2"/>
              </w:rPr>
              <w:t>.06</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w:t>
            </w:r>
            <w:r>
              <w:rPr>
                <w:rFonts w:ascii="Times New Roman" w:hAnsi="Times New Roman"/>
                <w:kern w:val="2"/>
              </w:rPr>
              <w:t>.26</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w:t>
            </w:r>
          </w:p>
        </w:tc>
        <w:tc>
          <w:tcPr>
            <w:tcW w:w="455"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0.4</w:t>
            </w:r>
          </w:p>
        </w:tc>
        <w:tc>
          <w:tcPr>
            <w:tcW w:w="561"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kern w:val="2"/>
              </w:rPr>
            </w:pPr>
            <w:r>
              <w:rPr>
                <w:rFonts w:hint="eastAsia" w:ascii="Times New Roman" w:hAnsi="Times New Roman"/>
                <w:kern w:val="2"/>
              </w:rPr>
              <w:t>6</w:t>
            </w:r>
            <w:r>
              <w:rPr>
                <w:rFonts w:ascii="Times New Roman" w:hAnsi="Times New Roman"/>
                <w:kern w:val="2"/>
              </w:rPr>
              <w:t>.5</w:t>
            </w:r>
            <w:r>
              <w:rPr>
                <w:rFonts w:hint="eastAsia"/>
                <w:kern w:val="2"/>
              </w:rPr>
              <w:t>≤</w:t>
            </w:r>
            <w:r>
              <w:rPr>
                <w:rFonts w:hint="eastAsia" w:ascii="Times New Roman" w:hAnsi="Times New Roman"/>
                <w:kern w:val="2"/>
              </w:rPr>
              <w:t>p</w:t>
            </w:r>
            <w:r>
              <w:rPr>
                <w:rFonts w:ascii="Times New Roman" w:hAnsi="Times New Roman"/>
                <w:kern w:val="2"/>
              </w:rPr>
              <w:t>H</w:t>
            </w:r>
            <w:r>
              <w:rPr>
                <w:rFonts w:hint="eastAsia"/>
                <w:kern w:val="2"/>
              </w:rPr>
              <w:t>≤</w:t>
            </w:r>
            <w:r>
              <w:rPr>
                <w:rFonts w:hint="eastAsia" w:ascii="Times New Roman" w:hAnsi="Times New Roman"/>
                <w:kern w:val="2"/>
              </w:rPr>
              <w:t>8</w:t>
            </w:r>
            <w:r>
              <w:rPr>
                <w:rFonts w:ascii="Times New Roman" w:hAnsi="Times New Roman"/>
                <w:kern w:val="2"/>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68"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rPr>
            </w:pPr>
            <w:r>
              <w:rPr>
                <w:rFonts w:hint="eastAsia" w:ascii="Times New Roman" w:hAnsi="Times New Roman"/>
              </w:rPr>
              <w:t>2</w:t>
            </w:r>
          </w:p>
        </w:tc>
        <w:tc>
          <w:tcPr>
            <w:tcW w:w="656" w:type="pct"/>
            <w:tcBorders>
              <w:top w:val="single" w:color="auto" w:sz="4" w:space="0"/>
              <w:left w:val="nil"/>
              <w:bottom w:val="single" w:color="auto" w:sz="4" w:space="0"/>
              <w:right w:val="single" w:color="auto" w:sz="4" w:space="0"/>
            </w:tcBorders>
            <w:vAlign w:val="center"/>
          </w:tcPr>
          <w:p>
            <w:pPr>
              <w:jc w:val="center"/>
              <w:rPr>
                <w:rFonts w:ascii="Times New Roman" w:hAnsi="Times New Roman"/>
                <w:kern w:val="2"/>
              </w:rPr>
            </w:pPr>
            <w:r>
              <w:rPr>
                <w:kern w:val="2"/>
              </w:rPr>
              <w:t>氨氮</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0.025</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0.025</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0.025</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0.025</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0.025</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0.025</w:t>
            </w:r>
          </w:p>
        </w:tc>
        <w:tc>
          <w:tcPr>
            <w:tcW w:w="455"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0.025</w:t>
            </w:r>
          </w:p>
        </w:tc>
        <w:tc>
          <w:tcPr>
            <w:tcW w:w="561"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kern w:val="2"/>
              </w:rPr>
            </w:pPr>
            <w:r>
              <w:rPr>
                <w:rFonts w:hint="eastAsia"/>
                <w:kern w:val="2"/>
              </w:rPr>
              <w:t>≤</w:t>
            </w:r>
            <w:r>
              <w:rPr>
                <w:rFonts w:hint="eastAsia" w:ascii="Times New Roman" w:hAnsi="Times New Roman"/>
                <w:kern w:val="2"/>
              </w:rPr>
              <w:t>0</w:t>
            </w:r>
            <w:r>
              <w:rPr>
                <w:rFonts w:ascii="Times New Roman" w:hAnsi="Times New Roman"/>
                <w:kern w:val="2"/>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68"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rPr>
            </w:pPr>
            <w:r>
              <w:rPr>
                <w:rFonts w:hint="eastAsia" w:ascii="Times New Roman" w:hAnsi="Times New Roman"/>
              </w:rPr>
              <w:t>3</w:t>
            </w:r>
          </w:p>
        </w:tc>
        <w:tc>
          <w:tcPr>
            <w:tcW w:w="656" w:type="pct"/>
            <w:tcBorders>
              <w:top w:val="single" w:color="auto" w:sz="4" w:space="0"/>
              <w:left w:val="nil"/>
              <w:bottom w:val="single" w:color="auto" w:sz="4" w:space="0"/>
              <w:right w:val="single" w:color="auto" w:sz="4" w:space="0"/>
            </w:tcBorders>
            <w:vAlign w:val="center"/>
          </w:tcPr>
          <w:p>
            <w:pPr>
              <w:jc w:val="center"/>
              <w:rPr>
                <w:rFonts w:ascii="Times New Roman" w:hAnsi="Times New Roman"/>
                <w:kern w:val="2"/>
              </w:rPr>
            </w:pPr>
            <w:r>
              <w:rPr>
                <w:kern w:val="2"/>
              </w:rPr>
              <w:t>挥发酚</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0.00</w:t>
            </w:r>
            <w:r>
              <w:rPr>
                <w:rFonts w:ascii="Times New Roman" w:hAnsi="Times New Roman"/>
                <w:kern w:val="2"/>
              </w:rPr>
              <w:t>75</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0.00</w:t>
            </w:r>
            <w:r>
              <w:rPr>
                <w:rFonts w:ascii="Times New Roman" w:hAnsi="Times New Roman"/>
                <w:kern w:val="2"/>
              </w:rPr>
              <w:t>75</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0.00</w:t>
            </w:r>
            <w:r>
              <w:rPr>
                <w:rFonts w:ascii="Times New Roman" w:hAnsi="Times New Roman"/>
                <w:kern w:val="2"/>
              </w:rPr>
              <w:t>75</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0.00</w:t>
            </w:r>
            <w:r>
              <w:rPr>
                <w:rFonts w:ascii="Times New Roman" w:hAnsi="Times New Roman"/>
                <w:kern w:val="2"/>
              </w:rPr>
              <w:t>75</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0.00</w:t>
            </w:r>
            <w:r>
              <w:rPr>
                <w:rFonts w:ascii="Times New Roman" w:hAnsi="Times New Roman"/>
                <w:kern w:val="2"/>
              </w:rPr>
              <w:t>75</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0.00</w:t>
            </w:r>
            <w:r>
              <w:rPr>
                <w:rFonts w:ascii="Times New Roman" w:hAnsi="Times New Roman"/>
                <w:kern w:val="2"/>
              </w:rPr>
              <w:t>75</w:t>
            </w:r>
          </w:p>
        </w:tc>
        <w:tc>
          <w:tcPr>
            <w:tcW w:w="455"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0.00</w:t>
            </w:r>
            <w:r>
              <w:rPr>
                <w:rFonts w:ascii="Times New Roman" w:hAnsi="Times New Roman"/>
                <w:kern w:val="2"/>
              </w:rPr>
              <w:t>75</w:t>
            </w:r>
          </w:p>
        </w:tc>
        <w:tc>
          <w:tcPr>
            <w:tcW w:w="561"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kern w:val="2"/>
              </w:rPr>
            </w:pPr>
            <w:r>
              <w:rPr>
                <w:rFonts w:hint="eastAsia"/>
                <w:kern w:val="2"/>
              </w:rPr>
              <w:t>≤</w:t>
            </w:r>
            <w:r>
              <w:rPr>
                <w:rFonts w:hint="eastAsia" w:ascii="Times New Roman" w:hAnsi="Times New Roman"/>
                <w:kern w:val="2"/>
              </w:rPr>
              <w:t>0</w:t>
            </w:r>
            <w:r>
              <w:rPr>
                <w:rFonts w:ascii="Times New Roman" w:hAnsi="Times New Roman"/>
                <w:kern w:val="2"/>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68"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rPr>
            </w:pPr>
            <w:r>
              <w:rPr>
                <w:rFonts w:hint="eastAsia" w:ascii="Times New Roman" w:hAnsi="Times New Roman"/>
              </w:rPr>
              <w:t>4</w:t>
            </w:r>
          </w:p>
        </w:tc>
        <w:tc>
          <w:tcPr>
            <w:tcW w:w="656" w:type="pct"/>
            <w:tcBorders>
              <w:top w:val="single" w:color="auto" w:sz="4" w:space="0"/>
              <w:left w:val="nil"/>
              <w:bottom w:val="single" w:color="auto" w:sz="4" w:space="0"/>
              <w:right w:val="single" w:color="auto" w:sz="4" w:space="0"/>
            </w:tcBorders>
            <w:vAlign w:val="center"/>
          </w:tcPr>
          <w:p>
            <w:pPr>
              <w:jc w:val="center"/>
              <w:rPr>
                <w:rFonts w:ascii="Times New Roman" w:hAnsi="Times New Roman"/>
                <w:kern w:val="2"/>
              </w:rPr>
            </w:pPr>
            <w:r>
              <w:rPr>
                <w:kern w:val="2"/>
              </w:rPr>
              <w:t>氰化物</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w:t>
            </w:r>
            <w:r>
              <w:rPr>
                <w:rFonts w:ascii="Times New Roman" w:hAnsi="Times New Roman"/>
                <w:kern w:val="2"/>
              </w:rPr>
              <w:t>4</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w:t>
            </w:r>
            <w:r>
              <w:rPr>
                <w:rFonts w:ascii="Times New Roman" w:hAnsi="Times New Roman"/>
                <w:kern w:val="2"/>
              </w:rPr>
              <w:t>4</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w:t>
            </w:r>
            <w:r>
              <w:rPr>
                <w:rFonts w:ascii="Times New Roman" w:hAnsi="Times New Roman"/>
                <w:kern w:val="2"/>
              </w:rPr>
              <w:t>4</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w:t>
            </w:r>
            <w:r>
              <w:rPr>
                <w:rFonts w:ascii="Times New Roman" w:hAnsi="Times New Roman"/>
                <w:kern w:val="2"/>
              </w:rPr>
              <w:t>4</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w:t>
            </w:r>
            <w:r>
              <w:rPr>
                <w:rFonts w:ascii="Times New Roman" w:hAnsi="Times New Roman"/>
                <w:kern w:val="2"/>
              </w:rPr>
              <w:t>4</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w:t>
            </w:r>
            <w:r>
              <w:rPr>
                <w:rFonts w:ascii="Times New Roman" w:hAnsi="Times New Roman"/>
                <w:kern w:val="2"/>
              </w:rPr>
              <w:t>4</w:t>
            </w:r>
          </w:p>
        </w:tc>
        <w:tc>
          <w:tcPr>
            <w:tcW w:w="455"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0.0</w:t>
            </w:r>
            <w:r>
              <w:rPr>
                <w:rFonts w:ascii="Times New Roman" w:hAnsi="Times New Roman"/>
                <w:kern w:val="2"/>
              </w:rPr>
              <w:t>4</w:t>
            </w:r>
          </w:p>
        </w:tc>
        <w:tc>
          <w:tcPr>
            <w:tcW w:w="561"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kern w:val="2"/>
              </w:rPr>
            </w:pPr>
            <w:r>
              <w:rPr>
                <w:rFonts w:hint="eastAsia"/>
                <w:kern w:val="2"/>
              </w:rPr>
              <w:t>≤</w:t>
            </w:r>
            <w:r>
              <w:rPr>
                <w:rFonts w:hint="eastAsia" w:ascii="Times New Roman" w:hAnsi="Times New Roman"/>
                <w:kern w:val="2"/>
              </w:rPr>
              <w:t>0</w:t>
            </w:r>
            <w:r>
              <w:rPr>
                <w:rFonts w:ascii="Times New Roman" w:hAnsi="Times New Roman"/>
                <w:kern w:val="2"/>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68"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rPr>
            </w:pPr>
            <w:r>
              <w:rPr>
                <w:rFonts w:hint="eastAsia" w:ascii="Times New Roman" w:hAnsi="Times New Roman"/>
              </w:rPr>
              <w:t>5</w:t>
            </w:r>
          </w:p>
        </w:tc>
        <w:tc>
          <w:tcPr>
            <w:tcW w:w="656" w:type="pct"/>
            <w:tcBorders>
              <w:top w:val="single" w:color="auto" w:sz="4" w:space="0"/>
              <w:left w:val="nil"/>
              <w:bottom w:val="single" w:color="auto" w:sz="4" w:space="0"/>
              <w:right w:val="single" w:color="auto" w:sz="4" w:space="0"/>
            </w:tcBorders>
            <w:vAlign w:val="center"/>
          </w:tcPr>
          <w:p>
            <w:pPr>
              <w:jc w:val="center"/>
              <w:rPr>
                <w:rFonts w:ascii="Times New Roman" w:hAnsi="Times New Roman"/>
                <w:kern w:val="2"/>
              </w:rPr>
            </w:pPr>
            <w:r>
              <w:rPr>
                <w:kern w:val="2"/>
              </w:rPr>
              <w:t>汞</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0.005</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0.005</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0.005</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0.005</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0.005</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0.005</w:t>
            </w:r>
          </w:p>
        </w:tc>
        <w:tc>
          <w:tcPr>
            <w:tcW w:w="455"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0.005</w:t>
            </w:r>
          </w:p>
        </w:tc>
        <w:tc>
          <w:tcPr>
            <w:tcW w:w="561"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kern w:val="2"/>
              </w:rPr>
            </w:pPr>
            <w:r>
              <w:rPr>
                <w:rFonts w:hint="eastAsia"/>
                <w:kern w:val="2"/>
              </w:rPr>
              <w:t>≤</w:t>
            </w:r>
            <w:r>
              <w:rPr>
                <w:rFonts w:hint="eastAsia" w:ascii="Times New Roman" w:hAnsi="Times New Roman"/>
                <w:kern w:val="2"/>
              </w:rPr>
              <w:t>0</w:t>
            </w:r>
            <w:r>
              <w:rPr>
                <w:rFonts w:ascii="Times New Roman" w:hAnsi="Times New Roman"/>
                <w:kern w:val="2"/>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68"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rPr>
            </w:pPr>
            <w:r>
              <w:rPr>
                <w:rFonts w:hint="eastAsia" w:ascii="Times New Roman" w:hAnsi="Times New Roman"/>
              </w:rPr>
              <w:t>6</w:t>
            </w:r>
          </w:p>
        </w:tc>
        <w:tc>
          <w:tcPr>
            <w:tcW w:w="656" w:type="pct"/>
            <w:tcBorders>
              <w:top w:val="single" w:color="auto" w:sz="4" w:space="0"/>
              <w:left w:val="nil"/>
              <w:bottom w:val="single" w:color="auto" w:sz="4" w:space="0"/>
              <w:right w:val="single" w:color="auto" w:sz="4" w:space="0"/>
            </w:tcBorders>
            <w:vAlign w:val="center"/>
          </w:tcPr>
          <w:p>
            <w:pPr>
              <w:jc w:val="center"/>
              <w:rPr>
                <w:rFonts w:ascii="Times New Roman" w:hAnsi="Times New Roman"/>
                <w:kern w:val="2"/>
              </w:rPr>
            </w:pPr>
            <w:r>
              <w:rPr>
                <w:kern w:val="2"/>
              </w:rPr>
              <w:t>镉</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0.01</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0.01</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0.01</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0.01</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0.01</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0.01</w:t>
            </w:r>
          </w:p>
        </w:tc>
        <w:tc>
          <w:tcPr>
            <w:tcW w:w="455"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0.01</w:t>
            </w:r>
          </w:p>
        </w:tc>
        <w:tc>
          <w:tcPr>
            <w:tcW w:w="561"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kern w:val="2"/>
              </w:rPr>
            </w:pPr>
            <w:r>
              <w:rPr>
                <w:rFonts w:hint="eastAsia"/>
                <w:kern w:val="2"/>
              </w:rPr>
              <w:t>≤</w:t>
            </w:r>
            <w:r>
              <w:rPr>
                <w:rFonts w:hint="eastAsia" w:ascii="Times New Roman" w:hAnsi="Times New Roman"/>
                <w:kern w:val="2"/>
              </w:rPr>
              <w:t>0</w:t>
            </w:r>
            <w:r>
              <w:rPr>
                <w:rFonts w:ascii="Times New Roman" w:hAnsi="Times New Roman"/>
                <w:kern w:val="2"/>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68"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rPr>
            </w:pPr>
            <w:r>
              <w:rPr>
                <w:rFonts w:hint="eastAsia" w:ascii="Times New Roman" w:hAnsi="Times New Roman"/>
              </w:rPr>
              <w:t>7</w:t>
            </w:r>
          </w:p>
        </w:tc>
        <w:tc>
          <w:tcPr>
            <w:tcW w:w="656" w:type="pct"/>
            <w:tcBorders>
              <w:top w:val="single" w:color="auto" w:sz="4" w:space="0"/>
              <w:left w:val="nil"/>
              <w:bottom w:val="single" w:color="auto" w:sz="4" w:space="0"/>
              <w:right w:val="single" w:color="auto" w:sz="4" w:space="0"/>
            </w:tcBorders>
            <w:vAlign w:val="center"/>
          </w:tcPr>
          <w:p>
            <w:pPr>
              <w:jc w:val="center"/>
              <w:rPr>
                <w:rFonts w:ascii="Times New Roman" w:hAnsi="Times New Roman"/>
                <w:kern w:val="2"/>
              </w:rPr>
            </w:pPr>
            <w:r>
              <w:rPr>
                <w:kern w:val="2"/>
              </w:rPr>
              <w:t>六价铬</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0.04</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0.04</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0.04</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0.04</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0.04</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0.04</w:t>
            </w:r>
          </w:p>
        </w:tc>
        <w:tc>
          <w:tcPr>
            <w:tcW w:w="455"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0.04</w:t>
            </w:r>
          </w:p>
        </w:tc>
        <w:tc>
          <w:tcPr>
            <w:tcW w:w="561"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kern w:val="2"/>
              </w:rPr>
            </w:pPr>
            <w:r>
              <w:rPr>
                <w:rFonts w:hint="eastAsia"/>
                <w:kern w:val="2"/>
              </w:rPr>
              <w:t>≤</w:t>
            </w:r>
            <w:r>
              <w:rPr>
                <w:rFonts w:hint="eastAsia" w:ascii="Times New Roman" w:hAnsi="Times New Roman"/>
                <w:kern w:val="2"/>
              </w:rPr>
              <w:t>0</w:t>
            </w:r>
            <w:r>
              <w:rPr>
                <w:rFonts w:ascii="Times New Roman" w:hAnsi="Times New Roman"/>
                <w:kern w:val="2"/>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68"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rPr>
            </w:pPr>
            <w:r>
              <w:rPr>
                <w:rFonts w:hint="eastAsia" w:ascii="Times New Roman" w:hAnsi="Times New Roman"/>
              </w:rPr>
              <w:t>8</w:t>
            </w:r>
          </w:p>
        </w:tc>
        <w:tc>
          <w:tcPr>
            <w:tcW w:w="656" w:type="pct"/>
            <w:tcBorders>
              <w:top w:val="single" w:color="auto" w:sz="4" w:space="0"/>
              <w:left w:val="nil"/>
              <w:bottom w:val="single" w:color="auto" w:sz="4" w:space="0"/>
              <w:right w:val="single" w:color="auto" w:sz="4" w:space="0"/>
            </w:tcBorders>
            <w:vAlign w:val="center"/>
          </w:tcPr>
          <w:p>
            <w:pPr>
              <w:jc w:val="center"/>
              <w:rPr>
                <w:rFonts w:ascii="Times New Roman" w:hAnsi="Times New Roman"/>
                <w:kern w:val="2"/>
              </w:rPr>
            </w:pPr>
            <w:r>
              <w:rPr>
                <w:kern w:val="2"/>
              </w:rPr>
              <w:t>砷</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0.015</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0.015</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0.015</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0.015</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0.015</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0.015</w:t>
            </w:r>
          </w:p>
        </w:tc>
        <w:tc>
          <w:tcPr>
            <w:tcW w:w="455"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0.015</w:t>
            </w:r>
          </w:p>
        </w:tc>
        <w:tc>
          <w:tcPr>
            <w:tcW w:w="561"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kern w:val="2"/>
              </w:rPr>
            </w:pPr>
            <w:r>
              <w:rPr>
                <w:rFonts w:hint="eastAsia"/>
                <w:kern w:val="2"/>
              </w:rPr>
              <w:t>≤</w:t>
            </w:r>
            <w:r>
              <w:rPr>
                <w:rFonts w:hint="eastAsia" w:ascii="Times New Roman" w:hAnsi="Times New Roman"/>
                <w:kern w:val="2"/>
              </w:rPr>
              <w:t>0</w:t>
            </w:r>
            <w:r>
              <w:rPr>
                <w:rFonts w:ascii="Times New Roman" w:hAnsi="Times New Roman"/>
                <w:kern w:val="2"/>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68"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rPr>
            </w:pPr>
            <w:r>
              <w:rPr>
                <w:rFonts w:hint="eastAsia" w:ascii="Times New Roman" w:hAnsi="Times New Roman"/>
              </w:rPr>
              <w:t>9</w:t>
            </w:r>
          </w:p>
        </w:tc>
        <w:tc>
          <w:tcPr>
            <w:tcW w:w="656" w:type="pct"/>
            <w:tcBorders>
              <w:top w:val="single" w:color="auto" w:sz="4" w:space="0"/>
              <w:left w:val="nil"/>
              <w:bottom w:val="single" w:color="auto" w:sz="4" w:space="0"/>
              <w:right w:val="single" w:color="auto" w:sz="4" w:space="0"/>
            </w:tcBorders>
            <w:vAlign w:val="center"/>
          </w:tcPr>
          <w:p>
            <w:pPr>
              <w:jc w:val="center"/>
              <w:rPr>
                <w:rFonts w:ascii="Times New Roman" w:hAnsi="Times New Roman"/>
                <w:kern w:val="2"/>
              </w:rPr>
            </w:pPr>
            <w:r>
              <w:rPr>
                <w:kern w:val="2"/>
              </w:rPr>
              <w:t>铅</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0.5</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0.5</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0.5</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0.5</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0.5</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0.5</w:t>
            </w:r>
          </w:p>
        </w:tc>
        <w:tc>
          <w:tcPr>
            <w:tcW w:w="455"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0.5</w:t>
            </w:r>
          </w:p>
        </w:tc>
        <w:tc>
          <w:tcPr>
            <w:tcW w:w="561"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kern w:val="2"/>
              </w:rPr>
            </w:pPr>
            <w:r>
              <w:rPr>
                <w:rFonts w:hint="eastAsia"/>
                <w:kern w:val="2"/>
              </w:rPr>
              <w:t>≤</w:t>
            </w:r>
            <w:r>
              <w:rPr>
                <w:rFonts w:hint="eastAsia" w:ascii="Times New Roman" w:hAnsi="Times New Roman"/>
                <w:kern w:val="2"/>
              </w:rPr>
              <w:t>0</w:t>
            </w:r>
            <w:r>
              <w:rPr>
                <w:rFonts w:ascii="Times New Roman" w:hAnsi="Times New Roman"/>
                <w:kern w:val="2"/>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68"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rPr>
            </w:pPr>
            <w:r>
              <w:rPr>
                <w:rFonts w:hint="eastAsia" w:ascii="Times New Roman" w:hAnsi="Times New Roman"/>
              </w:rPr>
              <w:t>1</w:t>
            </w:r>
            <w:r>
              <w:rPr>
                <w:rFonts w:ascii="Times New Roman" w:hAnsi="Times New Roman"/>
              </w:rPr>
              <w:t>0</w:t>
            </w:r>
          </w:p>
        </w:tc>
        <w:tc>
          <w:tcPr>
            <w:tcW w:w="656" w:type="pct"/>
            <w:tcBorders>
              <w:top w:val="single" w:color="auto" w:sz="4" w:space="0"/>
              <w:left w:val="nil"/>
              <w:bottom w:val="single" w:color="auto" w:sz="4" w:space="0"/>
              <w:right w:val="single" w:color="auto" w:sz="4" w:space="0"/>
            </w:tcBorders>
            <w:vAlign w:val="center"/>
          </w:tcPr>
          <w:p>
            <w:pPr>
              <w:jc w:val="center"/>
              <w:rPr>
                <w:rFonts w:ascii="Times New Roman" w:hAnsi="Times New Roman"/>
                <w:kern w:val="2"/>
              </w:rPr>
            </w:pPr>
            <w:r>
              <w:rPr>
                <w:rFonts w:hint="eastAsia"/>
                <w:kern w:val="2"/>
              </w:rPr>
              <w:t>总硬度</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0.23</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w:t>
            </w:r>
            <w:r>
              <w:rPr>
                <w:rFonts w:ascii="Times New Roman" w:hAnsi="Times New Roman"/>
                <w:kern w:val="2"/>
              </w:rPr>
              <w:t>.22</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w:t>
            </w:r>
            <w:r>
              <w:rPr>
                <w:rFonts w:ascii="Times New Roman" w:hAnsi="Times New Roman"/>
                <w:kern w:val="2"/>
              </w:rPr>
              <w:t>.27</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w:t>
            </w:r>
            <w:r>
              <w:rPr>
                <w:rFonts w:ascii="Times New Roman" w:hAnsi="Times New Roman"/>
                <w:kern w:val="2"/>
              </w:rPr>
              <w:t>.24</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w:t>
            </w:r>
            <w:r>
              <w:rPr>
                <w:rFonts w:ascii="Times New Roman" w:hAnsi="Times New Roman"/>
                <w:kern w:val="2"/>
              </w:rPr>
              <w:t>.18</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w:t>
            </w:r>
            <w:r>
              <w:rPr>
                <w:rFonts w:ascii="Times New Roman" w:hAnsi="Times New Roman"/>
                <w:kern w:val="2"/>
              </w:rPr>
              <w:t>.17</w:t>
            </w:r>
          </w:p>
        </w:tc>
        <w:tc>
          <w:tcPr>
            <w:tcW w:w="455"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w:t>
            </w:r>
            <w:r>
              <w:rPr>
                <w:rFonts w:ascii="Times New Roman" w:hAnsi="Times New Roman"/>
                <w:kern w:val="2"/>
              </w:rPr>
              <w:t>.19</w:t>
            </w:r>
          </w:p>
        </w:tc>
        <w:tc>
          <w:tcPr>
            <w:tcW w:w="561"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kern w:val="2"/>
              </w:rPr>
            </w:pPr>
            <w:r>
              <w:rPr>
                <w:rFonts w:hint="eastAsia"/>
                <w:kern w:val="2"/>
              </w:rPr>
              <w:t>≤</w:t>
            </w:r>
            <w:r>
              <w:rPr>
                <w:rFonts w:hint="eastAsia" w:ascii="Times New Roman" w:hAnsi="Times New Roman"/>
                <w:kern w:val="2"/>
              </w:rPr>
              <w:t>4</w:t>
            </w:r>
            <w:r>
              <w:rPr>
                <w:rFonts w:ascii="Times New Roman" w:hAnsi="Times New Roman"/>
                <w:kern w:val="2"/>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68"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rPr>
            </w:pPr>
            <w:r>
              <w:rPr>
                <w:rFonts w:hint="eastAsia" w:ascii="Times New Roman" w:hAnsi="Times New Roman"/>
              </w:rPr>
              <w:t>1</w:t>
            </w:r>
            <w:r>
              <w:rPr>
                <w:rFonts w:ascii="Times New Roman" w:hAnsi="Times New Roman"/>
              </w:rPr>
              <w:t>1</w:t>
            </w:r>
          </w:p>
        </w:tc>
        <w:tc>
          <w:tcPr>
            <w:tcW w:w="656"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kern w:val="2"/>
              </w:rPr>
              <w:t>耗氧量</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w:t>
            </w:r>
            <w:r>
              <w:rPr>
                <w:rFonts w:ascii="Times New Roman" w:hAnsi="Times New Roman"/>
                <w:kern w:val="2"/>
              </w:rPr>
              <w:t>.86</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w:t>
            </w:r>
            <w:r>
              <w:rPr>
                <w:rFonts w:ascii="Times New Roman" w:hAnsi="Times New Roman"/>
                <w:kern w:val="2"/>
              </w:rPr>
              <w:t>.63</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w:t>
            </w:r>
            <w:r>
              <w:rPr>
                <w:rFonts w:ascii="Times New Roman" w:hAnsi="Times New Roman"/>
                <w:kern w:val="2"/>
              </w:rPr>
              <w:t>.73</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w:t>
            </w:r>
            <w:r>
              <w:rPr>
                <w:rFonts w:ascii="Times New Roman" w:hAnsi="Times New Roman"/>
                <w:kern w:val="2"/>
              </w:rPr>
              <w:t>.83</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w:t>
            </w:r>
            <w:r>
              <w:rPr>
                <w:rFonts w:ascii="Times New Roman" w:hAnsi="Times New Roman"/>
                <w:kern w:val="2"/>
              </w:rPr>
              <w:t>.56</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w:t>
            </w:r>
            <w:r>
              <w:rPr>
                <w:rFonts w:ascii="Times New Roman" w:hAnsi="Times New Roman"/>
                <w:kern w:val="2"/>
              </w:rPr>
              <w:t>.46</w:t>
            </w:r>
          </w:p>
        </w:tc>
        <w:tc>
          <w:tcPr>
            <w:tcW w:w="455"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w:t>
            </w:r>
            <w:r>
              <w:rPr>
                <w:rFonts w:ascii="Times New Roman" w:hAnsi="Times New Roman"/>
                <w:kern w:val="2"/>
              </w:rPr>
              <w:t>.76</w:t>
            </w:r>
          </w:p>
        </w:tc>
        <w:tc>
          <w:tcPr>
            <w:tcW w:w="561"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kern w:val="2"/>
              </w:rPr>
            </w:pPr>
            <w:r>
              <w:rPr>
                <w:rFonts w:hint="eastAsia"/>
                <w:kern w:val="2"/>
              </w:rPr>
              <w:t>≤</w:t>
            </w:r>
            <w:r>
              <w:rPr>
                <w:rFonts w:hint="eastAsia" w:ascii="Times New Roman" w:hAnsi="Times New Roman"/>
                <w:kern w:val="2"/>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68"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rPr>
            </w:pPr>
            <w:r>
              <w:rPr>
                <w:rFonts w:hint="eastAsia" w:ascii="Times New Roman" w:hAnsi="Times New Roman"/>
              </w:rPr>
              <w:t>1</w:t>
            </w:r>
            <w:r>
              <w:rPr>
                <w:rFonts w:ascii="Times New Roman" w:hAnsi="Times New Roman"/>
              </w:rPr>
              <w:t>2</w:t>
            </w:r>
          </w:p>
        </w:tc>
        <w:tc>
          <w:tcPr>
            <w:tcW w:w="656"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kern w:val="2"/>
              </w:rPr>
              <w:t>氟化物</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0.223</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0.347</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0.294</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0.163</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0.278</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0.236</w:t>
            </w:r>
          </w:p>
        </w:tc>
        <w:tc>
          <w:tcPr>
            <w:tcW w:w="455"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0.197</w:t>
            </w:r>
          </w:p>
        </w:tc>
        <w:tc>
          <w:tcPr>
            <w:tcW w:w="561"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kern w:val="2"/>
              </w:rPr>
            </w:pPr>
            <w:r>
              <w:rPr>
                <w:rFonts w:hint="eastAsia"/>
                <w:kern w:val="2"/>
              </w:rPr>
              <w:t>≤</w:t>
            </w:r>
            <w:r>
              <w:rPr>
                <w:rFonts w:hint="eastAsia" w:ascii="Times New Roman" w:hAnsi="Times New Roman"/>
                <w:kern w:val="2"/>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68"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rPr>
            </w:pPr>
            <w:r>
              <w:rPr>
                <w:rFonts w:hint="eastAsia" w:ascii="Times New Roman" w:hAnsi="Times New Roman"/>
              </w:rPr>
              <w:t>1</w:t>
            </w:r>
            <w:r>
              <w:rPr>
                <w:rFonts w:ascii="Times New Roman" w:hAnsi="Times New Roman"/>
              </w:rPr>
              <w:t>3</w:t>
            </w:r>
          </w:p>
        </w:tc>
        <w:tc>
          <w:tcPr>
            <w:tcW w:w="656"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kern w:val="2"/>
              </w:rPr>
              <w:t>铁</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0.05</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0.05</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0.05</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0.05</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0.05</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0.05</w:t>
            </w:r>
          </w:p>
        </w:tc>
        <w:tc>
          <w:tcPr>
            <w:tcW w:w="455"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0.05</w:t>
            </w:r>
          </w:p>
        </w:tc>
        <w:tc>
          <w:tcPr>
            <w:tcW w:w="561"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kern w:val="2"/>
              </w:rPr>
            </w:pPr>
            <w:r>
              <w:rPr>
                <w:rFonts w:hint="eastAsia"/>
                <w:kern w:val="2"/>
              </w:rPr>
              <w:t>≤</w:t>
            </w:r>
            <w:r>
              <w:rPr>
                <w:rFonts w:hint="eastAsia" w:ascii="Times New Roman" w:hAnsi="Times New Roman"/>
                <w:kern w:val="2"/>
              </w:rPr>
              <w:t>0</w:t>
            </w:r>
            <w:r>
              <w:rPr>
                <w:rFonts w:ascii="Times New Roman" w:hAnsi="Times New Roman"/>
                <w:kern w:val="2"/>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68"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rPr>
            </w:pPr>
            <w:r>
              <w:rPr>
                <w:rFonts w:hint="eastAsia" w:ascii="Times New Roman" w:hAnsi="Times New Roman"/>
              </w:rPr>
              <w:t>1</w:t>
            </w:r>
            <w:r>
              <w:rPr>
                <w:rFonts w:ascii="Times New Roman" w:hAnsi="Times New Roman"/>
              </w:rPr>
              <w:t>4</w:t>
            </w:r>
          </w:p>
        </w:tc>
        <w:tc>
          <w:tcPr>
            <w:tcW w:w="656"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kern w:val="2"/>
              </w:rPr>
              <w:t>锰</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0.05</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0.05</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0.05</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0.05</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0.05</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0.05</w:t>
            </w:r>
          </w:p>
        </w:tc>
        <w:tc>
          <w:tcPr>
            <w:tcW w:w="455"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0.05</w:t>
            </w:r>
          </w:p>
        </w:tc>
        <w:tc>
          <w:tcPr>
            <w:tcW w:w="561"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kern w:val="2"/>
              </w:rPr>
            </w:pPr>
            <w:r>
              <w:rPr>
                <w:rFonts w:hint="eastAsia"/>
                <w:kern w:val="2"/>
              </w:rPr>
              <w:t>≤</w:t>
            </w:r>
            <w:r>
              <w:rPr>
                <w:rFonts w:hint="eastAsia" w:ascii="Times New Roman" w:hAnsi="Times New Roman"/>
                <w:kern w:val="2"/>
              </w:rPr>
              <w:t>0</w:t>
            </w:r>
            <w:r>
              <w:rPr>
                <w:rFonts w:ascii="Times New Roman" w:hAnsi="Times New Roman"/>
                <w:kern w:val="2"/>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68"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rPr>
            </w:pPr>
            <w:r>
              <w:rPr>
                <w:rFonts w:hint="eastAsia" w:ascii="Times New Roman" w:hAnsi="Times New Roman"/>
              </w:rPr>
              <w:t>1</w:t>
            </w:r>
            <w:r>
              <w:rPr>
                <w:rFonts w:ascii="Times New Roman" w:hAnsi="Times New Roman"/>
              </w:rPr>
              <w:t>5</w:t>
            </w:r>
          </w:p>
        </w:tc>
        <w:tc>
          <w:tcPr>
            <w:tcW w:w="656"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kern w:val="2"/>
              </w:rPr>
              <w:t>硝酸盐（以</w:t>
            </w:r>
            <w:r>
              <w:rPr>
                <w:rFonts w:hint="eastAsia" w:ascii="Times New Roman" w:hAnsi="Times New Roman"/>
                <w:kern w:val="2"/>
              </w:rPr>
              <w:t>N</w:t>
            </w:r>
            <w:r>
              <w:rPr>
                <w:rFonts w:hint="eastAsia"/>
                <w:kern w:val="2"/>
              </w:rPr>
              <w:t>计）</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0.36</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0.41</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0.41</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0.40</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0.37</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0.46</w:t>
            </w:r>
          </w:p>
        </w:tc>
        <w:tc>
          <w:tcPr>
            <w:tcW w:w="455"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0.35</w:t>
            </w:r>
          </w:p>
        </w:tc>
        <w:tc>
          <w:tcPr>
            <w:tcW w:w="561"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kern w:val="2"/>
              </w:rPr>
            </w:pPr>
            <w:r>
              <w:rPr>
                <w:rFonts w:hint="eastAsia"/>
                <w:kern w:val="2"/>
              </w:rPr>
              <w:t>≤</w:t>
            </w:r>
            <w:r>
              <w:rPr>
                <w:rFonts w:hint="eastAsia" w:ascii="Times New Roman" w:hAnsi="Times New Roman"/>
                <w:kern w:val="2"/>
              </w:rPr>
              <w:t>2</w:t>
            </w:r>
            <w:r>
              <w:rPr>
                <w:rFonts w:ascii="Times New Roman" w:hAnsi="Times New Roman"/>
                <w:kern w:val="2"/>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68"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rPr>
            </w:pPr>
            <w:r>
              <w:rPr>
                <w:rFonts w:hint="eastAsia" w:ascii="Times New Roman" w:hAnsi="Times New Roman"/>
              </w:rPr>
              <w:t>1</w:t>
            </w:r>
            <w:r>
              <w:rPr>
                <w:rFonts w:ascii="Times New Roman" w:hAnsi="Times New Roman"/>
              </w:rPr>
              <w:t>6</w:t>
            </w:r>
          </w:p>
        </w:tc>
        <w:tc>
          <w:tcPr>
            <w:tcW w:w="656"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kern w:val="2"/>
              </w:rPr>
              <w:t>亚硝酸盐氮</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0.015</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0.015</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0.015</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0.015</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0.015</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0.015</w:t>
            </w:r>
          </w:p>
        </w:tc>
        <w:tc>
          <w:tcPr>
            <w:tcW w:w="455"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0.015</w:t>
            </w:r>
          </w:p>
        </w:tc>
        <w:tc>
          <w:tcPr>
            <w:tcW w:w="561"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kern w:val="2"/>
              </w:rPr>
            </w:pPr>
            <w:r>
              <w:rPr>
                <w:rFonts w:hint="eastAsia"/>
                <w:kern w:val="2"/>
              </w:rPr>
              <w:t>≤</w:t>
            </w:r>
            <w:r>
              <w:rPr>
                <w:rFonts w:hint="eastAsia" w:ascii="Times New Roman" w:hAnsi="Times New Roman"/>
                <w:kern w:val="2"/>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68"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rPr>
            </w:pPr>
            <w:r>
              <w:rPr>
                <w:rFonts w:hint="eastAsia" w:ascii="Times New Roman" w:hAnsi="Times New Roman"/>
              </w:rPr>
              <w:t>1</w:t>
            </w:r>
            <w:r>
              <w:rPr>
                <w:rFonts w:ascii="Times New Roman" w:hAnsi="Times New Roman"/>
              </w:rPr>
              <w:t>7</w:t>
            </w:r>
          </w:p>
        </w:tc>
        <w:tc>
          <w:tcPr>
            <w:tcW w:w="656"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kern w:val="2"/>
              </w:rPr>
              <w:t>硫酸盐</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0.08</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0.1</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0.076</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w:t>
            </w:r>
            <w:r>
              <w:rPr>
                <w:rFonts w:ascii="Times New Roman" w:hAnsi="Times New Roman"/>
                <w:kern w:val="2"/>
              </w:rPr>
              <w:t>.072</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w:t>
            </w:r>
            <w:r>
              <w:rPr>
                <w:rFonts w:ascii="Times New Roman" w:hAnsi="Times New Roman"/>
                <w:kern w:val="2"/>
              </w:rPr>
              <w:t>.076</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w:t>
            </w:r>
            <w:r>
              <w:rPr>
                <w:rFonts w:ascii="Times New Roman" w:hAnsi="Times New Roman"/>
                <w:kern w:val="2"/>
              </w:rPr>
              <w:t>.068</w:t>
            </w:r>
          </w:p>
        </w:tc>
        <w:tc>
          <w:tcPr>
            <w:tcW w:w="455"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0</w:t>
            </w:r>
            <w:r>
              <w:rPr>
                <w:rFonts w:ascii="Times New Roman" w:hAnsi="Times New Roman"/>
                <w:kern w:val="2"/>
              </w:rPr>
              <w:t>.088</w:t>
            </w:r>
          </w:p>
        </w:tc>
        <w:tc>
          <w:tcPr>
            <w:tcW w:w="561"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kern w:val="2"/>
              </w:rPr>
            </w:pPr>
            <w:r>
              <w:rPr>
                <w:rFonts w:hint="eastAsia"/>
                <w:kern w:val="2"/>
              </w:rPr>
              <w:t>≤</w:t>
            </w:r>
            <w:r>
              <w:rPr>
                <w:rFonts w:ascii="Times New Roman" w:hAnsi="Times New Roman"/>
                <w:kern w:val="2"/>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68"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rPr>
            </w:pPr>
            <w:r>
              <w:rPr>
                <w:rFonts w:hint="eastAsia" w:ascii="Times New Roman" w:hAnsi="Times New Roman"/>
              </w:rPr>
              <w:t>1</w:t>
            </w:r>
            <w:r>
              <w:rPr>
                <w:rFonts w:ascii="Times New Roman" w:hAnsi="Times New Roman"/>
              </w:rPr>
              <w:t>8</w:t>
            </w:r>
          </w:p>
        </w:tc>
        <w:tc>
          <w:tcPr>
            <w:tcW w:w="656"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kern w:val="2"/>
              </w:rPr>
              <w:t>氯化物</w:t>
            </w:r>
          </w:p>
        </w:tc>
        <w:tc>
          <w:tcPr>
            <w:tcW w:w="510"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Times New Roman" w:hAnsi="Times New Roman"/>
                <w:kern w:val="2"/>
              </w:rPr>
            </w:pPr>
            <w:r>
              <w:rPr>
                <w:rFonts w:hint="eastAsia" w:ascii="Times New Roman" w:hAnsi="Times New Roman"/>
                <w:kern w:val="2"/>
              </w:rPr>
              <w:t>0</w:t>
            </w:r>
            <w:r>
              <w:rPr>
                <w:rFonts w:ascii="Times New Roman" w:hAnsi="Times New Roman"/>
                <w:kern w:val="2"/>
              </w:rPr>
              <w:t>.046</w:t>
            </w:r>
          </w:p>
        </w:tc>
        <w:tc>
          <w:tcPr>
            <w:tcW w:w="510"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Times New Roman" w:hAnsi="Times New Roman"/>
                <w:kern w:val="2"/>
              </w:rPr>
            </w:pPr>
            <w:r>
              <w:rPr>
                <w:rFonts w:hint="eastAsia" w:ascii="Times New Roman" w:hAnsi="Times New Roman"/>
                <w:kern w:val="2"/>
              </w:rPr>
              <w:t>0</w:t>
            </w:r>
            <w:r>
              <w:rPr>
                <w:rFonts w:ascii="Times New Roman" w:hAnsi="Times New Roman"/>
                <w:kern w:val="2"/>
              </w:rPr>
              <w:t>.038</w:t>
            </w:r>
          </w:p>
        </w:tc>
        <w:tc>
          <w:tcPr>
            <w:tcW w:w="510"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Times New Roman" w:hAnsi="Times New Roman"/>
                <w:kern w:val="2"/>
              </w:rPr>
            </w:pPr>
            <w:r>
              <w:rPr>
                <w:rFonts w:hint="eastAsia" w:ascii="Times New Roman" w:hAnsi="Times New Roman"/>
                <w:kern w:val="2"/>
              </w:rPr>
              <w:t>0</w:t>
            </w:r>
            <w:r>
              <w:rPr>
                <w:rFonts w:ascii="Times New Roman" w:hAnsi="Times New Roman"/>
                <w:kern w:val="2"/>
              </w:rPr>
              <w:t>.034</w:t>
            </w:r>
          </w:p>
        </w:tc>
        <w:tc>
          <w:tcPr>
            <w:tcW w:w="510"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Times New Roman" w:hAnsi="Times New Roman"/>
                <w:kern w:val="2"/>
              </w:rPr>
            </w:pPr>
            <w:r>
              <w:rPr>
                <w:rFonts w:hint="eastAsia" w:ascii="Times New Roman" w:hAnsi="Times New Roman"/>
                <w:kern w:val="2"/>
              </w:rPr>
              <w:t>0</w:t>
            </w:r>
            <w:r>
              <w:rPr>
                <w:rFonts w:ascii="Times New Roman" w:hAnsi="Times New Roman"/>
                <w:kern w:val="2"/>
              </w:rPr>
              <w:t>.047</w:t>
            </w:r>
          </w:p>
        </w:tc>
        <w:tc>
          <w:tcPr>
            <w:tcW w:w="510"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Times New Roman" w:hAnsi="Times New Roman"/>
                <w:kern w:val="2"/>
              </w:rPr>
            </w:pPr>
            <w:r>
              <w:rPr>
                <w:rFonts w:hint="eastAsia" w:ascii="Times New Roman" w:hAnsi="Times New Roman"/>
                <w:kern w:val="2"/>
              </w:rPr>
              <w:t>0</w:t>
            </w:r>
            <w:r>
              <w:rPr>
                <w:rFonts w:ascii="Times New Roman" w:hAnsi="Times New Roman"/>
                <w:kern w:val="2"/>
              </w:rPr>
              <w:t>.041</w:t>
            </w:r>
          </w:p>
        </w:tc>
        <w:tc>
          <w:tcPr>
            <w:tcW w:w="510"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Times New Roman" w:hAnsi="Times New Roman"/>
                <w:kern w:val="2"/>
              </w:rPr>
            </w:pPr>
            <w:r>
              <w:rPr>
                <w:rFonts w:hint="eastAsia" w:ascii="Times New Roman" w:hAnsi="Times New Roman"/>
                <w:kern w:val="2"/>
              </w:rPr>
              <w:t>0</w:t>
            </w:r>
            <w:r>
              <w:rPr>
                <w:rFonts w:ascii="Times New Roman" w:hAnsi="Times New Roman"/>
                <w:kern w:val="2"/>
              </w:rPr>
              <w:t>.051</w:t>
            </w:r>
          </w:p>
        </w:tc>
        <w:tc>
          <w:tcPr>
            <w:tcW w:w="455"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Times New Roman" w:hAnsi="Times New Roman"/>
                <w:kern w:val="2"/>
              </w:rPr>
            </w:pPr>
            <w:r>
              <w:rPr>
                <w:rFonts w:hint="eastAsia" w:ascii="Times New Roman" w:hAnsi="Times New Roman"/>
                <w:kern w:val="2"/>
              </w:rPr>
              <w:t>0</w:t>
            </w:r>
            <w:r>
              <w:rPr>
                <w:rFonts w:ascii="Times New Roman" w:hAnsi="Times New Roman"/>
                <w:kern w:val="2"/>
              </w:rPr>
              <w:t>.044</w:t>
            </w:r>
          </w:p>
        </w:tc>
        <w:tc>
          <w:tcPr>
            <w:tcW w:w="561"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kern w:val="2"/>
              </w:rPr>
            </w:pPr>
            <w:r>
              <w:rPr>
                <w:rFonts w:hint="eastAsia"/>
                <w:kern w:val="2"/>
              </w:rPr>
              <w:t>≤</w:t>
            </w:r>
            <w:r>
              <w:rPr>
                <w:rFonts w:ascii="Times New Roman" w:hAnsi="Times New Roman"/>
                <w:kern w:val="2"/>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68"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rPr>
            </w:pPr>
            <w:r>
              <w:rPr>
                <w:rFonts w:hint="eastAsia" w:ascii="Times New Roman" w:hAnsi="Times New Roman"/>
              </w:rPr>
              <w:t>1</w:t>
            </w:r>
            <w:r>
              <w:rPr>
                <w:rFonts w:ascii="Times New Roman" w:hAnsi="Times New Roman"/>
              </w:rPr>
              <w:t>9</w:t>
            </w:r>
          </w:p>
        </w:tc>
        <w:tc>
          <w:tcPr>
            <w:tcW w:w="656"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kern w:val="2"/>
              </w:rPr>
              <w:t>总大肠菌群（</w:t>
            </w:r>
            <w:r>
              <w:rPr>
                <w:rFonts w:hint="eastAsia" w:ascii="Times New Roman" w:hAnsi="Times New Roman"/>
                <w:kern w:val="2"/>
              </w:rPr>
              <w:t>MPN/100mL</w:t>
            </w:r>
            <w:r>
              <w:rPr>
                <w:rFonts w:hint="eastAsia"/>
                <w:kern w:val="2"/>
              </w:rPr>
              <w:t>）</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w:t>
            </w:r>
          </w:p>
        </w:tc>
        <w:tc>
          <w:tcPr>
            <w:tcW w:w="455"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ascii="Times New Roman" w:hAnsi="Times New Roman"/>
                <w:kern w:val="2"/>
              </w:rPr>
              <w:t>/</w:t>
            </w:r>
          </w:p>
        </w:tc>
        <w:tc>
          <w:tcPr>
            <w:tcW w:w="561"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kern w:val="2"/>
              </w:rPr>
            </w:pPr>
            <w:r>
              <w:rPr>
                <w:rFonts w:hint="eastAsia"/>
                <w:kern w:val="2"/>
              </w:rPr>
              <w:t>≤</w:t>
            </w:r>
            <w:r>
              <w:rPr>
                <w:rFonts w:hint="eastAsia" w:ascii="Times New Roman" w:hAnsi="Times New Roman"/>
                <w:kern w:val="2"/>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68"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rPr>
            </w:pPr>
            <w:r>
              <w:rPr>
                <w:rFonts w:hint="eastAsia" w:ascii="Times New Roman" w:hAnsi="Times New Roman"/>
              </w:rPr>
              <w:t>2</w:t>
            </w:r>
            <w:r>
              <w:rPr>
                <w:rFonts w:ascii="Times New Roman" w:hAnsi="Times New Roman"/>
              </w:rPr>
              <w:t>0</w:t>
            </w:r>
          </w:p>
        </w:tc>
        <w:tc>
          <w:tcPr>
            <w:tcW w:w="656"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hint="eastAsia"/>
                <w:kern w:val="2"/>
              </w:rPr>
              <w:t>细菌总数（</w:t>
            </w:r>
            <w:r>
              <w:rPr>
                <w:rFonts w:hint="eastAsia" w:ascii="Times New Roman" w:hAnsi="Times New Roman"/>
                <w:kern w:val="2"/>
              </w:rPr>
              <w:t>CFU/mL</w:t>
            </w:r>
            <w:r>
              <w:rPr>
                <w:rFonts w:hint="eastAsia"/>
                <w:kern w:val="2"/>
              </w:rPr>
              <w:t>）</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0.5</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w:t>
            </w:r>
            <w:r>
              <w:rPr>
                <w:rFonts w:hint="eastAsia" w:ascii="Times New Roman" w:hAnsi="Times New Roman"/>
                <w:kern w:val="2"/>
              </w:rPr>
              <w:t>42</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w:t>
            </w:r>
            <w:r>
              <w:rPr>
                <w:rFonts w:hint="eastAsia" w:ascii="Times New Roman" w:hAnsi="Times New Roman"/>
                <w:kern w:val="2"/>
              </w:rPr>
              <w:t>58</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w:t>
            </w:r>
            <w:r>
              <w:rPr>
                <w:rFonts w:hint="eastAsia" w:ascii="Times New Roman" w:hAnsi="Times New Roman"/>
                <w:kern w:val="2"/>
              </w:rPr>
              <w:t>63</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w:t>
            </w:r>
            <w:r>
              <w:rPr>
                <w:rFonts w:hint="eastAsia" w:ascii="Times New Roman" w:hAnsi="Times New Roman"/>
                <w:kern w:val="2"/>
              </w:rPr>
              <w:t>44</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w:t>
            </w:r>
            <w:r>
              <w:rPr>
                <w:rFonts w:hint="eastAsia" w:ascii="Times New Roman" w:hAnsi="Times New Roman"/>
                <w:kern w:val="2"/>
              </w:rPr>
              <w:t>51</w:t>
            </w:r>
          </w:p>
        </w:tc>
        <w:tc>
          <w:tcPr>
            <w:tcW w:w="455"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w:t>
            </w:r>
            <w:r>
              <w:rPr>
                <w:rFonts w:hint="eastAsia" w:ascii="Times New Roman" w:hAnsi="Times New Roman"/>
                <w:kern w:val="2"/>
              </w:rPr>
              <w:t>60</w:t>
            </w:r>
          </w:p>
        </w:tc>
        <w:tc>
          <w:tcPr>
            <w:tcW w:w="561"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kern w:val="2"/>
              </w:rPr>
            </w:pPr>
            <w:r>
              <w:rPr>
                <w:rFonts w:hint="eastAsia"/>
                <w:kern w:val="2"/>
              </w:rPr>
              <w:t>≤</w:t>
            </w:r>
            <w:r>
              <w:rPr>
                <w:rFonts w:ascii="Times New Roman" w:hAnsi="Times New Roman"/>
                <w:kern w:val="2"/>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68"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rPr>
            </w:pPr>
            <w:r>
              <w:rPr>
                <w:rFonts w:hint="eastAsia" w:ascii="Times New Roman" w:hAnsi="Times New Roman"/>
              </w:rPr>
              <w:t>2</w:t>
            </w:r>
            <w:r>
              <w:rPr>
                <w:rFonts w:ascii="Times New Roman" w:hAnsi="Times New Roman"/>
              </w:rPr>
              <w:t>1</w:t>
            </w:r>
          </w:p>
        </w:tc>
        <w:tc>
          <w:tcPr>
            <w:tcW w:w="656"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kern w:val="2"/>
              </w:rPr>
              <w:t>溶解性总固体</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w:t>
            </w:r>
            <w:r>
              <w:rPr>
                <w:rFonts w:hint="eastAsia" w:ascii="Times New Roman" w:hAnsi="Times New Roman"/>
                <w:kern w:val="2"/>
              </w:rPr>
              <w:t>184</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w:t>
            </w:r>
            <w:r>
              <w:rPr>
                <w:rFonts w:hint="eastAsia" w:ascii="Times New Roman" w:hAnsi="Times New Roman"/>
                <w:kern w:val="2"/>
              </w:rPr>
              <w:t>176</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w:t>
            </w:r>
            <w:r>
              <w:rPr>
                <w:rFonts w:hint="eastAsia" w:ascii="Times New Roman" w:hAnsi="Times New Roman"/>
                <w:kern w:val="2"/>
              </w:rPr>
              <w:t>208</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w:t>
            </w:r>
            <w:r>
              <w:rPr>
                <w:rFonts w:hint="eastAsia" w:ascii="Times New Roman" w:hAnsi="Times New Roman"/>
                <w:kern w:val="2"/>
              </w:rPr>
              <w:t>195</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w:t>
            </w:r>
            <w:r>
              <w:rPr>
                <w:rFonts w:hint="eastAsia" w:ascii="Times New Roman" w:hAnsi="Times New Roman"/>
                <w:kern w:val="2"/>
              </w:rPr>
              <w:t>163</w:t>
            </w:r>
          </w:p>
        </w:tc>
        <w:tc>
          <w:tcPr>
            <w:tcW w:w="5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w:t>
            </w:r>
            <w:r>
              <w:rPr>
                <w:rFonts w:hint="eastAsia" w:ascii="Times New Roman" w:hAnsi="Times New Roman"/>
                <w:kern w:val="2"/>
              </w:rPr>
              <w:t>151</w:t>
            </w:r>
          </w:p>
        </w:tc>
        <w:tc>
          <w:tcPr>
            <w:tcW w:w="455"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2"/>
              </w:rPr>
            </w:pPr>
            <w:r>
              <w:rPr>
                <w:rFonts w:ascii="Times New Roman" w:hAnsi="Times New Roman"/>
                <w:kern w:val="2"/>
              </w:rPr>
              <w:t>0.</w:t>
            </w:r>
            <w:r>
              <w:rPr>
                <w:rFonts w:hint="eastAsia" w:ascii="Times New Roman" w:hAnsi="Times New Roman"/>
                <w:kern w:val="2"/>
              </w:rPr>
              <w:t>170</w:t>
            </w:r>
          </w:p>
        </w:tc>
        <w:tc>
          <w:tcPr>
            <w:tcW w:w="561"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kern w:val="2"/>
              </w:rPr>
            </w:pPr>
            <w:r>
              <w:rPr>
                <w:rFonts w:hint="eastAsia"/>
                <w:kern w:val="2"/>
              </w:rPr>
              <w:t>≤</w:t>
            </w:r>
            <w:r>
              <w:rPr>
                <w:rFonts w:ascii="Times New Roman" w:hAnsi="Times New Roman"/>
                <w:kern w:val="2"/>
              </w:rPr>
              <w:t>1000</w:t>
            </w:r>
          </w:p>
        </w:tc>
      </w:tr>
    </w:tbl>
    <w:p>
      <w:pPr>
        <w:pStyle w:val="155"/>
        <w:spacing w:line="480" w:lineRule="exact"/>
        <w:ind w:firstLine="480"/>
      </w:pPr>
    </w:p>
    <w:p>
      <w:pPr>
        <w:pStyle w:val="155"/>
        <w:spacing w:line="480" w:lineRule="exact"/>
        <w:ind w:firstLine="480"/>
      </w:pPr>
    </w:p>
    <w:p>
      <w:pPr>
        <w:pStyle w:val="70"/>
        <w:ind w:left="1422" w:leftChars="163" w:hangingChars="450"/>
        <w:sectPr>
          <w:pgSz w:w="16839" w:h="11907" w:orient="landscape"/>
          <w:pgMar w:top="1440" w:right="1797" w:bottom="1440" w:left="1797" w:header="851" w:footer="850" w:gutter="0"/>
          <w:cols w:space="720" w:num="1"/>
          <w:docGrid w:linePitch="312" w:charSpace="0"/>
        </w:sectPr>
      </w:pPr>
    </w:p>
    <w:p>
      <w:pPr>
        <w:pStyle w:val="155"/>
        <w:spacing w:line="480" w:lineRule="exact"/>
        <w:ind w:firstLine="480"/>
      </w:pPr>
      <w:r>
        <w:t>（4）地下水化学类型</w:t>
      </w:r>
    </w:p>
    <w:p>
      <w:pPr>
        <w:pStyle w:val="155"/>
        <w:spacing w:line="480" w:lineRule="exact"/>
        <w:ind w:firstLine="480"/>
      </w:pPr>
      <w:r>
        <w:t>用舒卡列夫分类法对地下水化学类型进行评价，其主要作用有两点，一是查明地下水化学类型，二是查验检测结果的准确性。地下水化学类型的舒卡列夫分类是根据地下水中7种主要离子（Na</w:t>
      </w:r>
      <w:r>
        <w:rPr>
          <w:vertAlign w:val="superscript"/>
        </w:rPr>
        <w:t>+</w:t>
      </w:r>
      <w:r>
        <w:t>、Ca</w:t>
      </w:r>
      <w:r>
        <w:rPr>
          <w:vertAlign w:val="superscript"/>
        </w:rPr>
        <w:t>2+</w:t>
      </w:r>
      <w:r>
        <w:t>、Mg</w:t>
      </w:r>
      <w:r>
        <w:rPr>
          <w:vertAlign w:val="superscript"/>
        </w:rPr>
        <w:t>2+</w:t>
      </w:r>
      <w:r>
        <w:t>、HCO</w:t>
      </w:r>
      <w:r>
        <w:rPr>
          <w:vertAlign w:val="subscript"/>
        </w:rPr>
        <w:t>3</w:t>
      </w:r>
      <w:r>
        <w:rPr>
          <w:vertAlign w:val="superscript"/>
        </w:rPr>
        <w:t>-</w:t>
      </w:r>
      <w:r>
        <w:t>、SO</w:t>
      </w:r>
      <w:r>
        <w:rPr>
          <w:vertAlign w:val="subscript"/>
        </w:rPr>
        <w:t>4</w:t>
      </w:r>
      <w:r>
        <w:rPr>
          <w:vertAlign w:val="superscript"/>
        </w:rPr>
        <w:t>2-</w:t>
      </w:r>
      <w:r>
        <w:t>、Cl</w:t>
      </w:r>
      <w:r>
        <w:rPr>
          <w:vertAlign w:val="superscript"/>
        </w:rPr>
        <w:t>-</w:t>
      </w:r>
      <w:r>
        <w:t>，K</w:t>
      </w:r>
      <w:r>
        <w:rPr>
          <w:vertAlign w:val="superscript"/>
        </w:rPr>
        <w:t>+</w:t>
      </w:r>
      <w:r>
        <w:t>合并于Na</w:t>
      </w:r>
      <w:r>
        <w:rPr>
          <w:vertAlign w:val="superscript"/>
        </w:rPr>
        <w:t>+</w:t>
      </w:r>
      <w:r>
        <w:t>）。将7种主要离子中含量大于25%毫克当量的阴离子和阳离子进行组合，可组合出49型水，并将每型用一个阿拉伯数字作为代号，见表4.2-11。</w:t>
      </w:r>
    </w:p>
    <w:p>
      <w:pPr>
        <w:pStyle w:val="155"/>
        <w:spacing w:line="480" w:lineRule="exact"/>
        <w:ind w:firstLine="0" w:firstLineChars="0"/>
        <w:jc w:val="center"/>
        <w:rPr>
          <w:b/>
          <w:kern w:val="0"/>
          <w:sz w:val="21"/>
          <w:szCs w:val="21"/>
        </w:rPr>
      </w:pPr>
      <w:r>
        <w:rPr>
          <w:b/>
          <w:kern w:val="0"/>
          <w:sz w:val="21"/>
          <w:szCs w:val="21"/>
        </w:rPr>
        <w:t>表4.2-11 舒卡列夫分类图表</w:t>
      </w:r>
    </w:p>
    <w:tbl>
      <w:tblPr>
        <w:tblStyle w:val="7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05"/>
        <w:gridCol w:w="1135"/>
        <w:gridCol w:w="993"/>
        <w:gridCol w:w="1024"/>
        <w:gridCol w:w="991"/>
        <w:gridCol w:w="932"/>
        <w:gridCol w:w="872"/>
        <w:gridCol w:w="77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09" w:type="dxa"/>
            <w:vAlign w:val="center"/>
          </w:tcPr>
          <w:p>
            <w:pPr>
              <w:autoSpaceDE w:val="0"/>
              <w:autoSpaceDN w:val="0"/>
              <w:jc w:val="center"/>
              <w:textAlignment w:val="bottom"/>
              <w:rPr>
                <w:rFonts w:ascii="Times New Roman" w:hAnsi="Times New Roman"/>
                <w:b/>
                <w:snapToGrid w:val="0"/>
                <w:spacing w:val="16"/>
              </w:rPr>
            </w:pPr>
            <w:r>
              <w:rPr>
                <w:rFonts w:ascii="Times New Roman" w:hAnsi="Times New Roman"/>
                <w:b/>
                <w:snapToGrid w:val="0"/>
                <w:spacing w:val="16"/>
              </w:rPr>
              <w:t>超过25%毫克</w:t>
            </w:r>
          </w:p>
          <w:p>
            <w:pPr>
              <w:autoSpaceDE w:val="0"/>
              <w:autoSpaceDN w:val="0"/>
              <w:jc w:val="center"/>
              <w:textAlignment w:val="bottom"/>
              <w:rPr>
                <w:rFonts w:ascii="Times New Roman" w:hAnsi="Times New Roman"/>
                <w:b/>
                <w:snapToGrid w:val="0"/>
                <w:spacing w:val="16"/>
              </w:rPr>
            </w:pPr>
            <w:r>
              <w:rPr>
                <w:rFonts w:ascii="Times New Roman" w:hAnsi="Times New Roman"/>
                <w:b/>
                <w:snapToGrid w:val="0"/>
                <w:spacing w:val="16"/>
              </w:rPr>
              <w:t>当量的离子</w:t>
            </w:r>
          </w:p>
        </w:tc>
        <w:tc>
          <w:tcPr>
            <w:tcW w:w="1134" w:type="dxa"/>
            <w:vAlign w:val="center"/>
          </w:tcPr>
          <w:p>
            <w:pPr>
              <w:autoSpaceDE w:val="0"/>
              <w:autoSpaceDN w:val="0"/>
              <w:jc w:val="center"/>
              <w:textAlignment w:val="bottom"/>
              <w:rPr>
                <w:rFonts w:ascii="Times New Roman" w:hAnsi="Times New Roman"/>
                <w:b/>
                <w:snapToGrid w:val="0"/>
                <w:spacing w:val="16"/>
              </w:rPr>
            </w:pPr>
            <w:r>
              <w:rPr>
                <w:rFonts w:ascii="Times New Roman" w:hAnsi="Times New Roman"/>
                <w:b/>
                <w:snapToGrid w:val="0"/>
                <w:spacing w:val="16"/>
              </w:rPr>
              <w:t>HCO</w:t>
            </w:r>
            <w:r>
              <w:rPr>
                <w:rFonts w:ascii="Times New Roman" w:hAnsi="Times New Roman"/>
                <w:b/>
                <w:snapToGrid w:val="0"/>
                <w:spacing w:val="16"/>
                <w:vertAlign w:val="subscript"/>
              </w:rPr>
              <w:t>3</w:t>
            </w:r>
            <w:r>
              <w:rPr>
                <w:rFonts w:ascii="Times New Roman" w:hAnsi="Times New Roman"/>
                <w:b/>
                <w:snapToGrid w:val="0"/>
                <w:spacing w:val="16"/>
                <w:vertAlign w:val="superscript"/>
              </w:rPr>
              <w:t>-</w:t>
            </w:r>
          </w:p>
        </w:tc>
        <w:tc>
          <w:tcPr>
            <w:tcW w:w="993" w:type="dxa"/>
            <w:vAlign w:val="center"/>
          </w:tcPr>
          <w:p>
            <w:pPr>
              <w:autoSpaceDE w:val="0"/>
              <w:autoSpaceDN w:val="0"/>
              <w:jc w:val="center"/>
              <w:textAlignment w:val="bottom"/>
              <w:rPr>
                <w:rFonts w:ascii="Times New Roman" w:hAnsi="Times New Roman"/>
                <w:b/>
                <w:snapToGrid w:val="0"/>
                <w:spacing w:val="16"/>
                <w:vertAlign w:val="superscript"/>
              </w:rPr>
            </w:pPr>
            <w:r>
              <w:rPr>
                <w:rFonts w:ascii="Times New Roman" w:hAnsi="Times New Roman"/>
                <w:b/>
                <w:snapToGrid w:val="0"/>
                <w:spacing w:val="16"/>
              </w:rPr>
              <w:t>HCO</w:t>
            </w:r>
            <w:r>
              <w:rPr>
                <w:rFonts w:ascii="Times New Roman" w:hAnsi="Times New Roman"/>
                <w:b/>
                <w:snapToGrid w:val="0"/>
                <w:spacing w:val="16"/>
                <w:vertAlign w:val="subscript"/>
              </w:rPr>
              <w:t>3</w:t>
            </w:r>
            <w:r>
              <w:rPr>
                <w:rFonts w:ascii="Times New Roman" w:hAnsi="Times New Roman"/>
                <w:b/>
                <w:snapToGrid w:val="0"/>
                <w:spacing w:val="16"/>
                <w:vertAlign w:val="superscript"/>
              </w:rPr>
              <w:t>-</w:t>
            </w:r>
          </w:p>
          <w:p>
            <w:pPr>
              <w:autoSpaceDE w:val="0"/>
              <w:autoSpaceDN w:val="0"/>
              <w:jc w:val="center"/>
              <w:textAlignment w:val="bottom"/>
              <w:rPr>
                <w:rFonts w:ascii="Times New Roman" w:hAnsi="Times New Roman"/>
                <w:b/>
                <w:snapToGrid w:val="0"/>
                <w:spacing w:val="16"/>
              </w:rPr>
            </w:pPr>
            <w:r>
              <w:rPr>
                <w:rFonts w:ascii="Times New Roman" w:hAnsi="Times New Roman"/>
                <w:b/>
                <w:snapToGrid w:val="0"/>
                <w:spacing w:val="16"/>
              </w:rPr>
              <w:t>SO</w:t>
            </w:r>
            <w:r>
              <w:rPr>
                <w:rFonts w:ascii="Times New Roman" w:hAnsi="Times New Roman"/>
                <w:b/>
                <w:snapToGrid w:val="0"/>
                <w:spacing w:val="16"/>
                <w:vertAlign w:val="subscript"/>
              </w:rPr>
              <w:t>4</w:t>
            </w:r>
            <w:r>
              <w:rPr>
                <w:rFonts w:ascii="Times New Roman" w:hAnsi="Times New Roman"/>
                <w:b/>
                <w:snapToGrid w:val="0"/>
                <w:spacing w:val="16"/>
                <w:vertAlign w:val="superscript"/>
              </w:rPr>
              <w:t>2-</w:t>
            </w:r>
          </w:p>
        </w:tc>
        <w:tc>
          <w:tcPr>
            <w:tcW w:w="1024" w:type="dxa"/>
            <w:vAlign w:val="center"/>
          </w:tcPr>
          <w:p>
            <w:pPr>
              <w:autoSpaceDE w:val="0"/>
              <w:autoSpaceDN w:val="0"/>
              <w:jc w:val="center"/>
              <w:textAlignment w:val="bottom"/>
              <w:rPr>
                <w:rFonts w:ascii="Times New Roman" w:hAnsi="Times New Roman"/>
                <w:b/>
                <w:snapToGrid w:val="0"/>
                <w:spacing w:val="16"/>
              </w:rPr>
            </w:pPr>
            <w:r>
              <w:rPr>
                <w:rFonts w:ascii="Times New Roman" w:hAnsi="Times New Roman"/>
                <w:b/>
                <w:snapToGrid w:val="0"/>
                <w:spacing w:val="16"/>
              </w:rPr>
              <w:t>HCO</w:t>
            </w:r>
            <w:r>
              <w:rPr>
                <w:rFonts w:ascii="Times New Roman" w:hAnsi="Times New Roman"/>
                <w:b/>
                <w:snapToGrid w:val="0"/>
                <w:spacing w:val="16"/>
                <w:vertAlign w:val="subscript"/>
              </w:rPr>
              <w:t>3</w:t>
            </w:r>
            <w:r>
              <w:rPr>
                <w:rFonts w:ascii="Times New Roman" w:hAnsi="Times New Roman"/>
                <w:b/>
                <w:snapToGrid w:val="0"/>
                <w:spacing w:val="16"/>
                <w:vertAlign w:val="superscript"/>
              </w:rPr>
              <w:t>-</w:t>
            </w:r>
          </w:p>
          <w:p>
            <w:pPr>
              <w:autoSpaceDE w:val="0"/>
              <w:autoSpaceDN w:val="0"/>
              <w:jc w:val="center"/>
              <w:textAlignment w:val="bottom"/>
              <w:rPr>
                <w:rFonts w:ascii="Times New Roman" w:hAnsi="Times New Roman"/>
                <w:b/>
                <w:snapToGrid w:val="0"/>
                <w:spacing w:val="16"/>
              </w:rPr>
            </w:pPr>
            <w:r>
              <w:rPr>
                <w:rFonts w:ascii="Times New Roman" w:hAnsi="Times New Roman"/>
                <w:b/>
                <w:snapToGrid w:val="0"/>
                <w:spacing w:val="16"/>
              </w:rPr>
              <w:t>SO</w:t>
            </w:r>
            <w:r>
              <w:rPr>
                <w:rFonts w:ascii="Times New Roman" w:hAnsi="Times New Roman"/>
                <w:b/>
                <w:snapToGrid w:val="0"/>
                <w:spacing w:val="16"/>
                <w:vertAlign w:val="subscript"/>
              </w:rPr>
              <w:t>4</w:t>
            </w:r>
            <w:r>
              <w:rPr>
                <w:rFonts w:ascii="Times New Roman" w:hAnsi="Times New Roman"/>
                <w:b/>
                <w:snapToGrid w:val="0"/>
                <w:spacing w:val="16"/>
                <w:vertAlign w:val="superscript"/>
              </w:rPr>
              <w:t>2-</w:t>
            </w:r>
          </w:p>
          <w:p>
            <w:pPr>
              <w:autoSpaceDE w:val="0"/>
              <w:autoSpaceDN w:val="0"/>
              <w:jc w:val="center"/>
              <w:textAlignment w:val="bottom"/>
              <w:rPr>
                <w:rFonts w:ascii="Times New Roman" w:hAnsi="Times New Roman"/>
                <w:b/>
                <w:snapToGrid w:val="0"/>
                <w:spacing w:val="16"/>
              </w:rPr>
            </w:pPr>
            <w:r>
              <w:rPr>
                <w:rFonts w:ascii="Times New Roman" w:hAnsi="Times New Roman"/>
                <w:b/>
                <w:snapToGrid w:val="0"/>
                <w:spacing w:val="16"/>
              </w:rPr>
              <w:t>Cl</w:t>
            </w:r>
            <w:r>
              <w:rPr>
                <w:rFonts w:ascii="Times New Roman" w:hAnsi="Times New Roman"/>
                <w:b/>
                <w:snapToGrid w:val="0"/>
                <w:spacing w:val="16"/>
                <w:vertAlign w:val="superscript"/>
              </w:rPr>
              <w:t>-</w:t>
            </w:r>
          </w:p>
        </w:tc>
        <w:tc>
          <w:tcPr>
            <w:tcW w:w="991" w:type="dxa"/>
            <w:vAlign w:val="center"/>
          </w:tcPr>
          <w:p>
            <w:pPr>
              <w:autoSpaceDE w:val="0"/>
              <w:autoSpaceDN w:val="0"/>
              <w:jc w:val="center"/>
              <w:textAlignment w:val="bottom"/>
              <w:rPr>
                <w:rFonts w:ascii="Times New Roman" w:hAnsi="Times New Roman"/>
                <w:b/>
                <w:snapToGrid w:val="0"/>
                <w:spacing w:val="16"/>
                <w:vertAlign w:val="superscript"/>
              </w:rPr>
            </w:pPr>
            <w:r>
              <w:rPr>
                <w:rFonts w:ascii="Times New Roman" w:hAnsi="Times New Roman"/>
                <w:b/>
                <w:snapToGrid w:val="0"/>
                <w:spacing w:val="16"/>
              </w:rPr>
              <w:t>HCO</w:t>
            </w:r>
            <w:r>
              <w:rPr>
                <w:rFonts w:ascii="Times New Roman" w:hAnsi="Times New Roman"/>
                <w:b/>
                <w:snapToGrid w:val="0"/>
                <w:spacing w:val="16"/>
                <w:vertAlign w:val="subscript"/>
              </w:rPr>
              <w:t>3</w:t>
            </w:r>
            <w:r>
              <w:rPr>
                <w:rFonts w:ascii="Times New Roman" w:hAnsi="Times New Roman"/>
                <w:b/>
                <w:snapToGrid w:val="0"/>
                <w:spacing w:val="16"/>
                <w:vertAlign w:val="superscript"/>
              </w:rPr>
              <w:t>-</w:t>
            </w:r>
          </w:p>
          <w:p>
            <w:pPr>
              <w:autoSpaceDE w:val="0"/>
              <w:autoSpaceDN w:val="0"/>
              <w:jc w:val="center"/>
              <w:textAlignment w:val="bottom"/>
              <w:rPr>
                <w:rFonts w:ascii="Times New Roman" w:hAnsi="Times New Roman"/>
                <w:b/>
                <w:snapToGrid w:val="0"/>
                <w:spacing w:val="16"/>
              </w:rPr>
            </w:pPr>
            <w:r>
              <w:rPr>
                <w:rFonts w:ascii="Times New Roman" w:hAnsi="Times New Roman"/>
                <w:b/>
                <w:snapToGrid w:val="0"/>
                <w:spacing w:val="16"/>
              </w:rPr>
              <w:t>Cl</w:t>
            </w:r>
            <w:r>
              <w:rPr>
                <w:rFonts w:ascii="Times New Roman" w:hAnsi="Times New Roman"/>
                <w:b/>
                <w:snapToGrid w:val="0"/>
                <w:spacing w:val="16"/>
                <w:vertAlign w:val="superscript"/>
              </w:rPr>
              <w:t>-</w:t>
            </w:r>
          </w:p>
        </w:tc>
        <w:tc>
          <w:tcPr>
            <w:tcW w:w="931" w:type="dxa"/>
            <w:vAlign w:val="center"/>
          </w:tcPr>
          <w:p>
            <w:pPr>
              <w:autoSpaceDE w:val="0"/>
              <w:autoSpaceDN w:val="0"/>
              <w:jc w:val="center"/>
              <w:textAlignment w:val="bottom"/>
              <w:rPr>
                <w:rFonts w:ascii="Times New Roman" w:hAnsi="Times New Roman"/>
                <w:b/>
                <w:snapToGrid w:val="0"/>
                <w:spacing w:val="16"/>
              </w:rPr>
            </w:pPr>
            <w:r>
              <w:rPr>
                <w:rFonts w:ascii="Times New Roman" w:hAnsi="Times New Roman"/>
                <w:b/>
                <w:snapToGrid w:val="0"/>
                <w:spacing w:val="16"/>
              </w:rPr>
              <w:t>SO</w:t>
            </w:r>
            <w:r>
              <w:rPr>
                <w:rFonts w:ascii="Times New Roman" w:hAnsi="Times New Roman"/>
                <w:b/>
                <w:snapToGrid w:val="0"/>
                <w:spacing w:val="16"/>
                <w:vertAlign w:val="subscript"/>
              </w:rPr>
              <w:t>4</w:t>
            </w:r>
            <w:r>
              <w:rPr>
                <w:rFonts w:ascii="Times New Roman" w:hAnsi="Times New Roman"/>
                <w:b/>
                <w:snapToGrid w:val="0"/>
                <w:spacing w:val="16"/>
                <w:vertAlign w:val="superscript"/>
              </w:rPr>
              <w:t>2-</w:t>
            </w:r>
          </w:p>
        </w:tc>
        <w:tc>
          <w:tcPr>
            <w:tcW w:w="871" w:type="dxa"/>
            <w:vAlign w:val="center"/>
          </w:tcPr>
          <w:p>
            <w:pPr>
              <w:autoSpaceDE w:val="0"/>
              <w:autoSpaceDN w:val="0"/>
              <w:jc w:val="center"/>
              <w:textAlignment w:val="bottom"/>
              <w:rPr>
                <w:rFonts w:ascii="Times New Roman" w:hAnsi="Times New Roman"/>
                <w:b/>
                <w:snapToGrid w:val="0"/>
                <w:spacing w:val="16"/>
              </w:rPr>
            </w:pPr>
            <w:r>
              <w:rPr>
                <w:rFonts w:ascii="Times New Roman" w:hAnsi="Times New Roman"/>
                <w:b/>
                <w:snapToGrid w:val="0"/>
                <w:spacing w:val="16"/>
              </w:rPr>
              <w:t>SO</w:t>
            </w:r>
            <w:r>
              <w:rPr>
                <w:rFonts w:ascii="Times New Roman" w:hAnsi="Times New Roman"/>
                <w:b/>
                <w:snapToGrid w:val="0"/>
                <w:spacing w:val="16"/>
                <w:vertAlign w:val="subscript"/>
              </w:rPr>
              <w:t>4</w:t>
            </w:r>
            <w:r>
              <w:rPr>
                <w:rFonts w:ascii="Times New Roman" w:hAnsi="Times New Roman"/>
                <w:b/>
                <w:snapToGrid w:val="0"/>
                <w:spacing w:val="16"/>
                <w:vertAlign w:val="superscript"/>
              </w:rPr>
              <w:t>2-</w:t>
            </w:r>
          </w:p>
          <w:p>
            <w:pPr>
              <w:autoSpaceDE w:val="0"/>
              <w:autoSpaceDN w:val="0"/>
              <w:jc w:val="center"/>
              <w:textAlignment w:val="bottom"/>
              <w:rPr>
                <w:rFonts w:ascii="Times New Roman" w:hAnsi="Times New Roman"/>
                <w:b/>
                <w:snapToGrid w:val="0"/>
                <w:spacing w:val="16"/>
              </w:rPr>
            </w:pPr>
            <w:r>
              <w:rPr>
                <w:rFonts w:ascii="Times New Roman" w:hAnsi="Times New Roman"/>
                <w:b/>
                <w:snapToGrid w:val="0"/>
                <w:spacing w:val="16"/>
              </w:rPr>
              <w:t>Cl</w:t>
            </w:r>
            <w:r>
              <w:rPr>
                <w:rFonts w:ascii="Times New Roman" w:hAnsi="Times New Roman"/>
                <w:b/>
                <w:snapToGrid w:val="0"/>
                <w:spacing w:val="16"/>
                <w:vertAlign w:val="superscript"/>
              </w:rPr>
              <w:t>-</w:t>
            </w:r>
          </w:p>
        </w:tc>
        <w:tc>
          <w:tcPr>
            <w:tcW w:w="776" w:type="dxa"/>
            <w:vAlign w:val="center"/>
          </w:tcPr>
          <w:p>
            <w:pPr>
              <w:autoSpaceDE w:val="0"/>
              <w:autoSpaceDN w:val="0"/>
              <w:jc w:val="center"/>
              <w:textAlignment w:val="bottom"/>
              <w:rPr>
                <w:rFonts w:ascii="Times New Roman" w:hAnsi="Times New Roman"/>
                <w:b/>
                <w:snapToGrid w:val="0"/>
                <w:spacing w:val="16"/>
              </w:rPr>
            </w:pPr>
            <w:r>
              <w:rPr>
                <w:rFonts w:ascii="Times New Roman" w:hAnsi="Times New Roman"/>
                <w:b/>
                <w:snapToGrid w:val="0"/>
                <w:spacing w:val="16"/>
              </w:rPr>
              <w:t>Cl</w:t>
            </w:r>
            <w:r>
              <w:rPr>
                <w:rFonts w:ascii="Times New Roman" w:hAnsi="Times New Roman"/>
                <w:b/>
                <w:snapToGrid w:val="0"/>
                <w:spacing w:val="16"/>
                <w:vertAlign w:val="superscript"/>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09" w:type="dxa"/>
            <w:vAlign w:val="center"/>
          </w:tcPr>
          <w:p>
            <w:pPr>
              <w:autoSpaceDE w:val="0"/>
              <w:autoSpaceDN w:val="0"/>
              <w:jc w:val="left"/>
              <w:textAlignment w:val="bottom"/>
              <w:rPr>
                <w:rFonts w:ascii="Times New Roman" w:hAnsi="Times New Roman"/>
                <w:snapToGrid w:val="0"/>
                <w:spacing w:val="16"/>
              </w:rPr>
            </w:pPr>
            <w:r>
              <w:rPr>
                <w:rFonts w:ascii="Times New Roman" w:hAnsi="Times New Roman"/>
                <w:snapToGrid w:val="0"/>
                <w:spacing w:val="16"/>
              </w:rPr>
              <w:t>Ca</w:t>
            </w:r>
            <w:r>
              <w:rPr>
                <w:rFonts w:ascii="Times New Roman" w:hAnsi="Times New Roman"/>
                <w:snapToGrid w:val="0"/>
                <w:spacing w:val="16"/>
                <w:vertAlign w:val="superscript"/>
              </w:rPr>
              <w:t>2+</w:t>
            </w:r>
          </w:p>
        </w:tc>
        <w:tc>
          <w:tcPr>
            <w:tcW w:w="1134"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1</w:t>
            </w:r>
          </w:p>
        </w:tc>
        <w:tc>
          <w:tcPr>
            <w:tcW w:w="993"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8</w:t>
            </w:r>
          </w:p>
        </w:tc>
        <w:tc>
          <w:tcPr>
            <w:tcW w:w="1024"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15</w:t>
            </w:r>
          </w:p>
        </w:tc>
        <w:tc>
          <w:tcPr>
            <w:tcW w:w="991"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22</w:t>
            </w:r>
          </w:p>
        </w:tc>
        <w:tc>
          <w:tcPr>
            <w:tcW w:w="931"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29</w:t>
            </w:r>
          </w:p>
        </w:tc>
        <w:tc>
          <w:tcPr>
            <w:tcW w:w="871"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36</w:t>
            </w:r>
          </w:p>
        </w:tc>
        <w:tc>
          <w:tcPr>
            <w:tcW w:w="776"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09" w:type="dxa"/>
            <w:vAlign w:val="center"/>
          </w:tcPr>
          <w:p>
            <w:pPr>
              <w:autoSpaceDE w:val="0"/>
              <w:autoSpaceDN w:val="0"/>
              <w:jc w:val="left"/>
              <w:textAlignment w:val="bottom"/>
              <w:rPr>
                <w:rFonts w:ascii="Times New Roman" w:hAnsi="Times New Roman"/>
                <w:snapToGrid w:val="0"/>
                <w:spacing w:val="16"/>
              </w:rPr>
            </w:pPr>
            <w:r>
              <w:rPr>
                <w:rFonts w:ascii="Times New Roman" w:hAnsi="Times New Roman"/>
                <w:snapToGrid w:val="0"/>
                <w:spacing w:val="16"/>
              </w:rPr>
              <w:t>Ca</w:t>
            </w:r>
            <w:r>
              <w:rPr>
                <w:rFonts w:ascii="Times New Roman" w:hAnsi="Times New Roman"/>
                <w:snapToGrid w:val="0"/>
                <w:spacing w:val="16"/>
                <w:vertAlign w:val="superscript"/>
              </w:rPr>
              <w:t>2+</w:t>
            </w:r>
            <w:r>
              <w:rPr>
                <w:rFonts w:ascii="Times New Roman" w:hAnsi="Times New Roman"/>
                <w:snapToGrid w:val="0"/>
                <w:spacing w:val="16"/>
              </w:rPr>
              <w:t>-Mg</w:t>
            </w:r>
            <w:r>
              <w:rPr>
                <w:rFonts w:ascii="Times New Roman" w:hAnsi="Times New Roman"/>
                <w:snapToGrid w:val="0"/>
                <w:spacing w:val="16"/>
                <w:vertAlign w:val="superscript"/>
              </w:rPr>
              <w:t>2+</w:t>
            </w:r>
          </w:p>
        </w:tc>
        <w:tc>
          <w:tcPr>
            <w:tcW w:w="1134"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2</w:t>
            </w:r>
          </w:p>
        </w:tc>
        <w:tc>
          <w:tcPr>
            <w:tcW w:w="993"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9</w:t>
            </w:r>
          </w:p>
        </w:tc>
        <w:tc>
          <w:tcPr>
            <w:tcW w:w="1024"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16</w:t>
            </w:r>
          </w:p>
        </w:tc>
        <w:tc>
          <w:tcPr>
            <w:tcW w:w="991"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23</w:t>
            </w:r>
          </w:p>
        </w:tc>
        <w:tc>
          <w:tcPr>
            <w:tcW w:w="931"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30</w:t>
            </w:r>
          </w:p>
        </w:tc>
        <w:tc>
          <w:tcPr>
            <w:tcW w:w="871"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37</w:t>
            </w:r>
          </w:p>
        </w:tc>
        <w:tc>
          <w:tcPr>
            <w:tcW w:w="776"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09" w:type="dxa"/>
            <w:vAlign w:val="center"/>
          </w:tcPr>
          <w:p>
            <w:pPr>
              <w:autoSpaceDE w:val="0"/>
              <w:autoSpaceDN w:val="0"/>
              <w:jc w:val="left"/>
              <w:textAlignment w:val="bottom"/>
              <w:rPr>
                <w:rFonts w:ascii="Times New Roman" w:hAnsi="Times New Roman"/>
                <w:snapToGrid w:val="0"/>
                <w:spacing w:val="16"/>
              </w:rPr>
            </w:pPr>
            <w:r>
              <w:rPr>
                <w:rFonts w:ascii="Times New Roman" w:hAnsi="Times New Roman"/>
                <w:snapToGrid w:val="0"/>
                <w:spacing w:val="16"/>
              </w:rPr>
              <w:t>Mg</w:t>
            </w:r>
            <w:r>
              <w:rPr>
                <w:rFonts w:ascii="Times New Roman" w:hAnsi="Times New Roman"/>
                <w:snapToGrid w:val="0"/>
                <w:spacing w:val="16"/>
                <w:vertAlign w:val="superscript"/>
              </w:rPr>
              <w:t>2+</w:t>
            </w:r>
          </w:p>
        </w:tc>
        <w:tc>
          <w:tcPr>
            <w:tcW w:w="1134"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3</w:t>
            </w:r>
          </w:p>
        </w:tc>
        <w:tc>
          <w:tcPr>
            <w:tcW w:w="993"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10</w:t>
            </w:r>
          </w:p>
        </w:tc>
        <w:tc>
          <w:tcPr>
            <w:tcW w:w="1024"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17</w:t>
            </w:r>
          </w:p>
        </w:tc>
        <w:tc>
          <w:tcPr>
            <w:tcW w:w="991"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24</w:t>
            </w:r>
          </w:p>
        </w:tc>
        <w:tc>
          <w:tcPr>
            <w:tcW w:w="931"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31</w:t>
            </w:r>
          </w:p>
        </w:tc>
        <w:tc>
          <w:tcPr>
            <w:tcW w:w="871"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38</w:t>
            </w:r>
          </w:p>
        </w:tc>
        <w:tc>
          <w:tcPr>
            <w:tcW w:w="776"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09" w:type="dxa"/>
            <w:vAlign w:val="center"/>
          </w:tcPr>
          <w:p>
            <w:pPr>
              <w:autoSpaceDE w:val="0"/>
              <w:autoSpaceDN w:val="0"/>
              <w:jc w:val="left"/>
              <w:textAlignment w:val="bottom"/>
              <w:rPr>
                <w:rFonts w:ascii="Times New Roman" w:hAnsi="Times New Roman"/>
                <w:snapToGrid w:val="0"/>
                <w:spacing w:val="16"/>
              </w:rPr>
            </w:pPr>
            <w:r>
              <w:rPr>
                <w:rFonts w:ascii="Times New Roman" w:hAnsi="Times New Roman"/>
                <w:snapToGrid w:val="0"/>
                <w:spacing w:val="16"/>
              </w:rPr>
              <w:t>Na</w:t>
            </w:r>
            <w:r>
              <w:rPr>
                <w:rFonts w:ascii="Times New Roman" w:hAnsi="Times New Roman"/>
                <w:snapToGrid w:val="0"/>
                <w:spacing w:val="16"/>
                <w:vertAlign w:val="superscript"/>
              </w:rPr>
              <w:t>+</w:t>
            </w:r>
            <w:r>
              <w:rPr>
                <w:rFonts w:ascii="Times New Roman" w:hAnsi="Times New Roman"/>
                <w:snapToGrid w:val="0"/>
                <w:spacing w:val="16"/>
              </w:rPr>
              <w:t>-Ca</w:t>
            </w:r>
            <w:r>
              <w:rPr>
                <w:rFonts w:ascii="Times New Roman" w:hAnsi="Times New Roman"/>
                <w:snapToGrid w:val="0"/>
                <w:spacing w:val="16"/>
                <w:vertAlign w:val="superscript"/>
              </w:rPr>
              <w:t>2+</w:t>
            </w:r>
          </w:p>
        </w:tc>
        <w:tc>
          <w:tcPr>
            <w:tcW w:w="1134"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4</w:t>
            </w:r>
          </w:p>
        </w:tc>
        <w:tc>
          <w:tcPr>
            <w:tcW w:w="993"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11</w:t>
            </w:r>
          </w:p>
        </w:tc>
        <w:tc>
          <w:tcPr>
            <w:tcW w:w="1024"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18</w:t>
            </w:r>
          </w:p>
        </w:tc>
        <w:tc>
          <w:tcPr>
            <w:tcW w:w="991"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25</w:t>
            </w:r>
          </w:p>
        </w:tc>
        <w:tc>
          <w:tcPr>
            <w:tcW w:w="931"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32</w:t>
            </w:r>
          </w:p>
        </w:tc>
        <w:tc>
          <w:tcPr>
            <w:tcW w:w="871"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39</w:t>
            </w:r>
          </w:p>
        </w:tc>
        <w:tc>
          <w:tcPr>
            <w:tcW w:w="776"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46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09" w:type="dxa"/>
            <w:vAlign w:val="center"/>
          </w:tcPr>
          <w:p>
            <w:pPr>
              <w:autoSpaceDE w:val="0"/>
              <w:autoSpaceDN w:val="0"/>
              <w:jc w:val="left"/>
              <w:textAlignment w:val="bottom"/>
              <w:rPr>
                <w:rFonts w:ascii="Times New Roman" w:hAnsi="Times New Roman"/>
                <w:snapToGrid w:val="0"/>
                <w:spacing w:val="16"/>
              </w:rPr>
            </w:pPr>
            <w:r>
              <w:rPr>
                <w:rFonts w:ascii="Times New Roman" w:hAnsi="Times New Roman"/>
                <w:snapToGrid w:val="0"/>
                <w:spacing w:val="16"/>
              </w:rPr>
              <w:t>Na</w:t>
            </w:r>
            <w:r>
              <w:rPr>
                <w:rFonts w:ascii="Times New Roman" w:hAnsi="Times New Roman"/>
                <w:snapToGrid w:val="0"/>
                <w:spacing w:val="16"/>
                <w:vertAlign w:val="superscript"/>
              </w:rPr>
              <w:t>+</w:t>
            </w:r>
            <w:r>
              <w:rPr>
                <w:rFonts w:ascii="Times New Roman" w:hAnsi="Times New Roman"/>
                <w:snapToGrid w:val="0"/>
                <w:spacing w:val="16"/>
              </w:rPr>
              <w:t>-Ca</w:t>
            </w:r>
            <w:r>
              <w:rPr>
                <w:rFonts w:ascii="Times New Roman" w:hAnsi="Times New Roman"/>
                <w:snapToGrid w:val="0"/>
                <w:spacing w:val="16"/>
                <w:vertAlign w:val="superscript"/>
              </w:rPr>
              <w:t>2</w:t>
            </w:r>
            <w:r>
              <w:rPr>
                <w:rFonts w:ascii="Times New Roman" w:hAnsi="Times New Roman"/>
                <w:snapToGrid w:val="0"/>
                <w:spacing w:val="16"/>
              </w:rPr>
              <w:t>+-Mg</w:t>
            </w:r>
            <w:r>
              <w:rPr>
                <w:rFonts w:ascii="Times New Roman" w:hAnsi="Times New Roman"/>
                <w:snapToGrid w:val="0"/>
                <w:spacing w:val="16"/>
                <w:vertAlign w:val="superscript"/>
              </w:rPr>
              <w:t>2+</w:t>
            </w:r>
          </w:p>
        </w:tc>
        <w:tc>
          <w:tcPr>
            <w:tcW w:w="1134"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5</w:t>
            </w:r>
          </w:p>
        </w:tc>
        <w:tc>
          <w:tcPr>
            <w:tcW w:w="993"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12</w:t>
            </w:r>
          </w:p>
        </w:tc>
        <w:tc>
          <w:tcPr>
            <w:tcW w:w="1024"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19</w:t>
            </w:r>
          </w:p>
        </w:tc>
        <w:tc>
          <w:tcPr>
            <w:tcW w:w="991"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26</w:t>
            </w:r>
          </w:p>
        </w:tc>
        <w:tc>
          <w:tcPr>
            <w:tcW w:w="931"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33</w:t>
            </w:r>
          </w:p>
        </w:tc>
        <w:tc>
          <w:tcPr>
            <w:tcW w:w="871"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40</w:t>
            </w:r>
          </w:p>
        </w:tc>
        <w:tc>
          <w:tcPr>
            <w:tcW w:w="776"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09" w:type="dxa"/>
            <w:vAlign w:val="center"/>
          </w:tcPr>
          <w:p>
            <w:pPr>
              <w:autoSpaceDE w:val="0"/>
              <w:autoSpaceDN w:val="0"/>
              <w:jc w:val="left"/>
              <w:textAlignment w:val="bottom"/>
              <w:rPr>
                <w:rFonts w:ascii="Times New Roman" w:hAnsi="Times New Roman"/>
                <w:snapToGrid w:val="0"/>
                <w:spacing w:val="16"/>
              </w:rPr>
            </w:pPr>
            <w:r>
              <w:rPr>
                <w:rFonts w:ascii="Times New Roman" w:hAnsi="Times New Roman"/>
                <w:snapToGrid w:val="0"/>
                <w:spacing w:val="16"/>
              </w:rPr>
              <w:t>Na</w:t>
            </w:r>
            <w:r>
              <w:rPr>
                <w:rFonts w:ascii="Times New Roman" w:hAnsi="Times New Roman"/>
                <w:snapToGrid w:val="0"/>
                <w:spacing w:val="16"/>
                <w:vertAlign w:val="superscript"/>
              </w:rPr>
              <w:t>+</w:t>
            </w:r>
            <w:r>
              <w:rPr>
                <w:rFonts w:ascii="Times New Roman" w:hAnsi="Times New Roman"/>
                <w:snapToGrid w:val="0"/>
                <w:spacing w:val="16"/>
              </w:rPr>
              <w:t>-Mg</w:t>
            </w:r>
            <w:r>
              <w:rPr>
                <w:rFonts w:ascii="Times New Roman" w:hAnsi="Times New Roman"/>
                <w:snapToGrid w:val="0"/>
                <w:spacing w:val="16"/>
                <w:vertAlign w:val="superscript"/>
              </w:rPr>
              <w:t>2+</w:t>
            </w:r>
          </w:p>
        </w:tc>
        <w:tc>
          <w:tcPr>
            <w:tcW w:w="1134"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6</w:t>
            </w:r>
          </w:p>
        </w:tc>
        <w:tc>
          <w:tcPr>
            <w:tcW w:w="993"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13</w:t>
            </w:r>
          </w:p>
        </w:tc>
        <w:tc>
          <w:tcPr>
            <w:tcW w:w="1024"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20</w:t>
            </w:r>
          </w:p>
        </w:tc>
        <w:tc>
          <w:tcPr>
            <w:tcW w:w="991"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27</w:t>
            </w:r>
          </w:p>
        </w:tc>
        <w:tc>
          <w:tcPr>
            <w:tcW w:w="931"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34</w:t>
            </w:r>
          </w:p>
        </w:tc>
        <w:tc>
          <w:tcPr>
            <w:tcW w:w="871"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41</w:t>
            </w:r>
          </w:p>
        </w:tc>
        <w:tc>
          <w:tcPr>
            <w:tcW w:w="776"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48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09" w:type="dxa"/>
            <w:vAlign w:val="center"/>
          </w:tcPr>
          <w:p>
            <w:pPr>
              <w:autoSpaceDE w:val="0"/>
              <w:autoSpaceDN w:val="0"/>
              <w:jc w:val="left"/>
              <w:textAlignment w:val="bottom"/>
              <w:rPr>
                <w:rFonts w:ascii="Times New Roman" w:hAnsi="Times New Roman"/>
                <w:snapToGrid w:val="0"/>
                <w:spacing w:val="16"/>
              </w:rPr>
            </w:pPr>
            <w:r>
              <w:rPr>
                <w:rFonts w:ascii="Times New Roman" w:hAnsi="Times New Roman"/>
                <w:snapToGrid w:val="0"/>
                <w:spacing w:val="16"/>
              </w:rPr>
              <w:t>Na</w:t>
            </w:r>
            <w:r>
              <w:rPr>
                <w:rFonts w:ascii="Times New Roman" w:hAnsi="Times New Roman"/>
                <w:snapToGrid w:val="0"/>
                <w:spacing w:val="16"/>
                <w:vertAlign w:val="superscript"/>
              </w:rPr>
              <w:t>+</w:t>
            </w:r>
          </w:p>
        </w:tc>
        <w:tc>
          <w:tcPr>
            <w:tcW w:w="1134"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7</w:t>
            </w:r>
          </w:p>
        </w:tc>
        <w:tc>
          <w:tcPr>
            <w:tcW w:w="993"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14</w:t>
            </w:r>
          </w:p>
        </w:tc>
        <w:tc>
          <w:tcPr>
            <w:tcW w:w="1024"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21</w:t>
            </w:r>
          </w:p>
        </w:tc>
        <w:tc>
          <w:tcPr>
            <w:tcW w:w="991"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28</w:t>
            </w:r>
          </w:p>
        </w:tc>
        <w:tc>
          <w:tcPr>
            <w:tcW w:w="931"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35</w:t>
            </w:r>
          </w:p>
        </w:tc>
        <w:tc>
          <w:tcPr>
            <w:tcW w:w="871"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42</w:t>
            </w:r>
          </w:p>
        </w:tc>
        <w:tc>
          <w:tcPr>
            <w:tcW w:w="776"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49</w:t>
            </w:r>
          </w:p>
        </w:tc>
      </w:tr>
    </w:tbl>
    <w:p>
      <w:pPr>
        <w:pStyle w:val="155"/>
        <w:spacing w:line="480" w:lineRule="exact"/>
        <w:ind w:firstLine="480"/>
      </w:pPr>
      <w:r>
        <w:t>离子毫克当量百分比计算结果见表4.2-11。按舒卡列夫分类，评价范围内地下水水化学类型为</w:t>
      </w:r>
      <w:r>
        <w:rPr>
          <w:snapToGrid w:val="0"/>
          <w:spacing w:val="16"/>
        </w:rPr>
        <w:t>HCO</w:t>
      </w:r>
      <w:r>
        <w:rPr>
          <w:snapToGrid w:val="0"/>
          <w:spacing w:val="16"/>
          <w:vertAlign w:val="subscript"/>
        </w:rPr>
        <w:t>3</w:t>
      </w:r>
      <w:r>
        <w:rPr>
          <w:snapToGrid w:val="0"/>
          <w:spacing w:val="16"/>
          <w:vertAlign w:val="superscript"/>
        </w:rPr>
        <w:t>-</w:t>
      </w:r>
      <w:r>
        <w:t>—</w:t>
      </w:r>
      <w:r>
        <w:rPr>
          <w:snapToGrid w:val="0"/>
          <w:spacing w:val="16"/>
        </w:rPr>
        <w:t>Ca</w:t>
      </w:r>
      <w:r>
        <w:rPr>
          <w:snapToGrid w:val="0"/>
          <w:spacing w:val="16"/>
          <w:vertAlign w:val="superscript"/>
        </w:rPr>
        <w:t>2+</w:t>
      </w:r>
      <w:r>
        <w:rPr>
          <w:snapToGrid w:val="0"/>
          <w:spacing w:val="16"/>
        </w:rPr>
        <w:t>，Mg</w:t>
      </w:r>
      <w:r>
        <w:rPr>
          <w:snapToGrid w:val="0"/>
          <w:spacing w:val="16"/>
          <w:vertAlign w:val="superscript"/>
        </w:rPr>
        <w:t>2+</w:t>
      </w:r>
      <w:r>
        <w:t>型水。</w:t>
      </w:r>
    </w:p>
    <w:p>
      <w:pPr>
        <w:pStyle w:val="155"/>
        <w:spacing w:line="480" w:lineRule="exact"/>
        <w:ind w:firstLine="480"/>
      </w:pPr>
      <w:r>
        <w:t>为了保证水质分析结果的可靠性，本次评价采用公式法校核分析结果。先将检测结果的质量浓度，除以分子量转化为摩尔浓度，再乘以其带的电荷数，计算出毫克当量浓度，再据计算出相对误差。相对误差计算公式如下：</w:t>
      </w:r>
    </w:p>
    <w:p>
      <w:pPr>
        <w:pStyle w:val="155"/>
        <w:spacing w:line="240" w:lineRule="auto"/>
        <w:ind w:firstLine="0" w:firstLineChars="0"/>
        <w:jc w:val="center"/>
      </w:pPr>
      <w:r>
        <w:drawing>
          <wp:inline distT="0" distB="0" distL="114300" distR="114300">
            <wp:extent cx="1838960" cy="466090"/>
            <wp:effectExtent l="0" t="0" r="8890" b="635"/>
            <wp:docPr id="40" name="图片 201" descr="微信图片_20201223160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01" descr="微信图片_20201223160944"/>
                    <pic:cNvPicPr>
                      <a:picLocks noChangeAspect="1"/>
                    </pic:cNvPicPr>
                  </pic:nvPicPr>
                  <pic:blipFill>
                    <a:blip r:embed="rId47"/>
                    <a:stretch>
                      <a:fillRect/>
                    </a:stretch>
                  </pic:blipFill>
                  <pic:spPr>
                    <a:xfrm>
                      <a:off x="0" y="0"/>
                      <a:ext cx="1838960" cy="466090"/>
                    </a:xfrm>
                    <a:prstGeom prst="rect">
                      <a:avLst/>
                    </a:prstGeom>
                    <a:noFill/>
                    <a:ln>
                      <a:noFill/>
                    </a:ln>
                  </pic:spPr>
                </pic:pic>
              </a:graphicData>
            </a:graphic>
          </wp:inline>
        </w:drawing>
      </w:r>
    </w:p>
    <w:p>
      <w:pPr>
        <w:pStyle w:val="155"/>
        <w:spacing w:line="480" w:lineRule="exact"/>
        <w:ind w:firstLine="480"/>
      </w:pPr>
      <w:r>
        <w:t>式中：E—相对误差，应≤5%；</w:t>
      </w:r>
    </w:p>
    <w:p>
      <w:pPr>
        <w:pStyle w:val="155"/>
        <w:spacing w:line="480" w:lineRule="exact"/>
        <w:ind w:firstLine="1200" w:firstLineChars="500"/>
      </w:pPr>
      <w:r>
        <w:t>m</w:t>
      </w:r>
      <w:r>
        <w:rPr>
          <w:vertAlign w:val="subscript"/>
        </w:rPr>
        <w:t>c</w:t>
      </w:r>
      <w:r>
        <w:t>—阳离子的毫克当量浓度，meq/L；</w:t>
      </w:r>
    </w:p>
    <w:p>
      <w:pPr>
        <w:pStyle w:val="155"/>
        <w:spacing w:line="480" w:lineRule="exact"/>
        <w:ind w:firstLine="1200" w:firstLineChars="500"/>
      </w:pPr>
      <w:r>
        <w:t>ma—阴离子的毫克当量浓度，meq/L。</w:t>
      </w:r>
    </w:p>
    <w:p>
      <w:pPr>
        <w:pStyle w:val="155"/>
        <w:spacing w:line="480" w:lineRule="exact"/>
        <w:ind w:firstLine="480"/>
      </w:pPr>
      <w:r>
        <w:t>由表4.3-12可知，各监测点|E|均小于5%，满足要求。</w:t>
      </w:r>
    </w:p>
    <w:p>
      <w:pPr>
        <w:pStyle w:val="155"/>
        <w:spacing w:line="480" w:lineRule="exact"/>
        <w:ind w:firstLine="480"/>
      </w:pPr>
      <w:r>
        <w:t>（5）评价结论</w:t>
      </w:r>
    </w:p>
    <w:p>
      <w:pPr>
        <w:pStyle w:val="155"/>
        <w:spacing w:line="480" w:lineRule="exact"/>
        <w:ind w:firstLine="480"/>
        <w:sectPr>
          <w:pgSz w:w="11907" w:h="16839"/>
          <w:pgMar w:top="1440" w:right="1797" w:bottom="1440" w:left="1797" w:header="851" w:footer="850" w:gutter="0"/>
          <w:cols w:space="720" w:num="1"/>
          <w:docGrid w:linePitch="312" w:charSpace="0"/>
        </w:sectPr>
      </w:pPr>
      <w:r>
        <w:t>由评价结果可知：各监测点位监测因子均满足《地下水质量标准》（GB/T14852.65-2017）中Ⅲ类标准。</w:t>
      </w:r>
      <w:r>
        <w:rPr>
          <w:rFonts w:hint="eastAsia"/>
        </w:rPr>
        <w:t>地下水水质良好。</w:t>
      </w:r>
    </w:p>
    <w:p>
      <w:pPr>
        <w:adjustRightInd w:val="0"/>
        <w:snapToGrid w:val="0"/>
        <w:spacing w:line="480" w:lineRule="exact"/>
        <w:ind w:firstLine="422" w:firstLineChars="200"/>
        <w:jc w:val="center"/>
        <w:rPr>
          <w:rFonts w:ascii="Times New Roman" w:hAnsi="Times New Roman"/>
          <w:b/>
        </w:rPr>
      </w:pPr>
      <w:r>
        <w:rPr>
          <w:rFonts w:ascii="Times New Roman" w:hAnsi="Times New Roman"/>
          <w:b/>
        </w:rPr>
        <w:t>表4.2-12八大离子的检测结果统计表</w:t>
      </w:r>
    </w:p>
    <w:tbl>
      <w:tblPr>
        <w:tblStyle w:val="77"/>
        <w:tblW w:w="5000" w:type="pct"/>
        <w:jc w:val="center"/>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28" w:type="dxa"/>
          <w:bottom w:w="0" w:type="dxa"/>
          <w:right w:w="28" w:type="dxa"/>
        </w:tblCellMar>
      </w:tblPr>
      <w:tblGrid>
        <w:gridCol w:w="867"/>
        <w:gridCol w:w="868"/>
        <w:gridCol w:w="869"/>
        <w:gridCol w:w="868"/>
        <w:gridCol w:w="868"/>
        <w:gridCol w:w="868"/>
        <w:gridCol w:w="868"/>
        <w:gridCol w:w="868"/>
        <w:gridCol w:w="868"/>
        <w:gridCol w:w="868"/>
        <w:gridCol w:w="868"/>
        <w:gridCol w:w="868"/>
        <w:gridCol w:w="1883"/>
        <w:gridCol w:w="1005"/>
      </w:tblGrid>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8" w:type="dxa"/>
            <w:bottom w:w="0" w:type="dxa"/>
            <w:right w:w="28" w:type="dxa"/>
          </w:tblCellMar>
        </w:tblPrEx>
        <w:trPr>
          <w:trHeight w:val="20" w:hRule="atLeast"/>
          <w:jc w:val="center"/>
        </w:trPr>
        <w:tc>
          <w:tcPr>
            <w:tcW w:w="910" w:type="dxa"/>
            <w:vAlign w:val="center"/>
          </w:tcPr>
          <w:p>
            <w:pPr>
              <w:autoSpaceDE w:val="0"/>
              <w:autoSpaceDN w:val="0"/>
              <w:spacing w:line="260" w:lineRule="exact"/>
              <w:jc w:val="center"/>
              <w:textAlignment w:val="bottom"/>
              <w:rPr>
                <w:rFonts w:ascii="Times New Roman" w:hAnsi="Times New Roman"/>
                <w:b/>
                <w:snapToGrid w:val="0"/>
                <w:spacing w:val="16"/>
              </w:rPr>
            </w:pPr>
            <w:r>
              <w:rPr>
                <w:rFonts w:ascii="Times New Roman" w:hAnsi="Times New Roman"/>
                <w:b/>
                <w:snapToGrid w:val="0"/>
                <w:spacing w:val="16"/>
              </w:rPr>
              <w:t>点位</w:t>
            </w:r>
          </w:p>
        </w:tc>
        <w:tc>
          <w:tcPr>
            <w:tcW w:w="911" w:type="dxa"/>
            <w:vAlign w:val="center"/>
          </w:tcPr>
          <w:p>
            <w:pPr>
              <w:autoSpaceDE w:val="0"/>
              <w:autoSpaceDN w:val="0"/>
              <w:spacing w:line="260" w:lineRule="exact"/>
              <w:jc w:val="center"/>
              <w:textAlignment w:val="bottom"/>
              <w:rPr>
                <w:rFonts w:ascii="Times New Roman" w:hAnsi="Times New Roman"/>
                <w:b/>
                <w:snapToGrid w:val="0"/>
                <w:spacing w:val="16"/>
              </w:rPr>
            </w:pPr>
            <w:r>
              <w:rPr>
                <w:rFonts w:ascii="Times New Roman" w:hAnsi="Times New Roman"/>
                <w:b/>
                <w:snapToGrid w:val="0"/>
                <w:spacing w:val="16"/>
              </w:rPr>
              <w:t>浓度</w:t>
            </w:r>
          </w:p>
        </w:tc>
        <w:tc>
          <w:tcPr>
            <w:tcW w:w="911" w:type="dxa"/>
            <w:vAlign w:val="center"/>
          </w:tcPr>
          <w:p>
            <w:pPr>
              <w:autoSpaceDE w:val="0"/>
              <w:autoSpaceDN w:val="0"/>
              <w:spacing w:line="260" w:lineRule="exact"/>
              <w:jc w:val="center"/>
              <w:textAlignment w:val="bottom"/>
              <w:rPr>
                <w:rFonts w:ascii="Times New Roman" w:hAnsi="Times New Roman"/>
                <w:b/>
                <w:snapToGrid w:val="0"/>
                <w:spacing w:val="16"/>
              </w:rPr>
            </w:pPr>
            <w:r>
              <w:rPr>
                <w:rFonts w:ascii="Times New Roman" w:hAnsi="Times New Roman"/>
                <w:b/>
                <w:snapToGrid w:val="0"/>
                <w:spacing w:val="16"/>
              </w:rPr>
              <w:t>K</w:t>
            </w:r>
            <w:r>
              <w:rPr>
                <w:rFonts w:ascii="Times New Roman" w:hAnsi="Times New Roman"/>
                <w:b/>
                <w:snapToGrid w:val="0"/>
                <w:spacing w:val="16"/>
                <w:vertAlign w:val="superscript"/>
              </w:rPr>
              <w:t>+</w:t>
            </w:r>
          </w:p>
        </w:tc>
        <w:tc>
          <w:tcPr>
            <w:tcW w:w="910" w:type="dxa"/>
            <w:vAlign w:val="center"/>
          </w:tcPr>
          <w:p>
            <w:pPr>
              <w:autoSpaceDE w:val="0"/>
              <w:autoSpaceDN w:val="0"/>
              <w:spacing w:line="260" w:lineRule="exact"/>
              <w:jc w:val="center"/>
              <w:textAlignment w:val="bottom"/>
              <w:rPr>
                <w:rFonts w:ascii="Times New Roman" w:hAnsi="Times New Roman"/>
                <w:b/>
                <w:snapToGrid w:val="0"/>
                <w:spacing w:val="16"/>
              </w:rPr>
            </w:pPr>
            <w:r>
              <w:rPr>
                <w:rFonts w:ascii="Times New Roman" w:hAnsi="Times New Roman"/>
                <w:b/>
                <w:snapToGrid w:val="0"/>
                <w:spacing w:val="16"/>
              </w:rPr>
              <w:t>Na</w:t>
            </w:r>
            <w:r>
              <w:rPr>
                <w:rFonts w:ascii="Times New Roman" w:hAnsi="Times New Roman"/>
                <w:b/>
                <w:snapToGrid w:val="0"/>
                <w:spacing w:val="16"/>
                <w:vertAlign w:val="superscript"/>
              </w:rPr>
              <w:t>+</w:t>
            </w:r>
          </w:p>
        </w:tc>
        <w:tc>
          <w:tcPr>
            <w:tcW w:w="910" w:type="dxa"/>
            <w:vAlign w:val="center"/>
          </w:tcPr>
          <w:p>
            <w:pPr>
              <w:autoSpaceDE w:val="0"/>
              <w:autoSpaceDN w:val="0"/>
              <w:spacing w:line="260" w:lineRule="exact"/>
              <w:jc w:val="center"/>
              <w:textAlignment w:val="bottom"/>
              <w:rPr>
                <w:rFonts w:ascii="Times New Roman" w:hAnsi="Times New Roman"/>
                <w:b/>
                <w:snapToGrid w:val="0"/>
                <w:spacing w:val="16"/>
              </w:rPr>
            </w:pPr>
            <w:r>
              <w:rPr>
                <w:rFonts w:ascii="Times New Roman" w:hAnsi="Times New Roman"/>
                <w:b/>
                <w:snapToGrid w:val="0"/>
                <w:spacing w:val="16"/>
              </w:rPr>
              <w:t>Ca</w:t>
            </w:r>
            <w:r>
              <w:rPr>
                <w:rFonts w:ascii="Times New Roman" w:hAnsi="Times New Roman"/>
                <w:b/>
                <w:snapToGrid w:val="0"/>
                <w:spacing w:val="16"/>
                <w:vertAlign w:val="superscript"/>
              </w:rPr>
              <w:t>2+</w:t>
            </w:r>
          </w:p>
        </w:tc>
        <w:tc>
          <w:tcPr>
            <w:tcW w:w="910" w:type="dxa"/>
            <w:vAlign w:val="center"/>
          </w:tcPr>
          <w:p>
            <w:pPr>
              <w:autoSpaceDE w:val="0"/>
              <w:autoSpaceDN w:val="0"/>
              <w:spacing w:line="260" w:lineRule="exact"/>
              <w:jc w:val="center"/>
              <w:textAlignment w:val="bottom"/>
              <w:rPr>
                <w:rFonts w:ascii="Times New Roman" w:hAnsi="Times New Roman"/>
                <w:b/>
                <w:snapToGrid w:val="0"/>
                <w:spacing w:val="16"/>
              </w:rPr>
            </w:pPr>
            <w:r>
              <w:rPr>
                <w:rFonts w:ascii="Times New Roman" w:hAnsi="Times New Roman"/>
                <w:b/>
                <w:snapToGrid w:val="0"/>
                <w:spacing w:val="16"/>
              </w:rPr>
              <w:t>Mg</w:t>
            </w:r>
            <w:r>
              <w:rPr>
                <w:rFonts w:ascii="Times New Roman" w:hAnsi="Times New Roman"/>
                <w:b/>
                <w:snapToGrid w:val="0"/>
                <w:spacing w:val="16"/>
                <w:vertAlign w:val="superscript"/>
              </w:rPr>
              <w:t>2+</w:t>
            </w:r>
          </w:p>
        </w:tc>
        <w:tc>
          <w:tcPr>
            <w:tcW w:w="910" w:type="dxa"/>
            <w:vAlign w:val="center"/>
          </w:tcPr>
          <w:p>
            <w:pPr>
              <w:autoSpaceDE w:val="0"/>
              <w:autoSpaceDN w:val="0"/>
              <w:spacing w:line="260" w:lineRule="exact"/>
              <w:jc w:val="center"/>
              <w:textAlignment w:val="bottom"/>
              <w:rPr>
                <w:rFonts w:ascii="Times New Roman" w:hAnsi="Times New Roman"/>
                <w:b/>
                <w:snapToGrid w:val="0"/>
                <w:spacing w:val="16"/>
              </w:rPr>
            </w:pPr>
            <w:r>
              <w:rPr>
                <w:rFonts w:ascii="Times New Roman" w:hAnsi="Times New Roman"/>
                <w:b/>
                <w:snapToGrid w:val="0"/>
                <w:spacing w:val="16"/>
              </w:rPr>
              <w:t>总计</w:t>
            </w:r>
          </w:p>
        </w:tc>
        <w:tc>
          <w:tcPr>
            <w:tcW w:w="910" w:type="dxa"/>
            <w:vAlign w:val="center"/>
          </w:tcPr>
          <w:p>
            <w:pPr>
              <w:autoSpaceDE w:val="0"/>
              <w:autoSpaceDN w:val="0"/>
              <w:spacing w:line="260" w:lineRule="exact"/>
              <w:jc w:val="center"/>
              <w:textAlignment w:val="bottom"/>
              <w:rPr>
                <w:rFonts w:ascii="Times New Roman" w:hAnsi="Times New Roman"/>
                <w:b/>
                <w:snapToGrid w:val="0"/>
                <w:spacing w:val="16"/>
              </w:rPr>
            </w:pPr>
            <w:r>
              <w:rPr>
                <w:rFonts w:ascii="Times New Roman" w:hAnsi="Times New Roman"/>
                <w:b/>
                <w:snapToGrid w:val="0"/>
                <w:spacing w:val="16"/>
              </w:rPr>
              <w:t>CO</w:t>
            </w:r>
            <w:r>
              <w:rPr>
                <w:rFonts w:ascii="Times New Roman" w:hAnsi="Times New Roman"/>
                <w:b/>
                <w:snapToGrid w:val="0"/>
                <w:spacing w:val="16"/>
                <w:vertAlign w:val="subscript"/>
              </w:rPr>
              <w:t>3</w:t>
            </w:r>
            <w:r>
              <w:rPr>
                <w:rFonts w:ascii="Times New Roman" w:hAnsi="Times New Roman"/>
                <w:b/>
                <w:snapToGrid w:val="0"/>
                <w:spacing w:val="16"/>
                <w:vertAlign w:val="superscript"/>
              </w:rPr>
              <w:t>2-</w:t>
            </w:r>
          </w:p>
        </w:tc>
        <w:tc>
          <w:tcPr>
            <w:tcW w:w="910" w:type="dxa"/>
            <w:vAlign w:val="center"/>
          </w:tcPr>
          <w:p>
            <w:pPr>
              <w:autoSpaceDE w:val="0"/>
              <w:autoSpaceDN w:val="0"/>
              <w:spacing w:line="260" w:lineRule="exact"/>
              <w:jc w:val="center"/>
              <w:textAlignment w:val="bottom"/>
              <w:rPr>
                <w:rFonts w:ascii="Times New Roman" w:hAnsi="Times New Roman"/>
                <w:b/>
                <w:snapToGrid w:val="0"/>
                <w:spacing w:val="16"/>
              </w:rPr>
            </w:pPr>
            <w:r>
              <w:rPr>
                <w:rFonts w:ascii="Times New Roman" w:hAnsi="Times New Roman"/>
                <w:b/>
                <w:snapToGrid w:val="0"/>
                <w:spacing w:val="16"/>
              </w:rPr>
              <w:t>HCO</w:t>
            </w:r>
            <w:r>
              <w:rPr>
                <w:rFonts w:ascii="Times New Roman" w:hAnsi="Times New Roman"/>
                <w:b/>
                <w:snapToGrid w:val="0"/>
                <w:spacing w:val="16"/>
                <w:vertAlign w:val="subscript"/>
              </w:rPr>
              <w:t>3</w:t>
            </w:r>
            <w:r>
              <w:rPr>
                <w:rFonts w:ascii="Times New Roman" w:hAnsi="Times New Roman"/>
                <w:b/>
                <w:snapToGrid w:val="0"/>
                <w:spacing w:val="16"/>
                <w:vertAlign w:val="superscript"/>
              </w:rPr>
              <w:t>-</w:t>
            </w:r>
          </w:p>
        </w:tc>
        <w:tc>
          <w:tcPr>
            <w:tcW w:w="910" w:type="dxa"/>
            <w:vAlign w:val="center"/>
          </w:tcPr>
          <w:p>
            <w:pPr>
              <w:autoSpaceDE w:val="0"/>
              <w:autoSpaceDN w:val="0"/>
              <w:spacing w:line="260" w:lineRule="exact"/>
              <w:jc w:val="center"/>
              <w:textAlignment w:val="bottom"/>
              <w:rPr>
                <w:rFonts w:ascii="Times New Roman" w:hAnsi="Times New Roman"/>
                <w:b/>
                <w:snapToGrid w:val="0"/>
                <w:spacing w:val="16"/>
              </w:rPr>
            </w:pPr>
            <w:r>
              <w:rPr>
                <w:rFonts w:ascii="Times New Roman" w:hAnsi="Times New Roman"/>
                <w:b/>
                <w:snapToGrid w:val="0"/>
                <w:spacing w:val="16"/>
              </w:rPr>
              <w:t>Cl</w:t>
            </w:r>
            <w:r>
              <w:rPr>
                <w:rFonts w:ascii="Times New Roman" w:hAnsi="Times New Roman"/>
                <w:b/>
                <w:snapToGrid w:val="0"/>
                <w:spacing w:val="16"/>
                <w:vertAlign w:val="superscript"/>
              </w:rPr>
              <w:t>-</w:t>
            </w:r>
          </w:p>
        </w:tc>
        <w:tc>
          <w:tcPr>
            <w:tcW w:w="910" w:type="dxa"/>
            <w:vAlign w:val="center"/>
          </w:tcPr>
          <w:p>
            <w:pPr>
              <w:autoSpaceDE w:val="0"/>
              <w:autoSpaceDN w:val="0"/>
              <w:spacing w:line="260" w:lineRule="exact"/>
              <w:jc w:val="center"/>
              <w:textAlignment w:val="bottom"/>
              <w:rPr>
                <w:rFonts w:ascii="Times New Roman" w:hAnsi="Times New Roman"/>
                <w:b/>
                <w:snapToGrid w:val="0"/>
                <w:spacing w:val="16"/>
              </w:rPr>
            </w:pPr>
            <w:r>
              <w:rPr>
                <w:rFonts w:ascii="Times New Roman" w:hAnsi="Times New Roman"/>
                <w:b/>
                <w:snapToGrid w:val="0"/>
                <w:spacing w:val="16"/>
              </w:rPr>
              <w:t>SO</w:t>
            </w:r>
            <w:r>
              <w:rPr>
                <w:rFonts w:ascii="Times New Roman" w:hAnsi="Times New Roman"/>
                <w:b/>
                <w:snapToGrid w:val="0"/>
                <w:spacing w:val="16"/>
                <w:vertAlign w:val="subscript"/>
              </w:rPr>
              <w:t>4</w:t>
            </w:r>
            <w:r>
              <w:rPr>
                <w:rFonts w:ascii="Times New Roman" w:hAnsi="Times New Roman"/>
                <w:b/>
                <w:snapToGrid w:val="0"/>
                <w:spacing w:val="16"/>
                <w:vertAlign w:val="superscript"/>
              </w:rPr>
              <w:t>2-</w:t>
            </w:r>
          </w:p>
        </w:tc>
        <w:tc>
          <w:tcPr>
            <w:tcW w:w="910" w:type="dxa"/>
            <w:vAlign w:val="center"/>
          </w:tcPr>
          <w:p>
            <w:pPr>
              <w:autoSpaceDE w:val="0"/>
              <w:autoSpaceDN w:val="0"/>
              <w:spacing w:line="260" w:lineRule="exact"/>
              <w:jc w:val="center"/>
              <w:textAlignment w:val="bottom"/>
              <w:rPr>
                <w:rFonts w:ascii="Times New Roman" w:hAnsi="Times New Roman"/>
                <w:b/>
                <w:snapToGrid w:val="0"/>
                <w:spacing w:val="16"/>
              </w:rPr>
            </w:pPr>
            <w:r>
              <w:rPr>
                <w:rFonts w:ascii="Times New Roman" w:hAnsi="Times New Roman"/>
                <w:b/>
                <w:snapToGrid w:val="0"/>
                <w:spacing w:val="16"/>
              </w:rPr>
              <w:t>总计</w:t>
            </w:r>
          </w:p>
        </w:tc>
        <w:tc>
          <w:tcPr>
            <w:tcW w:w="1981" w:type="dxa"/>
            <w:vAlign w:val="center"/>
          </w:tcPr>
          <w:p>
            <w:pPr>
              <w:autoSpaceDE w:val="0"/>
              <w:autoSpaceDN w:val="0"/>
              <w:spacing w:line="260" w:lineRule="exact"/>
              <w:jc w:val="center"/>
              <w:textAlignment w:val="bottom"/>
              <w:rPr>
                <w:rFonts w:ascii="Times New Roman" w:hAnsi="Times New Roman"/>
                <w:b/>
                <w:snapToGrid w:val="0"/>
                <w:spacing w:val="16"/>
              </w:rPr>
            </w:pPr>
            <w:r>
              <w:rPr>
                <w:rFonts w:ascii="Times New Roman" w:hAnsi="Times New Roman"/>
                <w:b/>
                <w:snapToGrid w:val="0"/>
                <w:spacing w:val="16"/>
              </w:rPr>
              <w:t>水化学类型</w:t>
            </w:r>
          </w:p>
        </w:tc>
        <w:tc>
          <w:tcPr>
            <w:tcW w:w="1055" w:type="dxa"/>
            <w:vAlign w:val="center"/>
          </w:tcPr>
          <w:p>
            <w:pPr>
              <w:autoSpaceDE w:val="0"/>
              <w:autoSpaceDN w:val="0"/>
              <w:spacing w:line="260" w:lineRule="exact"/>
              <w:jc w:val="center"/>
              <w:textAlignment w:val="bottom"/>
              <w:rPr>
                <w:rFonts w:ascii="Times New Roman" w:hAnsi="Times New Roman"/>
                <w:b/>
                <w:snapToGrid w:val="0"/>
                <w:spacing w:val="16"/>
              </w:rPr>
            </w:pPr>
            <w:r>
              <w:rPr>
                <w:rFonts w:ascii="Times New Roman" w:hAnsi="Times New Roman"/>
                <w:b/>
                <w:snapToGrid w:val="0"/>
                <w:spacing w:val="16"/>
              </w:rPr>
              <w:t>相对</w:t>
            </w:r>
          </w:p>
          <w:p>
            <w:pPr>
              <w:autoSpaceDE w:val="0"/>
              <w:autoSpaceDN w:val="0"/>
              <w:spacing w:line="260" w:lineRule="exact"/>
              <w:jc w:val="center"/>
              <w:textAlignment w:val="bottom"/>
              <w:rPr>
                <w:rFonts w:ascii="Times New Roman" w:hAnsi="Times New Roman"/>
                <w:b/>
                <w:snapToGrid w:val="0"/>
                <w:spacing w:val="16"/>
              </w:rPr>
            </w:pPr>
            <w:r>
              <w:rPr>
                <w:rFonts w:ascii="Times New Roman" w:hAnsi="Times New Roman"/>
                <w:b/>
                <w:snapToGrid w:val="0"/>
                <w:spacing w:val="16"/>
              </w:rPr>
              <w:t>误差</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8" w:type="dxa"/>
            <w:bottom w:w="0" w:type="dxa"/>
            <w:right w:w="28" w:type="dxa"/>
          </w:tblCellMar>
        </w:tblPrEx>
        <w:trPr>
          <w:trHeight w:val="20" w:hRule="atLeast"/>
          <w:jc w:val="center"/>
        </w:trPr>
        <w:tc>
          <w:tcPr>
            <w:tcW w:w="910" w:type="dxa"/>
            <w:vMerge w:val="restart"/>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1#</w:t>
            </w:r>
          </w:p>
        </w:tc>
        <w:tc>
          <w:tcPr>
            <w:tcW w:w="911" w:type="dxa"/>
            <w:vAlign w:val="bottom"/>
          </w:tcPr>
          <w:p>
            <w:pPr>
              <w:widowControl/>
              <w:jc w:val="center"/>
              <w:textAlignment w:val="bottom"/>
              <w:rPr>
                <w:rFonts w:ascii="Times New Roman" w:hAnsi="Times New Roman"/>
                <w:lang w:bidi="ar"/>
              </w:rPr>
            </w:pPr>
            <w:r>
              <w:rPr>
                <w:rFonts w:ascii="Times New Roman" w:hAnsi="Times New Roman"/>
              </w:rPr>
              <w:t>mg/l</w:t>
            </w:r>
          </w:p>
        </w:tc>
        <w:tc>
          <w:tcPr>
            <w:tcW w:w="911" w:type="dxa"/>
            <w:vAlign w:val="center"/>
          </w:tcPr>
          <w:p>
            <w:pPr>
              <w:widowControl/>
              <w:jc w:val="center"/>
              <w:textAlignment w:val="bottom"/>
              <w:rPr>
                <w:rFonts w:ascii="Times New Roman" w:hAnsi="Times New Roman"/>
                <w:lang w:bidi="ar"/>
              </w:rPr>
            </w:pPr>
            <w:r>
              <w:rPr>
                <w:rFonts w:ascii="Times New Roman" w:hAnsi="Times New Roman"/>
              </w:rPr>
              <w:t>1.46</w:t>
            </w:r>
          </w:p>
        </w:tc>
        <w:tc>
          <w:tcPr>
            <w:tcW w:w="910" w:type="dxa"/>
            <w:vAlign w:val="center"/>
          </w:tcPr>
          <w:p>
            <w:pPr>
              <w:widowControl/>
              <w:jc w:val="center"/>
              <w:textAlignment w:val="bottom"/>
              <w:rPr>
                <w:rFonts w:ascii="Times New Roman" w:hAnsi="Times New Roman"/>
                <w:lang w:bidi="ar"/>
              </w:rPr>
            </w:pPr>
            <w:r>
              <w:rPr>
                <w:rFonts w:ascii="Times New Roman" w:hAnsi="Times New Roman"/>
              </w:rPr>
              <w:t>9.29</w:t>
            </w:r>
          </w:p>
        </w:tc>
        <w:tc>
          <w:tcPr>
            <w:tcW w:w="910" w:type="dxa"/>
            <w:vAlign w:val="center"/>
          </w:tcPr>
          <w:p>
            <w:pPr>
              <w:widowControl/>
              <w:jc w:val="center"/>
              <w:textAlignment w:val="bottom"/>
              <w:rPr>
                <w:rFonts w:ascii="Times New Roman" w:hAnsi="Times New Roman"/>
                <w:lang w:bidi="ar"/>
              </w:rPr>
            </w:pPr>
            <w:r>
              <w:rPr>
                <w:rFonts w:ascii="Times New Roman" w:hAnsi="Times New Roman"/>
              </w:rPr>
              <w:t>8.87</w:t>
            </w:r>
          </w:p>
        </w:tc>
        <w:tc>
          <w:tcPr>
            <w:tcW w:w="910" w:type="dxa"/>
            <w:vAlign w:val="center"/>
          </w:tcPr>
          <w:p>
            <w:pPr>
              <w:widowControl/>
              <w:jc w:val="center"/>
              <w:textAlignment w:val="bottom"/>
              <w:rPr>
                <w:rFonts w:ascii="Times New Roman" w:hAnsi="Times New Roman"/>
                <w:lang w:bidi="ar"/>
              </w:rPr>
            </w:pPr>
            <w:r>
              <w:rPr>
                <w:rFonts w:ascii="Times New Roman" w:hAnsi="Times New Roman"/>
              </w:rPr>
              <w:t>10.60</w:t>
            </w:r>
          </w:p>
        </w:tc>
        <w:tc>
          <w:tcPr>
            <w:tcW w:w="910" w:type="dxa"/>
            <w:vAlign w:val="bottom"/>
          </w:tcPr>
          <w:p>
            <w:pPr>
              <w:widowControl/>
              <w:jc w:val="center"/>
              <w:textAlignment w:val="bottom"/>
              <w:rPr>
                <w:rFonts w:ascii="Times New Roman" w:hAnsi="Times New Roman"/>
                <w:lang w:bidi="ar"/>
              </w:rPr>
            </w:pPr>
            <w:r>
              <w:rPr>
                <w:rFonts w:ascii="Times New Roman" w:hAnsi="Times New Roman"/>
              </w:rPr>
              <w:t>30.22</w:t>
            </w:r>
          </w:p>
        </w:tc>
        <w:tc>
          <w:tcPr>
            <w:tcW w:w="910" w:type="dxa"/>
            <w:vAlign w:val="center"/>
          </w:tcPr>
          <w:p>
            <w:pPr>
              <w:widowControl/>
              <w:jc w:val="center"/>
              <w:textAlignment w:val="bottom"/>
              <w:rPr>
                <w:rFonts w:ascii="Times New Roman" w:hAnsi="Times New Roman"/>
                <w:lang w:bidi="ar"/>
              </w:rPr>
            </w:pPr>
            <w:r>
              <w:rPr>
                <w:rFonts w:ascii="Times New Roman" w:hAnsi="Times New Roman"/>
              </w:rPr>
              <w:t>0.00</w:t>
            </w:r>
          </w:p>
        </w:tc>
        <w:tc>
          <w:tcPr>
            <w:tcW w:w="910" w:type="dxa"/>
            <w:vAlign w:val="center"/>
          </w:tcPr>
          <w:p>
            <w:pPr>
              <w:widowControl/>
              <w:jc w:val="center"/>
              <w:textAlignment w:val="bottom"/>
              <w:rPr>
                <w:rFonts w:ascii="Times New Roman" w:hAnsi="Times New Roman"/>
                <w:lang w:bidi="ar"/>
              </w:rPr>
            </w:pPr>
            <w:r>
              <w:rPr>
                <w:rFonts w:ascii="Times New Roman" w:hAnsi="Times New Roman"/>
              </w:rPr>
              <w:t>81.41</w:t>
            </w:r>
          </w:p>
        </w:tc>
        <w:tc>
          <w:tcPr>
            <w:tcW w:w="910" w:type="dxa"/>
            <w:vAlign w:val="center"/>
          </w:tcPr>
          <w:p>
            <w:pPr>
              <w:widowControl/>
              <w:jc w:val="center"/>
              <w:textAlignment w:val="bottom"/>
              <w:rPr>
                <w:rFonts w:ascii="Times New Roman" w:hAnsi="Times New Roman"/>
                <w:lang w:bidi="ar"/>
              </w:rPr>
            </w:pPr>
            <w:r>
              <w:rPr>
                <w:rFonts w:ascii="Times New Roman" w:hAnsi="Times New Roman"/>
              </w:rPr>
              <w:t>7.45</w:t>
            </w:r>
          </w:p>
        </w:tc>
        <w:tc>
          <w:tcPr>
            <w:tcW w:w="910" w:type="dxa"/>
            <w:vAlign w:val="center"/>
          </w:tcPr>
          <w:p>
            <w:pPr>
              <w:widowControl/>
              <w:jc w:val="center"/>
              <w:textAlignment w:val="bottom"/>
              <w:rPr>
                <w:rFonts w:ascii="Times New Roman" w:hAnsi="Times New Roman"/>
                <w:lang w:bidi="ar"/>
              </w:rPr>
            </w:pPr>
            <w:r>
              <w:rPr>
                <w:rFonts w:ascii="Times New Roman" w:hAnsi="Times New Roman"/>
              </w:rPr>
              <w:t>16.80</w:t>
            </w:r>
          </w:p>
        </w:tc>
        <w:tc>
          <w:tcPr>
            <w:tcW w:w="910" w:type="dxa"/>
            <w:vAlign w:val="bottom"/>
          </w:tcPr>
          <w:p>
            <w:pPr>
              <w:widowControl/>
              <w:jc w:val="center"/>
              <w:textAlignment w:val="bottom"/>
              <w:rPr>
                <w:rFonts w:ascii="Times New Roman" w:hAnsi="Times New Roman"/>
                <w:lang w:bidi="ar"/>
              </w:rPr>
            </w:pPr>
            <w:r>
              <w:rPr>
                <w:rFonts w:ascii="Times New Roman" w:hAnsi="Times New Roman"/>
              </w:rPr>
              <w:t>105.66</w:t>
            </w:r>
          </w:p>
        </w:tc>
        <w:tc>
          <w:tcPr>
            <w:tcW w:w="1981" w:type="dxa"/>
            <w:vMerge w:val="restart"/>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HCO</w:t>
            </w:r>
            <w:r>
              <w:rPr>
                <w:rFonts w:ascii="Times New Roman" w:hAnsi="Times New Roman"/>
                <w:snapToGrid w:val="0"/>
                <w:spacing w:val="16"/>
                <w:vertAlign w:val="subscript"/>
              </w:rPr>
              <w:t>3</w:t>
            </w:r>
            <w:r>
              <w:rPr>
                <w:rFonts w:ascii="Times New Roman" w:hAnsi="Times New Roman"/>
                <w:snapToGrid w:val="0"/>
                <w:spacing w:val="16"/>
                <w:vertAlign w:val="superscript"/>
              </w:rPr>
              <w:t>-</w:t>
            </w:r>
            <w:r>
              <w:rPr>
                <w:rFonts w:ascii="Times New Roman" w:hAnsi="Times New Roman"/>
              </w:rPr>
              <w:t>—</w:t>
            </w:r>
            <w:r>
              <w:rPr>
                <w:rFonts w:ascii="Times New Roman" w:hAnsi="Times New Roman"/>
                <w:snapToGrid w:val="0"/>
                <w:spacing w:val="16"/>
              </w:rPr>
              <w:t>Ca</w:t>
            </w:r>
            <w:r>
              <w:rPr>
                <w:rFonts w:ascii="Times New Roman" w:hAnsi="Times New Roman"/>
                <w:snapToGrid w:val="0"/>
                <w:spacing w:val="16"/>
                <w:vertAlign w:val="superscript"/>
              </w:rPr>
              <w:t>2+</w:t>
            </w:r>
            <w:r>
              <w:rPr>
                <w:rFonts w:ascii="Times New Roman" w:hAnsi="Times New Roman"/>
                <w:snapToGrid w:val="0"/>
                <w:spacing w:val="16"/>
              </w:rPr>
              <w:t>，Mg</w:t>
            </w:r>
            <w:r>
              <w:rPr>
                <w:rFonts w:ascii="Times New Roman" w:hAnsi="Times New Roman"/>
                <w:snapToGrid w:val="0"/>
                <w:spacing w:val="16"/>
                <w:vertAlign w:val="superscript"/>
              </w:rPr>
              <w:t>2+</w:t>
            </w:r>
          </w:p>
        </w:tc>
        <w:tc>
          <w:tcPr>
            <w:tcW w:w="1055" w:type="dxa"/>
            <w:vMerge w:val="restart"/>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-3.76</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8" w:type="dxa"/>
            <w:bottom w:w="0" w:type="dxa"/>
            <w:right w:w="28" w:type="dxa"/>
          </w:tblCellMar>
        </w:tblPrEx>
        <w:trPr>
          <w:trHeight w:val="20" w:hRule="atLeast"/>
          <w:jc w:val="center"/>
        </w:trPr>
        <w:tc>
          <w:tcPr>
            <w:tcW w:w="910" w:type="dxa"/>
            <w:vMerge w:val="continue"/>
            <w:vAlign w:val="center"/>
          </w:tcPr>
          <w:p>
            <w:pPr>
              <w:autoSpaceDE w:val="0"/>
              <w:autoSpaceDN w:val="0"/>
              <w:jc w:val="center"/>
              <w:textAlignment w:val="bottom"/>
              <w:rPr>
                <w:rFonts w:ascii="Times New Roman" w:hAnsi="Times New Roman"/>
                <w:snapToGrid w:val="0"/>
                <w:spacing w:val="16"/>
              </w:rPr>
            </w:pPr>
          </w:p>
        </w:tc>
        <w:tc>
          <w:tcPr>
            <w:tcW w:w="911" w:type="dxa"/>
            <w:vAlign w:val="bottom"/>
          </w:tcPr>
          <w:p>
            <w:pPr>
              <w:widowControl/>
              <w:jc w:val="center"/>
              <w:textAlignment w:val="bottom"/>
              <w:rPr>
                <w:rFonts w:ascii="Times New Roman" w:hAnsi="Times New Roman"/>
                <w:lang w:bidi="ar"/>
              </w:rPr>
            </w:pPr>
            <w:r>
              <w:rPr>
                <w:rFonts w:ascii="Times New Roman" w:hAnsi="Times New Roman"/>
              </w:rPr>
              <w:t>meq/l</w:t>
            </w:r>
          </w:p>
        </w:tc>
        <w:tc>
          <w:tcPr>
            <w:tcW w:w="911" w:type="dxa"/>
            <w:vAlign w:val="bottom"/>
          </w:tcPr>
          <w:p>
            <w:pPr>
              <w:widowControl/>
              <w:jc w:val="center"/>
              <w:textAlignment w:val="bottom"/>
              <w:rPr>
                <w:rFonts w:ascii="Times New Roman" w:hAnsi="Times New Roman"/>
                <w:lang w:bidi="ar"/>
              </w:rPr>
            </w:pPr>
            <w:r>
              <w:rPr>
                <w:rFonts w:ascii="Times New Roman" w:hAnsi="Times New Roman"/>
              </w:rPr>
              <w:t>0.04</w:t>
            </w:r>
          </w:p>
        </w:tc>
        <w:tc>
          <w:tcPr>
            <w:tcW w:w="910" w:type="dxa"/>
            <w:vAlign w:val="bottom"/>
          </w:tcPr>
          <w:p>
            <w:pPr>
              <w:widowControl/>
              <w:jc w:val="center"/>
              <w:textAlignment w:val="bottom"/>
              <w:rPr>
                <w:rFonts w:ascii="Times New Roman" w:hAnsi="Times New Roman"/>
                <w:lang w:bidi="ar"/>
              </w:rPr>
            </w:pPr>
            <w:r>
              <w:rPr>
                <w:rFonts w:ascii="Times New Roman" w:hAnsi="Times New Roman"/>
              </w:rPr>
              <w:t>0.40</w:t>
            </w:r>
          </w:p>
        </w:tc>
        <w:tc>
          <w:tcPr>
            <w:tcW w:w="910" w:type="dxa"/>
            <w:vAlign w:val="bottom"/>
          </w:tcPr>
          <w:p>
            <w:pPr>
              <w:widowControl/>
              <w:jc w:val="center"/>
              <w:textAlignment w:val="bottom"/>
              <w:rPr>
                <w:rFonts w:ascii="Times New Roman" w:hAnsi="Times New Roman"/>
                <w:lang w:bidi="ar"/>
              </w:rPr>
            </w:pPr>
            <w:r>
              <w:rPr>
                <w:rFonts w:ascii="Times New Roman" w:hAnsi="Times New Roman"/>
              </w:rPr>
              <w:t>0.44</w:t>
            </w:r>
          </w:p>
        </w:tc>
        <w:tc>
          <w:tcPr>
            <w:tcW w:w="910" w:type="dxa"/>
            <w:vAlign w:val="bottom"/>
          </w:tcPr>
          <w:p>
            <w:pPr>
              <w:widowControl/>
              <w:jc w:val="center"/>
              <w:textAlignment w:val="bottom"/>
              <w:rPr>
                <w:rFonts w:ascii="Times New Roman" w:hAnsi="Times New Roman"/>
                <w:lang w:bidi="ar"/>
              </w:rPr>
            </w:pPr>
            <w:r>
              <w:rPr>
                <w:rFonts w:ascii="Times New Roman" w:hAnsi="Times New Roman"/>
              </w:rPr>
              <w:t>0.87</w:t>
            </w:r>
          </w:p>
        </w:tc>
        <w:tc>
          <w:tcPr>
            <w:tcW w:w="910" w:type="dxa"/>
            <w:vAlign w:val="bottom"/>
          </w:tcPr>
          <w:p>
            <w:pPr>
              <w:widowControl/>
              <w:jc w:val="center"/>
              <w:textAlignment w:val="bottom"/>
              <w:rPr>
                <w:rFonts w:ascii="Times New Roman" w:hAnsi="Times New Roman"/>
                <w:lang w:bidi="ar"/>
              </w:rPr>
            </w:pPr>
            <w:r>
              <w:rPr>
                <w:rFonts w:ascii="Times New Roman" w:hAnsi="Times New Roman"/>
              </w:rPr>
              <w:t>1.76</w:t>
            </w:r>
          </w:p>
        </w:tc>
        <w:tc>
          <w:tcPr>
            <w:tcW w:w="910" w:type="dxa"/>
            <w:vAlign w:val="bottom"/>
          </w:tcPr>
          <w:p>
            <w:pPr>
              <w:widowControl/>
              <w:jc w:val="center"/>
              <w:textAlignment w:val="bottom"/>
              <w:rPr>
                <w:rFonts w:ascii="Times New Roman" w:hAnsi="Times New Roman"/>
                <w:lang w:bidi="ar"/>
              </w:rPr>
            </w:pPr>
            <w:r>
              <w:rPr>
                <w:rFonts w:ascii="Times New Roman" w:hAnsi="Times New Roman"/>
              </w:rPr>
              <w:t>0.00</w:t>
            </w:r>
          </w:p>
        </w:tc>
        <w:tc>
          <w:tcPr>
            <w:tcW w:w="910" w:type="dxa"/>
            <w:vAlign w:val="bottom"/>
          </w:tcPr>
          <w:p>
            <w:pPr>
              <w:widowControl/>
              <w:jc w:val="center"/>
              <w:textAlignment w:val="bottom"/>
              <w:rPr>
                <w:rFonts w:ascii="Times New Roman" w:hAnsi="Times New Roman"/>
                <w:lang w:bidi="ar"/>
              </w:rPr>
            </w:pPr>
            <w:r>
              <w:rPr>
                <w:rFonts w:ascii="Times New Roman" w:hAnsi="Times New Roman"/>
              </w:rPr>
              <w:t>1.33</w:t>
            </w:r>
          </w:p>
        </w:tc>
        <w:tc>
          <w:tcPr>
            <w:tcW w:w="910" w:type="dxa"/>
            <w:vAlign w:val="bottom"/>
          </w:tcPr>
          <w:p>
            <w:pPr>
              <w:widowControl/>
              <w:jc w:val="center"/>
              <w:textAlignment w:val="bottom"/>
              <w:rPr>
                <w:rFonts w:ascii="Times New Roman" w:hAnsi="Times New Roman"/>
                <w:lang w:bidi="ar"/>
              </w:rPr>
            </w:pPr>
            <w:r>
              <w:rPr>
                <w:rFonts w:ascii="Times New Roman" w:hAnsi="Times New Roman"/>
              </w:rPr>
              <w:t>0.21</w:t>
            </w:r>
          </w:p>
        </w:tc>
        <w:tc>
          <w:tcPr>
            <w:tcW w:w="910" w:type="dxa"/>
            <w:vAlign w:val="bottom"/>
          </w:tcPr>
          <w:p>
            <w:pPr>
              <w:widowControl/>
              <w:jc w:val="center"/>
              <w:textAlignment w:val="bottom"/>
              <w:rPr>
                <w:rFonts w:ascii="Times New Roman" w:hAnsi="Times New Roman"/>
                <w:lang w:bidi="ar"/>
              </w:rPr>
            </w:pPr>
            <w:r>
              <w:rPr>
                <w:rFonts w:ascii="Times New Roman" w:hAnsi="Times New Roman"/>
              </w:rPr>
              <w:t>0.35</w:t>
            </w:r>
          </w:p>
        </w:tc>
        <w:tc>
          <w:tcPr>
            <w:tcW w:w="910" w:type="dxa"/>
            <w:vAlign w:val="bottom"/>
          </w:tcPr>
          <w:p>
            <w:pPr>
              <w:widowControl/>
              <w:jc w:val="center"/>
              <w:textAlignment w:val="bottom"/>
              <w:rPr>
                <w:rFonts w:ascii="Times New Roman" w:hAnsi="Times New Roman"/>
                <w:lang w:bidi="ar"/>
              </w:rPr>
            </w:pPr>
            <w:r>
              <w:rPr>
                <w:rFonts w:ascii="Times New Roman" w:hAnsi="Times New Roman"/>
              </w:rPr>
              <w:t>1.89</w:t>
            </w:r>
          </w:p>
        </w:tc>
        <w:tc>
          <w:tcPr>
            <w:tcW w:w="1981" w:type="dxa"/>
            <w:vMerge w:val="continue"/>
            <w:vAlign w:val="center"/>
          </w:tcPr>
          <w:p>
            <w:pPr>
              <w:autoSpaceDE w:val="0"/>
              <w:autoSpaceDN w:val="0"/>
              <w:jc w:val="center"/>
              <w:textAlignment w:val="bottom"/>
              <w:rPr>
                <w:rFonts w:ascii="Times New Roman" w:hAnsi="Times New Roman"/>
                <w:snapToGrid w:val="0"/>
                <w:spacing w:val="16"/>
              </w:rPr>
            </w:pPr>
          </w:p>
        </w:tc>
        <w:tc>
          <w:tcPr>
            <w:tcW w:w="1055" w:type="dxa"/>
            <w:vMerge w:val="continue"/>
            <w:vAlign w:val="center"/>
          </w:tcPr>
          <w:p>
            <w:pPr>
              <w:autoSpaceDE w:val="0"/>
              <w:autoSpaceDN w:val="0"/>
              <w:jc w:val="center"/>
              <w:textAlignment w:val="bottom"/>
              <w:rPr>
                <w:rFonts w:ascii="Times New Roman" w:hAnsi="Times New Roman"/>
                <w:snapToGrid w:val="0"/>
                <w:spacing w:val="16"/>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8" w:type="dxa"/>
            <w:bottom w:w="0" w:type="dxa"/>
            <w:right w:w="28" w:type="dxa"/>
          </w:tblCellMar>
        </w:tblPrEx>
        <w:trPr>
          <w:trHeight w:val="280" w:hRule="atLeast"/>
          <w:jc w:val="center"/>
        </w:trPr>
        <w:tc>
          <w:tcPr>
            <w:tcW w:w="910" w:type="dxa"/>
            <w:vMerge w:val="continue"/>
            <w:vAlign w:val="center"/>
          </w:tcPr>
          <w:p>
            <w:pPr>
              <w:autoSpaceDE w:val="0"/>
              <w:autoSpaceDN w:val="0"/>
              <w:jc w:val="center"/>
              <w:textAlignment w:val="bottom"/>
              <w:rPr>
                <w:rFonts w:ascii="Times New Roman" w:hAnsi="Times New Roman"/>
                <w:snapToGrid w:val="0"/>
                <w:spacing w:val="16"/>
              </w:rPr>
            </w:pPr>
          </w:p>
        </w:tc>
        <w:tc>
          <w:tcPr>
            <w:tcW w:w="911" w:type="dxa"/>
            <w:vAlign w:val="bottom"/>
          </w:tcPr>
          <w:p>
            <w:pPr>
              <w:widowControl/>
              <w:jc w:val="center"/>
              <w:textAlignment w:val="bottom"/>
              <w:rPr>
                <w:rFonts w:ascii="Times New Roman" w:hAnsi="Times New Roman"/>
                <w:lang w:bidi="ar"/>
              </w:rPr>
            </w:pPr>
            <w:r>
              <w:rPr>
                <w:rFonts w:ascii="Times New Roman" w:hAnsi="Times New Roman"/>
              </w:rPr>
              <w:t>meq%</w:t>
            </w:r>
          </w:p>
        </w:tc>
        <w:tc>
          <w:tcPr>
            <w:tcW w:w="911" w:type="dxa"/>
            <w:vAlign w:val="bottom"/>
          </w:tcPr>
          <w:p>
            <w:pPr>
              <w:widowControl/>
              <w:jc w:val="center"/>
              <w:textAlignment w:val="bottom"/>
              <w:rPr>
                <w:rFonts w:ascii="Times New Roman" w:hAnsi="Times New Roman"/>
                <w:lang w:bidi="ar"/>
              </w:rPr>
            </w:pPr>
            <w:r>
              <w:rPr>
                <w:rFonts w:ascii="Times New Roman" w:hAnsi="Times New Roman"/>
              </w:rPr>
              <w:t>2.13</w:t>
            </w:r>
          </w:p>
        </w:tc>
        <w:tc>
          <w:tcPr>
            <w:tcW w:w="910" w:type="dxa"/>
            <w:vAlign w:val="bottom"/>
          </w:tcPr>
          <w:p>
            <w:pPr>
              <w:widowControl/>
              <w:jc w:val="center"/>
              <w:textAlignment w:val="bottom"/>
              <w:rPr>
                <w:rFonts w:ascii="Times New Roman" w:hAnsi="Times New Roman"/>
                <w:lang w:bidi="ar"/>
              </w:rPr>
            </w:pPr>
            <w:r>
              <w:rPr>
                <w:rFonts w:ascii="Times New Roman" w:hAnsi="Times New Roman"/>
              </w:rPr>
              <w:t>22.99</w:t>
            </w:r>
          </w:p>
        </w:tc>
        <w:tc>
          <w:tcPr>
            <w:tcW w:w="910" w:type="dxa"/>
            <w:vAlign w:val="bottom"/>
          </w:tcPr>
          <w:p>
            <w:pPr>
              <w:widowControl/>
              <w:jc w:val="center"/>
              <w:textAlignment w:val="bottom"/>
              <w:rPr>
                <w:rFonts w:ascii="Times New Roman" w:hAnsi="Times New Roman"/>
                <w:lang w:bidi="ar"/>
              </w:rPr>
            </w:pPr>
            <w:r>
              <w:rPr>
                <w:rFonts w:ascii="Times New Roman" w:hAnsi="Times New Roman"/>
              </w:rPr>
              <w:t>25.24</w:t>
            </w:r>
          </w:p>
        </w:tc>
        <w:tc>
          <w:tcPr>
            <w:tcW w:w="910" w:type="dxa"/>
            <w:vAlign w:val="bottom"/>
          </w:tcPr>
          <w:p>
            <w:pPr>
              <w:widowControl/>
              <w:jc w:val="center"/>
              <w:textAlignment w:val="bottom"/>
              <w:rPr>
                <w:rFonts w:ascii="Times New Roman" w:hAnsi="Times New Roman"/>
                <w:lang w:bidi="ar"/>
              </w:rPr>
            </w:pPr>
            <w:r>
              <w:rPr>
                <w:rFonts w:ascii="Times New Roman" w:hAnsi="Times New Roman"/>
              </w:rPr>
              <w:t>49.65</w:t>
            </w:r>
          </w:p>
        </w:tc>
        <w:tc>
          <w:tcPr>
            <w:tcW w:w="910" w:type="dxa"/>
            <w:vAlign w:val="bottom"/>
          </w:tcPr>
          <w:p>
            <w:pPr>
              <w:widowControl/>
              <w:jc w:val="center"/>
              <w:textAlignment w:val="bottom"/>
              <w:rPr>
                <w:rFonts w:ascii="Times New Roman" w:hAnsi="Times New Roman"/>
                <w:lang w:bidi="ar"/>
              </w:rPr>
            </w:pPr>
            <w:r>
              <w:rPr>
                <w:rFonts w:ascii="Times New Roman" w:hAnsi="Times New Roman"/>
              </w:rPr>
              <w:t>100.00</w:t>
            </w:r>
          </w:p>
        </w:tc>
        <w:tc>
          <w:tcPr>
            <w:tcW w:w="910" w:type="dxa"/>
            <w:vAlign w:val="bottom"/>
          </w:tcPr>
          <w:p>
            <w:pPr>
              <w:widowControl/>
              <w:jc w:val="center"/>
              <w:textAlignment w:val="bottom"/>
              <w:rPr>
                <w:rFonts w:ascii="Times New Roman" w:hAnsi="Times New Roman"/>
                <w:lang w:bidi="ar"/>
              </w:rPr>
            </w:pPr>
            <w:r>
              <w:rPr>
                <w:rFonts w:ascii="Times New Roman" w:hAnsi="Times New Roman"/>
              </w:rPr>
              <w:t>0.00</w:t>
            </w:r>
          </w:p>
        </w:tc>
        <w:tc>
          <w:tcPr>
            <w:tcW w:w="910" w:type="dxa"/>
            <w:vAlign w:val="bottom"/>
          </w:tcPr>
          <w:p>
            <w:pPr>
              <w:widowControl/>
              <w:jc w:val="center"/>
              <w:textAlignment w:val="bottom"/>
              <w:rPr>
                <w:rFonts w:ascii="Times New Roman" w:hAnsi="Times New Roman"/>
                <w:lang w:bidi="ar"/>
              </w:rPr>
            </w:pPr>
            <w:r>
              <w:rPr>
                <w:rFonts w:ascii="Times New Roman" w:hAnsi="Times New Roman"/>
              </w:rPr>
              <w:t>70.45</w:t>
            </w:r>
          </w:p>
        </w:tc>
        <w:tc>
          <w:tcPr>
            <w:tcW w:w="910" w:type="dxa"/>
            <w:vAlign w:val="bottom"/>
          </w:tcPr>
          <w:p>
            <w:pPr>
              <w:widowControl/>
              <w:jc w:val="center"/>
              <w:textAlignment w:val="bottom"/>
              <w:rPr>
                <w:rFonts w:ascii="Times New Roman" w:hAnsi="Times New Roman"/>
                <w:lang w:bidi="ar"/>
              </w:rPr>
            </w:pPr>
            <w:r>
              <w:rPr>
                <w:rFonts w:ascii="Times New Roman" w:hAnsi="Times New Roman"/>
              </w:rPr>
              <w:t>11.08</w:t>
            </w:r>
          </w:p>
        </w:tc>
        <w:tc>
          <w:tcPr>
            <w:tcW w:w="910" w:type="dxa"/>
            <w:vAlign w:val="bottom"/>
          </w:tcPr>
          <w:p>
            <w:pPr>
              <w:widowControl/>
              <w:jc w:val="center"/>
              <w:textAlignment w:val="bottom"/>
              <w:rPr>
                <w:rFonts w:ascii="Times New Roman" w:hAnsi="Times New Roman"/>
                <w:lang w:bidi="ar"/>
              </w:rPr>
            </w:pPr>
            <w:r>
              <w:rPr>
                <w:rFonts w:ascii="Times New Roman" w:hAnsi="Times New Roman"/>
              </w:rPr>
              <w:t>18.48</w:t>
            </w:r>
          </w:p>
        </w:tc>
        <w:tc>
          <w:tcPr>
            <w:tcW w:w="910" w:type="dxa"/>
            <w:vAlign w:val="bottom"/>
          </w:tcPr>
          <w:p>
            <w:pPr>
              <w:widowControl/>
              <w:jc w:val="center"/>
              <w:textAlignment w:val="bottom"/>
              <w:rPr>
                <w:rFonts w:ascii="Times New Roman" w:hAnsi="Times New Roman"/>
                <w:lang w:bidi="ar"/>
              </w:rPr>
            </w:pPr>
            <w:r>
              <w:rPr>
                <w:rFonts w:ascii="Times New Roman" w:hAnsi="Times New Roman"/>
              </w:rPr>
              <w:t>100.00</w:t>
            </w:r>
          </w:p>
        </w:tc>
        <w:tc>
          <w:tcPr>
            <w:tcW w:w="1981" w:type="dxa"/>
            <w:vMerge w:val="continue"/>
            <w:vAlign w:val="center"/>
          </w:tcPr>
          <w:p>
            <w:pPr>
              <w:autoSpaceDE w:val="0"/>
              <w:autoSpaceDN w:val="0"/>
              <w:jc w:val="center"/>
              <w:textAlignment w:val="bottom"/>
              <w:rPr>
                <w:rFonts w:ascii="Times New Roman" w:hAnsi="Times New Roman"/>
                <w:snapToGrid w:val="0"/>
                <w:spacing w:val="16"/>
              </w:rPr>
            </w:pPr>
          </w:p>
        </w:tc>
        <w:tc>
          <w:tcPr>
            <w:tcW w:w="1055" w:type="dxa"/>
            <w:vMerge w:val="continue"/>
            <w:vAlign w:val="center"/>
          </w:tcPr>
          <w:p>
            <w:pPr>
              <w:autoSpaceDE w:val="0"/>
              <w:autoSpaceDN w:val="0"/>
              <w:jc w:val="center"/>
              <w:textAlignment w:val="bottom"/>
              <w:rPr>
                <w:rFonts w:ascii="Times New Roman" w:hAnsi="Times New Roman"/>
                <w:snapToGrid w:val="0"/>
                <w:spacing w:val="16"/>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8" w:type="dxa"/>
            <w:bottom w:w="0" w:type="dxa"/>
            <w:right w:w="28" w:type="dxa"/>
          </w:tblCellMar>
        </w:tblPrEx>
        <w:trPr>
          <w:trHeight w:val="20" w:hRule="atLeast"/>
          <w:jc w:val="center"/>
        </w:trPr>
        <w:tc>
          <w:tcPr>
            <w:tcW w:w="910" w:type="dxa"/>
            <w:vMerge w:val="restart"/>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2#</w:t>
            </w:r>
          </w:p>
        </w:tc>
        <w:tc>
          <w:tcPr>
            <w:tcW w:w="911" w:type="dxa"/>
            <w:vAlign w:val="bottom"/>
          </w:tcPr>
          <w:p>
            <w:pPr>
              <w:autoSpaceDE w:val="0"/>
              <w:autoSpaceDN w:val="0"/>
              <w:jc w:val="center"/>
              <w:textAlignment w:val="bottom"/>
              <w:rPr>
                <w:rFonts w:ascii="Times New Roman" w:hAnsi="Times New Roman"/>
                <w:snapToGrid w:val="0"/>
                <w:spacing w:val="16"/>
              </w:rPr>
            </w:pPr>
            <w:r>
              <w:rPr>
                <w:rFonts w:ascii="Times New Roman" w:hAnsi="Times New Roman"/>
              </w:rPr>
              <w:t>mg/l</w:t>
            </w:r>
          </w:p>
        </w:tc>
        <w:tc>
          <w:tcPr>
            <w:tcW w:w="911" w:type="dxa"/>
            <w:vAlign w:val="center"/>
          </w:tcPr>
          <w:p>
            <w:pPr>
              <w:widowControl/>
              <w:jc w:val="center"/>
              <w:textAlignment w:val="bottom"/>
              <w:rPr>
                <w:rFonts w:ascii="Times New Roman" w:hAnsi="Times New Roman"/>
                <w:lang w:bidi="ar"/>
              </w:rPr>
            </w:pPr>
            <w:r>
              <w:rPr>
                <w:rFonts w:ascii="Times New Roman" w:hAnsi="Times New Roman"/>
              </w:rPr>
              <w:t>2.15</w:t>
            </w:r>
          </w:p>
        </w:tc>
        <w:tc>
          <w:tcPr>
            <w:tcW w:w="910" w:type="dxa"/>
            <w:vAlign w:val="center"/>
          </w:tcPr>
          <w:p>
            <w:pPr>
              <w:widowControl/>
              <w:jc w:val="center"/>
              <w:textAlignment w:val="bottom"/>
              <w:rPr>
                <w:rFonts w:ascii="Times New Roman" w:hAnsi="Times New Roman"/>
                <w:lang w:bidi="ar"/>
              </w:rPr>
            </w:pPr>
            <w:r>
              <w:rPr>
                <w:rFonts w:ascii="Times New Roman" w:hAnsi="Times New Roman"/>
              </w:rPr>
              <w:t>9.75</w:t>
            </w:r>
          </w:p>
        </w:tc>
        <w:tc>
          <w:tcPr>
            <w:tcW w:w="910" w:type="dxa"/>
            <w:vAlign w:val="center"/>
          </w:tcPr>
          <w:p>
            <w:pPr>
              <w:widowControl/>
              <w:jc w:val="center"/>
              <w:textAlignment w:val="bottom"/>
              <w:rPr>
                <w:rFonts w:ascii="Times New Roman" w:hAnsi="Times New Roman"/>
                <w:lang w:bidi="ar"/>
              </w:rPr>
            </w:pPr>
            <w:r>
              <w:rPr>
                <w:rFonts w:ascii="Times New Roman" w:hAnsi="Times New Roman"/>
              </w:rPr>
              <w:t>11.3</w:t>
            </w:r>
          </w:p>
        </w:tc>
        <w:tc>
          <w:tcPr>
            <w:tcW w:w="910" w:type="dxa"/>
            <w:vAlign w:val="center"/>
          </w:tcPr>
          <w:p>
            <w:pPr>
              <w:widowControl/>
              <w:jc w:val="center"/>
              <w:textAlignment w:val="bottom"/>
              <w:rPr>
                <w:rFonts w:ascii="Times New Roman" w:hAnsi="Times New Roman"/>
                <w:lang w:bidi="ar"/>
              </w:rPr>
            </w:pPr>
            <w:r>
              <w:rPr>
                <w:rFonts w:ascii="Times New Roman" w:hAnsi="Times New Roman"/>
              </w:rPr>
              <w:t>9.11</w:t>
            </w:r>
          </w:p>
        </w:tc>
        <w:tc>
          <w:tcPr>
            <w:tcW w:w="910" w:type="dxa"/>
            <w:vAlign w:val="bottom"/>
          </w:tcPr>
          <w:p>
            <w:pPr>
              <w:widowControl/>
              <w:jc w:val="center"/>
              <w:textAlignment w:val="bottom"/>
              <w:rPr>
                <w:rFonts w:ascii="Times New Roman" w:hAnsi="Times New Roman"/>
                <w:lang w:bidi="ar"/>
              </w:rPr>
            </w:pPr>
            <w:r>
              <w:rPr>
                <w:rFonts w:ascii="Times New Roman" w:hAnsi="Times New Roman"/>
              </w:rPr>
              <w:t>32.31</w:t>
            </w:r>
          </w:p>
        </w:tc>
        <w:tc>
          <w:tcPr>
            <w:tcW w:w="910" w:type="dxa"/>
            <w:vAlign w:val="center"/>
          </w:tcPr>
          <w:p>
            <w:pPr>
              <w:widowControl/>
              <w:jc w:val="center"/>
              <w:textAlignment w:val="bottom"/>
              <w:rPr>
                <w:rFonts w:ascii="Times New Roman" w:hAnsi="Times New Roman"/>
                <w:lang w:bidi="ar"/>
              </w:rPr>
            </w:pPr>
            <w:r>
              <w:rPr>
                <w:rFonts w:ascii="Times New Roman" w:hAnsi="Times New Roman"/>
              </w:rPr>
              <w:t>0</w:t>
            </w:r>
          </w:p>
        </w:tc>
        <w:tc>
          <w:tcPr>
            <w:tcW w:w="910" w:type="dxa"/>
            <w:vAlign w:val="center"/>
          </w:tcPr>
          <w:p>
            <w:pPr>
              <w:widowControl/>
              <w:jc w:val="center"/>
              <w:textAlignment w:val="bottom"/>
              <w:rPr>
                <w:rFonts w:ascii="Times New Roman" w:hAnsi="Times New Roman"/>
                <w:lang w:bidi="ar"/>
              </w:rPr>
            </w:pPr>
            <w:r>
              <w:rPr>
                <w:rFonts w:ascii="Times New Roman" w:hAnsi="Times New Roman"/>
              </w:rPr>
              <w:t>75.66</w:t>
            </w:r>
          </w:p>
        </w:tc>
        <w:tc>
          <w:tcPr>
            <w:tcW w:w="910" w:type="dxa"/>
            <w:vAlign w:val="center"/>
          </w:tcPr>
          <w:p>
            <w:pPr>
              <w:widowControl/>
              <w:jc w:val="center"/>
              <w:textAlignment w:val="bottom"/>
              <w:rPr>
                <w:rFonts w:ascii="Times New Roman" w:hAnsi="Times New Roman"/>
                <w:lang w:bidi="ar"/>
              </w:rPr>
            </w:pPr>
            <w:r>
              <w:rPr>
                <w:rFonts w:ascii="Times New Roman" w:hAnsi="Times New Roman"/>
              </w:rPr>
              <w:t>8.38</w:t>
            </w:r>
          </w:p>
        </w:tc>
        <w:tc>
          <w:tcPr>
            <w:tcW w:w="910" w:type="dxa"/>
            <w:vAlign w:val="center"/>
          </w:tcPr>
          <w:p>
            <w:pPr>
              <w:widowControl/>
              <w:jc w:val="center"/>
              <w:textAlignment w:val="bottom"/>
              <w:rPr>
                <w:rFonts w:ascii="Times New Roman" w:hAnsi="Times New Roman"/>
                <w:lang w:bidi="ar"/>
              </w:rPr>
            </w:pPr>
            <w:r>
              <w:rPr>
                <w:rFonts w:ascii="Times New Roman" w:hAnsi="Times New Roman"/>
              </w:rPr>
              <w:t>21.4</w:t>
            </w:r>
          </w:p>
        </w:tc>
        <w:tc>
          <w:tcPr>
            <w:tcW w:w="910" w:type="dxa"/>
            <w:vAlign w:val="bottom"/>
          </w:tcPr>
          <w:p>
            <w:pPr>
              <w:widowControl/>
              <w:jc w:val="center"/>
              <w:textAlignment w:val="bottom"/>
              <w:rPr>
                <w:rFonts w:ascii="Times New Roman" w:hAnsi="Times New Roman"/>
                <w:lang w:bidi="ar"/>
              </w:rPr>
            </w:pPr>
            <w:r>
              <w:rPr>
                <w:rFonts w:ascii="Times New Roman" w:hAnsi="Times New Roman"/>
              </w:rPr>
              <w:t>105.44</w:t>
            </w:r>
          </w:p>
        </w:tc>
        <w:tc>
          <w:tcPr>
            <w:tcW w:w="1981" w:type="dxa"/>
            <w:vMerge w:val="restart"/>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HCO</w:t>
            </w:r>
            <w:r>
              <w:rPr>
                <w:rFonts w:ascii="Times New Roman" w:hAnsi="Times New Roman"/>
                <w:snapToGrid w:val="0"/>
                <w:spacing w:val="16"/>
                <w:vertAlign w:val="subscript"/>
              </w:rPr>
              <w:t>3</w:t>
            </w:r>
            <w:r>
              <w:rPr>
                <w:rFonts w:ascii="Times New Roman" w:hAnsi="Times New Roman"/>
                <w:snapToGrid w:val="0"/>
                <w:spacing w:val="16"/>
                <w:vertAlign w:val="superscript"/>
              </w:rPr>
              <w:t>-</w:t>
            </w:r>
            <w:r>
              <w:rPr>
                <w:rFonts w:ascii="Times New Roman" w:hAnsi="Times New Roman"/>
              </w:rPr>
              <w:t>—</w:t>
            </w:r>
            <w:r>
              <w:rPr>
                <w:rFonts w:ascii="Times New Roman" w:hAnsi="Times New Roman"/>
                <w:snapToGrid w:val="0"/>
                <w:spacing w:val="16"/>
              </w:rPr>
              <w:t>Ca</w:t>
            </w:r>
            <w:r>
              <w:rPr>
                <w:rFonts w:ascii="Times New Roman" w:hAnsi="Times New Roman"/>
                <w:snapToGrid w:val="0"/>
                <w:spacing w:val="16"/>
                <w:vertAlign w:val="superscript"/>
              </w:rPr>
              <w:t>2+</w:t>
            </w:r>
            <w:r>
              <w:rPr>
                <w:rFonts w:ascii="Times New Roman" w:hAnsi="Times New Roman"/>
                <w:snapToGrid w:val="0"/>
                <w:spacing w:val="16"/>
              </w:rPr>
              <w:t>，Mg</w:t>
            </w:r>
            <w:r>
              <w:rPr>
                <w:rFonts w:ascii="Times New Roman" w:hAnsi="Times New Roman"/>
                <w:snapToGrid w:val="0"/>
                <w:spacing w:val="16"/>
                <w:vertAlign w:val="superscript"/>
              </w:rPr>
              <w:t>2+</w:t>
            </w:r>
          </w:p>
        </w:tc>
        <w:tc>
          <w:tcPr>
            <w:tcW w:w="1055" w:type="dxa"/>
            <w:vMerge w:val="restart"/>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-3.46</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8" w:type="dxa"/>
            <w:bottom w:w="0" w:type="dxa"/>
            <w:right w:w="28" w:type="dxa"/>
          </w:tblCellMar>
        </w:tblPrEx>
        <w:trPr>
          <w:trHeight w:val="20" w:hRule="atLeast"/>
          <w:jc w:val="center"/>
        </w:trPr>
        <w:tc>
          <w:tcPr>
            <w:tcW w:w="910" w:type="dxa"/>
            <w:vMerge w:val="continue"/>
            <w:vAlign w:val="center"/>
          </w:tcPr>
          <w:p>
            <w:pPr>
              <w:autoSpaceDE w:val="0"/>
              <w:autoSpaceDN w:val="0"/>
              <w:jc w:val="center"/>
              <w:textAlignment w:val="bottom"/>
              <w:rPr>
                <w:rFonts w:ascii="Times New Roman" w:hAnsi="Times New Roman"/>
                <w:snapToGrid w:val="0"/>
                <w:spacing w:val="16"/>
              </w:rPr>
            </w:pPr>
          </w:p>
        </w:tc>
        <w:tc>
          <w:tcPr>
            <w:tcW w:w="911" w:type="dxa"/>
            <w:vAlign w:val="bottom"/>
          </w:tcPr>
          <w:p>
            <w:pPr>
              <w:autoSpaceDE w:val="0"/>
              <w:autoSpaceDN w:val="0"/>
              <w:jc w:val="center"/>
              <w:textAlignment w:val="bottom"/>
              <w:rPr>
                <w:rFonts w:ascii="Times New Roman" w:hAnsi="Times New Roman"/>
                <w:snapToGrid w:val="0"/>
                <w:spacing w:val="16"/>
              </w:rPr>
            </w:pPr>
            <w:r>
              <w:rPr>
                <w:rFonts w:ascii="Times New Roman" w:hAnsi="Times New Roman"/>
              </w:rPr>
              <w:t>meq/l</w:t>
            </w:r>
          </w:p>
        </w:tc>
        <w:tc>
          <w:tcPr>
            <w:tcW w:w="911" w:type="dxa"/>
            <w:vAlign w:val="bottom"/>
          </w:tcPr>
          <w:p>
            <w:pPr>
              <w:widowControl/>
              <w:jc w:val="center"/>
              <w:textAlignment w:val="bottom"/>
              <w:rPr>
                <w:rFonts w:ascii="Times New Roman" w:hAnsi="Times New Roman"/>
                <w:lang w:bidi="ar"/>
              </w:rPr>
            </w:pPr>
            <w:r>
              <w:rPr>
                <w:rFonts w:ascii="Times New Roman" w:hAnsi="Times New Roman"/>
              </w:rPr>
              <w:t>0.05</w:t>
            </w:r>
          </w:p>
        </w:tc>
        <w:tc>
          <w:tcPr>
            <w:tcW w:w="910" w:type="dxa"/>
            <w:vAlign w:val="bottom"/>
          </w:tcPr>
          <w:p>
            <w:pPr>
              <w:widowControl/>
              <w:jc w:val="center"/>
              <w:textAlignment w:val="bottom"/>
              <w:rPr>
                <w:rFonts w:ascii="Times New Roman" w:hAnsi="Times New Roman"/>
                <w:lang w:bidi="ar"/>
              </w:rPr>
            </w:pPr>
            <w:r>
              <w:rPr>
                <w:rFonts w:ascii="Times New Roman" w:hAnsi="Times New Roman"/>
              </w:rPr>
              <w:t>0.42</w:t>
            </w:r>
          </w:p>
        </w:tc>
        <w:tc>
          <w:tcPr>
            <w:tcW w:w="910" w:type="dxa"/>
            <w:vAlign w:val="bottom"/>
          </w:tcPr>
          <w:p>
            <w:pPr>
              <w:widowControl/>
              <w:jc w:val="center"/>
              <w:textAlignment w:val="bottom"/>
              <w:rPr>
                <w:rFonts w:ascii="Times New Roman" w:hAnsi="Times New Roman"/>
                <w:lang w:bidi="ar"/>
              </w:rPr>
            </w:pPr>
            <w:r>
              <w:rPr>
                <w:rFonts w:ascii="Times New Roman" w:hAnsi="Times New Roman"/>
              </w:rPr>
              <w:t>0.57</w:t>
            </w:r>
          </w:p>
        </w:tc>
        <w:tc>
          <w:tcPr>
            <w:tcW w:w="910" w:type="dxa"/>
            <w:vAlign w:val="bottom"/>
          </w:tcPr>
          <w:p>
            <w:pPr>
              <w:widowControl/>
              <w:jc w:val="center"/>
              <w:textAlignment w:val="bottom"/>
              <w:rPr>
                <w:rFonts w:ascii="Times New Roman" w:hAnsi="Times New Roman"/>
                <w:lang w:bidi="ar"/>
              </w:rPr>
            </w:pPr>
            <w:r>
              <w:rPr>
                <w:rFonts w:ascii="Times New Roman" w:hAnsi="Times New Roman"/>
              </w:rPr>
              <w:t>0.75</w:t>
            </w:r>
          </w:p>
        </w:tc>
        <w:tc>
          <w:tcPr>
            <w:tcW w:w="910" w:type="dxa"/>
            <w:vAlign w:val="bottom"/>
          </w:tcPr>
          <w:p>
            <w:pPr>
              <w:widowControl/>
              <w:jc w:val="center"/>
              <w:textAlignment w:val="bottom"/>
              <w:rPr>
                <w:rFonts w:ascii="Times New Roman" w:hAnsi="Times New Roman"/>
                <w:lang w:bidi="ar"/>
              </w:rPr>
            </w:pPr>
            <w:r>
              <w:rPr>
                <w:rFonts w:ascii="Times New Roman" w:hAnsi="Times New Roman"/>
              </w:rPr>
              <w:t>1.79</w:t>
            </w:r>
          </w:p>
        </w:tc>
        <w:tc>
          <w:tcPr>
            <w:tcW w:w="910" w:type="dxa"/>
            <w:vAlign w:val="bottom"/>
          </w:tcPr>
          <w:p>
            <w:pPr>
              <w:widowControl/>
              <w:jc w:val="center"/>
              <w:textAlignment w:val="bottom"/>
              <w:rPr>
                <w:rFonts w:ascii="Times New Roman" w:hAnsi="Times New Roman"/>
                <w:lang w:bidi="ar"/>
              </w:rPr>
            </w:pPr>
            <w:r>
              <w:rPr>
                <w:rFonts w:ascii="Times New Roman" w:hAnsi="Times New Roman"/>
              </w:rPr>
              <w:t>0.00</w:t>
            </w:r>
          </w:p>
        </w:tc>
        <w:tc>
          <w:tcPr>
            <w:tcW w:w="910" w:type="dxa"/>
            <w:vAlign w:val="bottom"/>
          </w:tcPr>
          <w:p>
            <w:pPr>
              <w:widowControl/>
              <w:jc w:val="center"/>
              <w:textAlignment w:val="bottom"/>
              <w:rPr>
                <w:rFonts w:ascii="Times New Roman" w:hAnsi="Times New Roman"/>
                <w:lang w:bidi="ar"/>
              </w:rPr>
            </w:pPr>
            <w:r>
              <w:rPr>
                <w:rFonts w:ascii="Times New Roman" w:hAnsi="Times New Roman"/>
              </w:rPr>
              <w:t>1.24</w:t>
            </w:r>
          </w:p>
        </w:tc>
        <w:tc>
          <w:tcPr>
            <w:tcW w:w="910" w:type="dxa"/>
            <w:vAlign w:val="bottom"/>
          </w:tcPr>
          <w:p>
            <w:pPr>
              <w:widowControl/>
              <w:jc w:val="center"/>
              <w:textAlignment w:val="bottom"/>
              <w:rPr>
                <w:rFonts w:ascii="Times New Roman" w:hAnsi="Times New Roman"/>
                <w:lang w:bidi="ar"/>
              </w:rPr>
            </w:pPr>
            <w:r>
              <w:rPr>
                <w:rFonts w:ascii="Times New Roman" w:hAnsi="Times New Roman"/>
              </w:rPr>
              <w:t>0.24</w:t>
            </w:r>
          </w:p>
        </w:tc>
        <w:tc>
          <w:tcPr>
            <w:tcW w:w="910" w:type="dxa"/>
            <w:vAlign w:val="bottom"/>
          </w:tcPr>
          <w:p>
            <w:pPr>
              <w:widowControl/>
              <w:jc w:val="center"/>
              <w:textAlignment w:val="bottom"/>
              <w:rPr>
                <w:rFonts w:ascii="Times New Roman" w:hAnsi="Times New Roman"/>
                <w:lang w:bidi="ar"/>
              </w:rPr>
            </w:pPr>
            <w:r>
              <w:rPr>
                <w:rFonts w:ascii="Times New Roman" w:hAnsi="Times New Roman"/>
              </w:rPr>
              <w:t>0.45</w:t>
            </w:r>
          </w:p>
        </w:tc>
        <w:tc>
          <w:tcPr>
            <w:tcW w:w="910" w:type="dxa"/>
            <w:vAlign w:val="bottom"/>
          </w:tcPr>
          <w:p>
            <w:pPr>
              <w:widowControl/>
              <w:jc w:val="center"/>
              <w:textAlignment w:val="bottom"/>
              <w:rPr>
                <w:rFonts w:ascii="Times New Roman" w:hAnsi="Times New Roman"/>
                <w:lang w:bidi="ar"/>
              </w:rPr>
            </w:pPr>
            <w:r>
              <w:rPr>
                <w:rFonts w:ascii="Times New Roman" w:hAnsi="Times New Roman"/>
              </w:rPr>
              <w:t>1.92</w:t>
            </w:r>
          </w:p>
        </w:tc>
        <w:tc>
          <w:tcPr>
            <w:tcW w:w="1981" w:type="dxa"/>
            <w:vMerge w:val="continue"/>
            <w:vAlign w:val="center"/>
          </w:tcPr>
          <w:p>
            <w:pPr>
              <w:autoSpaceDE w:val="0"/>
              <w:autoSpaceDN w:val="0"/>
              <w:jc w:val="center"/>
              <w:textAlignment w:val="bottom"/>
              <w:rPr>
                <w:rFonts w:ascii="Times New Roman" w:hAnsi="Times New Roman"/>
                <w:snapToGrid w:val="0"/>
                <w:spacing w:val="16"/>
              </w:rPr>
            </w:pPr>
          </w:p>
        </w:tc>
        <w:tc>
          <w:tcPr>
            <w:tcW w:w="1055" w:type="dxa"/>
            <w:vMerge w:val="continue"/>
            <w:vAlign w:val="center"/>
          </w:tcPr>
          <w:p>
            <w:pPr>
              <w:autoSpaceDE w:val="0"/>
              <w:autoSpaceDN w:val="0"/>
              <w:jc w:val="center"/>
              <w:textAlignment w:val="bottom"/>
              <w:rPr>
                <w:rFonts w:ascii="Times New Roman" w:hAnsi="Times New Roman"/>
                <w:snapToGrid w:val="0"/>
                <w:spacing w:val="16"/>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8" w:type="dxa"/>
            <w:bottom w:w="0" w:type="dxa"/>
            <w:right w:w="28" w:type="dxa"/>
          </w:tblCellMar>
        </w:tblPrEx>
        <w:trPr>
          <w:trHeight w:val="20" w:hRule="atLeast"/>
          <w:jc w:val="center"/>
        </w:trPr>
        <w:tc>
          <w:tcPr>
            <w:tcW w:w="910" w:type="dxa"/>
            <w:vMerge w:val="continue"/>
            <w:vAlign w:val="center"/>
          </w:tcPr>
          <w:p>
            <w:pPr>
              <w:autoSpaceDE w:val="0"/>
              <w:autoSpaceDN w:val="0"/>
              <w:jc w:val="center"/>
              <w:textAlignment w:val="bottom"/>
              <w:rPr>
                <w:rFonts w:ascii="Times New Roman" w:hAnsi="Times New Roman"/>
                <w:snapToGrid w:val="0"/>
                <w:spacing w:val="16"/>
              </w:rPr>
            </w:pPr>
          </w:p>
        </w:tc>
        <w:tc>
          <w:tcPr>
            <w:tcW w:w="911" w:type="dxa"/>
            <w:vAlign w:val="bottom"/>
          </w:tcPr>
          <w:p>
            <w:pPr>
              <w:autoSpaceDE w:val="0"/>
              <w:autoSpaceDN w:val="0"/>
              <w:jc w:val="center"/>
              <w:textAlignment w:val="bottom"/>
              <w:rPr>
                <w:rFonts w:ascii="Times New Roman" w:hAnsi="Times New Roman"/>
                <w:snapToGrid w:val="0"/>
                <w:spacing w:val="16"/>
              </w:rPr>
            </w:pPr>
            <w:r>
              <w:rPr>
                <w:rFonts w:ascii="Times New Roman" w:hAnsi="Times New Roman"/>
              </w:rPr>
              <w:t>meq%</w:t>
            </w:r>
          </w:p>
        </w:tc>
        <w:tc>
          <w:tcPr>
            <w:tcW w:w="911" w:type="dxa"/>
            <w:vAlign w:val="bottom"/>
          </w:tcPr>
          <w:p>
            <w:pPr>
              <w:widowControl/>
              <w:jc w:val="center"/>
              <w:textAlignment w:val="bottom"/>
              <w:rPr>
                <w:rFonts w:ascii="Times New Roman" w:hAnsi="Times New Roman"/>
                <w:lang w:bidi="ar"/>
              </w:rPr>
            </w:pPr>
            <w:r>
              <w:rPr>
                <w:rFonts w:ascii="Times New Roman" w:hAnsi="Times New Roman"/>
              </w:rPr>
              <w:t>3.07</w:t>
            </w:r>
          </w:p>
        </w:tc>
        <w:tc>
          <w:tcPr>
            <w:tcW w:w="910" w:type="dxa"/>
            <w:vAlign w:val="bottom"/>
          </w:tcPr>
          <w:p>
            <w:pPr>
              <w:widowControl/>
              <w:jc w:val="center"/>
              <w:textAlignment w:val="bottom"/>
              <w:rPr>
                <w:rFonts w:ascii="Times New Roman" w:hAnsi="Times New Roman"/>
                <w:lang w:bidi="ar"/>
              </w:rPr>
            </w:pPr>
            <w:r>
              <w:rPr>
                <w:rFonts w:ascii="Times New Roman" w:hAnsi="Times New Roman"/>
              </w:rPr>
              <w:t>23.63</w:t>
            </w:r>
          </w:p>
        </w:tc>
        <w:tc>
          <w:tcPr>
            <w:tcW w:w="910" w:type="dxa"/>
            <w:vAlign w:val="bottom"/>
          </w:tcPr>
          <w:p>
            <w:pPr>
              <w:widowControl/>
              <w:jc w:val="center"/>
              <w:textAlignment w:val="bottom"/>
              <w:rPr>
                <w:rFonts w:ascii="Times New Roman" w:hAnsi="Times New Roman"/>
                <w:lang w:bidi="ar"/>
              </w:rPr>
            </w:pPr>
            <w:r>
              <w:rPr>
                <w:rFonts w:ascii="Times New Roman" w:hAnsi="Times New Roman"/>
              </w:rPr>
              <w:t>31.50</w:t>
            </w:r>
          </w:p>
        </w:tc>
        <w:tc>
          <w:tcPr>
            <w:tcW w:w="910" w:type="dxa"/>
            <w:vAlign w:val="bottom"/>
          </w:tcPr>
          <w:p>
            <w:pPr>
              <w:widowControl/>
              <w:jc w:val="center"/>
              <w:textAlignment w:val="bottom"/>
              <w:rPr>
                <w:rFonts w:ascii="Times New Roman" w:hAnsi="Times New Roman"/>
                <w:lang w:bidi="ar"/>
              </w:rPr>
            </w:pPr>
            <w:r>
              <w:rPr>
                <w:rFonts w:ascii="Times New Roman" w:hAnsi="Times New Roman"/>
              </w:rPr>
              <w:t>41.80</w:t>
            </w:r>
          </w:p>
        </w:tc>
        <w:tc>
          <w:tcPr>
            <w:tcW w:w="910" w:type="dxa"/>
            <w:vAlign w:val="bottom"/>
          </w:tcPr>
          <w:p>
            <w:pPr>
              <w:widowControl/>
              <w:jc w:val="center"/>
              <w:textAlignment w:val="bottom"/>
              <w:rPr>
                <w:rFonts w:ascii="Times New Roman" w:hAnsi="Times New Roman"/>
                <w:lang w:bidi="ar"/>
              </w:rPr>
            </w:pPr>
            <w:r>
              <w:rPr>
                <w:rFonts w:ascii="Times New Roman" w:hAnsi="Times New Roman"/>
              </w:rPr>
              <w:t>100.00</w:t>
            </w:r>
          </w:p>
        </w:tc>
        <w:tc>
          <w:tcPr>
            <w:tcW w:w="910" w:type="dxa"/>
            <w:vAlign w:val="bottom"/>
          </w:tcPr>
          <w:p>
            <w:pPr>
              <w:widowControl/>
              <w:jc w:val="center"/>
              <w:textAlignment w:val="bottom"/>
              <w:rPr>
                <w:rFonts w:ascii="Times New Roman" w:hAnsi="Times New Roman"/>
                <w:lang w:bidi="ar"/>
              </w:rPr>
            </w:pPr>
            <w:r>
              <w:rPr>
                <w:rFonts w:ascii="Times New Roman" w:hAnsi="Times New Roman"/>
              </w:rPr>
              <w:t>0.00</w:t>
            </w:r>
          </w:p>
        </w:tc>
        <w:tc>
          <w:tcPr>
            <w:tcW w:w="910" w:type="dxa"/>
            <w:vAlign w:val="bottom"/>
          </w:tcPr>
          <w:p>
            <w:pPr>
              <w:widowControl/>
              <w:jc w:val="center"/>
              <w:textAlignment w:val="bottom"/>
              <w:rPr>
                <w:rFonts w:ascii="Times New Roman" w:hAnsi="Times New Roman"/>
                <w:lang w:bidi="ar"/>
              </w:rPr>
            </w:pPr>
            <w:r>
              <w:rPr>
                <w:rFonts w:ascii="Times New Roman" w:hAnsi="Times New Roman"/>
              </w:rPr>
              <w:t>64.53</w:t>
            </w:r>
          </w:p>
        </w:tc>
        <w:tc>
          <w:tcPr>
            <w:tcW w:w="910" w:type="dxa"/>
            <w:vAlign w:val="bottom"/>
          </w:tcPr>
          <w:p>
            <w:pPr>
              <w:widowControl/>
              <w:jc w:val="center"/>
              <w:textAlignment w:val="bottom"/>
              <w:rPr>
                <w:rFonts w:ascii="Times New Roman" w:hAnsi="Times New Roman"/>
                <w:lang w:bidi="ar"/>
              </w:rPr>
            </w:pPr>
            <w:r>
              <w:rPr>
                <w:rFonts w:ascii="Times New Roman" w:hAnsi="Times New Roman"/>
              </w:rPr>
              <w:t>12.28</w:t>
            </w:r>
          </w:p>
        </w:tc>
        <w:tc>
          <w:tcPr>
            <w:tcW w:w="910" w:type="dxa"/>
            <w:vAlign w:val="bottom"/>
          </w:tcPr>
          <w:p>
            <w:pPr>
              <w:widowControl/>
              <w:jc w:val="center"/>
              <w:textAlignment w:val="bottom"/>
              <w:rPr>
                <w:rFonts w:ascii="Times New Roman" w:hAnsi="Times New Roman"/>
                <w:lang w:bidi="ar"/>
              </w:rPr>
            </w:pPr>
            <w:r>
              <w:rPr>
                <w:rFonts w:ascii="Times New Roman" w:hAnsi="Times New Roman"/>
              </w:rPr>
              <w:t>23.19</w:t>
            </w:r>
          </w:p>
        </w:tc>
        <w:tc>
          <w:tcPr>
            <w:tcW w:w="910" w:type="dxa"/>
            <w:vAlign w:val="bottom"/>
          </w:tcPr>
          <w:p>
            <w:pPr>
              <w:widowControl/>
              <w:jc w:val="center"/>
              <w:textAlignment w:val="bottom"/>
              <w:rPr>
                <w:rFonts w:ascii="Times New Roman" w:hAnsi="Times New Roman"/>
                <w:lang w:bidi="ar"/>
              </w:rPr>
            </w:pPr>
            <w:r>
              <w:rPr>
                <w:rFonts w:ascii="Times New Roman" w:hAnsi="Times New Roman"/>
              </w:rPr>
              <w:t>100.00</w:t>
            </w:r>
          </w:p>
        </w:tc>
        <w:tc>
          <w:tcPr>
            <w:tcW w:w="1981" w:type="dxa"/>
            <w:vMerge w:val="continue"/>
            <w:vAlign w:val="center"/>
          </w:tcPr>
          <w:p>
            <w:pPr>
              <w:autoSpaceDE w:val="0"/>
              <w:autoSpaceDN w:val="0"/>
              <w:jc w:val="center"/>
              <w:textAlignment w:val="bottom"/>
              <w:rPr>
                <w:rFonts w:ascii="Times New Roman" w:hAnsi="Times New Roman"/>
                <w:snapToGrid w:val="0"/>
                <w:spacing w:val="16"/>
              </w:rPr>
            </w:pPr>
          </w:p>
        </w:tc>
        <w:tc>
          <w:tcPr>
            <w:tcW w:w="1055" w:type="dxa"/>
            <w:vMerge w:val="continue"/>
            <w:vAlign w:val="center"/>
          </w:tcPr>
          <w:p>
            <w:pPr>
              <w:autoSpaceDE w:val="0"/>
              <w:autoSpaceDN w:val="0"/>
              <w:jc w:val="center"/>
              <w:textAlignment w:val="bottom"/>
              <w:rPr>
                <w:rFonts w:ascii="Times New Roman" w:hAnsi="Times New Roman"/>
                <w:snapToGrid w:val="0"/>
                <w:spacing w:val="16"/>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8" w:type="dxa"/>
            <w:bottom w:w="0" w:type="dxa"/>
            <w:right w:w="28" w:type="dxa"/>
          </w:tblCellMar>
        </w:tblPrEx>
        <w:trPr>
          <w:trHeight w:val="20" w:hRule="atLeast"/>
          <w:jc w:val="center"/>
        </w:trPr>
        <w:tc>
          <w:tcPr>
            <w:tcW w:w="910" w:type="dxa"/>
            <w:vMerge w:val="restart"/>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3#</w:t>
            </w:r>
          </w:p>
        </w:tc>
        <w:tc>
          <w:tcPr>
            <w:tcW w:w="911"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mg/l</w:t>
            </w:r>
          </w:p>
        </w:tc>
        <w:tc>
          <w:tcPr>
            <w:tcW w:w="911" w:type="dxa"/>
            <w:vAlign w:val="center"/>
          </w:tcPr>
          <w:p>
            <w:pPr>
              <w:widowControl/>
              <w:jc w:val="center"/>
              <w:textAlignment w:val="bottom"/>
              <w:rPr>
                <w:rFonts w:ascii="Times New Roman" w:hAnsi="Times New Roman"/>
                <w:lang w:bidi="ar"/>
              </w:rPr>
            </w:pPr>
            <w:r>
              <w:rPr>
                <w:rFonts w:ascii="Times New Roman" w:hAnsi="Times New Roman"/>
              </w:rPr>
              <w:t>2.91</w:t>
            </w:r>
          </w:p>
        </w:tc>
        <w:tc>
          <w:tcPr>
            <w:tcW w:w="910" w:type="dxa"/>
            <w:vAlign w:val="center"/>
          </w:tcPr>
          <w:p>
            <w:pPr>
              <w:widowControl/>
              <w:jc w:val="center"/>
              <w:textAlignment w:val="bottom"/>
              <w:rPr>
                <w:rFonts w:ascii="Times New Roman" w:hAnsi="Times New Roman"/>
                <w:lang w:bidi="ar"/>
              </w:rPr>
            </w:pPr>
            <w:r>
              <w:rPr>
                <w:rFonts w:ascii="Times New Roman" w:hAnsi="Times New Roman"/>
              </w:rPr>
              <w:t>10.3</w:t>
            </w:r>
          </w:p>
        </w:tc>
        <w:tc>
          <w:tcPr>
            <w:tcW w:w="910" w:type="dxa"/>
            <w:vAlign w:val="center"/>
          </w:tcPr>
          <w:p>
            <w:pPr>
              <w:widowControl/>
              <w:jc w:val="center"/>
              <w:textAlignment w:val="bottom"/>
              <w:rPr>
                <w:rFonts w:ascii="Times New Roman" w:hAnsi="Times New Roman"/>
                <w:lang w:bidi="ar"/>
              </w:rPr>
            </w:pPr>
            <w:r>
              <w:rPr>
                <w:rFonts w:ascii="Times New Roman" w:hAnsi="Times New Roman"/>
              </w:rPr>
              <w:t>9.36</w:t>
            </w:r>
          </w:p>
        </w:tc>
        <w:tc>
          <w:tcPr>
            <w:tcW w:w="910" w:type="dxa"/>
            <w:vAlign w:val="center"/>
          </w:tcPr>
          <w:p>
            <w:pPr>
              <w:widowControl/>
              <w:jc w:val="center"/>
              <w:textAlignment w:val="bottom"/>
              <w:rPr>
                <w:rFonts w:ascii="Times New Roman" w:hAnsi="Times New Roman"/>
                <w:lang w:bidi="ar"/>
              </w:rPr>
            </w:pPr>
            <w:r>
              <w:rPr>
                <w:rFonts w:ascii="Times New Roman" w:hAnsi="Times New Roman"/>
              </w:rPr>
              <w:t>12.3</w:t>
            </w:r>
          </w:p>
        </w:tc>
        <w:tc>
          <w:tcPr>
            <w:tcW w:w="910" w:type="dxa"/>
            <w:vAlign w:val="bottom"/>
          </w:tcPr>
          <w:p>
            <w:pPr>
              <w:widowControl/>
              <w:jc w:val="center"/>
              <w:textAlignment w:val="bottom"/>
              <w:rPr>
                <w:rFonts w:ascii="Times New Roman" w:hAnsi="Times New Roman"/>
                <w:lang w:bidi="ar"/>
              </w:rPr>
            </w:pPr>
            <w:r>
              <w:rPr>
                <w:rFonts w:ascii="Times New Roman" w:hAnsi="Times New Roman"/>
              </w:rPr>
              <w:t>34.87</w:t>
            </w:r>
          </w:p>
        </w:tc>
        <w:tc>
          <w:tcPr>
            <w:tcW w:w="910" w:type="dxa"/>
            <w:vAlign w:val="center"/>
          </w:tcPr>
          <w:p>
            <w:pPr>
              <w:widowControl/>
              <w:jc w:val="center"/>
              <w:textAlignment w:val="bottom"/>
              <w:rPr>
                <w:rFonts w:ascii="Times New Roman" w:hAnsi="Times New Roman"/>
                <w:lang w:bidi="ar"/>
              </w:rPr>
            </w:pPr>
            <w:r>
              <w:rPr>
                <w:rFonts w:ascii="Times New Roman" w:hAnsi="Times New Roman"/>
              </w:rPr>
              <w:t>0</w:t>
            </w:r>
          </w:p>
        </w:tc>
        <w:tc>
          <w:tcPr>
            <w:tcW w:w="910" w:type="dxa"/>
            <w:vAlign w:val="center"/>
          </w:tcPr>
          <w:p>
            <w:pPr>
              <w:widowControl/>
              <w:jc w:val="center"/>
              <w:textAlignment w:val="bottom"/>
              <w:rPr>
                <w:rFonts w:ascii="Times New Roman" w:hAnsi="Times New Roman"/>
                <w:lang w:bidi="ar"/>
              </w:rPr>
            </w:pPr>
            <w:r>
              <w:rPr>
                <w:rFonts w:ascii="Times New Roman" w:hAnsi="Times New Roman"/>
              </w:rPr>
              <w:t>95.81</w:t>
            </w:r>
          </w:p>
        </w:tc>
        <w:tc>
          <w:tcPr>
            <w:tcW w:w="910" w:type="dxa"/>
            <w:vAlign w:val="center"/>
          </w:tcPr>
          <w:p>
            <w:pPr>
              <w:widowControl/>
              <w:jc w:val="center"/>
              <w:textAlignment w:val="bottom"/>
              <w:rPr>
                <w:rFonts w:ascii="Times New Roman" w:hAnsi="Times New Roman"/>
                <w:lang w:bidi="ar"/>
              </w:rPr>
            </w:pPr>
            <w:r>
              <w:rPr>
                <w:rFonts w:ascii="Times New Roman" w:hAnsi="Times New Roman"/>
              </w:rPr>
              <w:t>7.66</w:t>
            </w:r>
          </w:p>
        </w:tc>
        <w:tc>
          <w:tcPr>
            <w:tcW w:w="910" w:type="dxa"/>
            <w:vAlign w:val="center"/>
          </w:tcPr>
          <w:p>
            <w:pPr>
              <w:widowControl/>
              <w:jc w:val="center"/>
              <w:textAlignment w:val="bottom"/>
              <w:rPr>
                <w:rFonts w:ascii="Times New Roman" w:hAnsi="Times New Roman"/>
                <w:lang w:bidi="ar"/>
              </w:rPr>
            </w:pPr>
            <w:r>
              <w:rPr>
                <w:rFonts w:ascii="Times New Roman" w:hAnsi="Times New Roman"/>
              </w:rPr>
              <w:t>14.9</w:t>
            </w:r>
          </w:p>
        </w:tc>
        <w:tc>
          <w:tcPr>
            <w:tcW w:w="910" w:type="dxa"/>
            <w:vAlign w:val="bottom"/>
          </w:tcPr>
          <w:p>
            <w:pPr>
              <w:widowControl/>
              <w:jc w:val="center"/>
              <w:textAlignment w:val="bottom"/>
              <w:rPr>
                <w:rFonts w:ascii="Times New Roman" w:hAnsi="Times New Roman"/>
                <w:lang w:bidi="ar"/>
              </w:rPr>
            </w:pPr>
            <w:r>
              <w:rPr>
                <w:rFonts w:ascii="Times New Roman" w:hAnsi="Times New Roman"/>
              </w:rPr>
              <w:t>118.37</w:t>
            </w:r>
          </w:p>
        </w:tc>
        <w:tc>
          <w:tcPr>
            <w:tcW w:w="1981" w:type="dxa"/>
            <w:vMerge w:val="restart"/>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HCO</w:t>
            </w:r>
            <w:r>
              <w:rPr>
                <w:rFonts w:ascii="Times New Roman" w:hAnsi="Times New Roman"/>
                <w:snapToGrid w:val="0"/>
                <w:spacing w:val="16"/>
                <w:vertAlign w:val="subscript"/>
              </w:rPr>
              <w:t>3</w:t>
            </w:r>
            <w:r>
              <w:rPr>
                <w:rFonts w:ascii="Times New Roman" w:hAnsi="Times New Roman"/>
                <w:snapToGrid w:val="0"/>
                <w:spacing w:val="16"/>
                <w:vertAlign w:val="superscript"/>
              </w:rPr>
              <w:t>-</w:t>
            </w:r>
            <w:r>
              <w:rPr>
                <w:rFonts w:ascii="Times New Roman" w:hAnsi="Times New Roman"/>
              </w:rPr>
              <w:t>—</w:t>
            </w:r>
            <w:r>
              <w:rPr>
                <w:rFonts w:ascii="Times New Roman" w:hAnsi="Times New Roman"/>
                <w:snapToGrid w:val="0"/>
                <w:spacing w:val="16"/>
              </w:rPr>
              <w:t>Ca</w:t>
            </w:r>
            <w:r>
              <w:rPr>
                <w:rFonts w:ascii="Times New Roman" w:hAnsi="Times New Roman"/>
                <w:snapToGrid w:val="0"/>
                <w:spacing w:val="16"/>
                <w:vertAlign w:val="superscript"/>
              </w:rPr>
              <w:t>2+</w:t>
            </w:r>
            <w:r>
              <w:rPr>
                <w:rFonts w:ascii="Times New Roman" w:hAnsi="Times New Roman"/>
                <w:snapToGrid w:val="0"/>
                <w:spacing w:val="16"/>
              </w:rPr>
              <w:t>，Mg</w:t>
            </w:r>
            <w:r>
              <w:rPr>
                <w:rFonts w:ascii="Times New Roman" w:hAnsi="Times New Roman"/>
                <w:snapToGrid w:val="0"/>
                <w:spacing w:val="16"/>
                <w:vertAlign w:val="superscript"/>
              </w:rPr>
              <w:t>2+</w:t>
            </w:r>
          </w:p>
        </w:tc>
        <w:tc>
          <w:tcPr>
            <w:tcW w:w="1055" w:type="dxa"/>
            <w:vMerge w:val="restart"/>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-2.30</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8" w:type="dxa"/>
            <w:bottom w:w="0" w:type="dxa"/>
            <w:right w:w="28" w:type="dxa"/>
          </w:tblCellMar>
        </w:tblPrEx>
        <w:trPr>
          <w:trHeight w:val="20" w:hRule="atLeast"/>
          <w:jc w:val="center"/>
        </w:trPr>
        <w:tc>
          <w:tcPr>
            <w:tcW w:w="910" w:type="dxa"/>
            <w:vMerge w:val="continue"/>
            <w:vAlign w:val="center"/>
          </w:tcPr>
          <w:p>
            <w:pPr>
              <w:autoSpaceDE w:val="0"/>
              <w:autoSpaceDN w:val="0"/>
              <w:jc w:val="center"/>
              <w:textAlignment w:val="bottom"/>
              <w:rPr>
                <w:rFonts w:ascii="Times New Roman" w:hAnsi="Times New Roman"/>
                <w:snapToGrid w:val="0"/>
                <w:spacing w:val="16"/>
              </w:rPr>
            </w:pPr>
          </w:p>
        </w:tc>
        <w:tc>
          <w:tcPr>
            <w:tcW w:w="911"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meq/l</w:t>
            </w:r>
          </w:p>
        </w:tc>
        <w:tc>
          <w:tcPr>
            <w:tcW w:w="911" w:type="dxa"/>
            <w:vAlign w:val="bottom"/>
          </w:tcPr>
          <w:p>
            <w:pPr>
              <w:widowControl/>
              <w:jc w:val="center"/>
              <w:textAlignment w:val="bottom"/>
              <w:rPr>
                <w:rFonts w:ascii="Times New Roman" w:hAnsi="Times New Roman"/>
                <w:lang w:bidi="ar"/>
              </w:rPr>
            </w:pPr>
            <w:r>
              <w:rPr>
                <w:rFonts w:ascii="Times New Roman" w:hAnsi="Times New Roman"/>
              </w:rPr>
              <w:t>0.07</w:t>
            </w:r>
          </w:p>
        </w:tc>
        <w:tc>
          <w:tcPr>
            <w:tcW w:w="910" w:type="dxa"/>
            <w:vAlign w:val="bottom"/>
          </w:tcPr>
          <w:p>
            <w:pPr>
              <w:widowControl/>
              <w:jc w:val="center"/>
              <w:textAlignment w:val="bottom"/>
              <w:rPr>
                <w:rFonts w:ascii="Times New Roman" w:hAnsi="Times New Roman"/>
                <w:lang w:bidi="ar"/>
              </w:rPr>
            </w:pPr>
            <w:r>
              <w:rPr>
                <w:rFonts w:ascii="Times New Roman" w:hAnsi="Times New Roman"/>
              </w:rPr>
              <w:t>0.45</w:t>
            </w:r>
          </w:p>
        </w:tc>
        <w:tc>
          <w:tcPr>
            <w:tcW w:w="910" w:type="dxa"/>
            <w:vAlign w:val="bottom"/>
          </w:tcPr>
          <w:p>
            <w:pPr>
              <w:widowControl/>
              <w:jc w:val="center"/>
              <w:textAlignment w:val="bottom"/>
              <w:rPr>
                <w:rFonts w:ascii="Times New Roman" w:hAnsi="Times New Roman"/>
                <w:lang w:bidi="ar"/>
              </w:rPr>
            </w:pPr>
            <w:r>
              <w:rPr>
                <w:rFonts w:ascii="Times New Roman" w:hAnsi="Times New Roman"/>
              </w:rPr>
              <w:t>0.47</w:t>
            </w:r>
          </w:p>
        </w:tc>
        <w:tc>
          <w:tcPr>
            <w:tcW w:w="910" w:type="dxa"/>
            <w:vAlign w:val="bottom"/>
          </w:tcPr>
          <w:p>
            <w:pPr>
              <w:widowControl/>
              <w:jc w:val="center"/>
              <w:textAlignment w:val="bottom"/>
              <w:rPr>
                <w:rFonts w:ascii="Times New Roman" w:hAnsi="Times New Roman"/>
                <w:lang w:bidi="ar"/>
              </w:rPr>
            </w:pPr>
            <w:r>
              <w:rPr>
                <w:rFonts w:ascii="Times New Roman" w:hAnsi="Times New Roman"/>
              </w:rPr>
              <w:t>1.01</w:t>
            </w:r>
          </w:p>
        </w:tc>
        <w:tc>
          <w:tcPr>
            <w:tcW w:w="910" w:type="dxa"/>
            <w:vAlign w:val="bottom"/>
          </w:tcPr>
          <w:p>
            <w:pPr>
              <w:widowControl/>
              <w:jc w:val="center"/>
              <w:textAlignment w:val="bottom"/>
              <w:rPr>
                <w:rFonts w:ascii="Times New Roman" w:hAnsi="Times New Roman"/>
                <w:lang w:bidi="ar"/>
              </w:rPr>
            </w:pPr>
            <w:r>
              <w:rPr>
                <w:rFonts w:ascii="Times New Roman" w:hAnsi="Times New Roman"/>
              </w:rPr>
              <w:t>2.00</w:t>
            </w:r>
          </w:p>
        </w:tc>
        <w:tc>
          <w:tcPr>
            <w:tcW w:w="910" w:type="dxa"/>
            <w:vAlign w:val="bottom"/>
          </w:tcPr>
          <w:p>
            <w:pPr>
              <w:widowControl/>
              <w:jc w:val="center"/>
              <w:textAlignment w:val="bottom"/>
              <w:rPr>
                <w:rFonts w:ascii="Times New Roman" w:hAnsi="Times New Roman"/>
                <w:lang w:bidi="ar"/>
              </w:rPr>
            </w:pPr>
            <w:r>
              <w:rPr>
                <w:rFonts w:ascii="Times New Roman" w:hAnsi="Times New Roman"/>
              </w:rPr>
              <w:t>0.00</w:t>
            </w:r>
          </w:p>
        </w:tc>
        <w:tc>
          <w:tcPr>
            <w:tcW w:w="910" w:type="dxa"/>
            <w:vAlign w:val="bottom"/>
          </w:tcPr>
          <w:p>
            <w:pPr>
              <w:widowControl/>
              <w:jc w:val="center"/>
              <w:textAlignment w:val="bottom"/>
              <w:rPr>
                <w:rFonts w:ascii="Times New Roman" w:hAnsi="Times New Roman"/>
                <w:lang w:bidi="ar"/>
              </w:rPr>
            </w:pPr>
            <w:r>
              <w:rPr>
                <w:rFonts w:ascii="Times New Roman" w:hAnsi="Times New Roman"/>
              </w:rPr>
              <w:t>1.57</w:t>
            </w:r>
          </w:p>
        </w:tc>
        <w:tc>
          <w:tcPr>
            <w:tcW w:w="910" w:type="dxa"/>
            <w:vAlign w:val="bottom"/>
          </w:tcPr>
          <w:p>
            <w:pPr>
              <w:widowControl/>
              <w:jc w:val="center"/>
              <w:textAlignment w:val="bottom"/>
              <w:rPr>
                <w:rFonts w:ascii="Times New Roman" w:hAnsi="Times New Roman"/>
                <w:lang w:bidi="ar"/>
              </w:rPr>
            </w:pPr>
            <w:r>
              <w:rPr>
                <w:rFonts w:ascii="Times New Roman" w:hAnsi="Times New Roman"/>
              </w:rPr>
              <w:t>0.22</w:t>
            </w:r>
          </w:p>
        </w:tc>
        <w:tc>
          <w:tcPr>
            <w:tcW w:w="910" w:type="dxa"/>
            <w:vAlign w:val="bottom"/>
          </w:tcPr>
          <w:p>
            <w:pPr>
              <w:widowControl/>
              <w:jc w:val="center"/>
              <w:textAlignment w:val="bottom"/>
              <w:rPr>
                <w:rFonts w:ascii="Times New Roman" w:hAnsi="Times New Roman"/>
                <w:lang w:bidi="ar"/>
              </w:rPr>
            </w:pPr>
            <w:r>
              <w:rPr>
                <w:rFonts w:ascii="Times New Roman" w:hAnsi="Times New Roman"/>
              </w:rPr>
              <w:t>0.31</w:t>
            </w:r>
          </w:p>
        </w:tc>
        <w:tc>
          <w:tcPr>
            <w:tcW w:w="910" w:type="dxa"/>
            <w:vAlign w:val="bottom"/>
          </w:tcPr>
          <w:p>
            <w:pPr>
              <w:widowControl/>
              <w:jc w:val="center"/>
              <w:textAlignment w:val="bottom"/>
              <w:rPr>
                <w:rFonts w:ascii="Times New Roman" w:hAnsi="Times New Roman"/>
                <w:lang w:bidi="ar"/>
              </w:rPr>
            </w:pPr>
            <w:r>
              <w:rPr>
                <w:rFonts w:ascii="Times New Roman" w:hAnsi="Times New Roman"/>
              </w:rPr>
              <w:t>2.10</w:t>
            </w:r>
          </w:p>
        </w:tc>
        <w:tc>
          <w:tcPr>
            <w:tcW w:w="1981" w:type="dxa"/>
            <w:vMerge w:val="continue"/>
            <w:vAlign w:val="center"/>
          </w:tcPr>
          <w:p>
            <w:pPr>
              <w:autoSpaceDE w:val="0"/>
              <w:autoSpaceDN w:val="0"/>
              <w:jc w:val="center"/>
              <w:textAlignment w:val="bottom"/>
              <w:rPr>
                <w:rFonts w:ascii="Times New Roman" w:hAnsi="Times New Roman"/>
                <w:snapToGrid w:val="0"/>
                <w:spacing w:val="16"/>
              </w:rPr>
            </w:pPr>
          </w:p>
        </w:tc>
        <w:tc>
          <w:tcPr>
            <w:tcW w:w="1055" w:type="dxa"/>
            <w:vMerge w:val="continue"/>
            <w:vAlign w:val="center"/>
          </w:tcPr>
          <w:p>
            <w:pPr>
              <w:autoSpaceDE w:val="0"/>
              <w:autoSpaceDN w:val="0"/>
              <w:jc w:val="center"/>
              <w:textAlignment w:val="bottom"/>
              <w:rPr>
                <w:rFonts w:ascii="Times New Roman" w:hAnsi="Times New Roman"/>
                <w:snapToGrid w:val="0"/>
                <w:spacing w:val="16"/>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8" w:type="dxa"/>
            <w:bottom w:w="0" w:type="dxa"/>
            <w:right w:w="28" w:type="dxa"/>
          </w:tblCellMar>
        </w:tblPrEx>
        <w:trPr>
          <w:trHeight w:val="20" w:hRule="atLeast"/>
          <w:jc w:val="center"/>
        </w:trPr>
        <w:tc>
          <w:tcPr>
            <w:tcW w:w="910" w:type="dxa"/>
            <w:vMerge w:val="continue"/>
            <w:vAlign w:val="center"/>
          </w:tcPr>
          <w:p>
            <w:pPr>
              <w:autoSpaceDE w:val="0"/>
              <w:autoSpaceDN w:val="0"/>
              <w:jc w:val="center"/>
              <w:textAlignment w:val="bottom"/>
              <w:rPr>
                <w:rFonts w:ascii="Times New Roman" w:hAnsi="Times New Roman"/>
                <w:snapToGrid w:val="0"/>
                <w:spacing w:val="16"/>
              </w:rPr>
            </w:pPr>
          </w:p>
        </w:tc>
        <w:tc>
          <w:tcPr>
            <w:tcW w:w="911"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meq%</w:t>
            </w:r>
          </w:p>
        </w:tc>
        <w:tc>
          <w:tcPr>
            <w:tcW w:w="911" w:type="dxa"/>
            <w:vAlign w:val="bottom"/>
          </w:tcPr>
          <w:p>
            <w:pPr>
              <w:widowControl/>
              <w:jc w:val="center"/>
              <w:textAlignment w:val="bottom"/>
              <w:rPr>
                <w:rFonts w:ascii="Times New Roman" w:hAnsi="Times New Roman"/>
                <w:lang w:bidi="ar"/>
              </w:rPr>
            </w:pPr>
            <w:r>
              <w:rPr>
                <w:rFonts w:ascii="Times New Roman" w:hAnsi="Times New Roman"/>
              </w:rPr>
              <w:t>3.72</w:t>
            </w:r>
          </w:p>
        </w:tc>
        <w:tc>
          <w:tcPr>
            <w:tcW w:w="910" w:type="dxa"/>
            <w:vAlign w:val="bottom"/>
          </w:tcPr>
          <w:p>
            <w:pPr>
              <w:widowControl/>
              <w:jc w:val="center"/>
              <w:textAlignment w:val="bottom"/>
              <w:rPr>
                <w:rFonts w:ascii="Times New Roman" w:hAnsi="Times New Roman"/>
                <w:lang w:bidi="ar"/>
              </w:rPr>
            </w:pPr>
            <w:r>
              <w:rPr>
                <w:rFonts w:ascii="Times New Roman" w:hAnsi="Times New Roman"/>
              </w:rPr>
              <w:t>22.36</w:t>
            </w:r>
          </w:p>
        </w:tc>
        <w:tc>
          <w:tcPr>
            <w:tcW w:w="910" w:type="dxa"/>
            <w:vAlign w:val="bottom"/>
          </w:tcPr>
          <w:p>
            <w:pPr>
              <w:widowControl/>
              <w:jc w:val="center"/>
              <w:textAlignment w:val="bottom"/>
              <w:rPr>
                <w:rFonts w:ascii="Times New Roman" w:hAnsi="Times New Roman"/>
                <w:lang w:bidi="ar"/>
              </w:rPr>
            </w:pPr>
            <w:r>
              <w:rPr>
                <w:rFonts w:ascii="Times New Roman" w:hAnsi="Times New Roman"/>
              </w:rPr>
              <w:t>23.37</w:t>
            </w:r>
          </w:p>
        </w:tc>
        <w:tc>
          <w:tcPr>
            <w:tcW w:w="910" w:type="dxa"/>
            <w:vAlign w:val="bottom"/>
          </w:tcPr>
          <w:p>
            <w:pPr>
              <w:widowControl/>
              <w:jc w:val="center"/>
              <w:textAlignment w:val="bottom"/>
              <w:rPr>
                <w:rFonts w:ascii="Times New Roman" w:hAnsi="Times New Roman"/>
                <w:lang w:bidi="ar"/>
              </w:rPr>
            </w:pPr>
            <w:r>
              <w:rPr>
                <w:rFonts w:ascii="Times New Roman" w:hAnsi="Times New Roman"/>
              </w:rPr>
              <w:t>50.55</w:t>
            </w:r>
          </w:p>
        </w:tc>
        <w:tc>
          <w:tcPr>
            <w:tcW w:w="910" w:type="dxa"/>
            <w:vAlign w:val="bottom"/>
          </w:tcPr>
          <w:p>
            <w:pPr>
              <w:widowControl/>
              <w:jc w:val="center"/>
              <w:textAlignment w:val="bottom"/>
              <w:rPr>
                <w:rFonts w:ascii="Times New Roman" w:hAnsi="Times New Roman"/>
                <w:lang w:bidi="ar"/>
              </w:rPr>
            </w:pPr>
            <w:r>
              <w:rPr>
                <w:rFonts w:ascii="Times New Roman" w:hAnsi="Times New Roman"/>
              </w:rPr>
              <w:t>100.00</w:t>
            </w:r>
          </w:p>
        </w:tc>
        <w:tc>
          <w:tcPr>
            <w:tcW w:w="910" w:type="dxa"/>
            <w:vAlign w:val="bottom"/>
          </w:tcPr>
          <w:p>
            <w:pPr>
              <w:widowControl/>
              <w:jc w:val="center"/>
              <w:textAlignment w:val="bottom"/>
              <w:rPr>
                <w:rFonts w:ascii="Times New Roman" w:hAnsi="Times New Roman"/>
                <w:lang w:bidi="ar"/>
              </w:rPr>
            </w:pPr>
            <w:r>
              <w:rPr>
                <w:rFonts w:ascii="Times New Roman" w:hAnsi="Times New Roman"/>
              </w:rPr>
              <w:t>0.00</w:t>
            </w:r>
          </w:p>
        </w:tc>
        <w:tc>
          <w:tcPr>
            <w:tcW w:w="910" w:type="dxa"/>
            <w:vAlign w:val="bottom"/>
          </w:tcPr>
          <w:p>
            <w:pPr>
              <w:widowControl/>
              <w:jc w:val="center"/>
              <w:textAlignment w:val="bottom"/>
              <w:rPr>
                <w:rFonts w:ascii="Times New Roman" w:hAnsi="Times New Roman"/>
                <w:lang w:bidi="ar"/>
              </w:rPr>
            </w:pPr>
            <w:r>
              <w:rPr>
                <w:rFonts w:ascii="Times New Roman" w:hAnsi="Times New Roman"/>
              </w:rPr>
              <w:t>74.91</w:t>
            </w:r>
          </w:p>
        </w:tc>
        <w:tc>
          <w:tcPr>
            <w:tcW w:w="910" w:type="dxa"/>
            <w:vAlign w:val="bottom"/>
          </w:tcPr>
          <w:p>
            <w:pPr>
              <w:widowControl/>
              <w:jc w:val="center"/>
              <w:textAlignment w:val="bottom"/>
              <w:rPr>
                <w:rFonts w:ascii="Times New Roman" w:hAnsi="Times New Roman"/>
                <w:lang w:bidi="ar"/>
              </w:rPr>
            </w:pPr>
            <w:r>
              <w:rPr>
                <w:rFonts w:ascii="Times New Roman" w:hAnsi="Times New Roman"/>
              </w:rPr>
              <w:t>10.29</w:t>
            </w:r>
          </w:p>
        </w:tc>
        <w:tc>
          <w:tcPr>
            <w:tcW w:w="910" w:type="dxa"/>
            <w:vAlign w:val="bottom"/>
          </w:tcPr>
          <w:p>
            <w:pPr>
              <w:widowControl/>
              <w:jc w:val="center"/>
              <w:textAlignment w:val="bottom"/>
              <w:rPr>
                <w:rFonts w:ascii="Times New Roman" w:hAnsi="Times New Roman"/>
                <w:lang w:bidi="ar"/>
              </w:rPr>
            </w:pPr>
            <w:r>
              <w:rPr>
                <w:rFonts w:ascii="Times New Roman" w:hAnsi="Times New Roman"/>
              </w:rPr>
              <w:t>14.80</w:t>
            </w:r>
          </w:p>
        </w:tc>
        <w:tc>
          <w:tcPr>
            <w:tcW w:w="910" w:type="dxa"/>
            <w:vAlign w:val="bottom"/>
          </w:tcPr>
          <w:p>
            <w:pPr>
              <w:widowControl/>
              <w:jc w:val="center"/>
              <w:textAlignment w:val="bottom"/>
              <w:rPr>
                <w:rFonts w:ascii="Times New Roman" w:hAnsi="Times New Roman"/>
                <w:lang w:bidi="ar"/>
              </w:rPr>
            </w:pPr>
            <w:r>
              <w:rPr>
                <w:rFonts w:ascii="Times New Roman" w:hAnsi="Times New Roman"/>
              </w:rPr>
              <w:t>100.00</w:t>
            </w:r>
          </w:p>
        </w:tc>
        <w:tc>
          <w:tcPr>
            <w:tcW w:w="1981" w:type="dxa"/>
            <w:vMerge w:val="continue"/>
            <w:vAlign w:val="center"/>
          </w:tcPr>
          <w:p>
            <w:pPr>
              <w:autoSpaceDE w:val="0"/>
              <w:autoSpaceDN w:val="0"/>
              <w:jc w:val="center"/>
              <w:textAlignment w:val="bottom"/>
              <w:rPr>
                <w:rFonts w:ascii="Times New Roman" w:hAnsi="Times New Roman"/>
                <w:snapToGrid w:val="0"/>
                <w:spacing w:val="16"/>
              </w:rPr>
            </w:pPr>
          </w:p>
        </w:tc>
        <w:tc>
          <w:tcPr>
            <w:tcW w:w="1055" w:type="dxa"/>
            <w:vMerge w:val="continue"/>
            <w:vAlign w:val="center"/>
          </w:tcPr>
          <w:p>
            <w:pPr>
              <w:autoSpaceDE w:val="0"/>
              <w:autoSpaceDN w:val="0"/>
              <w:jc w:val="center"/>
              <w:textAlignment w:val="bottom"/>
              <w:rPr>
                <w:rFonts w:ascii="Times New Roman" w:hAnsi="Times New Roman"/>
                <w:snapToGrid w:val="0"/>
                <w:spacing w:val="16"/>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8" w:type="dxa"/>
            <w:bottom w:w="0" w:type="dxa"/>
            <w:right w:w="28" w:type="dxa"/>
          </w:tblCellMar>
        </w:tblPrEx>
        <w:trPr>
          <w:trHeight w:val="20" w:hRule="atLeast"/>
          <w:jc w:val="center"/>
        </w:trPr>
        <w:tc>
          <w:tcPr>
            <w:tcW w:w="910" w:type="dxa"/>
            <w:vMerge w:val="restart"/>
            <w:vAlign w:val="center"/>
          </w:tcPr>
          <w:p>
            <w:pPr>
              <w:autoSpaceDE w:val="0"/>
              <w:autoSpaceDN w:val="0"/>
              <w:jc w:val="center"/>
              <w:textAlignment w:val="bottom"/>
              <w:rPr>
                <w:rFonts w:ascii="Times New Roman" w:hAnsi="Times New Roman"/>
              </w:rPr>
            </w:pPr>
            <w:r>
              <w:rPr>
                <w:rFonts w:ascii="Times New Roman" w:hAnsi="Times New Roman"/>
                <w:snapToGrid w:val="0"/>
                <w:spacing w:val="16"/>
              </w:rPr>
              <w:t>4#</w:t>
            </w:r>
          </w:p>
        </w:tc>
        <w:tc>
          <w:tcPr>
            <w:tcW w:w="911"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mg/l</w:t>
            </w:r>
          </w:p>
        </w:tc>
        <w:tc>
          <w:tcPr>
            <w:tcW w:w="911" w:type="dxa"/>
            <w:vAlign w:val="center"/>
          </w:tcPr>
          <w:p>
            <w:pPr>
              <w:widowControl/>
              <w:jc w:val="center"/>
              <w:textAlignment w:val="bottom"/>
              <w:rPr>
                <w:rFonts w:ascii="Times New Roman" w:hAnsi="Times New Roman"/>
                <w:lang w:bidi="ar"/>
              </w:rPr>
            </w:pPr>
            <w:r>
              <w:rPr>
                <w:rFonts w:ascii="Times New Roman" w:hAnsi="Times New Roman"/>
              </w:rPr>
              <w:t>2.34</w:t>
            </w:r>
          </w:p>
        </w:tc>
        <w:tc>
          <w:tcPr>
            <w:tcW w:w="910" w:type="dxa"/>
            <w:vAlign w:val="center"/>
          </w:tcPr>
          <w:p>
            <w:pPr>
              <w:widowControl/>
              <w:jc w:val="center"/>
              <w:textAlignment w:val="bottom"/>
              <w:rPr>
                <w:rFonts w:ascii="Times New Roman" w:hAnsi="Times New Roman"/>
                <w:lang w:bidi="ar"/>
              </w:rPr>
            </w:pPr>
            <w:r>
              <w:rPr>
                <w:rFonts w:ascii="Times New Roman" w:hAnsi="Times New Roman"/>
              </w:rPr>
              <w:t>10.1</w:t>
            </w:r>
          </w:p>
        </w:tc>
        <w:tc>
          <w:tcPr>
            <w:tcW w:w="910" w:type="dxa"/>
            <w:vAlign w:val="center"/>
          </w:tcPr>
          <w:p>
            <w:pPr>
              <w:widowControl/>
              <w:jc w:val="center"/>
              <w:textAlignment w:val="bottom"/>
              <w:rPr>
                <w:rFonts w:ascii="Times New Roman" w:hAnsi="Times New Roman"/>
                <w:lang w:bidi="ar"/>
              </w:rPr>
            </w:pPr>
            <w:r>
              <w:rPr>
                <w:rFonts w:ascii="Times New Roman" w:hAnsi="Times New Roman"/>
              </w:rPr>
              <w:t>8.14</w:t>
            </w:r>
          </w:p>
        </w:tc>
        <w:tc>
          <w:tcPr>
            <w:tcW w:w="910" w:type="dxa"/>
            <w:vAlign w:val="center"/>
          </w:tcPr>
          <w:p>
            <w:pPr>
              <w:widowControl/>
              <w:jc w:val="center"/>
              <w:textAlignment w:val="bottom"/>
              <w:rPr>
                <w:rFonts w:ascii="Times New Roman" w:hAnsi="Times New Roman"/>
                <w:lang w:bidi="ar"/>
              </w:rPr>
            </w:pPr>
            <w:r>
              <w:rPr>
                <w:rFonts w:ascii="Times New Roman" w:hAnsi="Times New Roman"/>
              </w:rPr>
              <w:t>14.5</w:t>
            </w:r>
          </w:p>
        </w:tc>
        <w:tc>
          <w:tcPr>
            <w:tcW w:w="910" w:type="dxa"/>
            <w:vAlign w:val="bottom"/>
          </w:tcPr>
          <w:p>
            <w:pPr>
              <w:widowControl/>
              <w:jc w:val="center"/>
              <w:textAlignment w:val="bottom"/>
              <w:rPr>
                <w:rFonts w:ascii="Times New Roman" w:hAnsi="Times New Roman"/>
                <w:lang w:bidi="ar"/>
              </w:rPr>
            </w:pPr>
            <w:r>
              <w:rPr>
                <w:rFonts w:ascii="Times New Roman" w:hAnsi="Times New Roman"/>
              </w:rPr>
              <w:t>35.08</w:t>
            </w:r>
          </w:p>
        </w:tc>
        <w:tc>
          <w:tcPr>
            <w:tcW w:w="910" w:type="dxa"/>
            <w:vAlign w:val="center"/>
          </w:tcPr>
          <w:p>
            <w:pPr>
              <w:widowControl/>
              <w:jc w:val="center"/>
              <w:textAlignment w:val="bottom"/>
              <w:rPr>
                <w:rFonts w:ascii="Times New Roman" w:hAnsi="Times New Roman"/>
                <w:lang w:bidi="ar"/>
              </w:rPr>
            </w:pPr>
            <w:r>
              <w:rPr>
                <w:rFonts w:ascii="Times New Roman" w:hAnsi="Times New Roman"/>
              </w:rPr>
              <w:t>0</w:t>
            </w:r>
          </w:p>
        </w:tc>
        <w:tc>
          <w:tcPr>
            <w:tcW w:w="910" w:type="dxa"/>
            <w:vAlign w:val="center"/>
          </w:tcPr>
          <w:p>
            <w:pPr>
              <w:widowControl/>
              <w:jc w:val="center"/>
              <w:textAlignment w:val="bottom"/>
              <w:rPr>
                <w:rFonts w:ascii="Times New Roman" w:hAnsi="Times New Roman"/>
                <w:lang w:bidi="ar"/>
              </w:rPr>
            </w:pPr>
            <w:r>
              <w:rPr>
                <w:rFonts w:ascii="Times New Roman" w:hAnsi="Times New Roman"/>
              </w:rPr>
              <w:t>89.63</w:t>
            </w:r>
          </w:p>
        </w:tc>
        <w:tc>
          <w:tcPr>
            <w:tcW w:w="910" w:type="dxa"/>
            <w:vAlign w:val="center"/>
          </w:tcPr>
          <w:p>
            <w:pPr>
              <w:widowControl/>
              <w:jc w:val="center"/>
              <w:textAlignment w:val="bottom"/>
              <w:rPr>
                <w:rFonts w:ascii="Times New Roman" w:hAnsi="Times New Roman"/>
                <w:lang w:bidi="ar"/>
              </w:rPr>
            </w:pPr>
            <w:r>
              <w:rPr>
                <w:rFonts w:ascii="Times New Roman" w:hAnsi="Times New Roman"/>
              </w:rPr>
              <w:t>10.4</w:t>
            </w:r>
          </w:p>
        </w:tc>
        <w:tc>
          <w:tcPr>
            <w:tcW w:w="910" w:type="dxa"/>
            <w:vAlign w:val="center"/>
          </w:tcPr>
          <w:p>
            <w:pPr>
              <w:widowControl/>
              <w:jc w:val="center"/>
              <w:textAlignment w:val="bottom"/>
              <w:rPr>
                <w:rFonts w:ascii="Times New Roman" w:hAnsi="Times New Roman"/>
                <w:lang w:bidi="ar"/>
              </w:rPr>
            </w:pPr>
            <w:r>
              <w:rPr>
                <w:rFonts w:ascii="Times New Roman" w:hAnsi="Times New Roman"/>
              </w:rPr>
              <w:t>14.2</w:t>
            </w:r>
          </w:p>
        </w:tc>
        <w:tc>
          <w:tcPr>
            <w:tcW w:w="910" w:type="dxa"/>
            <w:vAlign w:val="bottom"/>
          </w:tcPr>
          <w:p>
            <w:pPr>
              <w:widowControl/>
              <w:jc w:val="center"/>
              <w:textAlignment w:val="bottom"/>
              <w:rPr>
                <w:rFonts w:ascii="Times New Roman" w:hAnsi="Times New Roman"/>
                <w:lang w:bidi="ar"/>
              </w:rPr>
            </w:pPr>
            <w:r>
              <w:rPr>
                <w:rFonts w:ascii="Times New Roman" w:hAnsi="Times New Roman"/>
              </w:rPr>
              <w:t>114.23</w:t>
            </w:r>
          </w:p>
        </w:tc>
        <w:tc>
          <w:tcPr>
            <w:tcW w:w="1981" w:type="dxa"/>
            <w:vMerge w:val="restart"/>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HCO</w:t>
            </w:r>
            <w:r>
              <w:rPr>
                <w:rFonts w:ascii="Times New Roman" w:hAnsi="Times New Roman"/>
                <w:snapToGrid w:val="0"/>
                <w:spacing w:val="16"/>
                <w:vertAlign w:val="subscript"/>
              </w:rPr>
              <w:t>3</w:t>
            </w:r>
            <w:r>
              <w:rPr>
                <w:rFonts w:ascii="Times New Roman" w:hAnsi="Times New Roman"/>
                <w:snapToGrid w:val="0"/>
                <w:spacing w:val="16"/>
                <w:vertAlign w:val="superscript"/>
              </w:rPr>
              <w:t>-</w:t>
            </w:r>
            <w:r>
              <w:rPr>
                <w:rFonts w:ascii="Times New Roman" w:hAnsi="Times New Roman"/>
              </w:rPr>
              <w:t>—</w:t>
            </w:r>
            <w:r>
              <w:rPr>
                <w:rFonts w:ascii="Times New Roman" w:hAnsi="Times New Roman"/>
                <w:snapToGrid w:val="0"/>
                <w:spacing w:val="16"/>
              </w:rPr>
              <w:t>Ca</w:t>
            </w:r>
            <w:r>
              <w:rPr>
                <w:rFonts w:ascii="Times New Roman" w:hAnsi="Times New Roman"/>
                <w:snapToGrid w:val="0"/>
                <w:spacing w:val="16"/>
                <w:vertAlign w:val="superscript"/>
              </w:rPr>
              <w:t>2+</w:t>
            </w:r>
            <w:r>
              <w:rPr>
                <w:rFonts w:ascii="Times New Roman" w:hAnsi="Times New Roman"/>
                <w:snapToGrid w:val="0"/>
                <w:spacing w:val="16"/>
              </w:rPr>
              <w:t>，Mg</w:t>
            </w:r>
            <w:r>
              <w:rPr>
                <w:rFonts w:ascii="Times New Roman" w:hAnsi="Times New Roman"/>
                <w:snapToGrid w:val="0"/>
                <w:spacing w:val="16"/>
                <w:vertAlign w:val="superscript"/>
              </w:rPr>
              <w:t>2+</w:t>
            </w:r>
          </w:p>
        </w:tc>
        <w:tc>
          <w:tcPr>
            <w:tcW w:w="1055" w:type="dxa"/>
            <w:vMerge w:val="restart"/>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-0.99</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8" w:type="dxa"/>
            <w:bottom w:w="0" w:type="dxa"/>
            <w:right w:w="28" w:type="dxa"/>
          </w:tblCellMar>
        </w:tblPrEx>
        <w:trPr>
          <w:trHeight w:val="20" w:hRule="atLeast"/>
          <w:jc w:val="center"/>
        </w:trPr>
        <w:tc>
          <w:tcPr>
            <w:tcW w:w="910" w:type="dxa"/>
            <w:vMerge w:val="continue"/>
            <w:vAlign w:val="center"/>
          </w:tcPr>
          <w:p>
            <w:pPr>
              <w:autoSpaceDE w:val="0"/>
              <w:autoSpaceDN w:val="0"/>
              <w:jc w:val="center"/>
              <w:textAlignment w:val="bottom"/>
              <w:rPr>
                <w:rFonts w:ascii="Times New Roman" w:hAnsi="Times New Roman"/>
                <w:snapToGrid w:val="0"/>
                <w:spacing w:val="16"/>
              </w:rPr>
            </w:pPr>
          </w:p>
        </w:tc>
        <w:tc>
          <w:tcPr>
            <w:tcW w:w="911"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meq/l</w:t>
            </w:r>
          </w:p>
        </w:tc>
        <w:tc>
          <w:tcPr>
            <w:tcW w:w="911" w:type="dxa"/>
            <w:vAlign w:val="bottom"/>
          </w:tcPr>
          <w:p>
            <w:pPr>
              <w:widowControl/>
              <w:jc w:val="center"/>
              <w:textAlignment w:val="bottom"/>
              <w:rPr>
                <w:rFonts w:ascii="Times New Roman" w:hAnsi="Times New Roman"/>
                <w:lang w:bidi="ar"/>
              </w:rPr>
            </w:pPr>
            <w:r>
              <w:rPr>
                <w:rFonts w:ascii="Times New Roman" w:hAnsi="Times New Roman"/>
              </w:rPr>
              <w:t>0.06</w:t>
            </w:r>
          </w:p>
        </w:tc>
        <w:tc>
          <w:tcPr>
            <w:tcW w:w="910" w:type="dxa"/>
            <w:vAlign w:val="bottom"/>
          </w:tcPr>
          <w:p>
            <w:pPr>
              <w:widowControl/>
              <w:jc w:val="center"/>
              <w:textAlignment w:val="bottom"/>
              <w:rPr>
                <w:rFonts w:ascii="Times New Roman" w:hAnsi="Times New Roman"/>
                <w:lang w:bidi="ar"/>
              </w:rPr>
            </w:pPr>
            <w:r>
              <w:rPr>
                <w:rFonts w:ascii="Times New Roman" w:hAnsi="Times New Roman"/>
              </w:rPr>
              <w:t>0.44</w:t>
            </w:r>
          </w:p>
        </w:tc>
        <w:tc>
          <w:tcPr>
            <w:tcW w:w="910" w:type="dxa"/>
            <w:vAlign w:val="bottom"/>
          </w:tcPr>
          <w:p>
            <w:pPr>
              <w:widowControl/>
              <w:jc w:val="center"/>
              <w:textAlignment w:val="bottom"/>
              <w:rPr>
                <w:rFonts w:ascii="Times New Roman" w:hAnsi="Times New Roman"/>
                <w:lang w:bidi="ar"/>
              </w:rPr>
            </w:pPr>
            <w:r>
              <w:rPr>
                <w:rFonts w:ascii="Times New Roman" w:hAnsi="Times New Roman"/>
              </w:rPr>
              <w:t>0.41</w:t>
            </w:r>
          </w:p>
        </w:tc>
        <w:tc>
          <w:tcPr>
            <w:tcW w:w="910" w:type="dxa"/>
            <w:vAlign w:val="bottom"/>
          </w:tcPr>
          <w:p>
            <w:pPr>
              <w:widowControl/>
              <w:jc w:val="center"/>
              <w:textAlignment w:val="bottom"/>
              <w:rPr>
                <w:rFonts w:ascii="Times New Roman" w:hAnsi="Times New Roman"/>
                <w:lang w:bidi="ar"/>
              </w:rPr>
            </w:pPr>
            <w:r>
              <w:rPr>
                <w:rFonts w:ascii="Times New Roman" w:hAnsi="Times New Roman"/>
              </w:rPr>
              <w:t>1.19</w:t>
            </w:r>
          </w:p>
        </w:tc>
        <w:tc>
          <w:tcPr>
            <w:tcW w:w="910" w:type="dxa"/>
            <w:vAlign w:val="bottom"/>
          </w:tcPr>
          <w:p>
            <w:pPr>
              <w:widowControl/>
              <w:jc w:val="center"/>
              <w:textAlignment w:val="bottom"/>
              <w:rPr>
                <w:rFonts w:ascii="Times New Roman" w:hAnsi="Times New Roman"/>
                <w:lang w:bidi="ar"/>
              </w:rPr>
            </w:pPr>
            <w:r>
              <w:rPr>
                <w:rFonts w:ascii="Times New Roman" w:hAnsi="Times New Roman"/>
              </w:rPr>
              <w:t>2.10</w:t>
            </w:r>
          </w:p>
        </w:tc>
        <w:tc>
          <w:tcPr>
            <w:tcW w:w="910" w:type="dxa"/>
            <w:vAlign w:val="bottom"/>
          </w:tcPr>
          <w:p>
            <w:pPr>
              <w:widowControl/>
              <w:jc w:val="center"/>
              <w:textAlignment w:val="bottom"/>
              <w:rPr>
                <w:rFonts w:ascii="Times New Roman" w:hAnsi="Times New Roman"/>
                <w:lang w:bidi="ar"/>
              </w:rPr>
            </w:pPr>
            <w:r>
              <w:rPr>
                <w:rFonts w:ascii="Times New Roman" w:hAnsi="Times New Roman"/>
              </w:rPr>
              <w:t>0.00</w:t>
            </w:r>
          </w:p>
        </w:tc>
        <w:tc>
          <w:tcPr>
            <w:tcW w:w="910" w:type="dxa"/>
            <w:vAlign w:val="bottom"/>
          </w:tcPr>
          <w:p>
            <w:pPr>
              <w:widowControl/>
              <w:jc w:val="center"/>
              <w:textAlignment w:val="bottom"/>
              <w:rPr>
                <w:rFonts w:ascii="Times New Roman" w:hAnsi="Times New Roman"/>
                <w:lang w:bidi="ar"/>
              </w:rPr>
            </w:pPr>
            <w:r>
              <w:rPr>
                <w:rFonts w:ascii="Times New Roman" w:hAnsi="Times New Roman"/>
              </w:rPr>
              <w:t>1.47</w:t>
            </w:r>
          </w:p>
        </w:tc>
        <w:tc>
          <w:tcPr>
            <w:tcW w:w="910" w:type="dxa"/>
            <w:vAlign w:val="bottom"/>
          </w:tcPr>
          <w:p>
            <w:pPr>
              <w:widowControl/>
              <w:jc w:val="center"/>
              <w:textAlignment w:val="bottom"/>
              <w:rPr>
                <w:rFonts w:ascii="Times New Roman" w:hAnsi="Times New Roman"/>
                <w:lang w:bidi="ar"/>
              </w:rPr>
            </w:pPr>
            <w:r>
              <w:rPr>
                <w:rFonts w:ascii="Times New Roman" w:hAnsi="Times New Roman"/>
              </w:rPr>
              <w:t>0.29</w:t>
            </w:r>
          </w:p>
        </w:tc>
        <w:tc>
          <w:tcPr>
            <w:tcW w:w="910" w:type="dxa"/>
            <w:vAlign w:val="bottom"/>
          </w:tcPr>
          <w:p>
            <w:pPr>
              <w:widowControl/>
              <w:jc w:val="center"/>
              <w:textAlignment w:val="bottom"/>
              <w:rPr>
                <w:rFonts w:ascii="Times New Roman" w:hAnsi="Times New Roman"/>
                <w:lang w:bidi="ar"/>
              </w:rPr>
            </w:pPr>
            <w:r>
              <w:rPr>
                <w:rFonts w:ascii="Times New Roman" w:hAnsi="Times New Roman"/>
              </w:rPr>
              <w:t>0.30</w:t>
            </w:r>
          </w:p>
        </w:tc>
        <w:tc>
          <w:tcPr>
            <w:tcW w:w="910" w:type="dxa"/>
            <w:vAlign w:val="bottom"/>
          </w:tcPr>
          <w:p>
            <w:pPr>
              <w:widowControl/>
              <w:jc w:val="center"/>
              <w:textAlignment w:val="bottom"/>
              <w:rPr>
                <w:rFonts w:ascii="Times New Roman" w:hAnsi="Times New Roman"/>
                <w:lang w:bidi="ar"/>
              </w:rPr>
            </w:pPr>
            <w:r>
              <w:rPr>
                <w:rFonts w:ascii="Times New Roman" w:hAnsi="Times New Roman"/>
              </w:rPr>
              <w:t>2.06</w:t>
            </w:r>
          </w:p>
        </w:tc>
        <w:tc>
          <w:tcPr>
            <w:tcW w:w="1981" w:type="dxa"/>
            <w:vMerge w:val="continue"/>
            <w:vAlign w:val="center"/>
          </w:tcPr>
          <w:p>
            <w:pPr>
              <w:autoSpaceDE w:val="0"/>
              <w:autoSpaceDN w:val="0"/>
              <w:jc w:val="center"/>
              <w:textAlignment w:val="bottom"/>
              <w:rPr>
                <w:rFonts w:ascii="Times New Roman" w:hAnsi="Times New Roman"/>
                <w:snapToGrid w:val="0"/>
                <w:spacing w:val="16"/>
              </w:rPr>
            </w:pPr>
          </w:p>
        </w:tc>
        <w:tc>
          <w:tcPr>
            <w:tcW w:w="1055" w:type="dxa"/>
            <w:vMerge w:val="continue"/>
            <w:vAlign w:val="center"/>
          </w:tcPr>
          <w:p>
            <w:pPr>
              <w:autoSpaceDE w:val="0"/>
              <w:autoSpaceDN w:val="0"/>
              <w:jc w:val="center"/>
              <w:textAlignment w:val="bottom"/>
              <w:rPr>
                <w:rFonts w:ascii="Times New Roman" w:hAnsi="Times New Roman"/>
                <w:snapToGrid w:val="0"/>
                <w:spacing w:val="16"/>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8" w:type="dxa"/>
            <w:bottom w:w="0" w:type="dxa"/>
            <w:right w:w="28" w:type="dxa"/>
          </w:tblCellMar>
        </w:tblPrEx>
        <w:trPr>
          <w:trHeight w:val="20" w:hRule="atLeast"/>
          <w:jc w:val="center"/>
        </w:trPr>
        <w:tc>
          <w:tcPr>
            <w:tcW w:w="910" w:type="dxa"/>
            <w:vMerge w:val="continue"/>
            <w:vAlign w:val="center"/>
          </w:tcPr>
          <w:p>
            <w:pPr>
              <w:autoSpaceDE w:val="0"/>
              <w:autoSpaceDN w:val="0"/>
              <w:jc w:val="center"/>
              <w:textAlignment w:val="bottom"/>
              <w:rPr>
                <w:rFonts w:ascii="Times New Roman" w:hAnsi="Times New Roman"/>
                <w:snapToGrid w:val="0"/>
                <w:spacing w:val="16"/>
              </w:rPr>
            </w:pPr>
          </w:p>
        </w:tc>
        <w:tc>
          <w:tcPr>
            <w:tcW w:w="911"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meq%</w:t>
            </w:r>
          </w:p>
        </w:tc>
        <w:tc>
          <w:tcPr>
            <w:tcW w:w="911" w:type="dxa"/>
            <w:vAlign w:val="bottom"/>
          </w:tcPr>
          <w:p>
            <w:pPr>
              <w:widowControl/>
              <w:jc w:val="center"/>
              <w:textAlignment w:val="bottom"/>
              <w:rPr>
                <w:rFonts w:ascii="Times New Roman" w:hAnsi="Times New Roman"/>
                <w:lang w:bidi="ar"/>
              </w:rPr>
            </w:pPr>
            <w:r>
              <w:rPr>
                <w:rFonts w:ascii="Times New Roman" w:hAnsi="Times New Roman"/>
              </w:rPr>
              <w:t>2.85</w:t>
            </w:r>
          </w:p>
        </w:tc>
        <w:tc>
          <w:tcPr>
            <w:tcW w:w="910" w:type="dxa"/>
            <w:vAlign w:val="bottom"/>
          </w:tcPr>
          <w:p>
            <w:pPr>
              <w:widowControl/>
              <w:jc w:val="center"/>
              <w:textAlignment w:val="bottom"/>
              <w:rPr>
                <w:rFonts w:ascii="Times New Roman" w:hAnsi="Times New Roman"/>
                <w:lang w:bidi="ar"/>
              </w:rPr>
            </w:pPr>
            <w:r>
              <w:rPr>
                <w:rFonts w:ascii="Times New Roman" w:hAnsi="Times New Roman"/>
              </w:rPr>
              <w:t>20.92</w:t>
            </w:r>
          </w:p>
        </w:tc>
        <w:tc>
          <w:tcPr>
            <w:tcW w:w="910" w:type="dxa"/>
            <w:vAlign w:val="bottom"/>
          </w:tcPr>
          <w:p>
            <w:pPr>
              <w:widowControl/>
              <w:jc w:val="center"/>
              <w:textAlignment w:val="bottom"/>
              <w:rPr>
                <w:rFonts w:ascii="Times New Roman" w:hAnsi="Times New Roman"/>
                <w:lang w:bidi="ar"/>
              </w:rPr>
            </w:pPr>
            <w:r>
              <w:rPr>
                <w:rFonts w:ascii="Times New Roman" w:hAnsi="Times New Roman"/>
              </w:rPr>
              <w:t>19.39</w:t>
            </w:r>
          </w:p>
        </w:tc>
        <w:tc>
          <w:tcPr>
            <w:tcW w:w="910" w:type="dxa"/>
            <w:vAlign w:val="bottom"/>
          </w:tcPr>
          <w:p>
            <w:pPr>
              <w:widowControl/>
              <w:jc w:val="center"/>
              <w:textAlignment w:val="bottom"/>
              <w:rPr>
                <w:rFonts w:ascii="Times New Roman" w:hAnsi="Times New Roman"/>
                <w:lang w:bidi="ar"/>
              </w:rPr>
            </w:pPr>
            <w:r>
              <w:rPr>
                <w:rFonts w:ascii="Times New Roman" w:hAnsi="Times New Roman"/>
              </w:rPr>
              <w:t>56.85</w:t>
            </w:r>
          </w:p>
        </w:tc>
        <w:tc>
          <w:tcPr>
            <w:tcW w:w="910" w:type="dxa"/>
            <w:vAlign w:val="bottom"/>
          </w:tcPr>
          <w:p>
            <w:pPr>
              <w:widowControl/>
              <w:jc w:val="center"/>
              <w:textAlignment w:val="bottom"/>
              <w:rPr>
                <w:rFonts w:ascii="Times New Roman" w:hAnsi="Times New Roman"/>
                <w:lang w:bidi="ar"/>
              </w:rPr>
            </w:pPr>
            <w:r>
              <w:rPr>
                <w:rFonts w:ascii="Times New Roman" w:hAnsi="Times New Roman"/>
              </w:rPr>
              <w:t>100.00</w:t>
            </w:r>
          </w:p>
        </w:tc>
        <w:tc>
          <w:tcPr>
            <w:tcW w:w="910" w:type="dxa"/>
            <w:vAlign w:val="bottom"/>
          </w:tcPr>
          <w:p>
            <w:pPr>
              <w:widowControl/>
              <w:jc w:val="center"/>
              <w:textAlignment w:val="bottom"/>
              <w:rPr>
                <w:rFonts w:ascii="Times New Roman" w:hAnsi="Times New Roman"/>
                <w:lang w:bidi="ar"/>
              </w:rPr>
            </w:pPr>
            <w:r>
              <w:rPr>
                <w:rFonts w:ascii="Times New Roman" w:hAnsi="Times New Roman"/>
              </w:rPr>
              <w:t>0.00</w:t>
            </w:r>
          </w:p>
        </w:tc>
        <w:tc>
          <w:tcPr>
            <w:tcW w:w="910" w:type="dxa"/>
            <w:vAlign w:val="bottom"/>
          </w:tcPr>
          <w:p>
            <w:pPr>
              <w:widowControl/>
              <w:jc w:val="center"/>
              <w:textAlignment w:val="bottom"/>
              <w:rPr>
                <w:rFonts w:ascii="Times New Roman" w:hAnsi="Times New Roman"/>
                <w:lang w:bidi="ar"/>
              </w:rPr>
            </w:pPr>
            <w:r>
              <w:rPr>
                <w:rFonts w:ascii="Times New Roman" w:hAnsi="Times New Roman"/>
              </w:rPr>
              <w:t>71.39</w:t>
            </w:r>
          </w:p>
        </w:tc>
        <w:tc>
          <w:tcPr>
            <w:tcW w:w="910" w:type="dxa"/>
            <w:vAlign w:val="bottom"/>
          </w:tcPr>
          <w:p>
            <w:pPr>
              <w:widowControl/>
              <w:jc w:val="center"/>
              <w:textAlignment w:val="bottom"/>
              <w:rPr>
                <w:rFonts w:ascii="Times New Roman" w:hAnsi="Times New Roman"/>
                <w:lang w:bidi="ar"/>
              </w:rPr>
            </w:pPr>
            <w:r>
              <w:rPr>
                <w:rFonts w:ascii="Times New Roman" w:hAnsi="Times New Roman"/>
              </w:rPr>
              <w:t>14.23</w:t>
            </w:r>
          </w:p>
        </w:tc>
        <w:tc>
          <w:tcPr>
            <w:tcW w:w="910" w:type="dxa"/>
            <w:vAlign w:val="bottom"/>
          </w:tcPr>
          <w:p>
            <w:pPr>
              <w:widowControl/>
              <w:jc w:val="center"/>
              <w:textAlignment w:val="bottom"/>
              <w:rPr>
                <w:rFonts w:ascii="Times New Roman" w:hAnsi="Times New Roman"/>
                <w:lang w:bidi="ar"/>
              </w:rPr>
            </w:pPr>
            <w:r>
              <w:rPr>
                <w:rFonts w:ascii="Times New Roman" w:hAnsi="Times New Roman"/>
              </w:rPr>
              <w:t>14.37</w:t>
            </w:r>
          </w:p>
        </w:tc>
        <w:tc>
          <w:tcPr>
            <w:tcW w:w="910" w:type="dxa"/>
            <w:vAlign w:val="bottom"/>
          </w:tcPr>
          <w:p>
            <w:pPr>
              <w:widowControl/>
              <w:jc w:val="center"/>
              <w:textAlignment w:val="bottom"/>
              <w:rPr>
                <w:rFonts w:ascii="Times New Roman" w:hAnsi="Times New Roman"/>
                <w:lang w:bidi="ar"/>
              </w:rPr>
            </w:pPr>
            <w:r>
              <w:rPr>
                <w:rFonts w:ascii="Times New Roman" w:hAnsi="Times New Roman"/>
              </w:rPr>
              <w:t>100.00</w:t>
            </w:r>
          </w:p>
        </w:tc>
        <w:tc>
          <w:tcPr>
            <w:tcW w:w="1981" w:type="dxa"/>
            <w:vMerge w:val="continue"/>
            <w:vAlign w:val="center"/>
          </w:tcPr>
          <w:p>
            <w:pPr>
              <w:autoSpaceDE w:val="0"/>
              <w:autoSpaceDN w:val="0"/>
              <w:jc w:val="center"/>
              <w:textAlignment w:val="bottom"/>
              <w:rPr>
                <w:rFonts w:ascii="Times New Roman" w:hAnsi="Times New Roman"/>
                <w:snapToGrid w:val="0"/>
                <w:spacing w:val="16"/>
              </w:rPr>
            </w:pPr>
          </w:p>
        </w:tc>
        <w:tc>
          <w:tcPr>
            <w:tcW w:w="1055" w:type="dxa"/>
            <w:vMerge w:val="continue"/>
            <w:vAlign w:val="center"/>
          </w:tcPr>
          <w:p>
            <w:pPr>
              <w:autoSpaceDE w:val="0"/>
              <w:autoSpaceDN w:val="0"/>
              <w:jc w:val="center"/>
              <w:textAlignment w:val="bottom"/>
              <w:rPr>
                <w:rFonts w:ascii="Times New Roman" w:hAnsi="Times New Roman"/>
                <w:snapToGrid w:val="0"/>
                <w:spacing w:val="16"/>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8" w:type="dxa"/>
            <w:bottom w:w="0" w:type="dxa"/>
            <w:right w:w="28" w:type="dxa"/>
          </w:tblCellMar>
        </w:tblPrEx>
        <w:trPr>
          <w:trHeight w:val="20" w:hRule="atLeast"/>
          <w:jc w:val="center"/>
        </w:trPr>
        <w:tc>
          <w:tcPr>
            <w:tcW w:w="910" w:type="dxa"/>
            <w:vMerge w:val="restart"/>
            <w:vAlign w:val="center"/>
          </w:tcPr>
          <w:p>
            <w:pPr>
              <w:autoSpaceDE w:val="0"/>
              <w:autoSpaceDN w:val="0"/>
              <w:jc w:val="center"/>
              <w:textAlignment w:val="bottom"/>
              <w:rPr>
                <w:rFonts w:ascii="Times New Roman" w:hAnsi="Times New Roman"/>
              </w:rPr>
            </w:pPr>
            <w:r>
              <w:rPr>
                <w:rFonts w:ascii="Times New Roman" w:hAnsi="Times New Roman"/>
                <w:snapToGrid w:val="0"/>
                <w:spacing w:val="16"/>
              </w:rPr>
              <w:t>5#</w:t>
            </w:r>
          </w:p>
        </w:tc>
        <w:tc>
          <w:tcPr>
            <w:tcW w:w="911"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mg/l</w:t>
            </w:r>
          </w:p>
        </w:tc>
        <w:tc>
          <w:tcPr>
            <w:tcW w:w="911" w:type="dxa"/>
            <w:vAlign w:val="center"/>
          </w:tcPr>
          <w:p>
            <w:pPr>
              <w:widowControl/>
              <w:jc w:val="center"/>
              <w:textAlignment w:val="bottom"/>
              <w:rPr>
                <w:rFonts w:ascii="Times New Roman" w:hAnsi="Times New Roman"/>
                <w:lang w:bidi="ar"/>
              </w:rPr>
            </w:pPr>
            <w:r>
              <w:rPr>
                <w:rFonts w:ascii="Times New Roman" w:hAnsi="Times New Roman"/>
              </w:rPr>
              <w:t>1.55</w:t>
            </w:r>
          </w:p>
        </w:tc>
        <w:tc>
          <w:tcPr>
            <w:tcW w:w="910" w:type="dxa"/>
            <w:vAlign w:val="center"/>
          </w:tcPr>
          <w:p>
            <w:pPr>
              <w:widowControl/>
              <w:jc w:val="center"/>
              <w:textAlignment w:val="bottom"/>
              <w:rPr>
                <w:rFonts w:ascii="Times New Roman" w:hAnsi="Times New Roman"/>
                <w:lang w:bidi="ar"/>
              </w:rPr>
            </w:pPr>
            <w:r>
              <w:rPr>
                <w:rFonts w:ascii="Times New Roman" w:hAnsi="Times New Roman"/>
              </w:rPr>
              <w:t>9.04</w:t>
            </w:r>
          </w:p>
        </w:tc>
        <w:tc>
          <w:tcPr>
            <w:tcW w:w="910" w:type="dxa"/>
            <w:vAlign w:val="center"/>
          </w:tcPr>
          <w:p>
            <w:pPr>
              <w:widowControl/>
              <w:jc w:val="center"/>
              <w:textAlignment w:val="bottom"/>
              <w:rPr>
                <w:rFonts w:ascii="Times New Roman" w:hAnsi="Times New Roman"/>
                <w:lang w:bidi="ar"/>
              </w:rPr>
            </w:pPr>
            <w:r>
              <w:rPr>
                <w:rFonts w:ascii="Times New Roman" w:hAnsi="Times New Roman"/>
              </w:rPr>
              <w:t>7.66</w:t>
            </w:r>
          </w:p>
        </w:tc>
        <w:tc>
          <w:tcPr>
            <w:tcW w:w="910" w:type="dxa"/>
            <w:vAlign w:val="center"/>
          </w:tcPr>
          <w:p>
            <w:pPr>
              <w:widowControl/>
              <w:jc w:val="center"/>
              <w:textAlignment w:val="bottom"/>
              <w:rPr>
                <w:rFonts w:ascii="Times New Roman" w:hAnsi="Times New Roman"/>
                <w:lang w:bidi="ar"/>
              </w:rPr>
            </w:pPr>
            <w:r>
              <w:rPr>
                <w:rFonts w:ascii="Times New Roman" w:hAnsi="Times New Roman"/>
              </w:rPr>
              <w:t>9.55</w:t>
            </w:r>
          </w:p>
        </w:tc>
        <w:tc>
          <w:tcPr>
            <w:tcW w:w="910" w:type="dxa"/>
            <w:vAlign w:val="bottom"/>
          </w:tcPr>
          <w:p>
            <w:pPr>
              <w:widowControl/>
              <w:jc w:val="center"/>
              <w:textAlignment w:val="bottom"/>
              <w:rPr>
                <w:rFonts w:ascii="Times New Roman" w:hAnsi="Times New Roman"/>
                <w:lang w:bidi="ar"/>
              </w:rPr>
            </w:pPr>
            <w:r>
              <w:rPr>
                <w:rFonts w:ascii="Times New Roman" w:hAnsi="Times New Roman"/>
              </w:rPr>
              <w:t>27.8</w:t>
            </w:r>
          </w:p>
        </w:tc>
        <w:tc>
          <w:tcPr>
            <w:tcW w:w="910" w:type="dxa"/>
            <w:vAlign w:val="center"/>
          </w:tcPr>
          <w:p>
            <w:pPr>
              <w:widowControl/>
              <w:jc w:val="center"/>
              <w:textAlignment w:val="bottom"/>
              <w:rPr>
                <w:rFonts w:ascii="Times New Roman" w:hAnsi="Times New Roman"/>
                <w:lang w:bidi="ar"/>
              </w:rPr>
            </w:pPr>
            <w:r>
              <w:rPr>
                <w:rFonts w:ascii="Times New Roman" w:hAnsi="Times New Roman"/>
              </w:rPr>
              <w:t>0</w:t>
            </w:r>
          </w:p>
        </w:tc>
        <w:tc>
          <w:tcPr>
            <w:tcW w:w="910" w:type="dxa"/>
            <w:vAlign w:val="center"/>
          </w:tcPr>
          <w:p>
            <w:pPr>
              <w:widowControl/>
              <w:jc w:val="center"/>
              <w:textAlignment w:val="bottom"/>
              <w:rPr>
                <w:rFonts w:ascii="Times New Roman" w:hAnsi="Times New Roman"/>
                <w:lang w:bidi="ar"/>
              </w:rPr>
            </w:pPr>
            <w:r>
              <w:rPr>
                <w:rFonts w:ascii="Times New Roman" w:hAnsi="Times New Roman"/>
              </w:rPr>
              <w:t>65.66</w:t>
            </w:r>
          </w:p>
        </w:tc>
        <w:tc>
          <w:tcPr>
            <w:tcW w:w="910" w:type="dxa"/>
            <w:vAlign w:val="center"/>
          </w:tcPr>
          <w:p>
            <w:pPr>
              <w:widowControl/>
              <w:jc w:val="center"/>
              <w:textAlignment w:val="bottom"/>
              <w:rPr>
                <w:rFonts w:ascii="Times New Roman" w:hAnsi="Times New Roman"/>
                <w:lang w:bidi="ar"/>
              </w:rPr>
            </w:pPr>
            <w:r>
              <w:rPr>
                <w:rFonts w:ascii="Times New Roman" w:hAnsi="Times New Roman"/>
              </w:rPr>
              <w:t>9.81</w:t>
            </w:r>
          </w:p>
        </w:tc>
        <w:tc>
          <w:tcPr>
            <w:tcW w:w="910" w:type="dxa"/>
            <w:vAlign w:val="center"/>
          </w:tcPr>
          <w:p>
            <w:pPr>
              <w:widowControl/>
              <w:jc w:val="center"/>
              <w:textAlignment w:val="bottom"/>
              <w:rPr>
                <w:rFonts w:ascii="Times New Roman" w:hAnsi="Times New Roman"/>
                <w:lang w:bidi="ar"/>
              </w:rPr>
            </w:pPr>
            <w:r>
              <w:rPr>
                <w:rFonts w:ascii="Times New Roman" w:hAnsi="Times New Roman"/>
              </w:rPr>
              <w:t>15.2</w:t>
            </w:r>
          </w:p>
        </w:tc>
        <w:tc>
          <w:tcPr>
            <w:tcW w:w="910" w:type="dxa"/>
            <w:vAlign w:val="bottom"/>
          </w:tcPr>
          <w:p>
            <w:pPr>
              <w:widowControl/>
              <w:jc w:val="center"/>
              <w:textAlignment w:val="bottom"/>
              <w:rPr>
                <w:rFonts w:ascii="Times New Roman" w:hAnsi="Times New Roman"/>
                <w:lang w:bidi="ar"/>
              </w:rPr>
            </w:pPr>
            <w:r>
              <w:rPr>
                <w:rFonts w:ascii="Times New Roman" w:hAnsi="Times New Roman"/>
              </w:rPr>
              <w:t>90.67</w:t>
            </w:r>
          </w:p>
        </w:tc>
        <w:tc>
          <w:tcPr>
            <w:tcW w:w="1981" w:type="dxa"/>
            <w:vMerge w:val="restart"/>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HCO</w:t>
            </w:r>
            <w:r>
              <w:rPr>
                <w:rFonts w:ascii="Times New Roman" w:hAnsi="Times New Roman"/>
                <w:snapToGrid w:val="0"/>
                <w:spacing w:val="16"/>
                <w:vertAlign w:val="subscript"/>
              </w:rPr>
              <w:t>3</w:t>
            </w:r>
            <w:r>
              <w:rPr>
                <w:rFonts w:ascii="Times New Roman" w:hAnsi="Times New Roman"/>
                <w:snapToGrid w:val="0"/>
                <w:spacing w:val="16"/>
                <w:vertAlign w:val="superscript"/>
              </w:rPr>
              <w:t>-</w:t>
            </w:r>
            <w:r>
              <w:rPr>
                <w:rFonts w:ascii="Times New Roman" w:hAnsi="Times New Roman"/>
              </w:rPr>
              <w:t>—</w:t>
            </w:r>
            <w:r>
              <w:rPr>
                <w:rFonts w:ascii="Times New Roman" w:hAnsi="Times New Roman"/>
                <w:snapToGrid w:val="0"/>
                <w:spacing w:val="16"/>
              </w:rPr>
              <w:t>Ca</w:t>
            </w:r>
            <w:r>
              <w:rPr>
                <w:rFonts w:ascii="Times New Roman" w:hAnsi="Times New Roman"/>
                <w:snapToGrid w:val="0"/>
                <w:spacing w:val="16"/>
                <w:vertAlign w:val="superscript"/>
              </w:rPr>
              <w:t>2+</w:t>
            </w:r>
            <w:r>
              <w:rPr>
                <w:rFonts w:ascii="Times New Roman" w:hAnsi="Times New Roman"/>
                <w:snapToGrid w:val="0"/>
                <w:spacing w:val="16"/>
              </w:rPr>
              <w:t>，Mg</w:t>
            </w:r>
            <w:r>
              <w:rPr>
                <w:rFonts w:ascii="Times New Roman" w:hAnsi="Times New Roman"/>
                <w:snapToGrid w:val="0"/>
                <w:spacing w:val="16"/>
                <w:vertAlign w:val="superscript"/>
              </w:rPr>
              <w:t>2+</w:t>
            </w:r>
          </w:p>
        </w:tc>
        <w:tc>
          <w:tcPr>
            <w:tcW w:w="1055" w:type="dxa"/>
            <w:vMerge w:val="restart"/>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-2.07</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8" w:type="dxa"/>
            <w:bottom w:w="0" w:type="dxa"/>
            <w:right w:w="28" w:type="dxa"/>
          </w:tblCellMar>
        </w:tblPrEx>
        <w:trPr>
          <w:trHeight w:val="20" w:hRule="atLeast"/>
          <w:jc w:val="center"/>
        </w:trPr>
        <w:tc>
          <w:tcPr>
            <w:tcW w:w="910" w:type="dxa"/>
            <w:vMerge w:val="continue"/>
            <w:vAlign w:val="center"/>
          </w:tcPr>
          <w:p>
            <w:pPr>
              <w:autoSpaceDE w:val="0"/>
              <w:autoSpaceDN w:val="0"/>
              <w:jc w:val="center"/>
              <w:textAlignment w:val="bottom"/>
              <w:rPr>
                <w:rFonts w:ascii="Times New Roman" w:hAnsi="Times New Roman"/>
                <w:snapToGrid w:val="0"/>
                <w:spacing w:val="16"/>
              </w:rPr>
            </w:pPr>
          </w:p>
        </w:tc>
        <w:tc>
          <w:tcPr>
            <w:tcW w:w="911"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meq/l</w:t>
            </w:r>
          </w:p>
        </w:tc>
        <w:tc>
          <w:tcPr>
            <w:tcW w:w="911" w:type="dxa"/>
            <w:vAlign w:val="bottom"/>
          </w:tcPr>
          <w:p>
            <w:pPr>
              <w:widowControl/>
              <w:jc w:val="center"/>
              <w:textAlignment w:val="bottom"/>
              <w:rPr>
                <w:rFonts w:ascii="Times New Roman" w:hAnsi="Times New Roman"/>
                <w:lang w:bidi="ar"/>
              </w:rPr>
            </w:pPr>
            <w:r>
              <w:rPr>
                <w:rFonts w:ascii="Times New Roman" w:hAnsi="Times New Roman"/>
              </w:rPr>
              <w:t>0.04</w:t>
            </w:r>
          </w:p>
        </w:tc>
        <w:tc>
          <w:tcPr>
            <w:tcW w:w="910" w:type="dxa"/>
            <w:vAlign w:val="bottom"/>
          </w:tcPr>
          <w:p>
            <w:pPr>
              <w:widowControl/>
              <w:jc w:val="center"/>
              <w:textAlignment w:val="bottom"/>
              <w:rPr>
                <w:rFonts w:ascii="Times New Roman" w:hAnsi="Times New Roman"/>
                <w:lang w:bidi="ar"/>
              </w:rPr>
            </w:pPr>
            <w:r>
              <w:rPr>
                <w:rFonts w:ascii="Times New Roman" w:hAnsi="Times New Roman"/>
              </w:rPr>
              <w:t>0.39</w:t>
            </w:r>
          </w:p>
        </w:tc>
        <w:tc>
          <w:tcPr>
            <w:tcW w:w="910" w:type="dxa"/>
            <w:vAlign w:val="bottom"/>
          </w:tcPr>
          <w:p>
            <w:pPr>
              <w:widowControl/>
              <w:jc w:val="center"/>
              <w:textAlignment w:val="bottom"/>
              <w:rPr>
                <w:rFonts w:ascii="Times New Roman" w:hAnsi="Times New Roman"/>
                <w:lang w:bidi="ar"/>
              </w:rPr>
            </w:pPr>
            <w:r>
              <w:rPr>
                <w:rFonts w:ascii="Times New Roman" w:hAnsi="Times New Roman"/>
              </w:rPr>
              <w:t>0.38</w:t>
            </w:r>
          </w:p>
        </w:tc>
        <w:tc>
          <w:tcPr>
            <w:tcW w:w="910" w:type="dxa"/>
            <w:vAlign w:val="bottom"/>
          </w:tcPr>
          <w:p>
            <w:pPr>
              <w:widowControl/>
              <w:jc w:val="center"/>
              <w:textAlignment w:val="bottom"/>
              <w:rPr>
                <w:rFonts w:ascii="Times New Roman" w:hAnsi="Times New Roman"/>
                <w:lang w:bidi="ar"/>
              </w:rPr>
            </w:pPr>
            <w:r>
              <w:rPr>
                <w:rFonts w:ascii="Times New Roman" w:hAnsi="Times New Roman"/>
              </w:rPr>
              <w:t>0.79</w:t>
            </w:r>
          </w:p>
        </w:tc>
        <w:tc>
          <w:tcPr>
            <w:tcW w:w="910" w:type="dxa"/>
            <w:vAlign w:val="bottom"/>
          </w:tcPr>
          <w:p>
            <w:pPr>
              <w:widowControl/>
              <w:jc w:val="center"/>
              <w:textAlignment w:val="bottom"/>
              <w:rPr>
                <w:rFonts w:ascii="Times New Roman" w:hAnsi="Times New Roman"/>
                <w:lang w:bidi="ar"/>
              </w:rPr>
            </w:pPr>
            <w:r>
              <w:rPr>
                <w:rFonts w:ascii="Times New Roman" w:hAnsi="Times New Roman"/>
              </w:rPr>
              <w:t>1.60</w:t>
            </w:r>
          </w:p>
        </w:tc>
        <w:tc>
          <w:tcPr>
            <w:tcW w:w="910" w:type="dxa"/>
            <w:vAlign w:val="bottom"/>
          </w:tcPr>
          <w:p>
            <w:pPr>
              <w:widowControl/>
              <w:jc w:val="center"/>
              <w:textAlignment w:val="bottom"/>
              <w:rPr>
                <w:rFonts w:ascii="Times New Roman" w:hAnsi="Times New Roman"/>
                <w:lang w:bidi="ar"/>
              </w:rPr>
            </w:pPr>
            <w:r>
              <w:rPr>
                <w:rFonts w:ascii="Times New Roman" w:hAnsi="Times New Roman"/>
              </w:rPr>
              <w:t>0.00</w:t>
            </w:r>
          </w:p>
        </w:tc>
        <w:tc>
          <w:tcPr>
            <w:tcW w:w="910" w:type="dxa"/>
            <w:vAlign w:val="bottom"/>
          </w:tcPr>
          <w:p>
            <w:pPr>
              <w:widowControl/>
              <w:jc w:val="center"/>
              <w:textAlignment w:val="bottom"/>
              <w:rPr>
                <w:rFonts w:ascii="Times New Roman" w:hAnsi="Times New Roman"/>
                <w:lang w:bidi="ar"/>
              </w:rPr>
            </w:pPr>
            <w:r>
              <w:rPr>
                <w:rFonts w:ascii="Times New Roman" w:hAnsi="Times New Roman"/>
              </w:rPr>
              <w:t>1.08</w:t>
            </w:r>
          </w:p>
        </w:tc>
        <w:tc>
          <w:tcPr>
            <w:tcW w:w="910" w:type="dxa"/>
            <w:vAlign w:val="bottom"/>
          </w:tcPr>
          <w:p>
            <w:pPr>
              <w:widowControl/>
              <w:jc w:val="center"/>
              <w:textAlignment w:val="bottom"/>
              <w:rPr>
                <w:rFonts w:ascii="Times New Roman" w:hAnsi="Times New Roman"/>
                <w:lang w:bidi="ar"/>
              </w:rPr>
            </w:pPr>
            <w:r>
              <w:rPr>
                <w:rFonts w:ascii="Times New Roman" w:hAnsi="Times New Roman"/>
              </w:rPr>
              <w:t>0.28</w:t>
            </w:r>
          </w:p>
        </w:tc>
        <w:tc>
          <w:tcPr>
            <w:tcW w:w="910" w:type="dxa"/>
            <w:vAlign w:val="bottom"/>
          </w:tcPr>
          <w:p>
            <w:pPr>
              <w:widowControl/>
              <w:jc w:val="center"/>
              <w:textAlignment w:val="bottom"/>
              <w:rPr>
                <w:rFonts w:ascii="Times New Roman" w:hAnsi="Times New Roman"/>
                <w:lang w:bidi="ar"/>
              </w:rPr>
            </w:pPr>
            <w:r>
              <w:rPr>
                <w:rFonts w:ascii="Times New Roman" w:hAnsi="Times New Roman"/>
              </w:rPr>
              <w:t>0.32</w:t>
            </w:r>
          </w:p>
        </w:tc>
        <w:tc>
          <w:tcPr>
            <w:tcW w:w="910" w:type="dxa"/>
            <w:vAlign w:val="bottom"/>
          </w:tcPr>
          <w:p>
            <w:pPr>
              <w:widowControl/>
              <w:jc w:val="center"/>
              <w:textAlignment w:val="bottom"/>
              <w:rPr>
                <w:rFonts w:ascii="Times New Roman" w:hAnsi="Times New Roman"/>
                <w:lang w:bidi="ar"/>
              </w:rPr>
            </w:pPr>
            <w:r>
              <w:rPr>
                <w:rFonts w:ascii="Times New Roman" w:hAnsi="Times New Roman"/>
              </w:rPr>
              <w:t>1.67</w:t>
            </w:r>
          </w:p>
        </w:tc>
        <w:tc>
          <w:tcPr>
            <w:tcW w:w="1981" w:type="dxa"/>
            <w:vMerge w:val="continue"/>
            <w:vAlign w:val="center"/>
          </w:tcPr>
          <w:p>
            <w:pPr>
              <w:autoSpaceDE w:val="0"/>
              <w:autoSpaceDN w:val="0"/>
              <w:jc w:val="center"/>
              <w:textAlignment w:val="bottom"/>
              <w:rPr>
                <w:rFonts w:ascii="Times New Roman" w:hAnsi="Times New Roman"/>
                <w:snapToGrid w:val="0"/>
                <w:spacing w:val="16"/>
              </w:rPr>
            </w:pPr>
          </w:p>
        </w:tc>
        <w:tc>
          <w:tcPr>
            <w:tcW w:w="1055" w:type="dxa"/>
            <w:vMerge w:val="continue"/>
            <w:vAlign w:val="center"/>
          </w:tcPr>
          <w:p>
            <w:pPr>
              <w:autoSpaceDE w:val="0"/>
              <w:autoSpaceDN w:val="0"/>
              <w:jc w:val="center"/>
              <w:textAlignment w:val="bottom"/>
              <w:rPr>
                <w:rFonts w:ascii="Times New Roman" w:hAnsi="Times New Roman"/>
                <w:snapToGrid w:val="0"/>
                <w:spacing w:val="16"/>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8" w:type="dxa"/>
            <w:bottom w:w="0" w:type="dxa"/>
            <w:right w:w="28" w:type="dxa"/>
          </w:tblCellMar>
        </w:tblPrEx>
        <w:trPr>
          <w:trHeight w:val="20" w:hRule="atLeast"/>
          <w:jc w:val="center"/>
        </w:trPr>
        <w:tc>
          <w:tcPr>
            <w:tcW w:w="910" w:type="dxa"/>
            <w:vMerge w:val="continue"/>
            <w:vAlign w:val="center"/>
          </w:tcPr>
          <w:p>
            <w:pPr>
              <w:autoSpaceDE w:val="0"/>
              <w:autoSpaceDN w:val="0"/>
              <w:jc w:val="center"/>
              <w:textAlignment w:val="bottom"/>
              <w:rPr>
                <w:rFonts w:ascii="Times New Roman" w:hAnsi="Times New Roman"/>
                <w:snapToGrid w:val="0"/>
                <w:spacing w:val="16"/>
              </w:rPr>
            </w:pPr>
          </w:p>
        </w:tc>
        <w:tc>
          <w:tcPr>
            <w:tcW w:w="911"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meq%</w:t>
            </w:r>
          </w:p>
        </w:tc>
        <w:tc>
          <w:tcPr>
            <w:tcW w:w="911" w:type="dxa"/>
            <w:vAlign w:val="bottom"/>
          </w:tcPr>
          <w:p>
            <w:pPr>
              <w:widowControl/>
              <w:jc w:val="center"/>
              <w:textAlignment w:val="bottom"/>
              <w:rPr>
                <w:rFonts w:ascii="Times New Roman" w:hAnsi="Times New Roman"/>
                <w:lang w:bidi="ar"/>
              </w:rPr>
            </w:pPr>
            <w:r>
              <w:rPr>
                <w:rFonts w:ascii="Times New Roman" w:hAnsi="Times New Roman"/>
              </w:rPr>
              <w:t>2.48</w:t>
            </w:r>
          </w:p>
        </w:tc>
        <w:tc>
          <w:tcPr>
            <w:tcW w:w="910" w:type="dxa"/>
            <w:vAlign w:val="bottom"/>
          </w:tcPr>
          <w:p>
            <w:pPr>
              <w:widowControl/>
              <w:jc w:val="center"/>
              <w:textAlignment w:val="bottom"/>
              <w:rPr>
                <w:rFonts w:ascii="Times New Roman" w:hAnsi="Times New Roman"/>
                <w:lang w:bidi="ar"/>
              </w:rPr>
            </w:pPr>
            <w:r>
              <w:rPr>
                <w:rFonts w:ascii="Times New Roman" w:hAnsi="Times New Roman"/>
              </w:rPr>
              <w:t>24.54</w:t>
            </w:r>
          </w:p>
        </w:tc>
        <w:tc>
          <w:tcPr>
            <w:tcW w:w="910" w:type="dxa"/>
            <w:vAlign w:val="bottom"/>
          </w:tcPr>
          <w:p>
            <w:pPr>
              <w:widowControl/>
              <w:jc w:val="center"/>
              <w:textAlignment w:val="bottom"/>
              <w:rPr>
                <w:rFonts w:ascii="Times New Roman" w:hAnsi="Times New Roman"/>
                <w:lang w:bidi="ar"/>
              </w:rPr>
            </w:pPr>
            <w:r>
              <w:rPr>
                <w:rFonts w:ascii="Times New Roman" w:hAnsi="Times New Roman"/>
              </w:rPr>
              <w:t>23.91</w:t>
            </w:r>
          </w:p>
        </w:tc>
        <w:tc>
          <w:tcPr>
            <w:tcW w:w="910" w:type="dxa"/>
            <w:vAlign w:val="bottom"/>
          </w:tcPr>
          <w:p>
            <w:pPr>
              <w:widowControl/>
              <w:jc w:val="center"/>
              <w:textAlignment w:val="bottom"/>
              <w:rPr>
                <w:rFonts w:ascii="Times New Roman" w:hAnsi="Times New Roman"/>
                <w:lang w:bidi="ar"/>
              </w:rPr>
            </w:pPr>
            <w:r>
              <w:rPr>
                <w:rFonts w:ascii="Times New Roman" w:hAnsi="Times New Roman"/>
              </w:rPr>
              <w:t>49.07</w:t>
            </w:r>
          </w:p>
        </w:tc>
        <w:tc>
          <w:tcPr>
            <w:tcW w:w="910" w:type="dxa"/>
            <w:vAlign w:val="bottom"/>
          </w:tcPr>
          <w:p>
            <w:pPr>
              <w:widowControl/>
              <w:jc w:val="center"/>
              <w:textAlignment w:val="bottom"/>
              <w:rPr>
                <w:rFonts w:ascii="Times New Roman" w:hAnsi="Times New Roman"/>
                <w:lang w:bidi="ar"/>
              </w:rPr>
            </w:pPr>
            <w:r>
              <w:rPr>
                <w:rFonts w:ascii="Times New Roman" w:hAnsi="Times New Roman"/>
              </w:rPr>
              <w:t>100.00</w:t>
            </w:r>
          </w:p>
        </w:tc>
        <w:tc>
          <w:tcPr>
            <w:tcW w:w="910" w:type="dxa"/>
            <w:vAlign w:val="bottom"/>
          </w:tcPr>
          <w:p>
            <w:pPr>
              <w:widowControl/>
              <w:jc w:val="center"/>
              <w:textAlignment w:val="bottom"/>
              <w:rPr>
                <w:rFonts w:ascii="Times New Roman" w:hAnsi="Times New Roman"/>
                <w:lang w:bidi="ar"/>
              </w:rPr>
            </w:pPr>
            <w:r>
              <w:rPr>
                <w:rFonts w:ascii="Times New Roman" w:hAnsi="Times New Roman"/>
              </w:rPr>
              <w:t>0.00</w:t>
            </w:r>
          </w:p>
        </w:tc>
        <w:tc>
          <w:tcPr>
            <w:tcW w:w="910" w:type="dxa"/>
            <w:vAlign w:val="bottom"/>
          </w:tcPr>
          <w:p>
            <w:pPr>
              <w:widowControl/>
              <w:jc w:val="center"/>
              <w:textAlignment w:val="bottom"/>
              <w:rPr>
                <w:rFonts w:ascii="Times New Roman" w:hAnsi="Times New Roman"/>
                <w:lang w:bidi="ar"/>
              </w:rPr>
            </w:pPr>
            <w:r>
              <w:rPr>
                <w:rFonts w:ascii="Times New Roman" w:hAnsi="Times New Roman"/>
              </w:rPr>
              <w:t>64.48</w:t>
            </w:r>
          </w:p>
        </w:tc>
        <w:tc>
          <w:tcPr>
            <w:tcW w:w="910" w:type="dxa"/>
            <w:vAlign w:val="bottom"/>
          </w:tcPr>
          <w:p>
            <w:pPr>
              <w:widowControl/>
              <w:jc w:val="center"/>
              <w:textAlignment w:val="bottom"/>
              <w:rPr>
                <w:rFonts w:ascii="Times New Roman" w:hAnsi="Times New Roman"/>
                <w:lang w:bidi="ar"/>
              </w:rPr>
            </w:pPr>
            <w:r>
              <w:rPr>
                <w:rFonts w:ascii="Times New Roman" w:hAnsi="Times New Roman"/>
              </w:rPr>
              <w:t>16.55</w:t>
            </w:r>
          </w:p>
        </w:tc>
        <w:tc>
          <w:tcPr>
            <w:tcW w:w="910" w:type="dxa"/>
            <w:vAlign w:val="bottom"/>
          </w:tcPr>
          <w:p>
            <w:pPr>
              <w:widowControl/>
              <w:jc w:val="center"/>
              <w:textAlignment w:val="bottom"/>
              <w:rPr>
                <w:rFonts w:ascii="Times New Roman" w:hAnsi="Times New Roman"/>
                <w:lang w:bidi="ar"/>
              </w:rPr>
            </w:pPr>
            <w:r>
              <w:rPr>
                <w:rFonts w:ascii="Times New Roman" w:hAnsi="Times New Roman"/>
              </w:rPr>
              <w:t>18.97</w:t>
            </w:r>
          </w:p>
        </w:tc>
        <w:tc>
          <w:tcPr>
            <w:tcW w:w="910" w:type="dxa"/>
            <w:vAlign w:val="bottom"/>
          </w:tcPr>
          <w:p>
            <w:pPr>
              <w:widowControl/>
              <w:jc w:val="center"/>
              <w:textAlignment w:val="bottom"/>
              <w:rPr>
                <w:rFonts w:ascii="Times New Roman" w:hAnsi="Times New Roman"/>
                <w:lang w:bidi="ar"/>
              </w:rPr>
            </w:pPr>
            <w:r>
              <w:rPr>
                <w:rFonts w:ascii="Times New Roman" w:hAnsi="Times New Roman"/>
              </w:rPr>
              <w:t>100.00</w:t>
            </w:r>
          </w:p>
        </w:tc>
        <w:tc>
          <w:tcPr>
            <w:tcW w:w="1981" w:type="dxa"/>
            <w:vMerge w:val="continue"/>
            <w:vAlign w:val="center"/>
          </w:tcPr>
          <w:p>
            <w:pPr>
              <w:autoSpaceDE w:val="0"/>
              <w:autoSpaceDN w:val="0"/>
              <w:jc w:val="center"/>
              <w:textAlignment w:val="bottom"/>
              <w:rPr>
                <w:rFonts w:ascii="Times New Roman" w:hAnsi="Times New Roman"/>
                <w:snapToGrid w:val="0"/>
                <w:spacing w:val="16"/>
              </w:rPr>
            </w:pPr>
          </w:p>
        </w:tc>
        <w:tc>
          <w:tcPr>
            <w:tcW w:w="1055" w:type="dxa"/>
            <w:vMerge w:val="continue"/>
            <w:vAlign w:val="center"/>
          </w:tcPr>
          <w:p>
            <w:pPr>
              <w:autoSpaceDE w:val="0"/>
              <w:autoSpaceDN w:val="0"/>
              <w:jc w:val="center"/>
              <w:textAlignment w:val="bottom"/>
              <w:rPr>
                <w:rFonts w:ascii="Times New Roman" w:hAnsi="Times New Roman"/>
                <w:snapToGrid w:val="0"/>
                <w:spacing w:val="16"/>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8" w:type="dxa"/>
            <w:bottom w:w="0" w:type="dxa"/>
            <w:right w:w="28" w:type="dxa"/>
          </w:tblCellMar>
        </w:tblPrEx>
        <w:trPr>
          <w:trHeight w:val="20" w:hRule="atLeast"/>
          <w:jc w:val="center"/>
        </w:trPr>
        <w:tc>
          <w:tcPr>
            <w:tcW w:w="910" w:type="dxa"/>
            <w:vMerge w:val="restart"/>
            <w:vAlign w:val="center"/>
          </w:tcPr>
          <w:p>
            <w:pPr>
              <w:autoSpaceDE w:val="0"/>
              <w:autoSpaceDN w:val="0"/>
              <w:jc w:val="center"/>
              <w:textAlignment w:val="bottom"/>
              <w:rPr>
                <w:rFonts w:ascii="Times New Roman" w:hAnsi="Times New Roman"/>
              </w:rPr>
            </w:pPr>
            <w:r>
              <w:rPr>
                <w:rFonts w:ascii="Times New Roman" w:hAnsi="Times New Roman"/>
                <w:snapToGrid w:val="0"/>
                <w:spacing w:val="16"/>
              </w:rPr>
              <w:t>6#</w:t>
            </w:r>
          </w:p>
        </w:tc>
        <w:tc>
          <w:tcPr>
            <w:tcW w:w="911"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mg/l</w:t>
            </w:r>
          </w:p>
        </w:tc>
        <w:tc>
          <w:tcPr>
            <w:tcW w:w="911" w:type="dxa"/>
            <w:vAlign w:val="center"/>
          </w:tcPr>
          <w:p>
            <w:pPr>
              <w:widowControl/>
              <w:jc w:val="center"/>
              <w:textAlignment w:val="bottom"/>
              <w:rPr>
                <w:rFonts w:ascii="Times New Roman" w:hAnsi="Times New Roman"/>
                <w:lang w:bidi="ar"/>
              </w:rPr>
            </w:pPr>
            <w:r>
              <w:rPr>
                <w:rFonts w:ascii="Times New Roman" w:hAnsi="Times New Roman"/>
              </w:rPr>
              <w:t>1.37</w:t>
            </w:r>
          </w:p>
        </w:tc>
        <w:tc>
          <w:tcPr>
            <w:tcW w:w="910" w:type="dxa"/>
            <w:vAlign w:val="center"/>
          </w:tcPr>
          <w:p>
            <w:pPr>
              <w:widowControl/>
              <w:jc w:val="center"/>
              <w:textAlignment w:val="bottom"/>
              <w:rPr>
                <w:rFonts w:ascii="Times New Roman" w:hAnsi="Times New Roman"/>
                <w:lang w:bidi="ar"/>
              </w:rPr>
            </w:pPr>
            <w:r>
              <w:rPr>
                <w:rFonts w:ascii="Times New Roman" w:hAnsi="Times New Roman"/>
              </w:rPr>
              <w:t>8.96</w:t>
            </w:r>
          </w:p>
        </w:tc>
        <w:tc>
          <w:tcPr>
            <w:tcW w:w="910" w:type="dxa"/>
            <w:vAlign w:val="center"/>
          </w:tcPr>
          <w:p>
            <w:pPr>
              <w:widowControl/>
              <w:jc w:val="center"/>
              <w:textAlignment w:val="bottom"/>
              <w:rPr>
                <w:rFonts w:ascii="Times New Roman" w:hAnsi="Times New Roman"/>
                <w:lang w:bidi="ar"/>
              </w:rPr>
            </w:pPr>
            <w:r>
              <w:rPr>
                <w:rFonts w:ascii="Times New Roman" w:hAnsi="Times New Roman"/>
              </w:rPr>
              <w:t>10.8</w:t>
            </w:r>
          </w:p>
        </w:tc>
        <w:tc>
          <w:tcPr>
            <w:tcW w:w="910" w:type="dxa"/>
            <w:vAlign w:val="center"/>
          </w:tcPr>
          <w:p>
            <w:pPr>
              <w:widowControl/>
              <w:jc w:val="center"/>
              <w:textAlignment w:val="bottom"/>
              <w:rPr>
                <w:rFonts w:ascii="Times New Roman" w:hAnsi="Times New Roman"/>
                <w:lang w:bidi="ar"/>
              </w:rPr>
            </w:pPr>
            <w:r>
              <w:rPr>
                <w:rFonts w:ascii="Times New Roman" w:hAnsi="Times New Roman"/>
              </w:rPr>
              <w:t>11.7</w:t>
            </w:r>
          </w:p>
        </w:tc>
        <w:tc>
          <w:tcPr>
            <w:tcW w:w="910" w:type="dxa"/>
            <w:vAlign w:val="bottom"/>
          </w:tcPr>
          <w:p>
            <w:pPr>
              <w:widowControl/>
              <w:jc w:val="center"/>
              <w:textAlignment w:val="bottom"/>
              <w:rPr>
                <w:rFonts w:ascii="Times New Roman" w:hAnsi="Times New Roman"/>
                <w:lang w:bidi="ar"/>
              </w:rPr>
            </w:pPr>
            <w:r>
              <w:rPr>
                <w:rFonts w:ascii="Times New Roman" w:hAnsi="Times New Roman"/>
              </w:rPr>
              <w:t>32.83</w:t>
            </w:r>
          </w:p>
        </w:tc>
        <w:tc>
          <w:tcPr>
            <w:tcW w:w="910" w:type="dxa"/>
            <w:vAlign w:val="center"/>
          </w:tcPr>
          <w:p>
            <w:pPr>
              <w:widowControl/>
              <w:jc w:val="center"/>
              <w:textAlignment w:val="bottom"/>
              <w:rPr>
                <w:rFonts w:ascii="Times New Roman" w:hAnsi="Times New Roman"/>
                <w:lang w:bidi="ar"/>
              </w:rPr>
            </w:pPr>
            <w:r>
              <w:rPr>
                <w:rFonts w:ascii="Times New Roman" w:hAnsi="Times New Roman"/>
              </w:rPr>
              <w:t>0</w:t>
            </w:r>
          </w:p>
        </w:tc>
        <w:tc>
          <w:tcPr>
            <w:tcW w:w="910" w:type="dxa"/>
            <w:vAlign w:val="center"/>
          </w:tcPr>
          <w:p>
            <w:pPr>
              <w:widowControl/>
              <w:jc w:val="center"/>
              <w:textAlignment w:val="bottom"/>
              <w:rPr>
                <w:rFonts w:ascii="Times New Roman" w:hAnsi="Times New Roman"/>
                <w:lang w:bidi="ar"/>
              </w:rPr>
            </w:pPr>
            <w:r>
              <w:rPr>
                <w:rFonts w:ascii="Times New Roman" w:hAnsi="Times New Roman"/>
              </w:rPr>
              <w:t>71.28</w:t>
            </w:r>
          </w:p>
        </w:tc>
        <w:tc>
          <w:tcPr>
            <w:tcW w:w="910" w:type="dxa"/>
            <w:vAlign w:val="center"/>
          </w:tcPr>
          <w:p>
            <w:pPr>
              <w:widowControl/>
              <w:jc w:val="center"/>
              <w:textAlignment w:val="bottom"/>
              <w:rPr>
                <w:rFonts w:ascii="Times New Roman" w:hAnsi="Times New Roman"/>
                <w:lang w:bidi="ar"/>
              </w:rPr>
            </w:pPr>
            <w:r>
              <w:rPr>
                <w:rFonts w:ascii="Times New Roman" w:hAnsi="Times New Roman"/>
              </w:rPr>
              <w:t>11.2</w:t>
            </w:r>
          </w:p>
        </w:tc>
        <w:tc>
          <w:tcPr>
            <w:tcW w:w="910" w:type="dxa"/>
            <w:vAlign w:val="center"/>
          </w:tcPr>
          <w:p>
            <w:pPr>
              <w:widowControl/>
              <w:jc w:val="center"/>
              <w:textAlignment w:val="bottom"/>
              <w:rPr>
                <w:rFonts w:ascii="Times New Roman" w:hAnsi="Times New Roman"/>
                <w:lang w:bidi="ar"/>
              </w:rPr>
            </w:pPr>
            <w:r>
              <w:rPr>
                <w:rFonts w:ascii="Times New Roman" w:hAnsi="Times New Roman"/>
              </w:rPr>
              <w:t>13.4</w:t>
            </w:r>
          </w:p>
        </w:tc>
        <w:tc>
          <w:tcPr>
            <w:tcW w:w="910" w:type="dxa"/>
            <w:vAlign w:val="bottom"/>
          </w:tcPr>
          <w:p>
            <w:pPr>
              <w:widowControl/>
              <w:jc w:val="center"/>
              <w:textAlignment w:val="bottom"/>
              <w:rPr>
                <w:rFonts w:ascii="Times New Roman" w:hAnsi="Times New Roman"/>
                <w:lang w:bidi="ar"/>
              </w:rPr>
            </w:pPr>
            <w:r>
              <w:rPr>
                <w:rFonts w:ascii="Times New Roman" w:hAnsi="Times New Roman"/>
              </w:rPr>
              <w:t>95.88</w:t>
            </w:r>
          </w:p>
        </w:tc>
        <w:tc>
          <w:tcPr>
            <w:tcW w:w="1981" w:type="dxa"/>
            <w:vMerge w:val="restart"/>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HCO</w:t>
            </w:r>
            <w:r>
              <w:rPr>
                <w:rFonts w:ascii="Times New Roman" w:hAnsi="Times New Roman"/>
                <w:snapToGrid w:val="0"/>
                <w:spacing w:val="16"/>
                <w:vertAlign w:val="subscript"/>
              </w:rPr>
              <w:t>3</w:t>
            </w:r>
            <w:r>
              <w:rPr>
                <w:rFonts w:ascii="Times New Roman" w:hAnsi="Times New Roman"/>
                <w:snapToGrid w:val="0"/>
                <w:spacing w:val="16"/>
                <w:vertAlign w:val="superscript"/>
              </w:rPr>
              <w:t>-</w:t>
            </w:r>
            <w:r>
              <w:rPr>
                <w:rFonts w:ascii="Times New Roman" w:hAnsi="Times New Roman"/>
              </w:rPr>
              <w:t>—</w:t>
            </w:r>
            <w:r>
              <w:rPr>
                <w:rFonts w:ascii="Times New Roman" w:hAnsi="Times New Roman"/>
                <w:snapToGrid w:val="0"/>
                <w:spacing w:val="16"/>
              </w:rPr>
              <w:t>Ca</w:t>
            </w:r>
            <w:r>
              <w:rPr>
                <w:rFonts w:ascii="Times New Roman" w:hAnsi="Times New Roman"/>
                <w:snapToGrid w:val="0"/>
                <w:spacing w:val="16"/>
                <w:vertAlign w:val="superscript"/>
              </w:rPr>
              <w:t>2+</w:t>
            </w:r>
            <w:r>
              <w:rPr>
                <w:rFonts w:ascii="Times New Roman" w:hAnsi="Times New Roman"/>
                <w:snapToGrid w:val="0"/>
                <w:spacing w:val="16"/>
              </w:rPr>
              <w:t>，Mg</w:t>
            </w:r>
            <w:r>
              <w:rPr>
                <w:rFonts w:ascii="Times New Roman" w:hAnsi="Times New Roman"/>
                <w:snapToGrid w:val="0"/>
                <w:spacing w:val="16"/>
                <w:vertAlign w:val="superscript"/>
              </w:rPr>
              <w:t>2+</w:t>
            </w:r>
          </w:p>
        </w:tc>
        <w:tc>
          <w:tcPr>
            <w:tcW w:w="1055" w:type="dxa"/>
            <w:vMerge w:val="restart"/>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4.45</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8" w:type="dxa"/>
            <w:bottom w:w="0" w:type="dxa"/>
            <w:right w:w="28" w:type="dxa"/>
          </w:tblCellMar>
        </w:tblPrEx>
        <w:trPr>
          <w:trHeight w:val="20" w:hRule="atLeast"/>
          <w:jc w:val="center"/>
        </w:trPr>
        <w:tc>
          <w:tcPr>
            <w:tcW w:w="910" w:type="dxa"/>
            <w:vMerge w:val="continue"/>
            <w:vAlign w:val="center"/>
          </w:tcPr>
          <w:p>
            <w:pPr>
              <w:autoSpaceDE w:val="0"/>
              <w:autoSpaceDN w:val="0"/>
              <w:jc w:val="center"/>
              <w:textAlignment w:val="bottom"/>
              <w:rPr>
                <w:rFonts w:ascii="Times New Roman" w:hAnsi="Times New Roman"/>
                <w:snapToGrid w:val="0"/>
                <w:spacing w:val="16"/>
              </w:rPr>
            </w:pPr>
          </w:p>
        </w:tc>
        <w:tc>
          <w:tcPr>
            <w:tcW w:w="911"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meq/l</w:t>
            </w:r>
          </w:p>
        </w:tc>
        <w:tc>
          <w:tcPr>
            <w:tcW w:w="911" w:type="dxa"/>
            <w:vAlign w:val="bottom"/>
          </w:tcPr>
          <w:p>
            <w:pPr>
              <w:widowControl/>
              <w:jc w:val="center"/>
              <w:textAlignment w:val="bottom"/>
              <w:rPr>
                <w:rFonts w:ascii="Times New Roman" w:hAnsi="Times New Roman"/>
                <w:lang w:bidi="ar"/>
              </w:rPr>
            </w:pPr>
            <w:r>
              <w:rPr>
                <w:rFonts w:ascii="Times New Roman" w:hAnsi="Times New Roman"/>
              </w:rPr>
              <w:t>0.04</w:t>
            </w:r>
          </w:p>
        </w:tc>
        <w:tc>
          <w:tcPr>
            <w:tcW w:w="910" w:type="dxa"/>
            <w:vAlign w:val="bottom"/>
          </w:tcPr>
          <w:p>
            <w:pPr>
              <w:widowControl/>
              <w:jc w:val="center"/>
              <w:textAlignment w:val="bottom"/>
              <w:rPr>
                <w:rFonts w:ascii="Times New Roman" w:hAnsi="Times New Roman"/>
                <w:lang w:bidi="ar"/>
              </w:rPr>
            </w:pPr>
            <w:r>
              <w:rPr>
                <w:rFonts w:ascii="Times New Roman" w:hAnsi="Times New Roman"/>
              </w:rPr>
              <w:t>0.39</w:t>
            </w:r>
          </w:p>
        </w:tc>
        <w:tc>
          <w:tcPr>
            <w:tcW w:w="910" w:type="dxa"/>
            <w:vAlign w:val="bottom"/>
          </w:tcPr>
          <w:p>
            <w:pPr>
              <w:widowControl/>
              <w:jc w:val="center"/>
              <w:textAlignment w:val="bottom"/>
              <w:rPr>
                <w:rFonts w:ascii="Times New Roman" w:hAnsi="Times New Roman"/>
                <w:lang w:bidi="ar"/>
              </w:rPr>
            </w:pPr>
            <w:r>
              <w:rPr>
                <w:rFonts w:ascii="Times New Roman" w:hAnsi="Times New Roman"/>
              </w:rPr>
              <w:t>0.54</w:t>
            </w:r>
          </w:p>
        </w:tc>
        <w:tc>
          <w:tcPr>
            <w:tcW w:w="910" w:type="dxa"/>
            <w:vAlign w:val="bottom"/>
          </w:tcPr>
          <w:p>
            <w:pPr>
              <w:widowControl/>
              <w:jc w:val="center"/>
              <w:textAlignment w:val="bottom"/>
              <w:rPr>
                <w:rFonts w:ascii="Times New Roman" w:hAnsi="Times New Roman"/>
                <w:lang w:bidi="ar"/>
              </w:rPr>
            </w:pPr>
            <w:r>
              <w:rPr>
                <w:rFonts w:ascii="Times New Roman" w:hAnsi="Times New Roman"/>
              </w:rPr>
              <w:t>0.96</w:t>
            </w:r>
          </w:p>
        </w:tc>
        <w:tc>
          <w:tcPr>
            <w:tcW w:w="910" w:type="dxa"/>
            <w:vAlign w:val="bottom"/>
          </w:tcPr>
          <w:p>
            <w:pPr>
              <w:widowControl/>
              <w:jc w:val="center"/>
              <w:textAlignment w:val="bottom"/>
              <w:rPr>
                <w:rFonts w:ascii="Times New Roman" w:hAnsi="Times New Roman"/>
                <w:lang w:bidi="ar"/>
              </w:rPr>
            </w:pPr>
            <w:r>
              <w:rPr>
                <w:rFonts w:ascii="Times New Roman" w:hAnsi="Times New Roman"/>
              </w:rPr>
              <w:t>1.93</w:t>
            </w:r>
          </w:p>
        </w:tc>
        <w:tc>
          <w:tcPr>
            <w:tcW w:w="910" w:type="dxa"/>
            <w:vAlign w:val="bottom"/>
          </w:tcPr>
          <w:p>
            <w:pPr>
              <w:widowControl/>
              <w:jc w:val="center"/>
              <w:textAlignment w:val="bottom"/>
              <w:rPr>
                <w:rFonts w:ascii="Times New Roman" w:hAnsi="Times New Roman"/>
                <w:lang w:bidi="ar"/>
              </w:rPr>
            </w:pPr>
            <w:r>
              <w:rPr>
                <w:rFonts w:ascii="Times New Roman" w:hAnsi="Times New Roman"/>
              </w:rPr>
              <w:t>0.00</w:t>
            </w:r>
          </w:p>
        </w:tc>
        <w:tc>
          <w:tcPr>
            <w:tcW w:w="910" w:type="dxa"/>
            <w:vAlign w:val="bottom"/>
          </w:tcPr>
          <w:p>
            <w:pPr>
              <w:widowControl/>
              <w:jc w:val="center"/>
              <w:textAlignment w:val="bottom"/>
              <w:rPr>
                <w:rFonts w:ascii="Times New Roman" w:hAnsi="Times New Roman"/>
                <w:lang w:bidi="ar"/>
              </w:rPr>
            </w:pPr>
            <w:r>
              <w:rPr>
                <w:rFonts w:ascii="Times New Roman" w:hAnsi="Times New Roman"/>
              </w:rPr>
              <w:t>1.17</w:t>
            </w:r>
          </w:p>
        </w:tc>
        <w:tc>
          <w:tcPr>
            <w:tcW w:w="910" w:type="dxa"/>
            <w:vAlign w:val="bottom"/>
          </w:tcPr>
          <w:p>
            <w:pPr>
              <w:widowControl/>
              <w:jc w:val="center"/>
              <w:textAlignment w:val="bottom"/>
              <w:rPr>
                <w:rFonts w:ascii="Times New Roman" w:hAnsi="Times New Roman"/>
                <w:lang w:bidi="ar"/>
              </w:rPr>
            </w:pPr>
            <w:r>
              <w:rPr>
                <w:rFonts w:ascii="Times New Roman" w:hAnsi="Times New Roman"/>
              </w:rPr>
              <w:t>0.32</w:t>
            </w:r>
          </w:p>
        </w:tc>
        <w:tc>
          <w:tcPr>
            <w:tcW w:w="910" w:type="dxa"/>
            <w:vAlign w:val="bottom"/>
          </w:tcPr>
          <w:p>
            <w:pPr>
              <w:widowControl/>
              <w:jc w:val="center"/>
              <w:textAlignment w:val="bottom"/>
              <w:rPr>
                <w:rFonts w:ascii="Times New Roman" w:hAnsi="Times New Roman"/>
                <w:lang w:bidi="ar"/>
              </w:rPr>
            </w:pPr>
            <w:r>
              <w:rPr>
                <w:rFonts w:ascii="Times New Roman" w:hAnsi="Times New Roman"/>
              </w:rPr>
              <w:t>0.28</w:t>
            </w:r>
          </w:p>
        </w:tc>
        <w:tc>
          <w:tcPr>
            <w:tcW w:w="910" w:type="dxa"/>
            <w:vAlign w:val="bottom"/>
          </w:tcPr>
          <w:p>
            <w:pPr>
              <w:widowControl/>
              <w:jc w:val="center"/>
              <w:textAlignment w:val="bottom"/>
              <w:rPr>
                <w:rFonts w:ascii="Times New Roman" w:hAnsi="Times New Roman"/>
                <w:lang w:bidi="ar"/>
              </w:rPr>
            </w:pPr>
            <w:r>
              <w:rPr>
                <w:rFonts w:ascii="Times New Roman" w:hAnsi="Times New Roman"/>
              </w:rPr>
              <w:t>1.76</w:t>
            </w:r>
          </w:p>
        </w:tc>
        <w:tc>
          <w:tcPr>
            <w:tcW w:w="1981" w:type="dxa"/>
            <w:vMerge w:val="continue"/>
            <w:vAlign w:val="center"/>
          </w:tcPr>
          <w:p>
            <w:pPr>
              <w:autoSpaceDE w:val="0"/>
              <w:autoSpaceDN w:val="0"/>
              <w:jc w:val="center"/>
              <w:textAlignment w:val="bottom"/>
              <w:rPr>
                <w:rFonts w:ascii="Times New Roman" w:hAnsi="Times New Roman"/>
                <w:snapToGrid w:val="0"/>
                <w:spacing w:val="16"/>
              </w:rPr>
            </w:pPr>
          </w:p>
        </w:tc>
        <w:tc>
          <w:tcPr>
            <w:tcW w:w="1055" w:type="dxa"/>
            <w:vMerge w:val="continue"/>
            <w:vAlign w:val="center"/>
          </w:tcPr>
          <w:p>
            <w:pPr>
              <w:autoSpaceDE w:val="0"/>
              <w:autoSpaceDN w:val="0"/>
              <w:jc w:val="center"/>
              <w:textAlignment w:val="bottom"/>
              <w:rPr>
                <w:rFonts w:ascii="Times New Roman" w:hAnsi="Times New Roman"/>
                <w:snapToGrid w:val="0"/>
                <w:spacing w:val="16"/>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8" w:type="dxa"/>
            <w:bottom w:w="0" w:type="dxa"/>
            <w:right w:w="28" w:type="dxa"/>
          </w:tblCellMar>
        </w:tblPrEx>
        <w:trPr>
          <w:trHeight w:val="20" w:hRule="atLeast"/>
          <w:jc w:val="center"/>
        </w:trPr>
        <w:tc>
          <w:tcPr>
            <w:tcW w:w="910" w:type="dxa"/>
            <w:vMerge w:val="continue"/>
            <w:vAlign w:val="center"/>
          </w:tcPr>
          <w:p>
            <w:pPr>
              <w:autoSpaceDE w:val="0"/>
              <w:autoSpaceDN w:val="0"/>
              <w:jc w:val="center"/>
              <w:textAlignment w:val="bottom"/>
              <w:rPr>
                <w:rFonts w:ascii="Times New Roman" w:hAnsi="Times New Roman"/>
                <w:snapToGrid w:val="0"/>
                <w:spacing w:val="16"/>
              </w:rPr>
            </w:pPr>
          </w:p>
        </w:tc>
        <w:tc>
          <w:tcPr>
            <w:tcW w:w="911" w:type="dxa"/>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meq%</w:t>
            </w:r>
          </w:p>
        </w:tc>
        <w:tc>
          <w:tcPr>
            <w:tcW w:w="911" w:type="dxa"/>
            <w:vAlign w:val="bottom"/>
          </w:tcPr>
          <w:p>
            <w:pPr>
              <w:widowControl/>
              <w:jc w:val="center"/>
              <w:textAlignment w:val="bottom"/>
              <w:rPr>
                <w:rFonts w:ascii="Times New Roman" w:hAnsi="Times New Roman"/>
                <w:lang w:bidi="ar"/>
              </w:rPr>
            </w:pPr>
            <w:r>
              <w:rPr>
                <w:rFonts w:ascii="Times New Roman" w:hAnsi="Times New Roman"/>
              </w:rPr>
              <w:t>1.82</w:t>
            </w:r>
          </w:p>
        </w:tc>
        <w:tc>
          <w:tcPr>
            <w:tcW w:w="910" w:type="dxa"/>
            <w:vAlign w:val="bottom"/>
          </w:tcPr>
          <w:p>
            <w:pPr>
              <w:widowControl/>
              <w:jc w:val="center"/>
              <w:textAlignment w:val="bottom"/>
              <w:rPr>
                <w:rFonts w:ascii="Times New Roman" w:hAnsi="Times New Roman"/>
                <w:lang w:bidi="ar"/>
              </w:rPr>
            </w:pPr>
            <w:r>
              <w:rPr>
                <w:rFonts w:ascii="Times New Roman" w:hAnsi="Times New Roman"/>
              </w:rPr>
              <w:t>20.21</w:t>
            </w:r>
          </w:p>
        </w:tc>
        <w:tc>
          <w:tcPr>
            <w:tcW w:w="910" w:type="dxa"/>
            <w:vAlign w:val="bottom"/>
          </w:tcPr>
          <w:p>
            <w:pPr>
              <w:widowControl/>
              <w:jc w:val="center"/>
              <w:textAlignment w:val="bottom"/>
              <w:rPr>
                <w:rFonts w:ascii="Times New Roman" w:hAnsi="Times New Roman"/>
                <w:lang w:bidi="ar"/>
              </w:rPr>
            </w:pPr>
            <w:r>
              <w:rPr>
                <w:rFonts w:ascii="Times New Roman" w:hAnsi="Times New Roman"/>
              </w:rPr>
              <w:t>28.01</w:t>
            </w:r>
          </w:p>
        </w:tc>
        <w:tc>
          <w:tcPr>
            <w:tcW w:w="910" w:type="dxa"/>
            <w:vAlign w:val="bottom"/>
          </w:tcPr>
          <w:p>
            <w:pPr>
              <w:widowControl/>
              <w:jc w:val="center"/>
              <w:textAlignment w:val="bottom"/>
              <w:rPr>
                <w:rFonts w:ascii="Times New Roman" w:hAnsi="Times New Roman"/>
                <w:lang w:bidi="ar"/>
              </w:rPr>
            </w:pPr>
            <w:r>
              <w:rPr>
                <w:rFonts w:ascii="Times New Roman" w:hAnsi="Times New Roman"/>
              </w:rPr>
              <w:t>49.96</w:t>
            </w:r>
          </w:p>
        </w:tc>
        <w:tc>
          <w:tcPr>
            <w:tcW w:w="910" w:type="dxa"/>
            <w:vAlign w:val="bottom"/>
          </w:tcPr>
          <w:p>
            <w:pPr>
              <w:widowControl/>
              <w:jc w:val="center"/>
              <w:textAlignment w:val="bottom"/>
              <w:rPr>
                <w:rFonts w:ascii="Times New Roman" w:hAnsi="Times New Roman"/>
                <w:lang w:bidi="ar"/>
              </w:rPr>
            </w:pPr>
            <w:r>
              <w:rPr>
                <w:rFonts w:ascii="Times New Roman" w:hAnsi="Times New Roman"/>
              </w:rPr>
              <w:t>100.00</w:t>
            </w:r>
          </w:p>
        </w:tc>
        <w:tc>
          <w:tcPr>
            <w:tcW w:w="910" w:type="dxa"/>
            <w:vAlign w:val="bottom"/>
          </w:tcPr>
          <w:p>
            <w:pPr>
              <w:widowControl/>
              <w:jc w:val="center"/>
              <w:textAlignment w:val="bottom"/>
              <w:rPr>
                <w:rFonts w:ascii="Times New Roman" w:hAnsi="Times New Roman"/>
                <w:lang w:bidi="ar"/>
              </w:rPr>
            </w:pPr>
            <w:r>
              <w:rPr>
                <w:rFonts w:ascii="Times New Roman" w:hAnsi="Times New Roman"/>
              </w:rPr>
              <w:t>0.00</w:t>
            </w:r>
          </w:p>
        </w:tc>
        <w:tc>
          <w:tcPr>
            <w:tcW w:w="910" w:type="dxa"/>
            <w:vAlign w:val="bottom"/>
          </w:tcPr>
          <w:p>
            <w:pPr>
              <w:widowControl/>
              <w:jc w:val="center"/>
              <w:textAlignment w:val="bottom"/>
              <w:rPr>
                <w:rFonts w:ascii="Times New Roman" w:hAnsi="Times New Roman"/>
                <w:lang w:bidi="ar"/>
              </w:rPr>
            </w:pPr>
            <w:r>
              <w:rPr>
                <w:rFonts w:ascii="Times New Roman" w:hAnsi="Times New Roman"/>
              </w:rPr>
              <w:t>66.27</w:t>
            </w:r>
          </w:p>
        </w:tc>
        <w:tc>
          <w:tcPr>
            <w:tcW w:w="910" w:type="dxa"/>
            <w:vAlign w:val="bottom"/>
          </w:tcPr>
          <w:p>
            <w:pPr>
              <w:widowControl/>
              <w:jc w:val="center"/>
              <w:textAlignment w:val="bottom"/>
              <w:rPr>
                <w:rFonts w:ascii="Times New Roman" w:hAnsi="Times New Roman"/>
                <w:lang w:bidi="ar"/>
              </w:rPr>
            </w:pPr>
            <w:r>
              <w:rPr>
                <w:rFonts w:ascii="Times New Roman" w:hAnsi="Times New Roman"/>
              </w:rPr>
              <w:t>17.89</w:t>
            </w:r>
          </w:p>
        </w:tc>
        <w:tc>
          <w:tcPr>
            <w:tcW w:w="910" w:type="dxa"/>
            <w:vAlign w:val="bottom"/>
          </w:tcPr>
          <w:p>
            <w:pPr>
              <w:widowControl/>
              <w:jc w:val="center"/>
              <w:textAlignment w:val="bottom"/>
              <w:rPr>
                <w:rFonts w:ascii="Times New Roman" w:hAnsi="Times New Roman"/>
                <w:lang w:bidi="ar"/>
              </w:rPr>
            </w:pPr>
            <w:r>
              <w:rPr>
                <w:rFonts w:ascii="Times New Roman" w:hAnsi="Times New Roman"/>
              </w:rPr>
              <w:t>15.83</w:t>
            </w:r>
          </w:p>
        </w:tc>
        <w:tc>
          <w:tcPr>
            <w:tcW w:w="910" w:type="dxa"/>
            <w:vAlign w:val="bottom"/>
          </w:tcPr>
          <w:p>
            <w:pPr>
              <w:widowControl/>
              <w:jc w:val="center"/>
              <w:textAlignment w:val="bottom"/>
              <w:rPr>
                <w:rFonts w:ascii="Times New Roman" w:hAnsi="Times New Roman"/>
                <w:lang w:bidi="ar"/>
              </w:rPr>
            </w:pPr>
            <w:r>
              <w:rPr>
                <w:rFonts w:ascii="Times New Roman" w:hAnsi="Times New Roman"/>
              </w:rPr>
              <w:t>100.00</w:t>
            </w:r>
          </w:p>
        </w:tc>
        <w:tc>
          <w:tcPr>
            <w:tcW w:w="1981" w:type="dxa"/>
            <w:vMerge w:val="continue"/>
            <w:vAlign w:val="center"/>
          </w:tcPr>
          <w:p>
            <w:pPr>
              <w:autoSpaceDE w:val="0"/>
              <w:autoSpaceDN w:val="0"/>
              <w:jc w:val="center"/>
              <w:textAlignment w:val="bottom"/>
              <w:rPr>
                <w:rFonts w:ascii="Times New Roman" w:hAnsi="Times New Roman"/>
                <w:snapToGrid w:val="0"/>
                <w:spacing w:val="16"/>
              </w:rPr>
            </w:pPr>
          </w:p>
        </w:tc>
        <w:tc>
          <w:tcPr>
            <w:tcW w:w="1055" w:type="dxa"/>
            <w:vMerge w:val="continue"/>
            <w:vAlign w:val="center"/>
          </w:tcPr>
          <w:p>
            <w:pPr>
              <w:autoSpaceDE w:val="0"/>
              <w:autoSpaceDN w:val="0"/>
              <w:jc w:val="center"/>
              <w:textAlignment w:val="bottom"/>
              <w:rPr>
                <w:rFonts w:ascii="Times New Roman" w:hAnsi="Times New Roman"/>
                <w:snapToGrid w:val="0"/>
                <w:spacing w:val="16"/>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8" w:type="dxa"/>
            <w:bottom w:w="0" w:type="dxa"/>
            <w:right w:w="28" w:type="dxa"/>
          </w:tblCellMar>
        </w:tblPrEx>
        <w:trPr>
          <w:trHeight w:val="20" w:hRule="atLeast"/>
          <w:jc w:val="center"/>
        </w:trPr>
        <w:tc>
          <w:tcPr>
            <w:tcW w:w="910" w:type="dxa"/>
            <w:vMerge w:val="restart"/>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7#</w:t>
            </w:r>
          </w:p>
        </w:tc>
        <w:tc>
          <w:tcPr>
            <w:tcW w:w="911" w:type="dxa"/>
            <w:vAlign w:val="bottom"/>
          </w:tcPr>
          <w:p>
            <w:pPr>
              <w:autoSpaceDE w:val="0"/>
              <w:autoSpaceDN w:val="0"/>
              <w:jc w:val="center"/>
              <w:textAlignment w:val="bottom"/>
              <w:rPr>
                <w:rFonts w:ascii="Times New Roman" w:hAnsi="Times New Roman"/>
                <w:snapToGrid w:val="0"/>
                <w:spacing w:val="16"/>
              </w:rPr>
            </w:pPr>
            <w:r>
              <w:rPr>
                <w:rFonts w:ascii="Times New Roman" w:hAnsi="Times New Roman"/>
              </w:rPr>
              <w:t>mg/l</w:t>
            </w:r>
          </w:p>
        </w:tc>
        <w:tc>
          <w:tcPr>
            <w:tcW w:w="911" w:type="dxa"/>
            <w:vAlign w:val="center"/>
          </w:tcPr>
          <w:p>
            <w:pPr>
              <w:widowControl/>
              <w:jc w:val="center"/>
              <w:textAlignment w:val="bottom"/>
              <w:rPr>
                <w:rFonts w:ascii="Times New Roman" w:hAnsi="Times New Roman"/>
                <w:lang w:bidi="ar"/>
              </w:rPr>
            </w:pPr>
            <w:r>
              <w:rPr>
                <w:rFonts w:ascii="Times New Roman" w:hAnsi="Times New Roman"/>
              </w:rPr>
              <w:t>1.29</w:t>
            </w:r>
          </w:p>
        </w:tc>
        <w:tc>
          <w:tcPr>
            <w:tcW w:w="910" w:type="dxa"/>
            <w:vAlign w:val="center"/>
          </w:tcPr>
          <w:p>
            <w:pPr>
              <w:widowControl/>
              <w:jc w:val="center"/>
              <w:textAlignment w:val="bottom"/>
              <w:rPr>
                <w:rFonts w:ascii="Times New Roman" w:hAnsi="Times New Roman"/>
                <w:lang w:bidi="ar"/>
              </w:rPr>
            </w:pPr>
            <w:r>
              <w:rPr>
                <w:rFonts w:ascii="Times New Roman" w:hAnsi="Times New Roman"/>
              </w:rPr>
              <w:t>12.7</w:t>
            </w:r>
          </w:p>
        </w:tc>
        <w:tc>
          <w:tcPr>
            <w:tcW w:w="910" w:type="dxa"/>
            <w:vAlign w:val="center"/>
          </w:tcPr>
          <w:p>
            <w:pPr>
              <w:widowControl/>
              <w:jc w:val="center"/>
              <w:textAlignment w:val="bottom"/>
              <w:rPr>
                <w:rFonts w:ascii="Times New Roman" w:hAnsi="Times New Roman"/>
                <w:lang w:bidi="ar"/>
              </w:rPr>
            </w:pPr>
            <w:r>
              <w:rPr>
                <w:rFonts w:ascii="Times New Roman" w:hAnsi="Times New Roman"/>
              </w:rPr>
              <w:t>6.95</w:t>
            </w:r>
          </w:p>
        </w:tc>
        <w:tc>
          <w:tcPr>
            <w:tcW w:w="910" w:type="dxa"/>
            <w:vAlign w:val="center"/>
          </w:tcPr>
          <w:p>
            <w:pPr>
              <w:widowControl/>
              <w:jc w:val="center"/>
              <w:textAlignment w:val="bottom"/>
              <w:rPr>
                <w:rFonts w:ascii="Times New Roman" w:hAnsi="Times New Roman"/>
                <w:lang w:bidi="ar"/>
              </w:rPr>
            </w:pPr>
            <w:r>
              <w:rPr>
                <w:rFonts w:ascii="Times New Roman" w:hAnsi="Times New Roman"/>
              </w:rPr>
              <w:t>9.62</w:t>
            </w:r>
          </w:p>
        </w:tc>
        <w:tc>
          <w:tcPr>
            <w:tcW w:w="910" w:type="dxa"/>
            <w:vAlign w:val="bottom"/>
          </w:tcPr>
          <w:p>
            <w:pPr>
              <w:widowControl/>
              <w:jc w:val="center"/>
              <w:textAlignment w:val="bottom"/>
              <w:rPr>
                <w:rFonts w:ascii="Times New Roman" w:hAnsi="Times New Roman"/>
                <w:lang w:bidi="ar"/>
              </w:rPr>
            </w:pPr>
            <w:r>
              <w:rPr>
                <w:rFonts w:ascii="Times New Roman" w:hAnsi="Times New Roman"/>
              </w:rPr>
              <w:t>30.56</w:t>
            </w:r>
          </w:p>
        </w:tc>
        <w:tc>
          <w:tcPr>
            <w:tcW w:w="910" w:type="dxa"/>
            <w:vAlign w:val="center"/>
          </w:tcPr>
          <w:p>
            <w:pPr>
              <w:widowControl/>
              <w:jc w:val="center"/>
              <w:textAlignment w:val="bottom"/>
              <w:rPr>
                <w:rFonts w:ascii="Times New Roman" w:hAnsi="Times New Roman"/>
                <w:lang w:bidi="ar"/>
              </w:rPr>
            </w:pPr>
            <w:r>
              <w:rPr>
                <w:rFonts w:ascii="Times New Roman" w:hAnsi="Times New Roman"/>
              </w:rPr>
              <w:t>0</w:t>
            </w:r>
          </w:p>
        </w:tc>
        <w:tc>
          <w:tcPr>
            <w:tcW w:w="910" w:type="dxa"/>
            <w:vAlign w:val="center"/>
          </w:tcPr>
          <w:p>
            <w:pPr>
              <w:widowControl/>
              <w:jc w:val="center"/>
              <w:textAlignment w:val="bottom"/>
              <w:rPr>
                <w:rFonts w:ascii="Times New Roman" w:hAnsi="Times New Roman"/>
                <w:lang w:bidi="ar"/>
              </w:rPr>
            </w:pPr>
            <w:r>
              <w:rPr>
                <w:rFonts w:ascii="Times New Roman" w:hAnsi="Times New Roman"/>
              </w:rPr>
              <w:t>69.43</w:t>
            </w:r>
          </w:p>
        </w:tc>
        <w:tc>
          <w:tcPr>
            <w:tcW w:w="910" w:type="dxa"/>
            <w:vAlign w:val="center"/>
          </w:tcPr>
          <w:p>
            <w:pPr>
              <w:widowControl/>
              <w:jc w:val="center"/>
              <w:textAlignment w:val="bottom"/>
              <w:rPr>
                <w:rFonts w:ascii="Times New Roman" w:hAnsi="Times New Roman"/>
                <w:lang w:bidi="ar"/>
              </w:rPr>
            </w:pPr>
            <w:r>
              <w:rPr>
                <w:rFonts w:ascii="Times New Roman" w:hAnsi="Times New Roman"/>
              </w:rPr>
              <w:t>9.86</w:t>
            </w:r>
          </w:p>
        </w:tc>
        <w:tc>
          <w:tcPr>
            <w:tcW w:w="910" w:type="dxa"/>
            <w:vAlign w:val="center"/>
          </w:tcPr>
          <w:p>
            <w:pPr>
              <w:widowControl/>
              <w:jc w:val="center"/>
              <w:textAlignment w:val="bottom"/>
              <w:rPr>
                <w:rFonts w:ascii="Times New Roman" w:hAnsi="Times New Roman"/>
                <w:lang w:bidi="ar"/>
              </w:rPr>
            </w:pPr>
            <w:r>
              <w:rPr>
                <w:rFonts w:ascii="Times New Roman" w:hAnsi="Times New Roman"/>
              </w:rPr>
              <w:t>17.9</w:t>
            </w:r>
          </w:p>
        </w:tc>
        <w:tc>
          <w:tcPr>
            <w:tcW w:w="910" w:type="dxa"/>
            <w:vAlign w:val="bottom"/>
          </w:tcPr>
          <w:p>
            <w:pPr>
              <w:widowControl/>
              <w:jc w:val="center"/>
              <w:textAlignment w:val="bottom"/>
              <w:rPr>
                <w:rFonts w:ascii="Times New Roman" w:hAnsi="Times New Roman"/>
                <w:lang w:bidi="ar"/>
              </w:rPr>
            </w:pPr>
            <w:r>
              <w:rPr>
                <w:rFonts w:ascii="Times New Roman" w:hAnsi="Times New Roman"/>
              </w:rPr>
              <w:t>97.19</w:t>
            </w:r>
          </w:p>
        </w:tc>
        <w:tc>
          <w:tcPr>
            <w:tcW w:w="1981" w:type="dxa"/>
            <w:vMerge w:val="restart"/>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HCO</w:t>
            </w:r>
            <w:r>
              <w:rPr>
                <w:rFonts w:ascii="Times New Roman" w:hAnsi="Times New Roman"/>
                <w:snapToGrid w:val="0"/>
                <w:spacing w:val="16"/>
                <w:vertAlign w:val="subscript"/>
              </w:rPr>
              <w:t>3</w:t>
            </w:r>
            <w:r>
              <w:rPr>
                <w:rFonts w:ascii="Times New Roman" w:hAnsi="Times New Roman"/>
                <w:snapToGrid w:val="0"/>
                <w:spacing w:val="16"/>
                <w:vertAlign w:val="superscript"/>
              </w:rPr>
              <w:t>-</w:t>
            </w:r>
            <w:r>
              <w:rPr>
                <w:rFonts w:ascii="Times New Roman" w:hAnsi="Times New Roman"/>
              </w:rPr>
              <w:t>—</w:t>
            </w:r>
            <w:r>
              <w:rPr>
                <w:rFonts w:ascii="Times New Roman" w:hAnsi="Times New Roman"/>
                <w:snapToGrid w:val="0"/>
                <w:spacing w:val="16"/>
              </w:rPr>
              <w:t>Ca</w:t>
            </w:r>
            <w:r>
              <w:rPr>
                <w:rFonts w:ascii="Times New Roman" w:hAnsi="Times New Roman"/>
                <w:snapToGrid w:val="0"/>
                <w:spacing w:val="16"/>
                <w:vertAlign w:val="superscript"/>
              </w:rPr>
              <w:t>2+</w:t>
            </w:r>
            <w:r>
              <w:rPr>
                <w:rFonts w:ascii="Times New Roman" w:hAnsi="Times New Roman"/>
                <w:snapToGrid w:val="0"/>
                <w:spacing w:val="16"/>
              </w:rPr>
              <w:t>，Mg</w:t>
            </w:r>
            <w:r>
              <w:rPr>
                <w:rFonts w:ascii="Times New Roman" w:hAnsi="Times New Roman"/>
                <w:snapToGrid w:val="0"/>
                <w:spacing w:val="16"/>
                <w:vertAlign w:val="superscript"/>
              </w:rPr>
              <w:t>2+</w:t>
            </w:r>
          </w:p>
        </w:tc>
        <w:tc>
          <w:tcPr>
            <w:tcW w:w="1055" w:type="dxa"/>
            <w:vMerge w:val="restart"/>
            <w:vAlign w:val="center"/>
          </w:tcPr>
          <w:p>
            <w:pPr>
              <w:autoSpaceDE w:val="0"/>
              <w:autoSpaceDN w:val="0"/>
              <w:jc w:val="center"/>
              <w:textAlignment w:val="bottom"/>
              <w:rPr>
                <w:rFonts w:ascii="Times New Roman" w:hAnsi="Times New Roman"/>
                <w:snapToGrid w:val="0"/>
                <w:spacing w:val="16"/>
              </w:rPr>
            </w:pPr>
            <w:r>
              <w:rPr>
                <w:rFonts w:ascii="Times New Roman" w:hAnsi="Times New Roman"/>
                <w:snapToGrid w:val="0"/>
                <w:spacing w:val="16"/>
              </w:rPr>
              <w:t>-1.83</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8" w:type="dxa"/>
            <w:bottom w:w="0" w:type="dxa"/>
            <w:right w:w="28" w:type="dxa"/>
          </w:tblCellMar>
        </w:tblPrEx>
        <w:trPr>
          <w:trHeight w:val="20" w:hRule="atLeast"/>
          <w:jc w:val="center"/>
        </w:trPr>
        <w:tc>
          <w:tcPr>
            <w:tcW w:w="910" w:type="dxa"/>
            <w:vMerge w:val="continue"/>
            <w:vAlign w:val="center"/>
          </w:tcPr>
          <w:p>
            <w:pPr>
              <w:autoSpaceDE w:val="0"/>
              <w:autoSpaceDN w:val="0"/>
              <w:textAlignment w:val="bottom"/>
              <w:rPr>
                <w:rFonts w:ascii="Times New Roman" w:hAnsi="Times New Roman"/>
                <w:snapToGrid w:val="0"/>
                <w:spacing w:val="16"/>
              </w:rPr>
            </w:pPr>
          </w:p>
        </w:tc>
        <w:tc>
          <w:tcPr>
            <w:tcW w:w="911" w:type="dxa"/>
            <w:vAlign w:val="bottom"/>
          </w:tcPr>
          <w:p>
            <w:pPr>
              <w:autoSpaceDE w:val="0"/>
              <w:autoSpaceDN w:val="0"/>
              <w:jc w:val="center"/>
              <w:textAlignment w:val="bottom"/>
              <w:rPr>
                <w:rFonts w:ascii="Times New Roman" w:hAnsi="Times New Roman"/>
                <w:snapToGrid w:val="0"/>
                <w:spacing w:val="16"/>
              </w:rPr>
            </w:pPr>
            <w:r>
              <w:rPr>
                <w:rFonts w:ascii="Times New Roman" w:hAnsi="Times New Roman"/>
              </w:rPr>
              <w:t>meq/l</w:t>
            </w:r>
          </w:p>
        </w:tc>
        <w:tc>
          <w:tcPr>
            <w:tcW w:w="911" w:type="dxa"/>
            <w:vAlign w:val="bottom"/>
          </w:tcPr>
          <w:p>
            <w:pPr>
              <w:widowControl/>
              <w:jc w:val="center"/>
              <w:textAlignment w:val="bottom"/>
              <w:rPr>
                <w:rFonts w:ascii="Times New Roman" w:hAnsi="Times New Roman"/>
                <w:lang w:bidi="ar"/>
              </w:rPr>
            </w:pPr>
            <w:r>
              <w:rPr>
                <w:rFonts w:ascii="Times New Roman" w:hAnsi="Times New Roman"/>
              </w:rPr>
              <w:t>0.03</w:t>
            </w:r>
          </w:p>
        </w:tc>
        <w:tc>
          <w:tcPr>
            <w:tcW w:w="910" w:type="dxa"/>
            <w:vAlign w:val="bottom"/>
          </w:tcPr>
          <w:p>
            <w:pPr>
              <w:widowControl/>
              <w:jc w:val="center"/>
              <w:textAlignment w:val="bottom"/>
              <w:rPr>
                <w:rFonts w:ascii="Times New Roman" w:hAnsi="Times New Roman"/>
                <w:lang w:bidi="ar"/>
              </w:rPr>
            </w:pPr>
            <w:r>
              <w:rPr>
                <w:rFonts w:ascii="Times New Roman" w:hAnsi="Times New Roman"/>
              </w:rPr>
              <w:t>0.55</w:t>
            </w:r>
          </w:p>
        </w:tc>
        <w:tc>
          <w:tcPr>
            <w:tcW w:w="910" w:type="dxa"/>
            <w:vAlign w:val="bottom"/>
          </w:tcPr>
          <w:p>
            <w:pPr>
              <w:widowControl/>
              <w:jc w:val="center"/>
              <w:textAlignment w:val="bottom"/>
              <w:rPr>
                <w:rFonts w:ascii="Times New Roman" w:hAnsi="Times New Roman"/>
                <w:lang w:bidi="ar"/>
              </w:rPr>
            </w:pPr>
            <w:r>
              <w:rPr>
                <w:rFonts w:ascii="Times New Roman" w:hAnsi="Times New Roman"/>
              </w:rPr>
              <w:t>0.35</w:t>
            </w:r>
          </w:p>
        </w:tc>
        <w:tc>
          <w:tcPr>
            <w:tcW w:w="910" w:type="dxa"/>
            <w:vAlign w:val="bottom"/>
          </w:tcPr>
          <w:p>
            <w:pPr>
              <w:widowControl/>
              <w:jc w:val="center"/>
              <w:textAlignment w:val="bottom"/>
              <w:rPr>
                <w:rFonts w:ascii="Times New Roman" w:hAnsi="Times New Roman"/>
                <w:lang w:bidi="ar"/>
              </w:rPr>
            </w:pPr>
            <w:r>
              <w:rPr>
                <w:rFonts w:ascii="Times New Roman" w:hAnsi="Times New Roman"/>
              </w:rPr>
              <w:t>0.79</w:t>
            </w:r>
          </w:p>
        </w:tc>
        <w:tc>
          <w:tcPr>
            <w:tcW w:w="910" w:type="dxa"/>
            <w:vAlign w:val="bottom"/>
          </w:tcPr>
          <w:p>
            <w:pPr>
              <w:widowControl/>
              <w:jc w:val="center"/>
              <w:textAlignment w:val="bottom"/>
              <w:rPr>
                <w:rFonts w:ascii="Times New Roman" w:hAnsi="Times New Roman"/>
                <w:lang w:bidi="ar"/>
              </w:rPr>
            </w:pPr>
            <w:r>
              <w:rPr>
                <w:rFonts w:ascii="Times New Roman" w:hAnsi="Times New Roman"/>
              </w:rPr>
              <w:t>1.72</w:t>
            </w:r>
          </w:p>
        </w:tc>
        <w:tc>
          <w:tcPr>
            <w:tcW w:w="910" w:type="dxa"/>
            <w:vAlign w:val="bottom"/>
          </w:tcPr>
          <w:p>
            <w:pPr>
              <w:widowControl/>
              <w:jc w:val="center"/>
              <w:textAlignment w:val="bottom"/>
              <w:rPr>
                <w:rFonts w:ascii="Times New Roman" w:hAnsi="Times New Roman"/>
                <w:lang w:bidi="ar"/>
              </w:rPr>
            </w:pPr>
            <w:r>
              <w:rPr>
                <w:rFonts w:ascii="Times New Roman" w:hAnsi="Times New Roman"/>
              </w:rPr>
              <w:t>0.00</w:t>
            </w:r>
          </w:p>
        </w:tc>
        <w:tc>
          <w:tcPr>
            <w:tcW w:w="910" w:type="dxa"/>
            <w:vAlign w:val="bottom"/>
          </w:tcPr>
          <w:p>
            <w:pPr>
              <w:widowControl/>
              <w:jc w:val="center"/>
              <w:textAlignment w:val="bottom"/>
              <w:rPr>
                <w:rFonts w:ascii="Times New Roman" w:hAnsi="Times New Roman"/>
                <w:lang w:bidi="ar"/>
              </w:rPr>
            </w:pPr>
            <w:r>
              <w:rPr>
                <w:rFonts w:ascii="Times New Roman" w:hAnsi="Times New Roman"/>
              </w:rPr>
              <w:t>1.14</w:t>
            </w:r>
          </w:p>
        </w:tc>
        <w:tc>
          <w:tcPr>
            <w:tcW w:w="910" w:type="dxa"/>
            <w:vAlign w:val="bottom"/>
          </w:tcPr>
          <w:p>
            <w:pPr>
              <w:widowControl/>
              <w:jc w:val="center"/>
              <w:textAlignment w:val="bottom"/>
              <w:rPr>
                <w:rFonts w:ascii="Times New Roman" w:hAnsi="Times New Roman"/>
                <w:lang w:bidi="ar"/>
              </w:rPr>
            </w:pPr>
            <w:r>
              <w:rPr>
                <w:rFonts w:ascii="Times New Roman" w:hAnsi="Times New Roman"/>
              </w:rPr>
              <w:t>0.28</w:t>
            </w:r>
          </w:p>
        </w:tc>
        <w:tc>
          <w:tcPr>
            <w:tcW w:w="910" w:type="dxa"/>
            <w:vAlign w:val="bottom"/>
          </w:tcPr>
          <w:p>
            <w:pPr>
              <w:widowControl/>
              <w:jc w:val="center"/>
              <w:textAlignment w:val="bottom"/>
              <w:rPr>
                <w:rFonts w:ascii="Times New Roman" w:hAnsi="Times New Roman"/>
                <w:lang w:bidi="ar"/>
              </w:rPr>
            </w:pPr>
            <w:r>
              <w:rPr>
                <w:rFonts w:ascii="Times New Roman" w:hAnsi="Times New Roman"/>
              </w:rPr>
              <w:t>0.37</w:t>
            </w:r>
          </w:p>
        </w:tc>
        <w:tc>
          <w:tcPr>
            <w:tcW w:w="910" w:type="dxa"/>
            <w:vAlign w:val="bottom"/>
          </w:tcPr>
          <w:p>
            <w:pPr>
              <w:widowControl/>
              <w:jc w:val="center"/>
              <w:textAlignment w:val="bottom"/>
              <w:rPr>
                <w:rFonts w:ascii="Times New Roman" w:hAnsi="Times New Roman"/>
                <w:lang w:bidi="ar"/>
              </w:rPr>
            </w:pPr>
            <w:r>
              <w:rPr>
                <w:rFonts w:ascii="Times New Roman" w:hAnsi="Times New Roman"/>
              </w:rPr>
              <w:t>1.79</w:t>
            </w:r>
          </w:p>
        </w:tc>
        <w:tc>
          <w:tcPr>
            <w:tcW w:w="1981" w:type="dxa"/>
            <w:vMerge w:val="continue"/>
            <w:vAlign w:val="center"/>
          </w:tcPr>
          <w:p>
            <w:pPr>
              <w:autoSpaceDE w:val="0"/>
              <w:autoSpaceDN w:val="0"/>
              <w:textAlignment w:val="bottom"/>
              <w:rPr>
                <w:rFonts w:ascii="Times New Roman" w:hAnsi="Times New Roman"/>
                <w:snapToGrid w:val="0"/>
                <w:spacing w:val="16"/>
              </w:rPr>
            </w:pPr>
          </w:p>
        </w:tc>
        <w:tc>
          <w:tcPr>
            <w:tcW w:w="1055" w:type="dxa"/>
            <w:vMerge w:val="continue"/>
            <w:vAlign w:val="center"/>
          </w:tcPr>
          <w:p>
            <w:pPr>
              <w:autoSpaceDE w:val="0"/>
              <w:autoSpaceDN w:val="0"/>
              <w:textAlignment w:val="bottom"/>
              <w:rPr>
                <w:rFonts w:ascii="Times New Roman" w:hAnsi="Times New Roman"/>
                <w:snapToGrid w:val="0"/>
                <w:spacing w:val="16"/>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8" w:type="dxa"/>
            <w:bottom w:w="0" w:type="dxa"/>
            <w:right w:w="28" w:type="dxa"/>
          </w:tblCellMar>
        </w:tblPrEx>
        <w:trPr>
          <w:trHeight w:val="20" w:hRule="atLeast"/>
          <w:jc w:val="center"/>
        </w:trPr>
        <w:tc>
          <w:tcPr>
            <w:tcW w:w="910" w:type="dxa"/>
            <w:vMerge w:val="continue"/>
            <w:vAlign w:val="center"/>
          </w:tcPr>
          <w:p>
            <w:pPr>
              <w:autoSpaceDE w:val="0"/>
              <w:autoSpaceDN w:val="0"/>
              <w:textAlignment w:val="bottom"/>
              <w:rPr>
                <w:rFonts w:ascii="Times New Roman" w:hAnsi="Times New Roman"/>
                <w:snapToGrid w:val="0"/>
                <w:spacing w:val="16"/>
              </w:rPr>
            </w:pPr>
          </w:p>
        </w:tc>
        <w:tc>
          <w:tcPr>
            <w:tcW w:w="911" w:type="dxa"/>
            <w:vAlign w:val="bottom"/>
          </w:tcPr>
          <w:p>
            <w:pPr>
              <w:autoSpaceDE w:val="0"/>
              <w:autoSpaceDN w:val="0"/>
              <w:jc w:val="center"/>
              <w:textAlignment w:val="bottom"/>
              <w:rPr>
                <w:rFonts w:ascii="Times New Roman" w:hAnsi="Times New Roman"/>
                <w:snapToGrid w:val="0"/>
                <w:spacing w:val="16"/>
              </w:rPr>
            </w:pPr>
            <w:r>
              <w:rPr>
                <w:rFonts w:ascii="Times New Roman" w:hAnsi="Times New Roman"/>
              </w:rPr>
              <w:t>meq%</w:t>
            </w:r>
          </w:p>
        </w:tc>
        <w:tc>
          <w:tcPr>
            <w:tcW w:w="911" w:type="dxa"/>
            <w:vAlign w:val="bottom"/>
          </w:tcPr>
          <w:p>
            <w:pPr>
              <w:widowControl/>
              <w:jc w:val="center"/>
              <w:textAlignment w:val="bottom"/>
              <w:rPr>
                <w:rFonts w:ascii="Times New Roman" w:hAnsi="Times New Roman"/>
                <w:lang w:bidi="ar"/>
              </w:rPr>
            </w:pPr>
            <w:r>
              <w:rPr>
                <w:rFonts w:ascii="Times New Roman" w:hAnsi="Times New Roman"/>
              </w:rPr>
              <w:t>1.91</w:t>
            </w:r>
          </w:p>
        </w:tc>
        <w:tc>
          <w:tcPr>
            <w:tcW w:w="910" w:type="dxa"/>
            <w:vAlign w:val="bottom"/>
          </w:tcPr>
          <w:p>
            <w:pPr>
              <w:widowControl/>
              <w:jc w:val="center"/>
              <w:textAlignment w:val="bottom"/>
              <w:rPr>
                <w:rFonts w:ascii="Times New Roman" w:hAnsi="Times New Roman"/>
                <w:lang w:bidi="ar"/>
              </w:rPr>
            </w:pPr>
            <w:r>
              <w:rPr>
                <w:rFonts w:ascii="Times New Roman" w:hAnsi="Times New Roman"/>
              </w:rPr>
              <w:t>32.02</w:t>
            </w:r>
          </w:p>
        </w:tc>
        <w:tc>
          <w:tcPr>
            <w:tcW w:w="910" w:type="dxa"/>
            <w:vAlign w:val="bottom"/>
          </w:tcPr>
          <w:p>
            <w:pPr>
              <w:widowControl/>
              <w:jc w:val="center"/>
              <w:textAlignment w:val="bottom"/>
              <w:rPr>
                <w:rFonts w:ascii="Times New Roman" w:hAnsi="Times New Roman"/>
                <w:lang w:bidi="ar"/>
              </w:rPr>
            </w:pPr>
            <w:r>
              <w:rPr>
                <w:rFonts w:ascii="Times New Roman" w:hAnsi="Times New Roman"/>
              </w:rPr>
              <w:t>20.15</w:t>
            </w:r>
          </w:p>
        </w:tc>
        <w:tc>
          <w:tcPr>
            <w:tcW w:w="910" w:type="dxa"/>
            <w:vAlign w:val="bottom"/>
          </w:tcPr>
          <w:p>
            <w:pPr>
              <w:widowControl/>
              <w:jc w:val="center"/>
              <w:textAlignment w:val="bottom"/>
              <w:rPr>
                <w:rFonts w:ascii="Times New Roman" w:hAnsi="Times New Roman"/>
                <w:lang w:bidi="ar"/>
              </w:rPr>
            </w:pPr>
            <w:r>
              <w:rPr>
                <w:rFonts w:ascii="Times New Roman" w:hAnsi="Times New Roman"/>
              </w:rPr>
              <w:t>45.91</w:t>
            </w:r>
          </w:p>
        </w:tc>
        <w:tc>
          <w:tcPr>
            <w:tcW w:w="910" w:type="dxa"/>
            <w:vAlign w:val="bottom"/>
          </w:tcPr>
          <w:p>
            <w:pPr>
              <w:widowControl/>
              <w:jc w:val="center"/>
              <w:textAlignment w:val="bottom"/>
              <w:rPr>
                <w:rFonts w:ascii="Times New Roman" w:hAnsi="Times New Roman"/>
                <w:lang w:bidi="ar"/>
              </w:rPr>
            </w:pPr>
            <w:r>
              <w:rPr>
                <w:rFonts w:ascii="Times New Roman" w:hAnsi="Times New Roman"/>
              </w:rPr>
              <w:t>100.00</w:t>
            </w:r>
          </w:p>
        </w:tc>
        <w:tc>
          <w:tcPr>
            <w:tcW w:w="910" w:type="dxa"/>
            <w:vAlign w:val="bottom"/>
          </w:tcPr>
          <w:p>
            <w:pPr>
              <w:widowControl/>
              <w:jc w:val="center"/>
              <w:textAlignment w:val="bottom"/>
              <w:rPr>
                <w:rFonts w:ascii="Times New Roman" w:hAnsi="Times New Roman"/>
                <w:lang w:bidi="ar"/>
              </w:rPr>
            </w:pPr>
            <w:r>
              <w:rPr>
                <w:rFonts w:ascii="Times New Roman" w:hAnsi="Times New Roman"/>
              </w:rPr>
              <w:t>0.00</w:t>
            </w:r>
          </w:p>
        </w:tc>
        <w:tc>
          <w:tcPr>
            <w:tcW w:w="910" w:type="dxa"/>
            <w:vAlign w:val="bottom"/>
          </w:tcPr>
          <w:p>
            <w:pPr>
              <w:widowControl/>
              <w:jc w:val="center"/>
              <w:textAlignment w:val="bottom"/>
              <w:rPr>
                <w:rFonts w:ascii="Times New Roman" w:hAnsi="Times New Roman"/>
                <w:lang w:bidi="ar"/>
              </w:rPr>
            </w:pPr>
            <w:r>
              <w:rPr>
                <w:rFonts w:ascii="Times New Roman" w:hAnsi="Times New Roman"/>
              </w:rPr>
              <w:t>63.63</w:t>
            </w:r>
          </w:p>
        </w:tc>
        <w:tc>
          <w:tcPr>
            <w:tcW w:w="910" w:type="dxa"/>
            <w:vAlign w:val="bottom"/>
          </w:tcPr>
          <w:p>
            <w:pPr>
              <w:widowControl/>
              <w:jc w:val="center"/>
              <w:textAlignment w:val="bottom"/>
              <w:rPr>
                <w:rFonts w:ascii="Times New Roman" w:hAnsi="Times New Roman"/>
                <w:lang w:bidi="ar"/>
              </w:rPr>
            </w:pPr>
            <w:r>
              <w:rPr>
                <w:rFonts w:ascii="Times New Roman" w:hAnsi="Times New Roman"/>
              </w:rPr>
              <w:t>15.53</w:t>
            </w:r>
          </w:p>
        </w:tc>
        <w:tc>
          <w:tcPr>
            <w:tcW w:w="910" w:type="dxa"/>
            <w:vAlign w:val="bottom"/>
          </w:tcPr>
          <w:p>
            <w:pPr>
              <w:widowControl/>
              <w:jc w:val="center"/>
              <w:textAlignment w:val="bottom"/>
              <w:rPr>
                <w:rFonts w:ascii="Times New Roman" w:hAnsi="Times New Roman"/>
                <w:lang w:bidi="ar"/>
              </w:rPr>
            </w:pPr>
            <w:r>
              <w:rPr>
                <w:rFonts w:ascii="Times New Roman" w:hAnsi="Times New Roman"/>
              </w:rPr>
              <w:t>20.85</w:t>
            </w:r>
          </w:p>
        </w:tc>
        <w:tc>
          <w:tcPr>
            <w:tcW w:w="910" w:type="dxa"/>
            <w:vAlign w:val="bottom"/>
          </w:tcPr>
          <w:p>
            <w:pPr>
              <w:widowControl/>
              <w:jc w:val="center"/>
              <w:textAlignment w:val="bottom"/>
              <w:rPr>
                <w:rFonts w:ascii="Times New Roman" w:hAnsi="Times New Roman"/>
                <w:lang w:bidi="ar"/>
              </w:rPr>
            </w:pPr>
            <w:r>
              <w:rPr>
                <w:rFonts w:ascii="Times New Roman" w:hAnsi="Times New Roman"/>
              </w:rPr>
              <w:t>100.00</w:t>
            </w:r>
          </w:p>
        </w:tc>
        <w:tc>
          <w:tcPr>
            <w:tcW w:w="1981" w:type="dxa"/>
            <w:vMerge w:val="continue"/>
            <w:vAlign w:val="center"/>
          </w:tcPr>
          <w:p>
            <w:pPr>
              <w:autoSpaceDE w:val="0"/>
              <w:autoSpaceDN w:val="0"/>
              <w:textAlignment w:val="bottom"/>
              <w:rPr>
                <w:rFonts w:ascii="Times New Roman" w:hAnsi="Times New Roman"/>
                <w:snapToGrid w:val="0"/>
                <w:spacing w:val="16"/>
              </w:rPr>
            </w:pPr>
          </w:p>
        </w:tc>
        <w:tc>
          <w:tcPr>
            <w:tcW w:w="1055" w:type="dxa"/>
            <w:vMerge w:val="continue"/>
            <w:vAlign w:val="center"/>
          </w:tcPr>
          <w:p>
            <w:pPr>
              <w:autoSpaceDE w:val="0"/>
              <w:autoSpaceDN w:val="0"/>
              <w:textAlignment w:val="bottom"/>
              <w:rPr>
                <w:rFonts w:ascii="Times New Roman" w:hAnsi="Times New Roman"/>
                <w:snapToGrid w:val="0"/>
                <w:spacing w:val="16"/>
              </w:rPr>
            </w:pPr>
          </w:p>
        </w:tc>
      </w:tr>
    </w:tbl>
    <w:p>
      <w:pPr>
        <w:pStyle w:val="155"/>
        <w:spacing w:line="480" w:lineRule="exact"/>
        <w:ind w:firstLine="0" w:firstLineChars="0"/>
      </w:pPr>
    </w:p>
    <w:p>
      <w:pPr>
        <w:pStyle w:val="155"/>
        <w:spacing w:line="480" w:lineRule="exact"/>
        <w:ind w:firstLine="480"/>
        <w:sectPr>
          <w:pgSz w:w="16839" w:h="11907" w:orient="landscape"/>
          <w:pgMar w:top="1440" w:right="1797" w:bottom="1440" w:left="1797" w:header="851" w:footer="850" w:gutter="0"/>
          <w:cols w:space="720" w:num="1"/>
          <w:docGrid w:linePitch="312" w:charSpace="0"/>
        </w:sectPr>
      </w:pPr>
    </w:p>
    <w:p>
      <w:pPr>
        <w:widowControl/>
        <w:spacing w:line="480" w:lineRule="exact"/>
        <w:outlineLvl w:val="3"/>
        <w:rPr>
          <w:rFonts w:ascii="Times New Roman" w:hAnsi="Times New Roman" w:eastAsia="黑体"/>
          <w:sz w:val="24"/>
        </w:rPr>
      </w:pPr>
      <w:bookmarkStart w:id="929" w:name="_Toc17593"/>
      <w:bookmarkStart w:id="930" w:name="_Toc837"/>
      <w:bookmarkStart w:id="931" w:name="_Toc10749"/>
      <w:bookmarkStart w:id="932" w:name="_Toc20491"/>
      <w:bookmarkStart w:id="933" w:name="_Toc27134314"/>
      <w:bookmarkStart w:id="934" w:name="_Toc9843820"/>
      <w:bookmarkStart w:id="935" w:name="_Toc26188041"/>
      <w:r>
        <w:rPr>
          <w:rFonts w:ascii="Times New Roman" w:hAnsi="Times New Roman" w:eastAsia="黑体"/>
          <w:sz w:val="24"/>
        </w:rPr>
        <w:t>4.2.3.3.包气带现状评价</w:t>
      </w:r>
    </w:p>
    <w:p>
      <w:pPr>
        <w:pStyle w:val="65"/>
        <w:spacing w:line="480" w:lineRule="exact"/>
        <w:ind w:left="0" w:firstLine="480" w:firstLineChars="200"/>
        <w:jc w:val="both"/>
        <w:rPr>
          <w:smallCaps w:val="0"/>
          <w:sz w:val="24"/>
          <w:szCs w:val="21"/>
        </w:rPr>
      </w:pPr>
      <w:r>
        <w:rPr>
          <w:smallCaps w:val="0"/>
          <w:sz w:val="24"/>
          <w:szCs w:val="21"/>
        </w:rPr>
        <w:t>本项目为改扩建项目，根据导则要求对于一、二级的改扩建项目，应在可能造成地下水污染的主要装置或设施附近开展包气带污染现状调查。</w:t>
      </w:r>
    </w:p>
    <w:p>
      <w:pPr>
        <w:pStyle w:val="65"/>
        <w:numPr>
          <w:ilvl w:val="0"/>
          <w:numId w:val="13"/>
        </w:numPr>
        <w:spacing w:line="480" w:lineRule="exact"/>
        <w:ind w:left="0" w:firstLine="480" w:firstLineChars="200"/>
        <w:jc w:val="both"/>
        <w:rPr>
          <w:smallCaps w:val="0"/>
          <w:sz w:val="24"/>
          <w:szCs w:val="21"/>
        </w:rPr>
      </w:pPr>
      <w:r>
        <w:rPr>
          <w:smallCaps w:val="0"/>
          <w:sz w:val="24"/>
          <w:szCs w:val="21"/>
        </w:rPr>
        <w:t>现状监测</w:t>
      </w:r>
    </w:p>
    <w:p>
      <w:pPr>
        <w:pStyle w:val="65"/>
        <w:numPr>
          <w:ilvl w:val="0"/>
          <w:numId w:val="14"/>
        </w:numPr>
        <w:spacing w:line="480" w:lineRule="exact"/>
        <w:jc w:val="both"/>
        <w:rPr>
          <w:smallCaps w:val="0"/>
          <w:sz w:val="24"/>
          <w:szCs w:val="21"/>
        </w:rPr>
      </w:pPr>
      <w:r>
        <w:rPr>
          <w:smallCaps w:val="0"/>
          <w:sz w:val="24"/>
          <w:szCs w:val="21"/>
        </w:rPr>
        <w:t>监测点位和项目</w:t>
      </w:r>
    </w:p>
    <w:p>
      <w:pPr>
        <w:pStyle w:val="65"/>
        <w:spacing w:line="480" w:lineRule="exact"/>
        <w:ind w:left="0" w:firstLine="480" w:firstLineChars="200"/>
        <w:jc w:val="both"/>
        <w:rPr>
          <w:smallCaps w:val="0"/>
          <w:sz w:val="24"/>
          <w:szCs w:val="21"/>
        </w:rPr>
      </w:pPr>
      <w:r>
        <w:rPr>
          <w:smallCaps w:val="0"/>
          <w:sz w:val="24"/>
          <w:szCs w:val="21"/>
        </w:rPr>
        <w:t>本项目包气带取土样位置包括：厂区内灭菌车间附近和厂区外东北侧30m处（环境空气下风向、地下水流向下游），监测项目为pH、镉、汞、砷、铅、六价铬、铜、镍等。具体监测点位置见表4.2-13。</w:t>
      </w:r>
    </w:p>
    <w:p>
      <w:pPr>
        <w:adjustRightInd w:val="0"/>
        <w:snapToGrid w:val="0"/>
        <w:spacing w:line="480" w:lineRule="exact"/>
        <w:ind w:firstLine="422" w:firstLineChars="200"/>
        <w:jc w:val="center"/>
        <w:rPr>
          <w:rFonts w:ascii="Times New Roman" w:hAnsi="Times New Roman"/>
          <w:b/>
        </w:rPr>
      </w:pPr>
      <w:r>
        <w:rPr>
          <w:rFonts w:ascii="Times New Roman" w:hAnsi="Times New Roman"/>
          <w:b/>
        </w:rPr>
        <w:t>表4.2-13 包气带现状监测布点一览表</w:t>
      </w:r>
    </w:p>
    <w:tbl>
      <w:tblPr>
        <w:tblStyle w:val="7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30"/>
        <w:gridCol w:w="3393"/>
        <w:gridCol w:w="330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073" w:type="pct"/>
            <w:vAlign w:val="center"/>
          </w:tcPr>
          <w:p>
            <w:pPr>
              <w:jc w:val="center"/>
              <w:rPr>
                <w:rFonts w:ascii="Times New Roman" w:hAnsi="Times New Roman"/>
                <w:b/>
                <w:bCs/>
              </w:rPr>
            </w:pPr>
            <w:r>
              <w:rPr>
                <w:rFonts w:ascii="Times New Roman" w:hAnsi="Times New Roman"/>
                <w:b/>
                <w:bCs/>
              </w:rPr>
              <w:t>编号</w:t>
            </w:r>
          </w:p>
        </w:tc>
        <w:tc>
          <w:tcPr>
            <w:tcW w:w="1989" w:type="pct"/>
            <w:vAlign w:val="center"/>
          </w:tcPr>
          <w:p>
            <w:pPr>
              <w:jc w:val="center"/>
              <w:rPr>
                <w:rFonts w:ascii="Times New Roman" w:hAnsi="Times New Roman"/>
                <w:b/>
                <w:bCs/>
              </w:rPr>
            </w:pPr>
            <w:r>
              <w:rPr>
                <w:rFonts w:ascii="Times New Roman" w:hAnsi="Times New Roman"/>
                <w:b/>
                <w:bCs/>
              </w:rPr>
              <w:t>监测点位置</w:t>
            </w:r>
          </w:p>
        </w:tc>
        <w:tc>
          <w:tcPr>
            <w:tcW w:w="1938" w:type="pct"/>
            <w:vAlign w:val="center"/>
          </w:tcPr>
          <w:p>
            <w:pPr>
              <w:jc w:val="center"/>
              <w:rPr>
                <w:rFonts w:ascii="Times New Roman" w:hAnsi="Times New Roman"/>
                <w:b/>
                <w:bCs/>
              </w:rPr>
            </w:pPr>
            <w:r>
              <w:rPr>
                <w:rFonts w:ascii="Times New Roman" w:hAnsi="Times New Roman"/>
                <w:b/>
                <w:bCs/>
              </w:rPr>
              <w:t>土壤深度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73" w:type="pct"/>
            <w:vAlign w:val="center"/>
          </w:tcPr>
          <w:p>
            <w:pPr>
              <w:jc w:val="center"/>
              <w:rPr>
                <w:rFonts w:ascii="Times New Roman" w:hAnsi="Times New Roman"/>
              </w:rPr>
            </w:pPr>
            <w:r>
              <w:rPr>
                <w:rFonts w:ascii="Times New Roman" w:hAnsi="Times New Roman"/>
              </w:rPr>
              <w:t>1</w:t>
            </w:r>
          </w:p>
        </w:tc>
        <w:tc>
          <w:tcPr>
            <w:tcW w:w="1989" w:type="pct"/>
            <w:vAlign w:val="center"/>
          </w:tcPr>
          <w:p>
            <w:pPr>
              <w:jc w:val="center"/>
              <w:rPr>
                <w:rFonts w:ascii="Times New Roman" w:hAnsi="Times New Roman"/>
              </w:rPr>
            </w:pPr>
            <w:r>
              <w:rPr>
                <w:rFonts w:ascii="Times New Roman" w:hAnsi="Times New Roman"/>
              </w:rPr>
              <w:t>厂区内灭菌车间附近</w:t>
            </w:r>
          </w:p>
        </w:tc>
        <w:tc>
          <w:tcPr>
            <w:tcW w:w="1938" w:type="pct"/>
            <w:vMerge w:val="restart"/>
            <w:vAlign w:val="center"/>
          </w:tcPr>
          <w:p>
            <w:pPr>
              <w:jc w:val="center"/>
              <w:rPr>
                <w:rFonts w:ascii="Times New Roman" w:hAnsi="Times New Roman"/>
              </w:rPr>
            </w:pPr>
            <w:r>
              <w:rPr>
                <w:rFonts w:ascii="Times New Roman" w:hAnsi="Times New Roman"/>
              </w:rPr>
              <w:t>0~0.2m取样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073" w:type="pct"/>
            <w:vAlign w:val="center"/>
          </w:tcPr>
          <w:p>
            <w:pPr>
              <w:jc w:val="center"/>
              <w:rPr>
                <w:rFonts w:ascii="Times New Roman" w:hAnsi="Times New Roman"/>
              </w:rPr>
            </w:pPr>
            <w:r>
              <w:rPr>
                <w:rFonts w:ascii="Times New Roman" w:hAnsi="Times New Roman"/>
              </w:rPr>
              <w:t>2</w:t>
            </w:r>
          </w:p>
        </w:tc>
        <w:tc>
          <w:tcPr>
            <w:tcW w:w="1989" w:type="pct"/>
            <w:vAlign w:val="center"/>
          </w:tcPr>
          <w:p>
            <w:pPr>
              <w:jc w:val="center"/>
              <w:rPr>
                <w:rFonts w:ascii="Times New Roman" w:hAnsi="Times New Roman"/>
              </w:rPr>
            </w:pPr>
            <w:r>
              <w:rPr>
                <w:rFonts w:ascii="Times New Roman" w:hAnsi="Times New Roman"/>
              </w:rPr>
              <w:t>厂区外东北侧30m处</w:t>
            </w:r>
          </w:p>
        </w:tc>
        <w:tc>
          <w:tcPr>
            <w:tcW w:w="1938" w:type="pct"/>
            <w:vMerge w:val="continue"/>
            <w:vAlign w:val="center"/>
          </w:tcPr>
          <w:p>
            <w:pPr>
              <w:jc w:val="center"/>
              <w:rPr>
                <w:rFonts w:ascii="Times New Roman" w:hAnsi="Times New Roman"/>
                <w:lang w:bidi="ar"/>
              </w:rPr>
            </w:pPr>
          </w:p>
        </w:tc>
      </w:tr>
    </w:tbl>
    <w:p>
      <w:pPr>
        <w:rPr>
          <w:rFonts w:ascii="Times New Roman" w:hAnsi="Times New Roman"/>
          <w:b/>
        </w:rPr>
      </w:pPr>
      <w:r>
        <w:rPr>
          <w:rFonts w:ascii="Times New Roman" w:hAnsi="Times New Roman"/>
          <w:b/>
          <w:sz w:val="24"/>
        </w:rPr>
        <w:drawing>
          <wp:inline distT="0" distB="0" distL="114300" distR="114300">
            <wp:extent cx="5653405" cy="3834765"/>
            <wp:effectExtent l="0" t="0" r="4445" b="3810"/>
            <wp:docPr id="41" name="图片 3" descr="土壤、包气带、噪声监测点位布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 descr="土壤、包气带、噪声监测点位布置图"/>
                    <pic:cNvPicPr>
                      <a:picLocks noChangeAspect="1"/>
                    </pic:cNvPicPr>
                  </pic:nvPicPr>
                  <pic:blipFill>
                    <a:blip r:embed="rId48"/>
                    <a:srcRect l="1021" t="5409" r="1819" b="1411"/>
                    <a:stretch>
                      <a:fillRect/>
                    </a:stretch>
                  </pic:blipFill>
                  <pic:spPr>
                    <a:xfrm>
                      <a:off x="0" y="0"/>
                      <a:ext cx="5653405" cy="3834765"/>
                    </a:xfrm>
                    <a:prstGeom prst="rect">
                      <a:avLst/>
                    </a:prstGeom>
                    <a:noFill/>
                    <a:ln>
                      <a:noFill/>
                    </a:ln>
                  </pic:spPr>
                </pic:pic>
              </a:graphicData>
            </a:graphic>
          </wp:inline>
        </w:drawing>
      </w:r>
    </w:p>
    <w:p>
      <w:pPr>
        <w:spacing w:line="480" w:lineRule="exact"/>
        <w:jc w:val="center"/>
        <w:rPr>
          <w:rFonts w:ascii="Times New Roman" w:hAnsi="Times New Roman"/>
          <w:sz w:val="24"/>
        </w:rPr>
      </w:pPr>
      <w:r>
        <w:rPr>
          <w:rFonts w:ascii="Times New Roman" w:hAnsi="Times New Roman"/>
          <w:b/>
        </w:rPr>
        <w:t>图4.2-4 土壤、噪声、包气带现状监测点布置图</w:t>
      </w:r>
    </w:p>
    <w:p>
      <w:pPr>
        <w:spacing w:line="480" w:lineRule="exact"/>
        <w:ind w:firstLine="480" w:firstLineChars="200"/>
        <w:rPr>
          <w:rFonts w:ascii="Times New Roman" w:hAnsi="Times New Roman"/>
          <w:sz w:val="24"/>
        </w:rPr>
      </w:pPr>
      <w:r>
        <w:rPr>
          <w:rFonts w:hint="eastAsia" w:cs="宋体"/>
          <w:sz w:val="24"/>
        </w:rPr>
        <w:t>②</w:t>
      </w:r>
      <w:r>
        <w:rPr>
          <w:rFonts w:ascii="Times New Roman" w:hAnsi="Times New Roman"/>
          <w:sz w:val="24"/>
        </w:rPr>
        <w:t>监测时间、频率</w:t>
      </w:r>
    </w:p>
    <w:p>
      <w:pPr>
        <w:spacing w:line="480" w:lineRule="exact"/>
        <w:ind w:firstLine="480" w:firstLineChars="200"/>
        <w:rPr>
          <w:rFonts w:ascii="Times New Roman" w:hAnsi="Times New Roman"/>
          <w:sz w:val="24"/>
        </w:rPr>
      </w:pPr>
      <w:r>
        <w:rPr>
          <w:rFonts w:ascii="Times New Roman" w:hAnsi="Times New Roman"/>
          <w:sz w:val="24"/>
        </w:rPr>
        <w:t>本项目监测时间为2022年5月21日，0~0.2m取一个土样。</w:t>
      </w:r>
    </w:p>
    <w:p>
      <w:pPr>
        <w:pStyle w:val="538"/>
        <w:numPr>
          <w:ilvl w:val="0"/>
          <w:numId w:val="14"/>
        </w:numPr>
        <w:spacing w:line="480" w:lineRule="exact"/>
        <w:ind w:firstLineChars="0"/>
        <w:rPr>
          <w:rFonts w:ascii="Times New Roman" w:hAnsi="Times New Roman"/>
          <w:sz w:val="24"/>
        </w:rPr>
      </w:pPr>
      <w:r>
        <w:rPr>
          <w:rFonts w:ascii="Times New Roman" w:hAnsi="Times New Roman"/>
          <w:sz w:val="24"/>
        </w:rPr>
        <w:t>检测方法</w:t>
      </w:r>
    </w:p>
    <w:p>
      <w:pPr>
        <w:spacing w:line="480" w:lineRule="exact"/>
        <w:ind w:firstLine="480" w:firstLineChars="200"/>
        <w:rPr>
          <w:rFonts w:ascii="Times New Roman" w:hAnsi="Times New Roman"/>
          <w:sz w:val="24"/>
        </w:rPr>
      </w:pPr>
      <w:r>
        <w:rPr>
          <w:rFonts w:ascii="Times New Roman" w:hAnsi="Times New Roman"/>
          <w:sz w:val="24"/>
        </w:rPr>
        <w:t>检测方法详见表4.2-14。</w:t>
      </w:r>
    </w:p>
    <w:p>
      <w:pPr>
        <w:adjustRightInd w:val="0"/>
        <w:snapToGrid w:val="0"/>
        <w:spacing w:line="480" w:lineRule="exact"/>
        <w:ind w:firstLine="422" w:firstLineChars="200"/>
        <w:jc w:val="center"/>
        <w:rPr>
          <w:rFonts w:ascii="Times New Roman" w:hAnsi="Times New Roman"/>
        </w:rPr>
      </w:pPr>
      <w:r>
        <w:rPr>
          <w:rFonts w:ascii="Times New Roman" w:hAnsi="Times New Roman"/>
          <w:b/>
        </w:rPr>
        <w:t>表4.2-14 包气带浸出液检测方法</w:t>
      </w:r>
    </w:p>
    <w:tbl>
      <w:tblPr>
        <w:tblStyle w:val="7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99"/>
        <w:gridCol w:w="713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95" w:type="dxa"/>
            <w:vAlign w:val="center"/>
          </w:tcPr>
          <w:p>
            <w:pPr>
              <w:widowControl/>
              <w:jc w:val="center"/>
              <w:rPr>
                <w:rFonts w:ascii="Times New Roman" w:hAnsi="Times New Roman"/>
                <w:b/>
                <w:bCs/>
              </w:rPr>
            </w:pPr>
            <w:r>
              <w:rPr>
                <w:rFonts w:ascii="Times New Roman" w:hAnsi="Times New Roman"/>
                <w:b/>
                <w:bCs/>
              </w:rPr>
              <w:t>检测项目</w:t>
            </w:r>
          </w:p>
        </w:tc>
        <w:tc>
          <w:tcPr>
            <w:tcW w:w="7134" w:type="dxa"/>
            <w:vAlign w:val="center"/>
          </w:tcPr>
          <w:p>
            <w:pPr>
              <w:widowControl/>
              <w:jc w:val="center"/>
              <w:rPr>
                <w:rFonts w:ascii="Times New Roman" w:hAnsi="Times New Roman"/>
                <w:b/>
                <w:bCs/>
              </w:rPr>
            </w:pPr>
            <w:r>
              <w:rPr>
                <w:rFonts w:ascii="Times New Roman" w:hAnsi="Times New Roman"/>
                <w:b/>
                <w:bCs/>
              </w:rPr>
              <w:t>检测方法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95" w:type="dxa"/>
            <w:vAlign w:val="center"/>
          </w:tcPr>
          <w:p>
            <w:pPr>
              <w:jc w:val="center"/>
              <w:rPr>
                <w:rFonts w:ascii="Times New Roman" w:hAnsi="Times New Roman"/>
              </w:rPr>
            </w:pPr>
            <w:r>
              <w:rPr>
                <w:rFonts w:ascii="Times New Roman" w:hAnsi="Times New Roman"/>
              </w:rPr>
              <w:t>pH值</w:t>
            </w:r>
          </w:p>
        </w:tc>
        <w:tc>
          <w:tcPr>
            <w:tcW w:w="7134" w:type="dxa"/>
            <w:vAlign w:val="center"/>
          </w:tcPr>
          <w:p>
            <w:pPr>
              <w:jc w:val="center"/>
              <w:rPr>
                <w:rFonts w:ascii="Times New Roman" w:hAnsi="Times New Roman"/>
              </w:rPr>
            </w:pPr>
            <w:r>
              <w:rPr>
                <w:rFonts w:ascii="Times New Roman" w:hAnsi="Times New Roman"/>
              </w:rPr>
              <w:t>生活饮用水 pH的测定 玻璃电极法 GB/T 5750.4-2006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95" w:type="dxa"/>
            <w:vAlign w:val="center"/>
          </w:tcPr>
          <w:p>
            <w:pPr>
              <w:jc w:val="center"/>
              <w:rPr>
                <w:rFonts w:ascii="Times New Roman" w:hAnsi="Times New Roman"/>
              </w:rPr>
            </w:pPr>
            <w:r>
              <w:rPr>
                <w:rFonts w:ascii="Times New Roman" w:hAnsi="Times New Roman"/>
              </w:rPr>
              <w:t>砷</w:t>
            </w:r>
          </w:p>
        </w:tc>
        <w:tc>
          <w:tcPr>
            <w:tcW w:w="7134" w:type="dxa"/>
            <w:vAlign w:val="center"/>
          </w:tcPr>
          <w:p>
            <w:pPr>
              <w:jc w:val="center"/>
              <w:rPr>
                <w:rFonts w:ascii="Times New Roman" w:hAnsi="Times New Roman"/>
              </w:rPr>
            </w:pPr>
            <w:r>
              <w:rPr>
                <w:rFonts w:ascii="Times New Roman" w:hAnsi="Times New Roman"/>
              </w:rPr>
              <w:t>生活饮用水标准检验方法 金属指标 氢化物原子荧光法</w:t>
            </w:r>
          </w:p>
          <w:p>
            <w:pPr>
              <w:jc w:val="center"/>
              <w:rPr>
                <w:rFonts w:ascii="Times New Roman" w:hAnsi="Times New Roman"/>
              </w:rPr>
            </w:pPr>
            <w:r>
              <w:rPr>
                <w:rFonts w:ascii="Times New Roman" w:hAnsi="Times New Roman"/>
              </w:rPr>
              <w:t>GB/T 5750.6-2006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95" w:type="dxa"/>
            <w:vAlign w:val="center"/>
          </w:tcPr>
          <w:p>
            <w:pPr>
              <w:jc w:val="center"/>
              <w:rPr>
                <w:rFonts w:ascii="Times New Roman" w:hAnsi="Times New Roman"/>
              </w:rPr>
            </w:pPr>
            <w:r>
              <w:rPr>
                <w:rFonts w:ascii="Times New Roman" w:hAnsi="Times New Roman"/>
              </w:rPr>
              <w:t>汞</w:t>
            </w:r>
          </w:p>
        </w:tc>
        <w:tc>
          <w:tcPr>
            <w:tcW w:w="7134" w:type="dxa"/>
            <w:vAlign w:val="center"/>
          </w:tcPr>
          <w:p>
            <w:pPr>
              <w:jc w:val="center"/>
              <w:rPr>
                <w:rFonts w:ascii="Times New Roman" w:hAnsi="Times New Roman"/>
              </w:rPr>
            </w:pPr>
            <w:r>
              <w:rPr>
                <w:rFonts w:ascii="Times New Roman" w:hAnsi="Times New Roman"/>
              </w:rPr>
              <w:t>生活饮用水标准检验方法 金属指标 原子荧光法GB/T 5750.6-2006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95" w:type="dxa"/>
            <w:vAlign w:val="center"/>
          </w:tcPr>
          <w:p>
            <w:pPr>
              <w:jc w:val="center"/>
              <w:rPr>
                <w:rFonts w:ascii="Times New Roman" w:hAnsi="Times New Roman"/>
              </w:rPr>
            </w:pPr>
            <w:r>
              <w:rPr>
                <w:rFonts w:ascii="Times New Roman" w:hAnsi="Times New Roman"/>
              </w:rPr>
              <w:t>六价铬</w:t>
            </w:r>
          </w:p>
        </w:tc>
        <w:tc>
          <w:tcPr>
            <w:tcW w:w="7134" w:type="dxa"/>
            <w:vAlign w:val="center"/>
          </w:tcPr>
          <w:p>
            <w:pPr>
              <w:jc w:val="center"/>
              <w:rPr>
                <w:rFonts w:ascii="Times New Roman" w:hAnsi="Times New Roman"/>
              </w:rPr>
            </w:pPr>
            <w:r>
              <w:rPr>
                <w:rFonts w:ascii="Times New Roman" w:hAnsi="Times New Roman"/>
              </w:rPr>
              <w:t>生活饮用水标准检验方法 金属指标</w:t>
            </w:r>
          </w:p>
          <w:p>
            <w:pPr>
              <w:jc w:val="center"/>
              <w:rPr>
                <w:rFonts w:ascii="Times New Roman" w:hAnsi="Times New Roman"/>
              </w:rPr>
            </w:pPr>
            <w:r>
              <w:rPr>
                <w:rFonts w:ascii="Times New Roman" w:hAnsi="Times New Roman"/>
              </w:rPr>
              <w:t>二苯碳酰二肼分光光度法GB/T 5750.6-2006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95" w:type="dxa"/>
            <w:vAlign w:val="center"/>
          </w:tcPr>
          <w:p>
            <w:pPr>
              <w:jc w:val="center"/>
              <w:rPr>
                <w:rFonts w:ascii="Times New Roman" w:hAnsi="Times New Roman"/>
              </w:rPr>
            </w:pPr>
            <w:r>
              <w:rPr>
                <w:rFonts w:ascii="Times New Roman" w:hAnsi="Times New Roman"/>
              </w:rPr>
              <w:t>铅</w:t>
            </w:r>
          </w:p>
        </w:tc>
        <w:tc>
          <w:tcPr>
            <w:tcW w:w="7134" w:type="dxa"/>
            <w:vAlign w:val="center"/>
          </w:tcPr>
          <w:p>
            <w:pPr>
              <w:jc w:val="center"/>
              <w:rPr>
                <w:rFonts w:ascii="Times New Roman" w:hAnsi="Times New Roman"/>
              </w:rPr>
            </w:pPr>
            <w:r>
              <w:rPr>
                <w:rFonts w:ascii="Times New Roman" w:hAnsi="Times New Roman"/>
              </w:rPr>
              <w:t>生活饮用水标准检验方法 金属指标</w:t>
            </w:r>
          </w:p>
          <w:p>
            <w:pPr>
              <w:jc w:val="center"/>
              <w:rPr>
                <w:rFonts w:ascii="Times New Roman" w:hAnsi="Times New Roman"/>
              </w:rPr>
            </w:pPr>
            <w:r>
              <w:rPr>
                <w:rFonts w:ascii="Times New Roman" w:hAnsi="Times New Roman"/>
              </w:rPr>
              <w:t>火焰原子吸收分光光度法GB/T 5750.6-2006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95" w:type="dxa"/>
            <w:vAlign w:val="center"/>
          </w:tcPr>
          <w:p>
            <w:pPr>
              <w:jc w:val="center"/>
              <w:rPr>
                <w:rFonts w:ascii="Times New Roman" w:hAnsi="Times New Roman"/>
              </w:rPr>
            </w:pPr>
            <w:r>
              <w:rPr>
                <w:rFonts w:ascii="Times New Roman" w:hAnsi="Times New Roman"/>
              </w:rPr>
              <w:t>镉</w:t>
            </w:r>
          </w:p>
        </w:tc>
        <w:tc>
          <w:tcPr>
            <w:tcW w:w="7134" w:type="dxa"/>
            <w:vAlign w:val="center"/>
          </w:tcPr>
          <w:p>
            <w:pPr>
              <w:jc w:val="center"/>
              <w:rPr>
                <w:rFonts w:ascii="Times New Roman" w:hAnsi="Times New Roman"/>
              </w:rPr>
            </w:pPr>
            <w:r>
              <w:rPr>
                <w:rFonts w:ascii="Times New Roman" w:hAnsi="Times New Roman"/>
              </w:rPr>
              <w:t>生活饮用水标准检验方法 金属指标</w:t>
            </w:r>
          </w:p>
          <w:p>
            <w:pPr>
              <w:jc w:val="center"/>
              <w:rPr>
                <w:rFonts w:ascii="Times New Roman" w:hAnsi="Times New Roman"/>
              </w:rPr>
            </w:pPr>
            <w:r>
              <w:rPr>
                <w:rFonts w:ascii="Times New Roman" w:hAnsi="Times New Roman"/>
              </w:rPr>
              <w:t>无火焰原子吸收分光光度法GB/T 5750.6-2006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95" w:type="dxa"/>
            <w:vAlign w:val="center"/>
          </w:tcPr>
          <w:p>
            <w:pPr>
              <w:jc w:val="center"/>
              <w:rPr>
                <w:rFonts w:ascii="Times New Roman" w:hAnsi="Times New Roman"/>
              </w:rPr>
            </w:pPr>
            <w:r>
              <w:rPr>
                <w:rFonts w:ascii="Times New Roman" w:hAnsi="Times New Roman"/>
              </w:rPr>
              <w:t>铜</w:t>
            </w:r>
          </w:p>
        </w:tc>
        <w:tc>
          <w:tcPr>
            <w:tcW w:w="7134" w:type="dxa"/>
            <w:vAlign w:val="center"/>
          </w:tcPr>
          <w:p>
            <w:pPr>
              <w:jc w:val="center"/>
              <w:rPr>
                <w:rFonts w:ascii="Times New Roman" w:hAnsi="Times New Roman"/>
              </w:rPr>
            </w:pPr>
            <w:r>
              <w:rPr>
                <w:rFonts w:ascii="Times New Roman" w:hAnsi="Times New Roman"/>
              </w:rPr>
              <w:t>生活饮用水标准检验方法 金属指标GB/T5750.6-2006</w:t>
            </w:r>
          </w:p>
          <w:p>
            <w:pPr>
              <w:jc w:val="center"/>
              <w:rPr>
                <w:rFonts w:ascii="Times New Roman" w:hAnsi="Times New Roman"/>
              </w:rPr>
            </w:pPr>
            <w:r>
              <w:rPr>
                <w:rFonts w:ascii="Times New Roman" w:hAnsi="Times New Roman"/>
              </w:rPr>
              <w:t>原子吸收分光光度法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95" w:type="dxa"/>
            <w:vAlign w:val="center"/>
          </w:tcPr>
          <w:p>
            <w:pPr>
              <w:jc w:val="center"/>
              <w:rPr>
                <w:rFonts w:ascii="Times New Roman" w:hAnsi="Times New Roman"/>
              </w:rPr>
            </w:pPr>
            <w:r>
              <w:rPr>
                <w:rFonts w:ascii="Times New Roman" w:hAnsi="Times New Roman"/>
              </w:rPr>
              <w:t>镍</w:t>
            </w:r>
          </w:p>
        </w:tc>
        <w:tc>
          <w:tcPr>
            <w:tcW w:w="7134" w:type="dxa"/>
            <w:vAlign w:val="center"/>
          </w:tcPr>
          <w:p>
            <w:pPr>
              <w:jc w:val="center"/>
              <w:rPr>
                <w:rFonts w:ascii="Times New Roman" w:hAnsi="Times New Roman"/>
              </w:rPr>
            </w:pPr>
            <w:r>
              <w:rPr>
                <w:rFonts w:ascii="Times New Roman" w:hAnsi="Times New Roman"/>
              </w:rPr>
              <w:t>生活饮用水标准检验方法 金属指标</w:t>
            </w:r>
          </w:p>
          <w:p>
            <w:pPr>
              <w:jc w:val="center"/>
              <w:rPr>
                <w:rFonts w:ascii="Times New Roman" w:hAnsi="Times New Roman"/>
              </w:rPr>
            </w:pPr>
            <w:r>
              <w:rPr>
                <w:rFonts w:ascii="Times New Roman" w:hAnsi="Times New Roman"/>
              </w:rPr>
              <w:t>（15.1无火焰原子吸收分光光度法）GB/T 5750.6-2006</w:t>
            </w:r>
          </w:p>
        </w:tc>
      </w:tr>
    </w:tbl>
    <w:p>
      <w:pPr>
        <w:pStyle w:val="65"/>
        <w:spacing w:line="480" w:lineRule="exact"/>
        <w:ind w:left="0" w:firstLine="480" w:firstLineChars="200"/>
        <w:jc w:val="both"/>
        <w:rPr>
          <w:smallCaps w:val="0"/>
          <w:sz w:val="24"/>
          <w:szCs w:val="21"/>
        </w:rPr>
      </w:pPr>
      <w:r>
        <w:rPr>
          <w:smallCaps w:val="0"/>
          <w:sz w:val="24"/>
          <w:szCs w:val="21"/>
        </w:rPr>
        <w:t>（2）浸溶试验结果</w:t>
      </w:r>
    </w:p>
    <w:p>
      <w:pPr>
        <w:spacing w:line="480" w:lineRule="exact"/>
        <w:ind w:firstLine="480" w:firstLineChars="200"/>
        <w:rPr>
          <w:rFonts w:ascii="Times New Roman" w:hAnsi="Times New Roman"/>
          <w:sz w:val="24"/>
        </w:rPr>
      </w:pPr>
      <w:r>
        <w:rPr>
          <w:rFonts w:ascii="Times New Roman" w:hAnsi="Times New Roman"/>
          <w:sz w:val="24"/>
        </w:rPr>
        <w:t>包气带土样浸溶液成分检测结果见表4.2-15。</w:t>
      </w:r>
    </w:p>
    <w:p>
      <w:pPr>
        <w:adjustRightInd w:val="0"/>
        <w:snapToGrid w:val="0"/>
        <w:spacing w:line="480" w:lineRule="exact"/>
        <w:ind w:firstLine="422" w:firstLineChars="200"/>
        <w:jc w:val="center"/>
        <w:rPr>
          <w:rFonts w:ascii="Times New Roman" w:hAnsi="Times New Roman"/>
        </w:rPr>
      </w:pPr>
      <w:r>
        <w:rPr>
          <w:rFonts w:ascii="Times New Roman" w:hAnsi="Times New Roman"/>
          <w:b/>
        </w:rPr>
        <w:t>表4.2-15 包气带浸溶液检测结果表（mg/kg）</w:t>
      </w:r>
    </w:p>
    <w:tbl>
      <w:tblPr>
        <w:tblStyle w:val="7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47"/>
        <w:gridCol w:w="911"/>
        <w:gridCol w:w="911"/>
        <w:gridCol w:w="910"/>
        <w:gridCol w:w="910"/>
        <w:gridCol w:w="910"/>
        <w:gridCol w:w="910"/>
        <w:gridCol w:w="910"/>
        <w:gridCol w:w="91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76" w:type="dxa"/>
            <w:vAlign w:val="center"/>
          </w:tcPr>
          <w:p>
            <w:pPr>
              <w:jc w:val="center"/>
              <w:rPr>
                <w:rFonts w:ascii="Times New Roman" w:hAnsi="Times New Roman"/>
                <w:b/>
                <w:bCs/>
              </w:rPr>
            </w:pPr>
            <w:r>
              <w:rPr>
                <w:rFonts w:ascii="Times New Roman" w:hAnsi="Times New Roman"/>
                <w:b/>
                <w:bCs/>
              </w:rPr>
              <w:t>监测点位</w:t>
            </w:r>
          </w:p>
        </w:tc>
        <w:tc>
          <w:tcPr>
            <w:tcW w:w="567" w:type="dxa"/>
            <w:vAlign w:val="center"/>
          </w:tcPr>
          <w:p>
            <w:pPr>
              <w:widowControl/>
              <w:jc w:val="center"/>
              <w:textAlignment w:val="center"/>
              <w:rPr>
                <w:rFonts w:ascii="Times New Roman" w:hAnsi="Times New Roman"/>
                <w:b/>
                <w:bCs/>
              </w:rPr>
            </w:pPr>
            <w:r>
              <w:rPr>
                <w:rFonts w:ascii="Times New Roman" w:hAnsi="Times New Roman"/>
                <w:b/>
                <w:bCs/>
                <w:lang w:bidi="ar"/>
              </w:rPr>
              <w:t>pH值</w:t>
            </w:r>
          </w:p>
        </w:tc>
        <w:tc>
          <w:tcPr>
            <w:tcW w:w="567" w:type="dxa"/>
            <w:vAlign w:val="center"/>
          </w:tcPr>
          <w:p>
            <w:pPr>
              <w:widowControl/>
              <w:jc w:val="center"/>
              <w:textAlignment w:val="center"/>
              <w:rPr>
                <w:rFonts w:ascii="Times New Roman" w:hAnsi="Times New Roman"/>
                <w:b/>
                <w:bCs/>
              </w:rPr>
            </w:pPr>
            <w:r>
              <w:rPr>
                <w:rFonts w:ascii="Times New Roman" w:hAnsi="Times New Roman"/>
                <w:b/>
                <w:bCs/>
                <w:lang w:bidi="ar"/>
              </w:rPr>
              <w:t>镉</w:t>
            </w:r>
          </w:p>
        </w:tc>
        <w:tc>
          <w:tcPr>
            <w:tcW w:w="567" w:type="dxa"/>
            <w:vAlign w:val="center"/>
          </w:tcPr>
          <w:p>
            <w:pPr>
              <w:widowControl/>
              <w:jc w:val="center"/>
              <w:textAlignment w:val="center"/>
              <w:rPr>
                <w:rFonts w:ascii="Times New Roman" w:hAnsi="Times New Roman"/>
                <w:b/>
                <w:bCs/>
              </w:rPr>
            </w:pPr>
            <w:r>
              <w:rPr>
                <w:rFonts w:ascii="Times New Roman" w:hAnsi="Times New Roman"/>
                <w:b/>
                <w:bCs/>
                <w:lang w:bidi="ar"/>
              </w:rPr>
              <w:t>汞</w:t>
            </w:r>
          </w:p>
        </w:tc>
        <w:tc>
          <w:tcPr>
            <w:tcW w:w="567" w:type="dxa"/>
            <w:vAlign w:val="center"/>
          </w:tcPr>
          <w:p>
            <w:pPr>
              <w:widowControl/>
              <w:jc w:val="center"/>
              <w:textAlignment w:val="center"/>
              <w:rPr>
                <w:rFonts w:ascii="Times New Roman" w:hAnsi="Times New Roman"/>
                <w:b/>
                <w:bCs/>
              </w:rPr>
            </w:pPr>
            <w:r>
              <w:rPr>
                <w:rFonts w:ascii="Times New Roman" w:hAnsi="Times New Roman"/>
                <w:b/>
                <w:bCs/>
              </w:rPr>
              <w:t>砷</w:t>
            </w:r>
          </w:p>
        </w:tc>
        <w:tc>
          <w:tcPr>
            <w:tcW w:w="567" w:type="dxa"/>
            <w:vAlign w:val="center"/>
          </w:tcPr>
          <w:p>
            <w:pPr>
              <w:widowControl/>
              <w:jc w:val="center"/>
              <w:textAlignment w:val="center"/>
              <w:rPr>
                <w:rFonts w:ascii="Times New Roman" w:hAnsi="Times New Roman"/>
                <w:b/>
                <w:bCs/>
              </w:rPr>
            </w:pPr>
            <w:r>
              <w:rPr>
                <w:rFonts w:ascii="Times New Roman" w:hAnsi="Times New Roman"/>
                <w:b/>
                <w:bCs/>
                <w:lang w:bidi="ar"/>
              </w:rPr>
              <w:t>铅</w:t>
            </w:r>
          </w:p>
        </w:tc>
        <w:tc>
          <w:tcPr>
            <w:tcW w:w="567" w:type="dxa"/>
            <w:vAlign w:val="center"/>
          </w:tcPr>
          <w:p>
            <w:pPr>
              <w:widowControl/>
              <w:jc w:val="center"/>
              <w:textAlignment w:val="center"/>
              <w:rPr>
                <w:rFonts w:ascii="Times New Roman" w:hAnsi="Times New Roman"/>
                <w:b/>
                <w:bCs/>
              </w:rPr>
            </w:pPr>
            <w:r>
              <w:rPr>
                <w:rFonts w:ascii="Times New Roman" w:hAnsi="Times New Roman"/>
                <w:b/>
                <w:bCs/>
                <w:lang w:bidi="ar"/>
              </w:rPr>
              <w:t>六价铬</w:t>
            </w:r>
          </w:p>
        </w:tc>
        <w:tc>
          <w:tcPr>
            <w:tcW w:w="567" w:type="dxa"/>
            <w:vAlign w:val="center"/>
          </w:tcPr>
          <w:p>
            <w:pPr>
              <w:widowControl/>
              <w:jc w:val="center"/>
              <w:textAlignment w:val="center"/>
              <w:rPr>
                <w:rFonts w:ascii="Times New Roman" w:hAnsi="Times New Roman"/>
                <w:b/>
                <w:bCs/>
              </w:rPr>
            </w:pPr>
            <w:r>
              <w:rPr>
                <w:rFonts w:ascii="Times New Roman" w:hAnsi="Times New Roman"/>
                <w:b/>
                <w:bCs/>
                <w:lang w:bidi="ar"/>
              </w:rPr>
              <w:t>铜</w:t>
            </w:r>
          </w:p>
        </w:tc>
        <w:tc>
          <w:tcPr>
            <w:tcW w:w="567" w:type="dxa"/>
            <w:vAlign w:val="center"/>
          </w:tcPr>
          <w:p>
            <w:pPr>
              <w:widowControl/>
              <w:jc w:val="center"/>
              <w:textAlignment w:val="center"/>
              <w:rPr>
                <w:rFonts w:ascii="Times New Roman" w:hAnsi="Times New Roman"/>
                <w:b/>
                <w:bCs/>
              </w:rPr>
            </w:pPr>
            <w:r>
              <w:rPr>
                <w:rFonts w:ascii="Times New Roman" w:hAnsi="Times New Roman"/>
                <w:b/>
                <w:bCs/>
                <w:lang w:bidi="ar"/>
              </w:rPr>
              <w:t>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76" w:type="dxa"/>
            <w:vAlign w:val="center"/>
          </w:tcPr>
          <w:p>
            <w:pPr>
              <w:jc w:val="center"/>
              <w:rPr>
                <w:rFonts w:ascii="Times New Roman" w:hAnsi="Times New Roman"/>
              </w:rPr>
            </w:pPr>
            <w:r>
              <w:rPr>
                <w:rFonts w:ascii="Times New Roman" w:hAnsi="Times New Roman"/>
              </w:rPr>
              <w:t>厂区内</w:t>
            </w:r>
          </w:p>
          <w:p>
            <w:pPr>
              <w:jc w:val="center"/>
              <w:rPr>
                <w:rFonts w:ascii="Times New Roman" w:hAnsi="Times New Roman"/>
                <w:b/>
                <w:bCs/>
              </w:rPr>
            </w:pPr>
            <w:r>
              <w:rPr>
                <w:rFonts w:ascii="Times New Roman" w:hAnsi="Times New Roman"/>
              </w:rPr>
              <w:t>灭菌车间附近</w:t>
            </w:r>
          </w:p>
        </w:tc>
        <w:tc>
          <w:tcPr>
            <w:tcW w:w="567" w:type="dxa"/>
            <w:vAlign w:val="center"/>
          </w:tcPr>
          <w:p>
            <w:pPr>
              <w:jc w:val="center"/>
              <w:rPr>
                <w:rFonts w:ascii="Times New Roman" w:hAnsi="Times New Roman"/>
              </w:rPr>
            </w:pPr>
            <w:r>
              <w:rPr>
                <w:rFonts w:ascii="Times New Roman" w:hAnsi="Times New Roman"/>
              </w:rPr>
              <w:t>7.2</w:t>
            </w:r>
          </w:p>
        </w:tc>
        <w:tc>
          <w:tcPr>
            <w:tcW w:w="567" w:type="dxa"/>
            <w:vAlign w:val="center"/>
          </w:tcPr>
          <w:p>
            <w:pPr>
              <w:jc w:val="center"/>
              <w:rPr>
                <w:rFonts w:ascii="Times New Roman" w:hAnsi="Times New Roman"/>
              </w:rPr>
            </w:pPr>
            <w:r>
              <w:rPr>
                <w:rFonts w:ascii="Times New Roman" w:hAnsi="Times New Roman"/>
              </w:rPr>
              <w:t>0.1</w:t>
            </w:r>
          </w:p>
        </w:tc>
        <w:tc>
          <w:tcPr>
            <w:tcW w:w="567" w:type="dxa"/>
            <w:vAlign w:val="center"/>
          </w:tcPr>
          <w:p>
            <w:pPr>
              <w:jc w:val="center"/>
              <w:rPr>
                <w:rFonts w:ascii="Times New Roman" w:hAnsi="Times New Roman"/>
              </w:rPr>
            </w:pPr>
            <w:r>
              <w:rPr>
                <w:rFonts w:ascii="Times New Roman" w:hAnsi="Times New Roman"/>
              </w:rPr>
              <w:t>0.117</w:t>
            </w:r>
          </w:p>
        </w:tc>
        <w:tc>
          <w:tcPr>
            <w:tcW w:w="567" w:type="dxa"/>
            <w:vAlign w:val="center"/>
          </w:tcPr>
          <w:p>
            <w:pPr>
              <w:jc w:val="center"/>
              <w:rPr>
                <w:rFonts w:ascii="Times New Roman" w:hAnsi="Times New Roman"/>
              </w:rPr>
            </w:pPr>
            <w:r>
              <w:rPr>
                <w:rFonts w:ascii="Times New Roman" w:hAnsi="Times New Roman"/>
              </w:rPr>
              <w:t>5.43</w:t>
            </w:r>
          </w:p>
        </w:tc>
        <w:tc>
          <w:tcPr>
            <w:tcW w:w="567" w:type="dxa"/>
            <w:vAlign w:val="center"/>
          </w:tcPr>
          <w:p>
            <w:pPr>
              <w:jc w:val="center"/>
              <w:rPr>
                <w:rFonts w:ascii="Times New Roman" w:hAnsi="Times New Roman"/>
              </w:rPr>
            </w:pPr>
            <w:r>
              <w:rPr>
                <w:rFonts w:ascii="Times New Roman" w:hAnsi="Times New Roman"/>
              </w:rPr>
              <w:t>22.4</w:t>
            </w:r>
          </w:p>
        </w:tc>
        <w:tc>
          <w:tcPr>
            <w:tcW w:w="567" w:type="dxa"/>
            <w:vAlign w:val="center"/>
          </w:tcPr>
          <w:p>
            <w:pPr>
              <w:jc w:val="center"/>
              <w:rPr>
                <w:rFonts w:ascii="Times New Roman" w:hAnsi="Times New Roman"/>
              </w:rPr>
            </w:pPr>
            <w:r>
              <w:rPr>
                <w:rFonts w:ascii="Times New Roman" w:hAnsi="Times New Roman"/>
              </w:rPr>
              <w:t>未检出</w:t>
            </w:r>
          </w:p>
        </w:tc>
        <w:tc>
          <w:tcPr>
            <w:tcW w:w="567" w:type="dxa"/>
            <w:vAlign w:val="center"/>
          </w:tcPr>
          <w:p>
            <w:pPr>
              <w:jc w:val="center"/>
              <w:rPr>
                <w:rFonts w:ascii="Times New Roman" w:hAnsi="Times New Roman"/>
              </w:rPr>
            </w:pPr>
            <w:r>
              <w:rPr>
                <w:rFonts w:ascii="Times New Roman" w:hAnsi="Times New Roman"/>
              </w:rPr>
              <w:t>22</w:t>
            </w:r>
          </w:p>
        </w:tc>
        <w:tc>
          <w:tcPr>
            <w:tcW w:w="567" w:type="dxa"/>
            <w:vAlign w:val="center"/>
          </w:tcPr>
          <w:p>
            <w:pPr>
              <w:jc w:val="center"/>
              <w:rPr>
                <w:rFonts w:ascii="Times New Roman" w:hAnsi="Times New Roman"/>
              </w:rPr>
            </w:pPr>
            <w:r>
              <w:rPr>
                <w:rFonts w:ascii="Times New Roman" w:hAnsi="Times New Roman"/>
              </w:rPr>
              <w:t>46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76" w:type="dxa"/>
            <w:vAlign w:val="center"/>
          </w:tcPr>
          <w:p>
            <w:pPr>
              <w:jc w:val="center"/>
              <w:rPr>
                <w:rFonts w:ascii="Times New Roman" w:hAnsi="Times New Roman"/>
              </w:rPr>
            </w:pPr>
            <w:r>
              <w:rPr>
                <w:rFonts w:ascii="Times New Roman" w:hAnsi="Times New Roman"/>
              </w:rPr>
              <w:t>厂区外</w:t>
            </w:r>
          </w:p>
          <w:p>
            <w:pPr>
              <w:jc w:val="center"/>
              <w:rPr>
                <w:rFonts w:ascii="Times New Roman" w:hAnsi="Times New Roman"/>
              </w:rPr>
            </w:pPr>
            <w:r>
              <w:rPr>
                <w:rFonts w:ascii="Times New Roman" w:hAnsi="Times New Roman"/>
              </w:rPr>
              <w:t>东北侧</w:t>
            </w:r>
          </w:p>
          <w:p>
            <w:pPr>
              <w:jc w:val="center"/>
              <w:rPr>
                <w:rFonts w:ascii="Times New Roman" w:hAnsi="Times New Roman"/>
                <w:b/>
                <w:bCs/>
              </w:rPr>
            </w:pPr>
            <w:r>
              <w:rPr>
                <w:rFonts w:ascii="Times New Roman" w:hAnsi="Times New Roman"/>
              </w:rPr>
              <w:t>30m处</w:t>
            </w:r>
          </w:p>
        </w:tc>
        <w:tc>
          <w:tcPr>
            <w:tcW w:w="567" w:type="dxa"/>
            <w:vAlign w:val="center"/>
          </w:tcPr>
          <w:p>
            <w:pPr>
              <w:jc w:val="center"/>
              <w:rPr>
                <w:rFonts w:ascii="Times New Roman" w:hAnsi="Times New Roman"/>
              </w:rPr>
            </w:pPr>
            <w:r>
              <w:rPr>
                <w:rFonts w:ascii="Times New Roman" w:hAnsi="Times New Roman"/>
              </w:rPr>
              <w:t>7.4</w:t>
            </w:r>
          </w:p>
        </w:tc>
        <w:tc>
          <w:tcPr>
            <w:tcW w:w="567" w:type="dxa"/>
            <w:vAlign w:val="center"/>
          </w:tcPr>
          <w:p>
            <w:pPr>
              <w:jc w:val="center"/>
              <w:rPr>
                <w:rFonts w:ascii="Times New Roman" w:hAnsi="Times New Roman"/>
              </w:rPr>
            </w:pPr>
            <w:r>
              <w:rPr>
                <w:rFonts w:ascii="Times New Roman" w:hAnsi="Times New Roman"/>
              </w:rPr>
              <w:t>0.07</w:t>
            </w:r>
          </w:p>
        </w:tc>
        <w:tc>
          <w:tcPr>
            <w:tcW w:w="567" w:type="dxa"/>
            <w:vAlign w:val="center"/>
          </w:tcPr>
          <w:p>
            <w:pPr>
              <w:jc w:val="center"/>
              <w:rPr>
                <w:rFonts w:ascii="Times New Roman" w:hAnsi="Times New Roman"/>
              </w:rPr>
            </w:pPr>
            <w:r>
              <w:rPr>
                <w:rFonts w:ascii="Times New Roman" w:hAnsi="Times New Roman"/>
              </w:rPr>
              <w:t>0.108</w:t>
            </w:r>
          </w:p>
        </w:tc>
        <w:tc>
          <w:tcPr>
            <w:tcW w:w="567" w:type="dxa"/>
            <w:vAlign w:val="center"/>
          </w:tcPr>
          <w:p>
            <w:pPr>
              <w:jc w:val="center"/>
              <w:rPr>
                <w:rFonts w:ascii="Times New Roman" w:hAnsi="Times New Roman"/>
              </w:rPr>
            </w:pPr>
            <w:r>
              <w:rPr>
                <w:rFonts w:ascii="Times New Roman" w:hAnsi="Times New Roman"/>
              </w:rPr>
              <w:t>4.07</w:t>
            </w:r>
          </w:p>
        </w:tc>
        <w:tc>
          <w:tcPr>
            <w:tcW w:w="567" w:type="dxa"/>
            <w:vAlign w:val="center"/>
          </w:tcPr>
          <w:p>
            <w:pPr>
              <w:jc w:val="center"/>
              <w:rPr>
                <w:rFonts w:ascii="Times New Roman" w:hAnsi="Times New Roman"/>
              </w:rPr>
            </w:pPr>
            <w:r>
              <w:rPr>
                <w:rFonts w:ascii="Times New Roman" w:hAnsi="Times New Roman"/>
              </w:rPr>
              <w:t>21.3</w:t>
            </w:r>
          </w:p>
        </w:tc>
        <w:tc>
          <w:tcPr>
            <w:tcW w:w="567" w:type="dxa"/>
            <w:vAlign w:val="center"/>
          </w:tcPr>
          <w:p>
            <w:pPr>
              <w:jc w:val="center"/>
              <w:rPr>
                <w:rFonts w:ascii="Times New Roman" w:hAnsi="Times New Roman"/>
              </w:rPr>
            </w:pPr>
            <w:r>
              <w:rPr>
                <w:rFonts w:ascii="Times New Roman" w:hAnsi="Times New Roman"/>
              </w:rPr>
              <w:t>未检出</w:t>
            </w:r>
          </w:p>
        </w:tc>
        <w:tc>
          <w:tcPr>
            <w:tcW w:w="567" w:type="dxa"/>
            <w:vAlign w:val="center"/>
          </w:tcPr>
          <w:p>
            <w:pPr>
              <w:jc w:val="center"/>
              <w:rPr>
                <w:rFonts w:ascii="Times New Roman" w:hAnsi="Times New Roman"/>
              </w:rPr>
            </w:pPr>
            <w:r>
              <w:rPr>
                <w:rFonts w:ascii="Times New Roman" w:hAnsi="Times New Roman"/>
              </w:rPr>
              <w:t>19</w:t>
            </w:r>
          </w:p>
        </w:tc>
        <w:tc>
          <w:tcPr>
            <w:tcW w:w="567" w:type="dxa"/>
            <w:vAlign w:val="center"/>
          </w:tcPr>
          <w:p>
            <w:pPr>
              <w:jc w:val="center"/>
              <w:rPr>
                <w:rFonts w:ascii="Times New Roman" w:hAnsi="Times New Roman"/>
              </w:rPr>
            </w:pPr>
            <w:r>
              <w:rPr>
                <w:rFonts w:ascii="Times New Roman" w:hAnsi="Times New Roman"/>
              </w:rPr>
              <w:t>44</w:t>
            </w:r>
          </w:p>
        </w:tc>
      </w:tr>
    </w:tbl>
    <w:p>
      <w:pPr>
        <w:pStyle w:val="65"/>
        <w:spacing w:line="480" w:lineRule="exact"/>
        <w:ind w:left="0" w:firstLine="480" w:firstLineChars="200"/>
        <w:jc w:val="both"/>
      </w:pPr>
      <w:r>
        <w:rPr>
          <w:smallCaps w:val="0"/>
          <w:sz w:val="24"/>
          <w:szCs w:val="21"/>
        </w:rPr>
        <w:t>由评价结果可知，厂区内灭菌车间附近和厂区外东北侧30m处各监测因子浓度基本一致，变化不大，说明本项目对包气带产生污染影响较小。</w:t>
      </w:r>
    </w:p>
    <w:p>
      <w:pPr>
        <w:pStyle w:val="4"/>
        <w:spacing w:before="120" w:beforeLines="50" w:after="120" w:afterLines="50" w:line="480" w:lineRule="exact"/>
        <w:ind w:left="17"/>
        <w:rPr>
          <w:rFonts w:ascii="Times New Roman" w:hAnsi="Times New Roman" w:eastAsia="黑体"/>
          <w:sz w:val="28"/>
          <w:szCs w:val="28"/>
        </w:rPr>
      </w:pPr>
      <w:bookmarkStart w:id="936" w:name="_Toc31499"/>
      <w:r>
        <w:rPr>
          <w:rFonts w:ascii="Times New Roman" w:hAnsi="Times New Roman" w:eastAsia="黑体"/>
          <w:sz w:val="28"/>
          <w:szCs w:val="28"/>
        </w:rPr>
        <w:t>声环境质量现状评价</w:t>
      </w:r>
      <w:bookmarkEnd w:id="929"/>
      <w:bookmarkEnd w:id="930"/>
      <w:bookmarkEnd w:id="931"/>
      <w:bookmarkEnd w:id="932"/>
      <w:bookmarkEnd w:id="933"/>
      <w:bookmarkEnd w:id="934"/>
      <w:bookmarkEnd w:id="935"/>
      <w:bookmarkEnd w:id="936"/>
    </w:p>
    <w:p>
      <w:pPr>
        <w:widowControl/>
        <w:spacing w:line="480" w:lineRule="exact"/>
        <w:outlineLvl w:val="3"/>
        <w:rPr>
          <w:rFonts w:ascii="Times New Roman" w:hAnsi="Times New Roman" w:eastAsia="黑体"/>
          <w:sz w:val="24"/>
        </w:rPr>
      </w:pPr>
      <w:r>
        <w:rPr>
          <w:rFonts w:ascii="Times New Roman" w:hAnsi="Times New Roman" w:eastAsia="黑体"/>
          <w:sz w:val="24"/>
        </w:rPr>
        <w:t>4.2.4.1.声环境质量现状调查</w:t>
      </w:r>
    </w:p>
    <w:p>
      <w:pPr>
        <w:spacing w:line="480" w:lineRule="exact"/>
        <w:ind w:firstLine="480" w:firstLineChars="200"/>
        <w:rPr>
          <w:rFonts w:ascii="Times New Roman" w:hAnsi="Times New Roman"/>
          <w:sz w:val="24"/>
        </w:rPr>
      </w:pPr>
      <w:r>
        <w:rPr>
          <w:rFonts w:ascii="Times New Roman" w:hAnsi="Times New Roman"/>
          <w:sz w:val="24"/>
        </w:rPr>
        <w:t>本次声环境质量现状数据来自黑龙江省华裕检测技术有限公司2022年5月25日~2022年5月26日</w:t>
      </w:r>
      <w:r>
        <w:rPr>
          <w:rFonts w:ascii="Times New Roman" w:hAnsi="Times New Roman"/>
          <w:sz w:val="24"/>
          <w:szCs w:val="24"/>
        </w:rPr>
        <w:t>对本项目的监测数据</w:t>
      </w:r>
      <w:r>
        <w:rPr>
          <w:rFonts w:ascii="Times New Roman" w:hAnsi="Times New Roman"/>
          <w:sz w:val="24"/>
        </w:rPr>
        <w:t>。</w:t>
      </w:r>
    </w:p>
    <w:p>
      <w:pPr>
        <w:spacing w:line="480" w:lineRule="exact"/>
        <w:ind w:firstLine="480" w:firstLineChars="200"/>
        <w:rPr>
          <w:rFonts w:ascii="Times New Roman" w:hAnsi="Times New Roman"/>
          <w:sz w:val="24"/>
        </w:rPr>
      </w:pPr>
      <w:r>
        <w:rPr>
          <w:rFonts w:ascii="Times New Roman" w:hAnsi="Times New Roman"/>
          <w:sz w:val="24"/>
        </w:rPr>
        <w:t>（1）监测项目</w:t>
      </w:r>
    </w:p>
    <w:p>
      <w:pPr>
        <w:spacing w:line="480" w:lineRule="exact"/>
        <w:ind w:firstLine="480" w:firstLineChars="200"/>
        <w:rPr>
          <w:rFonts w:ascii="Times New Roman" w:hAnsi="Times New Roman"/>
          <w:sz w:val="24"/>
        </w:rPr>
      </w:pPr>
      <w:r>
        <w:rPr>
          <w:rFonts w:ascii="Times New Roman" w:hAnsi="Times New Roman"/>
          <w:sz w:val="24"/>
        </w:rPr>
        <w:t>以等效连续A声级Leq作为评价值。</w:t>
      </w:r>
    </w:p>
    <w:p>
      <w:pPr>
        <w:pStyle w:val="155"/>
        <w:spacing w:line="480" w:lineRule="exact"/>
        <w:ind w:firstLine="480"/>
      </w:pPr>
      <w:r>
        <w:t>（2）监测时间、频率及方法</w:t>
      </w:r>
    </w:p>
    <w:p>
      <w:pPr>
        <w:pStyle w:val="155"/>
        <w:spacing w:line="480" w:lineRule="exact"/>
        <w:ind w:firstLine="480"/>
      </w:pPr>
      <w:r>
        <w:t>监测时间为2022年5月25日~2022年5月26日两天，昼夜各一次。监测分析方法见表4.2-16。</w:t>
      </w:r>
    </w:p>
    <w:p>
      <w:pPr>
        <w:spacing w:line="480" w:lineRule="exact"/>
        <w:jc w:val="center"/>
        <w:rPr>
          <w:rFonts w:ascii="Times New Roman" w:hAnsi="Times New Roman"/>
          <w:b/>
          <w:bCs/>
        </w:rPr>
      </w:pPr>
      <w:r>
        <w:rPr>
          <w:rFonts w:ascii="Times New Roman" w:hAnsi="Times New Roman"/>
          <w:b/>
          <w:bCs/>
        </w:rPr>
        <w:t>表4.2-16 采样及分析方法</w:t>
      </w:r>
    </w:p>
    <w:tbl>
      <w:tblPr>
        <w:tblStyle w:val="7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519"/>
        <w:gridCol w:w="2976"/>
        <w:gridCol w:w="303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518" w:type="dxa"/>
            <w:vAlign w:val="center"/>
          </w:tcPr>
          <w:p>
            <w:pPr>
              <w:spacing w:line="280" w:lineRule="exact"/>
              <w:jc w:val="center"/>
              <w:rPr>
                <w:rFonts w:ascii="Times New Roman" w:hAnsi="Times New Roman"/>
                <w:b/>
              </w:rPr>
            </w:pPr>
            <w:r>
              <w:rPr>
                <w:rFonts w:ascii="Times New Roman" w:hAnsi="Times New Roman"/>
                <w:b/>
              </w:rPr>
              <w:t>监测项目</w:t>
            </w:r>
          </w:p>
        </w:tc>
        <w:tc>
          <w:tcPr>
            <w:tcW w:w="2977" w:type="dxa"/>
          </w:tcPr>
          <w:p>
            <w:pPr>
              <w:spacing w:line="280" w:lineRule="exact"/>
              <w:jc w:val="center"/>
              <w:rPr>
                <w:rFonts w:ascii="Times New Roman" w:hAnsi="Times New Roman"/>
                <w:b/>
              </w:rPr>
            </w:pPr>
            <w:r>
              <w:rPr>
                <w:rFonts w:ascii="Times New Roman" w:hAnsi="Times New Roman"/>
                <w:b/>
              </w:rPr>
              <w:t>分析方法</w:t>
            </w:r>
          </w:p>
        </w:tc>
        <w:tc>
          <w:tcPr>
            <w:tcW w:w="3034" w:type="dxa"/>
            <w:vAlign w:val="center"/>
          </w:tcPr>
          <w:p>
            <w:pPr>
              <w:spacing w:line="280" w:lineRule="exact"/>
              <w:jc w:val="center"/>
              <w:rPr>
                <w:rFonts w:ascii="Times New Roman" w:hAnsi="Times New Roman"/>
                <w:b/>
              </w:rPr>
            </w:pPr>
            <w:r>
              <w:rPr>
                <w:rFonts w:ascii="Times New Roman" w:hAnsi="Times New Roman"/>
                <w:b/>
              </w:rPr>
              <w:t>方法来源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0" w:hRule="atLeast"/>
          <w:jc w:val="center"/>
        </w:trPr>
        <w:tc>
          <w:tcPr>
            <w:tcW w:w="2518" w:type="dxa"/>
            <w:vAlign w:val="center"/>
          </w:tcPr>
          <w:p>
            <w:pPr>
              <w:spacing w:line="280" w:lineRule="exact"/>
              <w:jc w:val="center"/>
              <w:rPr>
                <w:rFonts w:ascii="Times New Roman" w:hAnsi="Times New Roman"/>
              </w:rPr>
            </w:pPr>
            <w:r>
              <w:rPr>
                <w:rFonts w:ascii="Times New Roman" w:hAnsi="Times New Roman"/>
              </w:rPr>
              <w:t>环境噪声</w:t>
            </w:r>
          </w:p>
        </w:tc>
        <w:tc>
          <w:tcPr>
            <w:tcW w:w="2977" w:type="dxa"/>
          </w:tcPr>
          <w:p>
            <w:pPr>
              <w:spacing w:line="280" w:lineRule="exact"/>
              <w:jc w:val="center"/>
              <w:rPr>
                <w:rFonts w:ascii="Times New Roman" w:hAnsi="Times New Roman"/>
              </w:rPr>
            </w:pPr>
            <w:r>
              <w:rPr>
                <w:rFonts w:ascii="Times New Roman" w:hAnsi="Times New Roman"/>
              </w:rPr>
              <w:t>声环境质量标准</w:t>
            </w:r>
          </w:p>
        </w:tc>
        <w:tc>
          <w:tcPr>
            <w:tcW w:w="3034" w:type="dxa"/>
            <w:vAlign w:val="center"/>
          </w:tcPr>
          <w:p>
            <w:pPr>
              <w:spacing w:line="280" w:lineRule="exact"/>
              <w:jc w:val="center"/>
              <w:rPr>
                <w:rFonts w:ascii="Times New Roman" w:hAnsi="Times New Roman"/>
              </w:rPr>
            </w:pPr>
            <w:r>
              <w:rPr>
                <w:rFonts w:ascii="Times New Roman" w:hAnsi="Times New Roman"/>
              </w:rPr>
              <w:t>GB3096-2008</w:t>
            </w:r>
          </w:p>
        </w:tc>
      </w:tr>
    </w:tbl>
    <w:p>
      <w:pPr>
        <w:spacing w:line="480" w:lineRule="exact"/>
        <w:ind w:firstLine="480" w:firstLineChars="200"/>
        <w:rPr>
          <w:rFonts w:ascii="Times New Roman" w:hAnsi="Times New Roman"/>
          <w:sz w:val="24"/>
        </w:rPr>
      </w:pPr>
      <w:r>
        <w:rPr>
          <w:rFonts w:ascii="Times New Roman" w:hAnsi="Times New Roman"/>
          <w:sz w:val="24"/>
        </w:rPr>
        <w:t>（3）监测布点</w:t>
      </w:r>
    </w:p>
    <w:p>
      <w:pPr>
        <w:pStyle w:val="155"/>
        <w:spacing w:line="480" w:lineRule="exact"/>
        <w:ind w:firstLine="480"/>
      </w:pPr>
      <w:r>
        <w:t>监测点位分布如表4.2-17和图4.2-4。</w:t>
      </w:r>
    </w:p>
    <w:p>
      <w:pPr>
        <w:spacing w:line="480" w:lineRule="exact"/>
        <w:jc w:val="center"/>
        <w:rPr>
          <w:rFonts w:ascii="Times New Roman" w:hAnsi="Times New Roman"/>
          <w:b/>
          <w:bCs/>
        </w:rPr>
      </w:pPr>
      <w:r>
        <w:rPr>
          <w:rFonts w:ascii="Times New Roman" w:hAnsi="Times New Roman"/>
          <w:b/>
          <w:bCs/>
        </w:rPr>
        <w:t>表4.2-17 噪声监测布点</w:t>
      </w:r>
    </w:p>
    <w:tbl>
      <w:tblPr>
        <w:tblStyle w:val="7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50"/>
        <w:gridCol w:w="3544"/>
        <w:gridCol w:w="303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43" w:type="pct"/>
            <w:vAlign w:val="center"/>
          </w:tcPr>
          <w:p>
            <w:pPr>
              <w:jc w:val="center"/>
              <w:rPr>
                <w:rFonts w:ascii="Times New Roman" w:hAnsi="Times New Roman"/>
                <w:b/>
              </w:rPr>
            </w:pPr>
            <w:r>
              <w:rPr>
                <w:rFonts w:ascii="Times New Roman" w:hAnsi="Times New Roman"/>
                <w:b/>
              </w:rPr>
              <w:t>序号</w:t>
            </w:r>
          </w:p>
        </w:tc>
        <w:tc>
          <w:tcPr>
            <w:tcW w:w="2077" w:type="pct"/>
            <w:vAlign w:val="center"/>
          </w:tcPr>
          <w:p>
            <w:pPr>
              <w:jc w:val="center"/>
              <w:rPr>
                <w:rFonts w:ascii="Times New Roman" w:hAnsi="Times New Roman"/>
                <w:b/>
              </w:rPr>
            </w:pPr>
            <w:r>
              <w:rPr>
                <w:rFonts w:ascii="Times New Roman" w:hAnsi="Times New Roman"/>
                <w:b/>
              </w:rPr>
              <w:t>监测点位</w:t>
            </w:r>
          </w:p>
        </w:tc>
        <w:tc>
          <w:tcPr>
            <w:tcW w:w="1779" w:type="pct"/>
            <w:vAlign w:val="center"/>
          </w:tcPr>
          <w:p>
            <w:pPr>
              <w:jc w:val="center"/>
              <w:rPr>
                <w:rFonts w:ascii="Times New Roman" w:hAnsi="Times New Roman"/>
                <w:b/>
                <w:kern w:val="2"/>
              </w:rPr>
            </w:pPr>
            <w:r>
              <w:rPr>
                <w:rFonts w:ascii="Times New Roman" w:hAnsi="Times New Roman"/>
                <w:b/>
                <w:kern w:val="2"/>
              </w:rPr>
              <w:t>功能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43" w:type="pct"/>
            <w:vAlign w:val="center"/>
          </w:tcPr>
          <w:p>
            <w:pPr>
              <w:jc w:val="center"/>
              <w:rPr>
                <w:rFonts w:ascii="Times New Roman" w:hAnsi="Times New Roman"/>
              </w:rPr>
            </w:pPr>
            <w:r>
              <w:rPr>
                <w:rFonts w:ascii="Times New Roman" w:hAnsi="Times New Roman"/>
              </w:rPr>
              <w:t>N1</w:t>
            </w:r>
          </w:p>
        </w:tc>
        <w:tc>
          <w:tcPr>
            <w:tcW w:w="2077" w:type="pct"/>
            <w:vAlign w:val="center"/>
          </w:tcPr>
          <w:p>
            <w:pPr>
              <w:jc w:val="center"/>
              <w:rPr>
                <w:rFonts w:ascii="Times New Roman" w:hAnsi="Times New Roman"/>
              </w:rPr>
            </w:pPr>
            <w:r>
              <w:rPr>
                <w:rFonts w:ascii="Times New Roman" w:hAnsi="Times New Roman"/>
              </w:rPr>
              <w:t>项目东侧厂界</w:t>
            </w:r>
          </w:p>
        </w:tc>
        <w:tc>
          <w:tcPr>
            <w:tcW w:w="1779" w:type="pct"/>
            <w:vMerge w:val="restart"/>
            <w:vAlign w:val="center"/>
          </w:tcPr>
          <w:p>
            <w:pPr>
              <w:jc w:val="center"/>
              <w:rPr>
                <w:rFonts w:ascii="Times New Roman" w:hAnsi="Times New Roman"/>
                <w:kern w:val="2"/>
              </w:rPr>
            </w:pPr>
            <w:r>
              <w:rPr>
                <w:rFonts w:ascii="Times New Roman" w:hAnsi="Times New Roman"/>
                <w:kern w:val="2"/>
              </w:rPr>
              <w:t>厂界噪声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43" w:type="pct"/>
            <w:vAlign w:val="center"/>
          </w:tcPr>
          <w:p>
            <w:pPr>
              <w:jc w:val="center"/>
              <w:rPr>
                <w:rFonts w:ascii="Times New Roman" w:hAnsi="Times New Roman"/>
              </w:rPr>
            </w:pPr>
            <w:r>
              <w:rPr>
                <w:rFonts w:ascii="Times New Roman" w:hAnsi="Times New Roman"/>
              </w:rPr>
              <w:t>N2</w:t>
            </w:r>
          </w:p>
        </w:tc>
        <w:tc>
          <w:tcPr>
            <w:tcW w:w="2077" w:type="pct"/>
            <w:vAlign w:val="center"/>
          </w:tcPr>
          <w:p>
            <w:pPr>
              <w:jc w:val="center"/>
              <w:rPr>
                <w:rFonts w:ascii="Times New Roman" w:hAnsi="Times New Roman"/>
              </w:rPr>
            </w:pPr>
            <w:r>
              <w:rPr>
                <w:rFonts w:ascii="Times New Roman" w:hAnsi="Times New Roman"/>
              </w:rPr>
              <w:t>项目南侧厂界</w:t>
            </w:r>
          </w:p>
        </w:tc>
        <w:tc>
          <w:tcPr>
            <w:tcW w:w="1779" w:type="pct"/>
            <w:vMerge w:val="continue"/>
            <w:vAlign w:val="center"/>
          </w:tcPr>
          <w:p>
            <w:pPr>
              <w:jc w:val="center"/>
              <w:rPr>
                <w:rFonts w:ascii="Times New Roman" w:hAnsi="Times New Roman"/>
                <w:kern w:val="2"/>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43" w:type="pct"/>
            <w:vAlign w:val="center"/>
          </w:tcPr>
          <w:p>
            <w:pPr>
              <w:jc w:val="center"/>
              <w:rPr>
                <w:rFonts w:ascii="Times New Roman" w:hAnsi="Times New Roman"/>
              </w:rPr>
            </w:pPr>
            <w:r>
              <w:rPr>
                <w:rFonts w:ascii="Times New Roman" w:hAnsi="Times New Roman"/>
              </w:rPr>
              <w:t>N3</w:t>
            </w:r>
          </w:p>
        </w:tc>
        <w:tc>
          <w:tcPr>
            <w:tcW w:w="2077" w:type="pct"/>
            <w:vAlign w:val="center"/>
          </w:tcPr>
          <w:p>
            <w:pPr>
              <w:jc w:val="center"/>
              <w:rPr>
                <w:rFonts w:ascii="Times New Roman" w:hAnsi="Times New Roman"/>
              </w:rPr>
            </w:pPr>
            <w:r>
              <w:rPr>
                <w:rFonts w:ascii="Times New Roman" w:hAnsi="Times New Roman"/>
              </w:rPr>
              <w:t>项目西侧厂界</w:t>
            </w:r>
          </w:p>
        </w:tc>
        <w:tc>
          <w:tcPr>
            <w:tcW w:w="1779" w:type="pct"/>
            <w:vMerge w:val="continue"/>
            <w:vAlign w:val="center"/>
          </w:tcPr>
          <w:p>
            <w:pPr>
              <w:jc w:val="center"/>
              <w:rPr>
                <w:rFonts w:ascii="Times New Roman" w:hAnsi="Times New Roman"/>
                <w:kern w:val="2"/>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43" w:type="pct"/>
            <w:vAlign w:val="center"/>
          </w:tcPr>
          <w:p>
            <w:pPr>
              <w:jc w:val="center"/>
              <w:rPr>
                <w:rFonts w:ascii="Times New Roman" w:hAnsi="Times New Roman"/>
              </w:rPr>
            </w:pPr>
            <w:r>
              <w:rPr>
                <w:rFonts w:ascii="Times New Roman" w:hAnsi="Times New Roman"/>
              </w:rPr>
              <w:t>N4</w:t>
            </w:r>
          </w:p>
        </w:tc>
        <w:tc>
          <w:tcPr>
            <w:tcW w:w="2077" w:type="pct"/>
            <w:vAlign w:val="center"/>
          </w:tcPr>
          <w:p>
            <w:pPr>
              <w:jc w:val="center"/>
              <w:rPr>
                <w:rFonts w:ascii="Times New Roman" w:hAnsi="Times New Roman"/>
              </w:rPr>
            </w:pPr>
            <w:r>
              <w:rPr>
                <w:rFonts w:ascii="Times New Roman" w:hAnsi="Times New Roman"/>
              </w:rPr>
              <w:t>项目北侧厂界</w:t>
            </w:r>
          </w:p>
        </w:tc>
        <w:tc>
          <w:tcPr>
            <w:tcW w:w="1779" w:type="pct"/>
            <w:vMerge w:val="continue"/>
            <w:vAlign w:val="center"/>
          </w:tcPr>
          <w:p>
            <w:pPr>
              <w:jc w:val="center"/>
              <w:rPr>
                <w:rFonts w:ascii="Times New Roman" w:hAnsi="Times New Roman"/>
                <w:kern w:val="2"/>
              </w:rPr>
            </w:pPr>
          </w:p>
        </w:tc>
      </w:tr>
    </w:tbl>
    <w:p>
      <w:pPr>
        <w:pStyle w:val="155"/>
        <w:spacing w:line="480" w:lineRule="exact"/>
        <w:ind w:firstLine="480"/>
      </w:pPr>
      <w:r>
        <w:t>（4）监测结果</w:t>
      </w:r>
    </w:p>
    <w:p>
      <w:pPr>
        <w:pStyle w:val="155"/>
        <w:spacing w:line="480" w:lineRule="exact"/>
        <w:ind w:firstLine="480"/>
      </w:pPr>
      <w:r>
        <w:t>监测结果见表4.2-18。</w:t>
      </w:r>
    </w:p>
    <w:p>
      <w:pPr>
        <w:spacing w:line="480" w:lineRule="exact"/>
        <w:jc w:val="center"/>
        <w:rPr>
          <w:rFonts w:ascii="Times New Roman" w:hAnsi="Times New Roman"/>
          <w:b/>
          <w:bCs/>
        </w:rPr>
      </w:pPr>
      <w:r>
        <w:rPr>
          <w:rFonts w:ascii="Times New Roman" w:hAnsi="Times New Roman"/>
          <w:b/>
          <w:bCs/>
        </w:rPr>
        <w:t>表4.2-18 声环境现状监测结果（单位：dB（A））</w:t>
      </w:r>
    </w:p>
    <w:tbl>
      <w:tblPr>
        <w:tblStyle w:val="7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798"/>
        <w:gridCol w:w="1418"/>
        <w:gridCol w:w="1419"/>
        <w:gridCol w:w="1418"/>
        <w:gridCol w:w="147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802" w:type="dxa"/>
            <w:vMerge w:val="restart"/>
            <w:vAlign w:val="center"/>
          </w:tcPr>
          <w:p>
            <w:pPr>
              <w:spacing w:line="280" w:lineRule="exact"/>
              <w:jc w:val="center"/>
              <w:rPr>
                <w:rFonts w:ascii="Times New Roman" w:hAnsi="Times New Roman"/>
                <w:b/>
              </w:rPr>
            </w:pPr>
            <w:r>
              <w:rPr>
                <w:rFonts w:ascii="Times New Roman" w:hAnsi="Times New Roman"/>
                <w:b/>
              </w:rPr>
              <w:t>监测点位</w:t>
            </w:r>
          </w:p>
        </w:tc>
        <w:tc>
          <w:tcPr>
            <w:tcW w:w="5727" w:type="dxa"/>
            <w:gridSpan w:val="4"/>
            <w:vAlign w:val="center"/>
          </w:tcPr>
          <w:p>
            <w:pPr>
              <w:spacing w:line="280" w:lineRule="exact"/>
              <w:jc w:val="center"/>
              <w:rPr>
                <w:rFonts w:ascii="Times New Roman" w:hAnsi="Times New Roman"/>
                <w:b/>
              </w:rPr>
            </w:pPr>
            <w:r>
              <w:rPr>
                <w:rFonts w:ascii="Times New Roman" w:hAnsi="Times New Roman"/>
                <w:b/>
              </w:rPr>
              <w:t>监测结果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802" w:type="dxa"/>
            <w:vMerge w:val="continue"/>
            <w:vAlign w:val="center"/>
          </w:tcPr>
          <w:p>
            <w:pPr>
              <w:spacing w:line="280" w:lineRule="exact"/>
              <w:jc w:val="center"/>
              <w:rPr>
                <w:rFonts w:ascii="Times New Roman" w:hAnsi="Times New Roman"/>
              </w:rPr>
            </w:pPr>
          </w:p>
        </w:tc>
        <w:tc>
          <w:tcPr>
            <w:tcW w:w="2835" w:type="dxa"/>
            <w:gridSpan w:val="2"/>
            <w:vAlign w:val="center"/>
          </w:tcPr>
          <w:p>
            <w:pPr>
              <w:spacing w:line="280" w:lineRule="exact"/>
              <w:jc w:val="center"/>
              <w:rPr>
                <w:rFonts w:ascii="Times New Roman" w:hAnsi="Times New Roman"/>
                <w:b/>
              </w:rPr>
            </w:pPr>
            <w:r>
              <w:rPr>
                <w:rFonts w:ascii="Times New Roman" w:hAnsi="Times New Roman"/>
                <w:b/>
              </w:rPr>
              <w:t>2022年5月25日</w:t>
            </w:r>
          </w:p>
        </w:tc>
        <w:tc>
          <w:tcPr>
            <w:tcW w:w="2892" w:type="dxa"/>
            <w:gridSpan w:val="2"/>
            <w:vAlign w:val="center"/>
          </w:tcPr>
          <w:p>
            <w:pPr>
              <w:spacing w:line="280" w:lineRule="exact"/>
              <w:jc w:val="center"/>
              <w:rPr>
                <w:rFonts w:ascii="Times New Roman" w:hAnsi="Times New Roman"/>
                <w:b/>
              </w:rPr>
            </w:pPr>
            <w:r>
              <w:rPr>
                <w:rFonts w:ascii="Times New Roman" w:hAnsi="Times New Roman"/>
                <w:b/>
              </w:rPr>
              <w:t>2022年5月26日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802" w:type="dxa"/>
            <w:vMerge w:val="continue"/>
            <w:vAlign w:val="center"/>
          </w:tcPr>
          <w:p>
            <w:pPr>
              <w:spacing w:line="280" w:lineRule="exact"/>
              <w:jc w:val="center"/>
              <w:rPr>
                <w:rFonts w:ascii="Times New Roman" w:hAnsi="Times New Roman"/>
              </w:rPr>
            </w:pPr>
          </w:p>
        </w:tc>
        <w:tc>
          <w:tcPr>
            <w:tcW w:w="1417" w:type="dxa"/>
            <w:vAlign w:val="center"/>
          </w:tcPr>
          <w:p>
            <w:pPr>
              <w:spacing w:line="280" w:lineRule="exact"/>
              <w:jc w:val="center"/>
              <w:rPr>
                <w:rFonts w:ascii="Times New Roman" w:hAnsi="Times New Roman"/>
                <w:b/>
              </w:rPr>
            </w:pPr>
            <w:r>
              <w:rPr>
                <w:rFonts w:ascii="Times New Roman" w:hAnsi="Times New Roman"/>
                <w:b/>
              </w:rPr>
              <w:t>昼间</w:t>
            </w:r>
          </w:p>
        </w:tc>
        <w:tc>
          <w:tcPr>
            <w:tcW w:w="1418" w:type="dxa"/>
            <w:vAlign w:val="center"/>
          </w:tcPr>
          <w:p>
            <w:pPr>
              <w:spacing w:line="280" w:lineRule="exact"/>
              <w:jc w:val="center"/>
              <w:rPr>
                <w:rFonts w:ascii="Times New Roman" w:hAnsi="Times New Roman"/>
                <w:b/>
              </w:rPr>
            </w:pPr>
            <w:r>
              <w:rPr>
                <w:rFonts w:ascii="Times New Roman" w:hAnsi="Times New Roman"/>
                <w:b/>
              </w:rPr>
              <w:t>夜间</w:t>
            </w:r>
          </w:p>
        </w:tc>
        <w:tc>
          <w:tcPr>
            <w:tcW w:w="1417" w:type="dxa"/>
            <w:vAlign w:val="center"/>
          </w:tcPr>
          <w:p>
            <w:pPr>
              <w:spacing w:line="280" w:lineRule="exact"/>
              <w:jc w:val="center"/>
              <w:rPr>
                <w:rFonts w:ascii="Times New Roman" w:hAnsi="Times New Roman"/>
                <w:b/>
              </w:rPr>
            </w:pPr>
            <w:r>
              <w:rPr>
                <w:rFonts w:ascii="Times New Roman" w:hAnsi="Times New Roman"/>
                <w:b/>
              </w:rPr>
              <w:t>昼间</w:t>
            </w:r>
          </w:p>
        </w:tc>
        <w:tc>
          <w:tcPr>
            <w:tcW w:w="1475" w:type="dxa"/>
            <w:vAlign w:val="center"/>
          </w:tcPr>
          <w:p>
            <w:pPr>
              <w:spacing w:line="280" w:lineRule="exact"/>
              <w:jc w:val="center"/>
              <w:rPr>
                <w:rFonts w:ascii="Times New Roman" w:hAnsi="Times New Roman"/>
                <w:b/>
              </w:rPr>
            </w:pPr>
            <w:r>
              <w:rPr>
                <w:rFonts w:ascii="Times New Roman" w:hAnsi="Times New Roman"/>
                <w:b/>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802" w:type="dxa"/>
            <w:vAlign w:val="center"/>
          </w:tcPr>
          <w:p>
            <w:pPr>
              <w:spacing w:line="280" w:lineRule="exact"/>
              <w:jc w:val="center"/>
              <w:rPr>
                <w:rFonts w:ascii="Times New Roman" w:hAnsi="Times New Roman"/>
              </w:rPr>
            </w:pPr>
            <w:r>
              <w:rPr>
                <w:rFonts w:ascii="Times New Roman" w:hAnsi="Times New Roman"/>
              </w:rPr>
              <w:t>项目东侧厂界</w:t>
            </w:r>
          </w:p>
        </w:tc>
        <w:tc>
          <w:tcPr>
            <w:tcW w:w="1417" w:type="dxa"/>
            <w:vAlign w:val="center"/>
          </w:tcPr>
          <w:p>
            <w:pPr>
              <w:spacing w:line="280" w:lineRule="exact"/>
              <w:jc w:val="center"/>
              <w:rPr>
                <w:rFonts w:ascii="Times New Roman" w:hAnsi="Times New Roman"/>
              </w:rPr>
            </w:pPr>
            <w:r>
              <w:rPr>
                <w:rFonts w:ascii="Times New Roman" w:hAnsi="Times New Roman"/>
              </w:rPr>
              <w:t>50</w:t>
            </w:r>
          </w:p>
        </w:tc>
        <w:tc>
          <w:tcPr>
            <w:tcW w:w="1418" w:type="dxa"/>
            <w:vAlign w:val="center"/>
          </w:tcPr>
          <w:p>
            <w:pPr>
              <w:spacing w:line="280" w:lineRule="exact"/>
              <w:jc w:val="center"/>
              <w:rPr>
                <w:rFonts w:ascii="Times New Roman" w:hAnsi="Times New Roman"/>
              </w:rPr>
            </w:pPr>
            <w:r>
              <w:rPr>
                <w:rFonts w:ascii="Times New Roman" w:hAnsi="Times New Roman"/>
              </w:rPr>
              <w:t>37</w:t>
            </w:r>
          </w:p>
        </w:tc>
        <w:tc>
          <w:tcPr>
            <w:tcW w:w="1417" w:type="dxa"/>
            <w:vAlign w:val="center"/>
          </w:tcPr>
          <w:p>
            <w:pPr>
              <w:spacing w:line="280" w:lineRule="exact"/>
              <w:jc w:val="center"/>
              <w:rPr>
                <w:rFonts w:ascii="Times New Roman" w:hAnsi="Times New Roman"/>
              </w:rPr>
            </w:pPr>
            <w:r>
              <w:rPr>
                <w:rFonts w:ascii="Times New Roman" w:hAnsi="Times New Roman"/>
              </w:rPr>
              <w:t>51</w:t>
            </w:r>
          </w:p>
        </w:tc>
        <w:tc>
          <w:tcPr>
            <w:tcW w:w="1475" w:type="dxa"/>
            <w:vAlign w:val="center"/>
          </w:tcPr>
          <w:p>
            <w:pPr>
              <w:spacing w:line="280" w:lineRule="exact"/>
              <w:jc w:val="center"/>
              <w:rPr>
                <w:rFonts w:ascii="Times New Roman" w:hAnsi="Times New Roman"/>
              </w:rPr>
            </w:pPr>
            <w:r>
              <w:rPr>
                <w:rFonts w:ascii="Times New Roman" w:hAnsi="Times New Roman"/>
              </w:rPr>
              <w:t>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802" w:type="dxa"/>
            <w:vAlign w:val="center"/>
          </w:tcPr>
          <w:p>
            <w:pPr>
              <w:spacing w:line="280" w:lineRule="exact"/>
              <w:jc w:val="center"/>
              <w:rPr>
                <w:rFonts w:ascii="Times New Roman" w:hAnsi="Times New Roman"/>
              </w:rPr>
            </w:pPr>
            <w:r>
              <w:rPr>
                <w:rFonts w:ascii="Times New Roman" w:hAnsi="Times New Roman"/>
              </w:rPr>
              <w:t>项目南侧厂界</w:t>
            </w:r>
          </w:p>
        </w:tc>
        <w:tc>
          <w:tcPr>
            <w:tcW w:w="1417" w:type="dxa"/>
            <w:vAlign w:val="center"/>
          </w:tcPr>
          <w:p>
            <w:pPr>
              <w:spacing w:line="280" w:lineRule="exact"/>
              <w:jc w:val="center"/>
              <w:rPr>
                <w:rFonts w:ascii="Times New Roman" w:hAnsi="Times New Roman"/>
              </w:rPr>
            </w:pPr>
            <w:r>
              <w:rPr>
                <w:rFonts w:ascii="Times New Roman" w:hAnsi="Times New Roman"/>
              </w:rPr>
              <w:t>51</w:t>
            </w:r>
          </w:p>
        </w:tc>
        <w:tc>
          <w:tcPr>
            <w:tcW w:w="1418" w:type="dxa"/>
            <w:vAlign w:val="center"/>
          </w:tcPr>
          <w:p>
            <w:pPr>
              <w:spacing w:line="280" w:lineRule="exact"/>
              <w:jc w:val="center"/>
              <w:rPr>
                <w:rFonts w:ascii="Times New Roman" w:hAnsi="Times New Roman"/>
              </w:rPr>
            </w:pPr>
            <w:r>
              <w:rPr>
                <w:rFonts w:ascii="Times New Roman" w:hAnsi="Times New Roman"/>
              </w:rPr>
              <w:t>38</w:t>
            </w:r>
          </w:p>
        </w:tc>
        <w:tc>
          <w:tcPr>
            <w:tcW w:w="1417" w:type="dxa"/>
            <w:vAlign w:val="center"/>
          </w:tcPr>
          <w:p>
            <w:pPr>
              <w:spacing w:line="280" w:lineRule="exact"/>
              <w:jc w:val="center"/>
              <w:rPr>
                <w:rFonts w:ascii="Times New Roman" w:hAnsi="Times New Roman"/>
              </w:rPr>
            </w:pPr>
            <w:r>
              <w:rPr>
                <w:rFonts w:ascii="Times New Roman" w:hAnsi="Times New Roman"/>
              </w:rPr>
              <w:t>49</w:t>
            </w:r>
          </w:p>
        </w:tc>
        <w:tc>
          <w:tcPr>
            <w:tcW w:w="1475" w:type="dxa"/>
            <w:vAlign w:val="center"/>
          </w:tcPr>
          <w:p>
            <w:pPr>
              <w:spacing w:line="280" w:lineRule="exact"/>
              <w:jc w:val="center"/>
              <w:rPr>
                <w:rFonts w:ascii="Times New Roman" w:hAnsi="Times New Roman"/>
              </w:rPr>
            </w:pPr>
            <w:r>
              <w:rPr>
                <w:rFonts w:ascii="Times New Roman" w:hAnsi="Times New Roman"/>
              </w:rPr>
              <w:t>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802" w:type="dxa"/>
            <w:vAlign w:val="center"/>
          </w:tcPr>
          <w:p>
            <w:pPr>
              <w:spacing w:line="280" w:lineRule="exact"/>
              <w:jc w:val="center"/>
              <w:rPr>
                <w:rFonts w:ascii="Times New Roman" w:hAnsi="Times New Roman"/>
              </w:rPr>
            </w:pPr>
            <w:r>
              <w:rPr>
                <w:rFonts w:ascii="Times New Roman" w:hAnsi="Times New Roman"/>
              </w:rPr>
              <w:t>项目西侧厂界</w:t>
            </w:r>
          </w:p>
        </w:tc>
        <w:tc>
          <w:tcPr>
            <w:tcW w:w="1417" w:type="dxa"/>
            <w:vAlign w:val="center"/>
          </w:tcPr>
          <w:p>
            <w:pPr>
              <w:spacing w:line="280" w:lineRule="exact"/>
              <w:jc w:val="center"/>
              <w:rPr>
                <w:rFonts w:ascii="Times New Roman" w:hAnsi="Times New Roman"/>
              </w:rPr>
            </w:pPr>
            <w:r>
              <w:rPr>
                <w:rFonts w:ascii="Times New Roman" w:hAnsi="Times New Roman"/>
              </w:rPr>
              <w:t>51</w:t>
            </w:r>
          </w:p>
        </w:tc>
        <w:tc>
          <w:tcPr>
            <w:tcW w:w="1418" w:type="dxa"/>
            <w:vAlign w:val="center"/>
          </w:tcPr>
          <w:p>
            <w:pPr>
              <w:spacing w:line="280" w:lineRule="exact"/>
              <w:jc w:val="center"/>
              <w:rPr>
                <w:rFonts w:ascii="Times New Roman" w:hAnsi="Times New Roman"/>
              </w:rPr>
            </w:pPr>
            <w:r>
              <w:rPr>
                <w:rFonts w:ascii="Times New Roman" w:hAnsi="Times New Roman"/>
              </w:rPr>
              <w:t>36</w:t>
            </w:r>
          </w:p>
        </w:tc>
        <w:tc>
          <w:tcPr>
            <w:tcW w:w="1417" w:type="dxa"/>
            <w:vAlign w:val="center"/>
          </w:tcPr>
          <w:p>
            <w:pPr>
              <w:spacing w:line="280" w:lineRule="exact"/>
              <w:jc w:val="center"/>
              <w:rPr>
                <w:rFonts w:ascii="Times New Roman" w:hAnsi="Times New Roman"/>
              </w:rPr>
            </w:pPr>
            <w:r>
              <w:rPr>
                <w:rFonts w:ascii="Times New Roman" w:hAnsi="Times New Roman"/>
              </w:rPr>
              <w:t>51</w:t>
            </w:r>
          </w:p>
        </w:tc>
        <w:tc>
          <w:tcPr>
            <w:tcW w:w="1475" w:type="dxa"/>
            <w:vAlign w:val="center"/>
          </w:tcPr>
          <w:p>
            <w:pPr>
              <w:spacing w:line="280" w:lineRule="exact"/>
              <w:jc w:val="center"/>
              <w:rPr>
                <w:rFonts w:ascii="Times New Roman" w:hAnsi="Times New Roman"/>
              </w:rPr>
            </w:pPr>
            <w:r>
              <w:rPr>
                <w:rFonts w:ascii="Times New Roman" w:hAnsi="Times New Roman"/>
              </w:rPr>
              <w:t>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802" w:type="dxa"/>
            <w:vAlign w:val="center"/>
          </w:tcPr>
          <w:p>
            <w:pPr>
              <w:spacing w:line="280" w:lineRule="exact"/>
              <w:jc w:val="center"/>
              <w:rPr>
                <w:rFonts w:ascii="Times New Roman" w:hAnsi="Times New Roman"/>
              </w:rPr>
            </w:pPr>
            <w:r>
              <w:rPr>
                <w:rFonts w:ascii="Times New Roman" w:hAnsi="Times New Roman"/>
              </w:rPr>
              <w:t>项目北侧厂界</w:t>
            </w:r>
          </w:p>
        </w:tc>
        <w:tc>
          <w:tcPr>
            <w:tcW w:w="1417" w:type="dxa"/>
            <w:vAlign w:val="center"/>
          </w:tcPr>
          <w:p>
            <w:pPr>
              <w:spacing w:line="280" w:lineRule="exact"/>
              <w:jc w:val="center"/>
              <w:rPr>
                <w:rFonts w:ascii="Times New Roman" w:hAnsi="Times New Roman"/>
              </w:rPr>
            </w:pPr>
            <w:r>
              <w:rPr>
                <w:rFonts w:ascii="Times New Roman" w:hAnsi="Times New Roman"/>
              </w:rPr>
              <w:t>52</w:t>
            </w:r>
          </w:p>
        </w:tc>
        <w:tc>
          <w:tcPr>
            <w:tcW w:w="1418" w:type="dxa"/>
            <w:vAlign w:val="center"/>
          </w:tcPr>
          <w:p>
            <w:pPr>
              <w:spacing w:line="280" w:lineRule="exact"/>
              <w:jc w:val="center"/>
              <w:rPr>
                <w:rFonts w:ascii="Times New Roman" w:hAnsi="Times New Roman"/>
              </w:rPr>
            </w:pPr>
            <w:r>
              <w:rPr>
                <w:rFonts w:ascii="Times New Roman" w:hAnsi="Times New Roman"/>
              </w:rPr>
              <w:t>37</w:t>
            </w:r>
          </w:p>
        </w:tc>
        <w:tc>
          <w:tcPr>
            <w:tcW w:w="1417" w:type="dxa"/>
            <w:vAlign w:val="center"/>
          </w:tcPr>
          <w:p>
            <w:pPr>
              <w:spacing w:line="280" w:lineRule="exact"/>
              <w:jc w:val="center"/>
              <w:rPr>
                <w:rFonts w:ascii="Times New Roman" w:hAnsi="Times New Roman"/>
              </w:rPr>
            </w:pPr>
            <w:r>
              <w:rPr>
                <w:rFonts w:ascii="Times New Roman" w:hAnsi="Times New Roman"/>
              </w:rPr>
              <w:t>50</w:t>
            </w:r>
          </w:p>
        </w:tc>
        <w:tc>
          <w:tcPr>
            <w:tcW w:w="1475" w:type="dxa"/>
            <w:vAlign w:val="center"/>
          </w:tcPr>
          <w:p>
            <w:pPr>
              <w:spacing w:line="280" w:lineRule="exact"/>
              <w:jc w:val="center"/>
              <w:rPr>
                <w:rFonts w:ascii="Times New Roman" w:hAnsi="Times New Roman"/>
              </w:rPr>
            </w:pPr>
            <w:r>
              <w:rPr>
                <w:rFonts w:ascii="Times New Roman" w:hAnsi="Times New Roman"/>
              </w:rPr>
              <w:t>38</w:t>
            </w:r>
          </w:p>
        </w:tc>
      </w:tr>
    </w:tbl>
    <w:p>
      <w:pPr>
        <w:widowControl/>
        <w:spacing w:line="480" w:lineRule="exact"/>
        <w:outlineLvl w:val="3"/>
        <w:rPr>
          <w:rFonts w:ascii="Times New Roman" w:hAnsi="Times New Roman" w:eastAsia="黑体"/>
          <w:sz w:val="24"/>
        </w:rPr>
      </w:pPr>
      <w:r>
        <w:rPr>
          <w:rFonts w:ascii="Times New Roman" w:hAnsi="Times New Roman" w:eastAsia="黑体"/>
          <w:sz w:val="24"/>
        </w:rPr>
        <w:t>4.2.4.2.声环境质量现状评价</w:t>
      </w:r>
    </w:p>
    <w:p>
      <w:pPr>
        <w:spacing w:line="480" w:lineRule="exact"/>
        <w:ind w:firstLine="480" w:firstLineChars="200"/>
        <w:rPr>
          <w:rFonts w:ascii="Times New Roman" w:hAnsi="Times New Roman"/>
          <w:sz w:val="24"/>
          <w:szCs w:val="24"/>
        </w:rPr>
      </w:pPr>
      <w:r>
        <w:rPr>
          <w:rFonts w:ascii="Times New Roman" w:hAnsi="Times New Roman"/>
          <w:sz w:val="24"/>
          <w:szCs w:val="24"/>
        </w:rPr>
        <w:t>（1）评价量</w:t>
      </w:r>
    </w:p>
    <w:p>
      <w:pPr>
        <w:spacing w:line="480" w:lineRule="exact"/>
        <w:ind w:firstLine="480" w:firstLineChars="200"/>
        <w:rPr>
          <w:rFonts w:ascii="Times New Roman" w:hAnsi="Times New Roman"/>
          <w:sz w:val="24"/>
          <w:szCs w:val="24"/>
        </w:rPr>
      </w:pPr>
      <w:r>
        <w:rPr>
          <w:rFonts w:ascii="Times New Roman" w:hAnsi="Times New Roman"/>
          <w:sz w:val="24"/>
          <w:szCs w:val="24"/>
        </w:rPr>
        <w:t>采用等效连续A声级。</w:t>
      </w:r>
    </w:p>
    <w:p>
      <w:pPr>
        <w:spacing w:line="480" w:lineRule="exact"/>
        <w:ind w:firstLine="480" w:firstLineChars="200"/>
        <w:rPr>
          <w:rFonts w:ascii="Times New Roman" w:hAnsi="Times New Roman"/>
          <w:sz w:val="24"/>
          <w:szCs w:val="24"/>
        </w:rPr>
      </w:pPr>
      <w:r>
        <w:rPr>
          <w:rFonts w:ascii="Times New Roman" w:hAnsi="Times New Roman"/>
          <w:sz w:val="24"/>
          <w:szCs w:val="24"/>
        </w:rPr>
        <w:t>（2）评价标准</w:t>
      </w:r>
    </w:p>
    <w:p>
      <w:pPr>
        <w:spacing w:line="480" w:lineRule="exact"/>
        <w:ind w:firstLine="480" w:firstLineChars="200"/>
        <w:rPr>
          <w:rFonts w:ascii="Times New Roman" w:hAnsi="Times New Roman"/>
          <w:sz w:val="24"/>
          <w:szCs w:val="24"/>
        </w:rPr>
      </w:pPr>
      <w:r>
        <w:rPr>
          <w:rFonts w:ascii="Times New Roman" w:hAnsi="Times New Roman"/>
          <w:sz w:val="24"/>
          <w:szCs w:val="24"/>
        </w:rPr>
        <w:t>根据评价区域噪声环境功能区划，采用《声环境质量标准》（GB3096-2008）中的2类，具体标准见表4.2-19。</w:t>
      </w:r>
    </w:p>
    <w:p>
      <w:pPr>
        <w:spacing w:line="480" w:lineRule="exact"/>
        <w:jc w:val="center"/>
        <w:rPr>
          <w:rFonts w:ascii="Times New Roman" w:hAnsi="Times New Roman"/>
          <w:b/>
          <w:bCs/>
        </w:rPr>
      </w:pPr>
      <w:r>
        <w:rPr>
          <w:rFonts w:ascii="Times New Roman" w:hAnsi="Times New Roman"/>
          <w:b/>
          <w:bCs/>
        </w:rPr>
        <w:t>表4.2-19 环境噪声标准</w:t>
      </w:r>
    </w:p>
    <w:tbl>
      <w:tblPr>
        <w:tblStyle w:val="7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519"/>
        <w:gridCol w:w="2976"/>
        <w:gridCol w:w="303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0" w:hRule="atLeast"/>
          <w:jc w:val="center"/>
        </w:trPr>
        <w:tc>
          <w:tcPr>
            <w:tcW w:w="2518" w:type="dxa"/>
            <w:vAlign w:val="center"/>
          </w:tcPr>
          <w:p>
            <w:pPr>
              <w:spacing w:line="280" w:lineRule="exact"/>
              <w:jc w:val="center"/>
              <w:rPr>
                <w:rFonts w:ascii="Times New Roman" w:hAnsi="Times New Roman"/>
                <w:b/>
              </w:rPr>
            </w:pPr>
            <w:r>
              <w:rPr>
                <w:rFonts w:ascii="Times New Roman" w:hAnsi="Times New Roman"/>
                <w:b/>
              </w:rPr>
              <w:t>类别</w:t>
            </w:r>
          </w:p>
        </w:tc>
        <w:tc>
          <w:tcPr>
            <w:tcW w:w="2977" w:type="dxa"/>
          </w:tcPr>
          <w:p>
            <w:pPr>
              <w:spacing w:line="280" w:lineRule="exact"/>
              <w:jc w:val="center"/>
              <w:rPr>
                <w:rFonts w:ascii="Times New Roman" w:hAnsi="Times New Roman"/>
                <w:b/>
              </w:rPr>
            </w:pPr>
            <w:r>
              <w:rPr>
                <w:rFonts w:ascii="Times New Roman" w:hAnsi="Times New Roman"/>
                <w:b/>
              </w:rPr>
              <w:t>昼间</w:t>
            </w:r>
          </w:p>
        </w:tc>
        <w:tc>
          <w:tcPr>
            <w:tcW w:w="3034" w:type="dxa"/>
            <w:vAlign w:val="center"/>
          </w:tcPr>
          <w:p>
            <w:pPr>
              <w:spacing w:line="280" w:lineRule="exact"/>
              <w:jc w:val="center"/>
              <w:rPr>
                <w:rFonts w:ascii="Times New Roman" w:hAnsi="Times New Roman"/>
                <w:b/>
              </w:rPr>
            </w:pPr>
            <w:r>
              <w:rPr>
                <w:rFonts w:ascii="Times New Roman" w:hAnsi="Times New Roman"/>
                <w:b/>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518" w:type="dxa"/>
            <w:vAlign w:val="center"/>
          </w:tcPr>
          <w:p>
            <w:pPr>
              <w:spacing w:line="280" w:lineRule="exact"/>
              <w:jc w:val="center"/>
              <w:rPr>
                <w:rFonts w:ascii="Times New Roman" w:hAnsi="Times New Roman"/>
              </w:rPr>
            </w:pPr>
            <w:r>
              <w:rPr>
                <w:rFonts w:ascii="Times New Roman" w:hAnsi="Times New Roman"/>
              </w:rPr>
              <w:t>2类</w:t>
            </w:r>
          </w:p>
        </w:tc>
        <w:tc>
          <w:tcPr>
            <w:tcW w:w="2977" w:type="dxa"/>
          </w:tcPr>
          <w:p>
            <w:pPr>
              <w:spacing w:line="280" w:lineRule="exact"/>
              <w:jc w:val="center"/>
              <w:rPr>
                <w:rFonts w:ascii="Times New Roman" w:hAnsi="Times New Roman"/>
              </w:rPr>
            </w:pPr>
            <w:r>
              <w:rPr>
                <w:rFonts w:ascii="Times New Roman" w:hAnsi="Times New Roman"/>
              </w:rPr>
              <w:t>60（A）</w:t>
            </w:r>
          </w:p>
        </w:tc>
        <w:tc>
          <w:tcPr>
            <w:tcW w:w="3034" w:type="dxa"/>
            <w:vAlign w:val="center"/>
          </w:tcPr>
          <w:p>
            <w:pPr>
              <w:spacing w:line="280" w:lineRule="exact"/>
              <w:jc w:val="center"/>
              <w:rPr>
                <w:rFonts w:ascii="Times New Roman" w:hAnsi="Times New Roman"/>
              </w:rPr>
            </w:pPr>
            <w:r>
              <w:rPr>
                <w:rFonts w:ascii="Times New Roman" w:hAnsi="Times New Roman"/>
              </w:rPr>
              <w:t>50（A）</w:t>
            </w:r>
          </w:p>
        </w:tc>
      </w:tr>
    </w:tbl>
    <w:p>
      <w:pPr>
        <w:spacing w:line="480" w:lineRule="exact"/>
        <w:ind w:firstLine="480" w:firstLineChars="200"/>
        <w:rPr>
          <w:rFonts w:ascii="Times New Roman" w:hAnsi="Times New Roman"/>
          <w:sz w:val="24"/>
          <w:szCs w:val="24"/>
        </w:rPr>
      </w:pPr>
      <w:r>
        <w:rPr>
          <w:rFonts w:ascii="Times New Roman" w:hAnsi="Times New Roman"/>
          <w:sz w:val="24"/>
          <w:szCs w:val="24"/>
        </w:rPr>
        <w:t>（3）评价结果</w:t>
      </w:r>
    </w:p>
    <w:p>
      <w:pPr>
        <w:pStyle w:val="155"/>
        <w:ind w:firstLine="480"/>
      </w:pPr>
      <w:r>
        <w:t>由表4.2-18与表4.2-19对照可以看出，项目所在区域噪声满足《声环境质量标准》（GB3096-2008）中的2类标准要求。</w:t>
      </w:r>
    </w:p>
    <w:p>
      <w:pPr>
        <w:pStyle w:val="4"/>
        <w:spacing w:before="120" w:beforeLines="50" w:after="120" w:afterLines="50" w:line="480" w:lineRule="exact"/>
        <w:ind w:left="17"/>
        <w:rPr>
          <w:rFonts w:ascii="Times New Roman" w:hAnsi="Times New Roman" w:eastAsia="黑体"/>
          <w:sz w:val="28"/>
          <w:szCs w:val="28"/>
        </w:rPr>
      </w:pPr>
      <w:bookmarkStart w:id="937" w:name="_Toc26678"/>
      <w:bookmarkStart w:id="938" w:name="_Toc18970"/>
      <w:bookmarkStart w:id="939" w:name="_Toc30574"/>
      <w:bookmarkStart w:id="940" w:name="_Toc26188042"/>
      <w:bookmarkStart w:id="941" w:name="_Toc27134315"/>
      <w:bookmarkStart w:id="942" w:name="_Toc5812"/>
      <w:bookmarkStart w:id="943" w:name="_Toc23822"/>
      <w:r>
        <w:rPr>
          <w:rFonts w:ascii="Times New Roman" w:hAnsi="Times New Roman" w:eastAsia="黑体"/>
          <w:sz w:val="28"/>
          <w:szCs w:val="28"/>
        </w:rPr>
        <w:t>土壤环境质量现状评价</w:t>
      </w:r>
      <w:bookmarkEnd w:id="937"/>
      <w:bookmarkEnd w:id="938"/>
      <w:bookmarkEnd w:id="939"/>
      <w:bookmarkEnd w:id="940"/>
      <w:bookmarkEnd w:id="941"/>
      <w:bookmarkEnd w:id="942"/>
      <w:bookmarkEnd w:id="943"/>
    </w:p>
    <w:p>
      <w:pPr>
        <w:widowControl/>
        <w:spacing w:line="480" w:lineRule="exact"/>
        <w:outlineLvl w:val="3"/>
        <w:rPr>
          <w:rFonts w:ascii="Times New Roman" w:hAnsi="Times New Roman" w:eastAsia="黑体"/>
          <w:sz w:val="24"/>
        </w:rPr>
      </w:pPr>
      <w:r>
        <w:rPr>
          <w:rFonts w:ascii="Times New Roman" w:hAnsi="Times New Roman" w:eastAsia="黑体"/>
          <w:sz w:val="24"/>
        </w:rPr>
        <w:t>4.2.5.1.土壤环境质量现状调查</w:t>
      </w:r>
    </w:p>
    <w:p>
      <w:p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本次土壤环境质量现状数据来自</w:t>
      </w:r>
      <w:r>
        <w:rPr>
          <w:rFonts w:ascii="Times New Roman" w:hAnsi="Times New Roman"/>
          <w:sz w:val="24"/>
        </w:rPr>
        <w:t>黑龙江省华裕检测技术有限公司</w:t>
      </w:r>
      <w:r>
        <w:rPr>
          <w:rFonts w:ascii="Times New Roman" w:hAnsi="Times New Roman"/>
          <w:kern w:val="2"/>
          <w:sz w:val="24"/>
          <w:szCs w:val="20"/>
        </w:rPr>
        <w:t>2022年5月24日对本项目的监测数据。</w:t>
      </w:r>
    </w:p>
    <w:p>
      <w:pPr>
        <w:spacing w:line="480" w:lineRule="exact"/>
        <w:ind w:firstLine="480" w:firstLineChars="200"/>
        <w:rPr>
          <w:rFonts w:ascii="Times New Roman" w:hAnsi="Times New Roman"/>
          <w:sz w:val="24"/>
        </w:rPr>
      </w:pPr>
      <w:r>
        <w:rPr>
          <w:rFonts w:ascii="Times New Roman" w:hAnsi="Times New Roman"/>
          <w:sz w:val="24"/>
        </w:rPr>
        <w:t>（1）监测布点</w:t>
      </w:r>
    </w:p>
    <w:p>
      <w:pPr>
        <w:pStyle w:val="155"/>
        <w:spacing w:line="480" w:lineRule="exact"/>
        <w:ind w:firstLine="480"/>
      </w:pPr>
      <w:r>
        <w:t>根据《环境影响评价技术导则 土壤环境（试行）》（HJ964—2018）中监测布点原则，7.4.2.2调查评价范围内每种土壤类型应至少设置1个表层样监测点，应尽量设置在未受人为污染或相对未受污染的区域；7.4.2.4涉及入渗途径影响的，主要产污装置区应设置柱状样监测点；7.4.2.5涉及大气沉降影响的，应在占地范围外主导风向的上、下风向各设置1个表层样监测点，可在最大落地浓度点增设表层样监测点；7.4.2.8评价等级为一级、二级的改扩建项目，应在现有工程厂界外可能产生影响的土壤敏感目标处设置监测点；7.4.2.10建设项目占地范围及其可能影响区域的土壤环境已存在污染风险的，应结合用地历史资料和现状调查情况，在可能受影响最重的区域布设监测点。</w:t>
      </w:r>
    </w:p>
    <w:p>
      <w:pPr>
        <w:pStyle w:val="155"/>
        <w:spacing w:line="480" w:lineRule="exact"/>
        <w:ind w:firstLine="480"/>
        <w:sectPr>
          <w:pgSz w:w="11907" w:h="16839"/>
          <w:pgMar w:top="1440" w:right="1797" w:bottom="1440" w:left="1797" w:header="851" w:footer="850" w:gutter="0"/>
          <w:cols w:space="720" w:num="1"/>
          <w:docGrid w:linePitch="312" w:charSpace="0"/>
        </w:sectPr>
      </w:pPr>
      <w:r>
        <w:t>本项目共设置6个采样点，厂址占地范围内布设1个表层样点、3个柱状样点，占地范围外布设2个表层样点。监测点位分布如图4.2-3所示。</w:t>
      </w:r>
    </w:p>
    <w:p>
      <w:pPr>
        <w:adjustRightInd w:val="0"/>
        <w:snapToGrid w:val="0"/>
        <w:spacing w:line="480" w:lineRule="exact"/>
        <w:jc w:val="center"/>
        <w:rPr>
          <w:rFonts w:ascii="Times New Roman" w:hAnsi="Times New Roman"/>
          <w:b/>
        </w:rPr>
      </w:pPr>
      <w:r>
        <w:rPr>
          <w:rFonts w:ascii="Times New Roman" w:hAnsi="Times New Roman"/>
          <w:b/>
        </w:rPr>
        <w:t>表4.2-20 土壤环境质量监测点</w:t>
      </w:r>
    </w:p>
    <w:tbl>
      <w:tblPr>
        <w:tblStyle w:val="7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7"/>
        <w:gridCol w:w="1428"/>
        <w:gridCol w:w="1217"/>
        <w:gridCol w:w="1240"/>
        <w:gridCol w:w="3652"/>
        <w:gridCol w:w="944"/>
        <w:gridCol w:w="2042"/>
        <w:gridCol w:w="228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79" w:type="dxa"/>
            <w:vAlign w:val="center"/>
          </w:tcPr>
          <w:p>
            <w:pPr>
              <w:jc w:val="center"/>
              <w:rPr>
                <w:rFonts w:ascii="Times New Roman" w:hAnsi="Times New Roman"/>
                <w:b/>
                <w:kern w:val="2"/>
              </w:rPr>
            </w:pPr>
            <w:r>
              <w:rPr>
                <w:rFonts w:ascii="Times New Roman" w:hAnsi="Times New Roman"/>
                <w:b/>
                <w:kern w:val="2"/>
              </w:rPr>
              <w:t>编号</w:t>
            </w:r>
          </w:p>
        </w:tc>
        <w:tc>
          <w:tcPr>
            <w:tcW w:w="1500" w:type="dxa"/>
            <w:vAlign w:val="center"/>
          </w:tcPr>
          <w:p>
            <w:pPr>
              <w:jc w:val="center"/>
              <w:rPr>
                <w:rFonts w:ascii="Times New Roman" w:hAnsi="Times New Roman"/>
                <w:b/>
                <w:kern w:val="2"/>
              </w:rPr>
            </w:pPr>
            <w:r>
              <w:rPr>
                <w:rFonts w:ascii="Times New Roman" w:hAnsi="Times New Roman"/>
                <w:b/>
                <w:kern w:val="2"/>
              </w:rPr>
              <w:t>采样单元</w:t>
            </w:r>
          </w:p>
        </w:tc>
        <w:tc>
          <w:tcPr>
            <w:tcW w:w="1276" w:type="dxa"/>
            <w:vAlign w:val="center"/>
          </w:tcPr>
          <w:p>
            <w:pPr>
              <w:jc w:val="center"/>
              <w:rPr>
                <w:rFonts w:ascii="Times New Roman" w:hAnsi="Times New Roman"/>
                <w:b/>
                <w:kern w:val="2"/>
              </w:rPr>
            </w:pPr>
            <w:r>
              <w:rPr>
                <w:rFonts w:ascii="Times New Roman" w:hAnsi="Times New Roman"/>
                <w:b/>
                <w:kern w:val="2"/>
              </w:rPr>
              <w:t>土壤类型</w:t>
            </w:r>
          </w:p>
        </w:tc>
        <w:tc>
          <w:tcPr>
            <w:tcW w:w="1301" w:type="dxa"/>
            <w:vAlign w:val="center"/>
          </w:tcPr>
          <w:p>
            <w:pPr>
              <w:jc w:val="center"/>
              <w:rPr>
                <w:rFonts w:ascii="Times New Roman" w:hAnsi="Times New Roman"/>
                <w:b/>
                <w:kern w:val="2"/>
              </w:rPr>
            </w:pPr>
            <w:r>
              <w:rPr>
                <w:rFonts w:ascii="Times New Roman" w:hAnsi="Times New Roman"/>
                <w:b/>
                <w:kern w:val="2"/>
              </w:rPr>
              <w:t>与本项目厂址相对方位及最近距离</w:t>
            </w:r>
          </w:p>
        </w:tc>
        <w:tc>
          <w:tcPr>
            <w:tcW w:w="3869" w:type="dxa"/>
            <w:vAlign w:val="center"/>
          </w:tcPr>
          <w:p>
            <w:pPr>
              <w:jc w:val="center"/>
              <w:rPr>
                <w:rFonts w:ascii="Times New Roman" w:hAnsi="Times New Roman"/>
                <w:b/>
                <w:kern w:val="2"/>
              </w:rPr>
            </w:pPr>
            <w:r>
              <w:rPr>
                <w:rFonts w:ascii="Times New Roman" w:hAnsi="Times New Roman"/>
                <w:b/>
                <w:kern w:val="2"/>
              </w:rPr>
              <w:t>监测因子</w:t>
            </w:r>
          </w:p>
        </w:tc>
        <w:tc>
          <w:tcPr>
            <w:tcW w:w="986" w:type="dxa"/>
            <w:vAlign w:val="center"/>
          </w:tcPr>
          <w:p>
            <w:pPr>
              <w:tabs>
                <w:tab w:val="left" w:pos="1120"/>
              </w:tabs>
              <w:snapToGrid w:val="0"/>
              <w:jc w:val="center"/>
              <w:rPr>
                <w:rFonts w:ascii="Times New Roman" w:hAnsi="Times New Roman"/>
                <w:b/>
                <w:kern w:val="2"/>
              </w:rPr>
            </w:pPr>
            <w:r>
              <w:rPr>
                <w:rFonts w:ascii="Times New Roman" w:hAnsi="Times New Roman"/>
                <w:b/>
                <w:kern w:val="2"/>
              </w:rPr>
              <w:t>监测布点类型</w:t>
            </w:r>
          </w:p>
        </w:tc>
        <w:tc>
          <w:tcPr>
            <w:tcW w:w="2154" w:type="dxa"/>
            <w:vAlign w:val="center"/>
          </w:tcPr>
          <w:p>
            <w:pPr>
              <w:tabs>
                <w:tab w:val="left" w:pos="1120"/>
              </w:tabs>
              <w:snapToGrid w:val="0"/>
              <w:jc w:val="center"/>
              <w:rPr>
                <w:rFonts w:ascii="Times New Roman" w:hAnsi="Times New Roman"/>
                <w:b/>
                <w:kern w:val="2"/>
              </w:rPr>
            </w:pPr>
            <w:r>
              <w:rPr>
                <w:rFonts w:ascii="Times New Roman" w:hAnsi="Times New Roman"/>
                <w:b/>
                <w:kern w:val="2"/>
              </w:rPr>
              <w:t>测点取</w:t>
            </w:r>
          </w:p>
          <w:p>
            <w:pPr>
              <w:tabs>
                <w:tab w:val="left" w:pos="1120"/>
              </w:tabs>
              <w:snapToGrid w:val="0"/>
              <w:jc w:val="center"/>
              <w:rPr>
                <w:rFonts w:ascii="Times New Roman" w:hAnsi="Times New Roman"/>
                <w:b/>
                <w:kern w:val="2"/>
              </w:rPr>
            </w:pPr>
            <w:r>
              <w:rPr>
                <w:rFonts w:ascii="Times New Roman" w:hAnsi="Times New Roman"/>
                <w:b/>
                <w:kern w:val="2"/>
              </w:rPr>
              <w:t>土样深度</w:t>
            </w:r>
          </w:p>
        </w:tc>
        <w:tc>
          <w:tcPr>
            <w:tcW w:w="2410" w:type="dxa"/>
            <w:vAlign w:val="center"/>
          </w:tcPr>
          <w:p>
            <w:pPr>
              <w:tabs>
                <w:tab w:val="left" w:pos="1120"/>
              </w:tabs>
              <w:snapToGrid w:val="0"/>
              <w:jc w:val="center"/>
              <w:rPr>
                <w:rFonts w:ascii="Times New Roman" w:hAnsi="Times New Roman"/>
                <w:b/>
                <w:kern w:val="2"/>
              </w:rPr>
            </w:pPr>
            <w:r>
              <w:rPr>
                <w:rFonts w:ascii="Times New Roman" w:hAnsi="Times New Roman"/>
                <w:b/>
                <w:kern w:val="2"/>
              </w:rPr>
              <w:t>选点依据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175" w:type="dxa"/>
            <w:gridSpan w:val="8"/>
            <w:vAlign w:val="center"/>
          </w:tcPr>
          <w:p>
            <w:pPr>
              <w:tabs>
                <w:tab w:val="left" w:pos="1120"/>
              </w:tabs>
              <w:snapToGrid w:val="0"/>
              <w:rPr>
                <w:rFonts w:ascii="Times New Roman" w:hAnsi="Times New Roman"/>
                <w:b/>
                <w:bCs/>
                <w:kern w:val="2"/>
              </w:rPr>
            </w:pPr>
            <w:r>
              <w:rPr>
                <w:rFonts w:ascii="Times New Roman" w:hAnsi="Times New Roman"/>
                <w:b/>
                <w:bCs/>
                <w:kern w:val="2"/>
              </w:rPr>
              <w:t>厂区内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79" w:type="dxa"/>
            <w:vAlign w:val="center"/>
          </w:tcPr>
          <w:p>
            <w:pPr>
              <w:rPr>
                <w:rFonts w:ascii="Times New Roman" w:hAnsi="Times New Roman"/>
                <w:kern w:val="2"/>
              </w:rPr>
            </w:pPr>
            <w:r>
              <w:rPr>
                <w:rFonts w:ascii="Times New Roman" w:hAnsi="Times New Roman"/>
              </w:rPr>
              <w:t>T</w:t>
            </w:r>
            <w:r>
              <w:rPr>
                <w:rFonts w:ascii="Times New Roman" w:hAnsi="Times New Roman"/>
                <w:kern w:val="2"/>
              </w:rPr>
              <w:t>1</w:t>
            </w:r>
          </w:p>
        </w:tc>
        <w:tc>
          <w:tcPr>
            <w:tcW w:w="1500" w:type="dxa"/>
            <w:vAlign w:val="center"/>
          </w:tcPr>
          <w:p>
            <w:pPr>
              <w:jc w:val="center"/>
              <w:rPr>
                <w:rFonts w:ascii="Times New Roman" w:hAnsi="Times New Roman"/>
                <w:kern w:val="2"/>
              </w:rPr>
            </w:pPr>
            <w:r>
              <w:rPr>
                <w:rFonts w:ascii="Times New Roman" w:hAnsi="Times New Roman"/>
                <w:kern w:val="2"/>
              </w:rPr>
              <w:t>门卫室附近</w:t>
            </w:r>
          </w:p>
        </w:tc>
        <w:tc>
          <w:tcPr>
            <w:tcW w:w="1276" w:type="dxa"/>
            <w:vAlign w:val="center"/>
          </w:tcPr>
          <w:p>
            <w:pPr>
              <w:jc w:val="center"/>
              <w:rPr>
                <w:rFonts w:ascii="Times New Roman" w:hAnsi="Times New Roman"/>
                <w:kern w:val="2"/>
              </w:rPr>
            </w:pPr>
            <w:r>
              <w:rPr>
                <w:rFonts w:ascii="Times New Roman" w:hAnsi="Times New Roman"/>
              </w:rPr>
              <w:t>工业用地</w:t>
            </w:r>
          </w:p>
        </w:tc>
        <w:tc>
          <w:tcPr>
            <w:tcW w:w="1301" w:type="dxa"/>
            <w:vAlign w:val="center"/>
          </w:tcPr>
          <w:p>
            <w:pPr>
              <w:jc w:val="center"/>
              <w:rPr>
                <w:rFonts w:ascii="Times New Roman" w:hAnsi="Times New Roman"/>
                <w:kern w:val="2"/>
              </w:rPr>
            </w:pPr>
            <w:r>
              <w:rPr>
                <w:rFonts w:ascii="Times New Roman" w:hAnsi="Times New Roman"/>
                <w:kern w:val="2"/>
              </w:rPr>
              <w:t>厂区内</w:t>
            </w:r>
          </w:p>
        </w:tc>
        <w:tc>
          <w:tcPr>
            <w:tcW w:w="3869" w:type="dxa"/>
            <w:vAlign w:val="center"/>
          </w:tcPr>
          <w:p>
            <w:pPr>
              <w:tabs>
                <w:tab w:val="left" w:pos="1120"/>
              </w:tabs>
              <w:snapToGrid w:val="0"/>
              <w:rPr>
                <w:rFonts w:ascii="Times New Roman" w:hAnsi="Times New Roman"/>
                <w:kern w:val="2"/>
              </w:rPr>
            </w:pPr>
            <w:r>
              <w:rPr>
                <w:rFonts w:ascii="Times New Roman" w:hAnsi="Times New Roman"/>
              </w:rPr>
              <w:t>砷、镉、铬（六价）、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k]荧蒽、䓛、二苯并[a,h]蒽、茚并[1,2,3-cd]芘、萘共45项</w:t>
            </w:r>
          </w:p>
        </w:tc>
        <w:tc>
          <w:tcPr>
            <w:tcW w:w="986" w:type="dxa"/>
            <w:vAlign w:val="center"/>
          </w:tcPr>
          <w:p>
            <w:pPr>
              <w:rPr>
                <w:rFonts w:ascii="Times New Roman" w:hAnsi="Times New Roman"/>
                <w:kern w:val="2"/>
              </w:rPr>
            </w:pPr>
            <w:r>
              <w:rPr>
                <w:rFonts w:ascii="Times New Roman" w:hAnsi="Times New Roman"/>
                <w:kern w:val="2"/>
              </w:rPr>
              <w:t>表层样</w:t>
            </w:r>
          </w:p>
        </w:tc>
        <w:tc>
          <w:tcPr>
            <w:tcW w:w="2154" w:type="dxa"/>
            <w:vAlign w:val="center"/>
          </w:tcPr>
          <w:p>
            <w:pPr>
              <w:jc w:val="center"/>
              <w:rPr>
                <w:rFonts w:ascii="Times New Roman" w:hAnsi="Times New Roman"/>
              </w:rPr>
            </w:pPr>
            <w:r>
              <w:rPr>
                <w:rFonts w:ascii="Times New Roman" w:hAnsi="Times New Roman"/>
                <w:kern w:val="2"/>
              </w:rPr>
              <w:t>0~0.2m</w:t>
            </w:r>
          </w:p>
        </w:tc>
        <w:tc>
          <w:tcPr>
            <w:tcW w:w="2410" w:type="dxa"/>
            <w:vAlign w:val="center"/>
          </w:tcPr>
          <w:p>
            <w:pPr>
              <w:rPr>
                <w:rFonts w:ascii="Times New Roman" w:hAnsi="Times New Roman"/>
                <w:kern w:val="2"/>
              </w:rPr>
            </w:pPr>
            <w:r>
              <w:rPr>
                <w:rFonts w:ascii="Times New Roman" w:hAnsi="Times New Roman"/>
              </w:rPr>
              <w:t>调查评价范围内每种土壤类型应至少设置1个表层样监测点，应尽量设置在未受人为污染或相对未受污染的区域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79" w:type="dxa"/>
            <w:vAlign w:val="center"/>
          </w:tcPr>
          <w:p>
            <w:pPr>
              <w:rPr>
                <w:rFonts w:ascii="Times New Roman" w:hAnsi="Times New Roman"/>
                <w:kern w:val="2"/>
              </w:rPr>
            </w:pPr>
            <w:r>
              <w:rPr>
                <w:rFonts w:ascii="Times New Roman" w:hAnsi="Times New Roman"/>
              </w:rPr>
              <w:t>T</w:t>
            </w:r>
            <w:r>
              <w:rPr>
                <w:rFonts w:ascii="Times New Roman" w:hAnsi="Times New Roman"/>
                <w:kern w:val="2"/>
              </w:rPr>
              <w:t>2</w:t>
            </w:r>
          </w:p>
        </w:tc>
        <w:tc>
          <w:tcPr>
            <w:tcW w:w="1500" w:type="dxa"/>
            <w:vAlign w:val="center"/>
          </w:tcPr>
          <w:p>
            <w:pPr>
              <w:jc w:val="center"/>
              <w:rPr>
                <w:rFonts w:ascii="Times New Roman" w:hAnsi="Times New Roman"/>
                <w:kern w:val="2"/>
              </w:rPr>
            </w:pPr>
            <w:r>
              <w:rPr>
                <w:rFonts w:ascii="Times New Roman" w:hAnsi="Times New Roman"/>
                <w:kern w:val="2"/>
              </w:rPr>
              <w:t>蒸汽灭菌车间附近</w:t>
            </w:r>
          </w:p>
        </w:tc>
        <w:tc>
          <w:tcPr>
            <w:tcW w:w="1276" w:type="dxa"/>
            <w:vAlign w:val="center"/>
          </w:tcPr>
          <w:p>
            <w:pPr>
              <w:rPr>
                <w:rFonts w:ascii="Times New Roman" w:hAnsi="Times New Roman"/>
                <w:kern w:val="2"/>
              </w:rPr>
            </w:pPr>
            <w:r>
              <w:rPr>
                <w:rFonts w:ascii="Times New Roman" w:hAnsi="Times New Roman"/>
              </w:rPr>
              <w:t>工业用地</w:t>
            </w:r>
          </w:p>
        </w:tc>
        <w:tc>
          <w:tcPr>
            <w:tcW w:w="1301" w:type="dxa"/>
            <w:vAlign w:val="center"/>
          </w:tcPr>
          <w:p>
            <w:pPr>
              <w:jc w:val="center"/>
              <w:rPr>
                <w:rFonts w:ascii="Times New Roman" w:hAnsi="Times New Roman"/>
                <w:kern w:val="2"/>
              </w:rPr>
            </w:pPr>
            <w:r>
              <w:rPr>
                <w:rFonts w:ascii="Times New Roman" w:hAnsi="Times New Roman"/>
                <w:kern w:val="2"/>
              </w:rPr>
              <w:t>厂区内</w:t>
            </w:r>
          </w:p>
        </w:tc>
        <w:tc>
          <w:tcPr>
            <w:tcW w:w="3869" w:type="dxa"/>
            <w:vAlign w:val="center"/>
          </w:tcPr>
          <w:p>
            <w:pPr>
              <w:tabs>
                <w:tab w:val="left" w:pos="1120"/>
              </w:tabs>
              <w:snapToGrid w:val="0"/>
              <w:rPr>
                <w:rFonts w:ascii="Times New Roman" w:hAnsi="Times New Roman"/>
                <w:kern w:val="2"/>
              </w:rPr>
            </w:pPr>
            <w:r>
              <w:rPr>
                <w:rFonts w:ascii="Times New Roman" w:hAnsi="Times New Roman"/>
              </w:rPr>
              <w:t>砷、镉、铬（六价）、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k]荧蒽、䓛、二苯并[a,h]蒽、茚并[1,2,3-cd]芘、萘共45项</w:t>
            </w:r>
          </w:p>
        </w:tc>
        <w:tc>
          <w:tcPr>
            <w:tcW w:w="986" w:type="dxa"/>
            <w:vAlign w:val="center"/>
          </w:tcPr>
          <w:p>
            <w:pPr>
              <w:rPr>
                <w:rFonts w:ascii="Times New Roman" w:hAnsi="Times New Roman"/>
                <w:kern w:val="2"/>
              </w:rPr>
            </w:pPr>
            <w:r>
              <w:rPr>
                <w:rFonts w:ascii="Times New Roman" w:hAnsi="Times New Roman"/>
                <w:kern w:val="2"/>
              </w:rPr>
              <w:t>柱状样</w:t>
            </w:r>
          </w:p>
        </w:tc>
        <w:tc>
          <w:tcPr>
            <w:tcW w:w="2154" w:type="dxa"/>
            <w:vAlign w:val="center"/>
          </w:tcPr>
          <w:p>
            <w:pPr>
              <w:rPr>
                <w:rFonts w:ascii="Times New Roman" w:hAnsi="Times New Roman"/>
                <w:kern w:val="2"/>
              </w:rPr>
            </w:pPr>
            <w:r>
              <w:rPr>
                <w:rFonts w:ascii="Times New Roman" w:hAnsi="Times New Roman"/>
                <w:kern w:val="2"/>
              </w:rPr>
              <w:t>0~0.5m、0.5~1.5m、</w:t>
            </w:r>
          </w:p>
          <w:p>
            <w:pPr>
              <w:jc w:val="center"/>
              <w:rPr>
                <w:rFonts w:ascii="Times New Roman" w:hAnsi="Times New Roman"/>
                <w:kern w:val="2"/>
              </w:rPr>
            </w:pPr>
            <w:r>
              <w:rPr>
                <w:rFonts w:ascii="Times New Roman" w:hAnsi="Times New Roman"/>
                <w:kern w:val="2"/>
              </w:rPr>
              <w:t>1.5~3.0m</w:t>
            </w:r>
          </w:p>
        </w:tc>
        <w:tc>
          <w:tcPr>
            <w:tcW w:w="2410" w:type="dxa"/>
            <w:vAlign w:val="center"/>
          </w:tcPr>
          <w:p>
            <w:pPr>
              <w:rPr>
                <w:rFonts w:ascii="Times New Roman" w:hAnsi="Times New Roman"/>
                <w:kern w:val="2"/>
              </w:rPr>
            </w:pPr>
            <w:r>
              <w:rPr>
                <w:rFonts w:ascii="Times New Roman" w:hAnsi="Times New Roman"/>
              </w:rPr>
              <w:t>涉及入渗途径影响的，主要产污装置区应设置柱状样监测点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79" w:type="dxa"/>
            <w:vAlign w:val="center"/>
          </w:tcPr>
          <w:p>
            <w:pPr>
              <w:spacing w:line="280" w:lineRule="exact"/>
              <w:rPr>
                <w:rFonts w:ascii="Times New Roman" w:hAnsi="Times New Roman"/>
                <w:kern w:val="2"/>
              </w:rPr>
            </w:pPr>
            <w:r>
              <w:rPr>
                <w:rFonts w:ascii="Times New Roman" w:hAnsi="Times New Roman"/>
              </w:rPr>
              <w:t>T3</w:t>
            </w:r>
          </w:p>
        </w:tc>
        <w:tc>
          <w:tcPr>
            <w:tcW w:w="1500" w:type="dxa"/>
            <w:vAlign w:val="center"/>
          </w:tcPr>
          <w:p>
            <w:pPr>
              <w:spacing w:line="280" w:lineRule="exact"/>
              <w:rPr>
                <w:rFonts w:ascii="Times New Roman" w:hAnsi="Times New Roman"/>
                <w:kern w:val="2"/>
              </w:rPr>
            </w:pPr>
            <w:r>
              <w:rPr>
                <w:rFonts w:ascii="Times New Roman" w:hAnsi="Times New Roman"/>
                <w:kern w:val="2"/>
              </w:rPr>
              <w:t>事故应急池</w:t>
            </w:r>
          </w:p>
          <w:p>
            <w:pPr>
              <w:spacing w:line="280" w:lineRule="exact"/>
              <w:rPr>
                <w:rFonts w:ascii="Times New Roman" w:hAnsi="Times New Roman"/>
                <w:kern w:val="2"/>
              </w:rPr>
            </w:pPr>
            <w:r>
              <w:rPr>
                <w:rFonts w:ascii="Times New Roman" w:hAnsi="Times New Roman"/>
                <w:kern w:val="2"/>
              </w:rPr>
              <w:t>附近</w:t>
            </w:r>
          </w:p>
        </w:tc>
        <w:tc>
          <w:tcPr>
            <w:tcW w:w="1276" w:type="dxa"/>
            <w:vAlign w:val="center"/>
          </w:tcPr>
          <w:p>
            <w:pPr>
              <w:spacing w:line="280" w:lineRule="exact"/>
              <w:jc w:val="center"/>
              <w:rPr>
                <w:rFonts w:ascii="Times New Roman" w:hAnsi="Times New Roman"/>
                <w:kern w:val="2"/>
              </w:rPr>
            </w:pPr>
            <w:r>
              <w:rPr>
                <w:rFonts w:ascii="Times New Roman" w:hAnsi="Times New Roman"/>
              </w:rPr>
              <w:t>工业用地</w:t>
            </w:r>
          </w:p>
        </w:tc>
        <w:tc>
          <w:tcPr>
            <w:tcW w:w="1301" w:type="dxa"/>
            <w:vAlign w:val="center"/>
          </w:tcPr>
          <w:p>
            <w:pPr>
              <w:spacing w:line="280" w:lineRule="exact"/>
              <w:jc w:val="center"/>
              <w:rPr>
                <w:rFonts w:ascii="Times New Roman" w:hAnsi="Times New Roman"/>
                <w:kern w:val="2"/>
              </w:rPr>
            </w:pPr>
            <w:r>
              <w:rPr>
                <w:rFonts w:ascii="Times New Roman" w:hAnsi="Times New Roman"/>
                <w:kern w:val="2"/>
              </w:rPr>
              <w:t>厂区内</w:t>
            </w:r>
          </w:p>
        </w:tc>
        <w:tc>
          <w:tcPr>
            <w:tcW w:w="3869" w:type="dxa"/>
            <w:vAlign w:val="center"/>
          </w:tcPr>
          <w:p>
            <w:pPr>
              <w:tabs>
                <w:tab w:val="left" w:pos="1120"/>
              </w:tabs>
              <w:snapToGrid w:val="0"/>
              <w:spacing w:line="280" w:lineRule="exact"/>
              <w:rPr>
                <w:rFonts w:ascii="Times New Roman" w:hAnsi="Times New Roman"/>
                <w:kern w:val="2"/>
              </w:rPr>
            </w:pPr>
            <w:r>
              <w:rPr>
                <w:rFonts w:ascii="Times New Roman" w:hAnsi="Times New Roman"/>
              </w:rPr>
              <w:t>砷、镉、铬（六价）、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k]荧蒽、䓛、二苯并[a,h]蒽、茚并[1,2,3-cd]芘、萘共45项</w:t>
            </w:r>
          </w:p>
        </w:tc>
        <w:tc>
          <w:tcPr>
            <w:tcW w:w="986" w:type="dxa"/>
            <w:vAlign w:val="center"/>
          </w:tcPr>
          <w:p>
            <w:pPr>
              <w:tabs>
                <w:tab w:val="left" w:pos="1120"/>
              </w:tabs>
              <w:snapToGrid w:val="0"/>
              <w:spacing w:line="280" w:lineRule="exact"/>
              <w:rPr>
                <w:rFonts w:ascii="Times New Roman" w:hAnsi="Times New Roman"/>
                <w:kern w:val="2"/>
              </w:rPr>
            </w:pPr>
            <w:r>
              <w:rPr>
                <w:rFonts w:ascii="Times New Roman" w:hAnsi="Times New Roman"/>
                <w:kern w:val="2"/>
              </w:rPr>
              <w:t>柱状样</w:t>
            </w:r>
          </w:p>
        </w:tc>
        <w:tc>
          <w:tcPr>
            <w:tcW w:w="2154" w:type="dxa"/>
            <w:vAlign w:val="center"/>
          </w:tcPr>
          <w:p>
            <w:pPr>
              <w:rPr>
                <w:rFonts w:ascii="Times New Roman" w:hAnsi="Times New Roman"/>
                <w:kern w:val="2"/>
              </w:rPr>
            </w:pPr>
            <w:r>
              <w:rPr>
                <w:rFonts w:ascii="Times New Roman" w:hAnsi="Times New Roman"/>
                <w:kern w:val="2"/>
              </w:rPr>
              <w:t>0~0.5m、0.5~1.5m、</w:t>
            </w:r>
          </w:p>
          <w:p>
            <w:pPr>
              <w:tabs>
                <w:tab w:val="left" w:pos="1120"/>
              </w:tabs>
              <w:snapToGrid w:val="0"/>
              <w:spacing w:line="280" w:lineRule="exact"/>
              <w:jc w:val="center"/>
              <w:rPr>
                <w:rFonts w:ascii="Times New Roman" w:hAnsi="Times New Roman"/>
                <w:kern w:val="2"/>
              </w:rPr>
            </w:pPr>
            <w:r>
              <w:rPr>
                <w:rFonts w:ascii="Times New Roman" w:hAnsi="Times New Roman"/>
                <w:kern w:val="2"/>
              </w:rPr>
              <w:t>1.5-3.0m</w:t>
            </w:r>
          </w:p>
        </w:tc>
        <w:tc>
          <w:tcPr>
            <w:tcW w:w="2410" w:type="dxa"/>
            <w:vAlign w:val="center"/>
          </w:tcPr>
          <w:p>
            <w:pPr>
              <w:rPr>
                <w:rFonts w:ascii="Times New Roman" w:hAnsi="Times New Roman"/>
                <w:kern w:val="2"/>
              </w:rPr>
            </w:pPr>
            <w:r>
              <w:rPr>
                <w:rFonts w:ascii="Times New Roman" w:hAnsi="Times New Roman"/>
              </w:rPr>
              <w:t>建设项目占地范围及其可能影响区域的土壤环境已存在污染风险的，应结合用地历史资料和现状调查情况，在可能受影响最重的区域布设监测点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79" w:type="dxa"/>
            <w:vAlign w:val="center"/>
          </w:tcPr>
          <w:p>
            <w:pPr>
              <w:spacing w:line="280" w:lineRule="exact"/>
              <w:rPr>
                <w:rFonts w:ascii="Times New Roman" w:hAnsi="Times New Roman"/>
                <w:kern w:val="2"/>
              </w:rPr>
            </w:pPr>
            <w:r>
              <w:rPr>
                <w:rFonts w:ascii="Times New Roman" w:hAnsi="Times New Roman"/>
              </w:rPr>
              <w:t>T4</w:t>
            </w:r>
          </w:p>
        </w:tc>
        <w:tc>
          <w:tcPr>
            <w:tcW w:w="1500" w:type="dxa"/>
            <w:vAlign w:val="center"/>
          </w:tcPr>
          <w:p>
            <w:pPr>
              <w:spacing w:line="280" w:lineRule="exact"/>
              <w:jc w:val="center"/>
              <w:rPr>
                <w:rFonts w:ascii="Times New Roman" w:hAnsi="Times New Roman"/>
                <w:kern w:val="2"/>
              </w:rPr>
            </w:pPr>
            <w:r>
              <w:rPr>
                <w:rFonts w:ascii="Times New Roman" w:hAnsi="Times New Roman"/>
                <w:kern w:val="2"/>
              </w:rPr>
              <w:t>车库附近</w:t>
            </w:r>
          </w:p>
        </w:tc>
        <w:tc>
          <w:tcPr>
            <w:tcW w:w="1276" w:type="dxa"/>
            <w:vAlign w:val="center"/>
          </w:tcPr>
          <w:p>
            <w:pPr>
              <w:spacing w:line="280" w:lineRule="exact"/>
              <w:jc w:val="center"/>
              <w:rPr>
                <w:rFonts w:ascii="Times New Roman" w:hAnsi="Times New Roman"/>
                <w:kern w:val="2"/>
              </w:rPr>
            </w:pPr>
            <w:r>
              <w:rPr>
                <w:rFonts w:ascii="Times New Roman" w:hAnsi="Times New Roman"/>
              </w:rPr>
              <w:t>工业用地</w:t>
            </w:r>
          </w:p>
        </w:tc>
        <w:tc>
          <w:tcPr>
            <w:tcW w:w="1301" w:type="dxa"/>
            <w:vAlign w:val="center"/>
          </w:tcPr>
          <w:p>
            <w:pPr>
              <w:spacing w:line="280" w:lineRule="exact"/>
              <w:jc w:val="center"/>
              <w:rPr>
                <w:rFonts w:ascii="Times New Roman" w:hAnsi="Times New Roman"/>
                <w:kern w:val="2"/>
              </w:rPr>
            </w:pPr>
            <w:r>
              <w:rPr>
                <w:rFonts w:ascii="Times New Roman" w:hAnsi="Times New Roman"/>
                <w:kern w:val="2"/>
              </w:rPr>
              <w:t>厂区内</w:t>
            </w:r>
          </w:p>
        </w:tc>
        <w:tc>
          <w:tcPr>
            <w:tcW w:w="3869" w:type="dxa"/>
            <w:vAlign w:val="center"/>
          </w:tcPr>
          <w:p>
            <w:pPr>
              <w:tabs>
                <w:tab w:val="left" w:pos="1120"/>
              </w:tabs>
              <w:snapToGrid w:val="0"/>
              <w:spacing w:line="280" w:lineRule="exact"/>
              <w:rPr>
                <w:rFonts w:ascii="Times New Roman" w:hAnsi="Times New Roman"/>
                <w:kern w:val="2"/>
              </w:rPr>
            </w:pPr>
            <w:r>
              <w:rPr>
                <w:rFonts w:ascii="Times New Roman" w:hAnsi="Times New Roman"/>
              </w:rPr>
              <w:t>砷、镉、铬（六价）、铜、铅、汞、镍</w:t>
            </w:r>
          </w:p>
        </w:tc>
        <w:tc>
          <w:tcPr>
            <w:tcW w:w="986" w:type="dxa"/>
            <w:vAlign w:val="center"/>
          </w:tcPr>
          <w:p>
            <w:pPr>
              <w:tabs>
                <w:tab w:val="left" w:pos="1120"/>
              </w:tabs>
              <w:snapToGrid w:val="0"/>
              <w:spacing w:line="280" w:lineRule="exact"/>
              <w:rPr>
                <w:rFonts w:ascii="Times New Roman" w:hAnsi="Times New Roman"/>
                <w:kern w:val="2"/>
              </w:rPr>
            </w:pPr>
            <w:r>
              <w:rPr>
                <w:rFonts w:ascii="Times New Roman" w:hAnsi="Times New Roman"/>
                <w:kern w:val="2"/>
              </w:rPr>
              <w:t>柱状样</w:t>
            </w:r>
          </w:p>
        </w:tc>
        <w:tc>
          <w:tcPr>
            <w:tcW w:w="2154" w:type="dxa"/>
            <w:vAlign w:val="center"/>
          </w:tcPr>
          <w:p>
            <w:pPr>
              <w:jc w:val="center"/>
              <w:rPr>
                <w:rFonts w:ascii="Times New Roman" w:hAnsi="Times New Roman"/>
                <w:kern w:val="2"/>
              </w:rPr>
            </w:pPr>
            <w:r>
              <w:rPr>
                <w:rFonts w:ascii="Times New Roman" w:hAnsi="Times New Roman"/>
                <w:kern w:val="2"/>
              </w:rPr>
              <w:t>0~0.5m、.5~1.5m、1.5~3.0m</w:t>
            </w:r>
          </w:p>
        </w:tc>
        <w:tc>
          <w:tcPr>
            <w:tcW w:w="2410" w:type="dxa"/>
            <w:vAlign w:val="center"/>
          </w:tcPr>
          <w:p>
            <w:pPr>
              <w:rPr>
                <w:rFonts w:ascii="Times New Roman" w:hAnsi="Times New Roman"/>
                <w:kern w:val="2"/>
              </w:rPr>
            </w:pPr>
            <w:r>
              <w:rPr>
                <w:rFonts w:ascii="Times New Roman" w:hAnsi="Times New Roman"/>
              </w:rPr>
              <w:t>涉及入渗途径影响的，主要产污装置区应设置柱状样监测点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175" w:type="dxa"/>
            <w:gridSpan w:val="8"/>
            <w:vAlign w:val="center"/>
          </w:tcPr>
          <w:p>
            <w:pPr>
              <w:tabs>
                <w:tab w:val="left" w:pos="1120"/>
              </w:tabs>
              <w:snapToGrid w:val="0"/>
              <w:rPr>
                <w:rFonts w:ascii="Times New Roman" w:hAnsi="Times New Roman"/>
                <w:b/>
                <w:bCs/>
                <w:kern w:val="2"/>
              </w:rPr>
            </w:pPr>
            <w:r>
              <w:rPr>
                <w:rFonts w:ascii="Times New Roman" w:hAnsi="Times New Roman"/>
                <w:b/>
                <w:bCs/>
                <w:kern w:val="2"/>
              </w:rPr>
              <w:t>厂区外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679" w:type="dxa"/>
            <w:vAlign w:val="center"/>
          </w:tcPr>
          <w:p>
            <w:pPr>
              <w:rPr>
                <w:rFonts w:ascii="Times New Roman" w:hAnsi="Times New Roman"/>
                <w:kern w:val="2"/>
              </w:rPr>
            </w:pPr>
            <w:r>
              <w:rPr>
                <w:rFonts w:ascii="Times New Roman" w:hAnsi="Times New Roman"/>
              </w:rPr>
              <w:t>T5</w:t>
            </w:r>
          </w:p>
        </w:tc>
        <w:tc>
          <w:tcPr>
            <w:tcW w:w="1500" w:type="dxa"/>
            <w:vAlign w:val="center"/>
          </w:tcPr>
          <w:p>
            <w:pPr>
              <w:jc w:val="center"/>
              <w:rPr>
                <w:rFonts w:ascii="Times New Roman" w:hAnsi="Times New Roman"/>
                <w:kern w:val="2"/>
              </w:rPr>
            </w:pPr>
            <w:r>
              <w:rPr>
                <w:rFonts w:ascii="Times New Roman" w:hAnsi="Times New Roman"/>
                <w:kern w:val="2"/>
              </w:rPr>
              <w:t>项目厂址</w:t>
            </w:r>
          </w:p>
          <w:p>
            <w:pPr>
              <w:jc w:val="center"/>
              <w:rPr>
                <w:rFonts w:ascii="Times New Roman" w:hAnsi="Times New Roman"/>
                <w:kern w:val="2"/>
              </w:rPr>
            </w:pPr>
            <w:r>
              <w:rPr>
                <w:rFonts w:ascii="Times New Roman" w:hAnsi="Times New Roman"/>
                <w:kern w:val="2"/>
              </w:rPr>
              <w:t>上风向</w:t>
            </w:r>
          </w:p>
        </w:tc>
        <w:tc>
          <w:tcPr>
            <w:tcW w:w="1276" w:type="dxa"/>
            <w:vAlign w:val="center"/>
          </w:tcPr>
          <w:p>
            <w:pPr>
              <w:spacing w:line="280" w:lineRule="exact"/>
              <w:jc w:val="center"/>
              <w:rPr>
                <w:rFonts w:ascii="Times New Roman" w:hAnsi="Times New Roman"/>
                <w:kern w:val="2"/>
              </w:rPr>
            </w:pPr>
            <w:r>
              <w:rPr>
                <w:rFonts w:ascii="Times New Roman" w:hAnsi="Times New Roman"/>
              </w:rPr>
              <w:t>林地</w:t>
            </w:r>
          </w:p>
        </w:tc>
        <w:tc>
          <w:tcPr>
            <w:tcW w:w="1301" w:type="dxa"/>
            <w:vAlign w:val="center"/>
          </w:tcPr>
          <w:p>
            <w:pPr>
              <w:jc w:val="center"/>
              <w:rPr>
                <w:rFonts w:ascii="Times New Roman" w:hAnsi="Times New Roman"/>
                <w:kern w:val="2"/>
              </w:rPr>
            </w:pPr>
            <w:r>
              <w:rPr>
                <w:rFonts w:ascii="Times New Roman" w:hAnsi="Times New Roman"/>
                <w:kern w:val="2"/>
              </w:rPr>
              <w:t>SW/20m</w:t>
            </w:r>
          </w:p>
        </w:tc>
        <w:tc>
          <w:tcPr>
            <w:tcW w:w="3869" w:type="dxa"/>
            <w:vAlign w:val="center"/>
          </w:tcPr>
          <w:p>
            <w:pPr>
              <w:tabs>
                <w:tab w:val="left" w:pos="1120"/>
              </w:tabs>
              <w:snapToGrid w:val="0"/>
              <w:rPr>
                <w:rFonts w:ascii="Times New Roman" w:hAnsi="Times New Roman"/>
              </w:rPr>
            </w:pPr>
            <w:r>
              <w:rPr>
                <w:rFonts w:ascii="Times New Roman" w:hAnsi="Times New Roman"/>
                <w:kern w:val="2"/>
              </w:rPr>
              <w:t>pH、</w:t>
            </w:r>
            <w:r>
              <w:rPr>
                <w:rFonts w:ascii="Times New Roman" w:hAnsi="Times New Roman"/>
              </w:rPr>
              <w:t>砷、镉、铬（六价）、</w:t>
            </w:r>
          </w:p>
          <w:p>
            <w:pPr>
              <w:tabs>
                <w:tab w:val="left" w:pos="1120"/>
              </w:tabs>
              <w:snapToGrid w:val="0"/>
              <w:rPr>
                <w:rFonts w:ascii="Times New Roman" w:hAnsi="Times New Roman"/>
                <w:kern w:val="2"/>
              </w:rPr>
            </w:pPr>
            <w:r>
              <w:rPr>
                <w:rFonts w:ascii="Times New Roman" w:hAnsi="Times New Roman"/>
              </w:rPr>
              <w:t>铜、铅、汞、镍</w:t>
            </w:r>
            <w:r>
              <w:rPr>
                <w:rFonts w:ascii="Times New Roman" w:hAnsi="Times New Roman"/>
                <w:kern w:val="2"/>
              </w:rPr>
              <w:t>、锌</w:t>
            </w:r>
          </w:p>
        </w:tc>
        <w:tc>
          <w:tcPr>
            <w:tcW w:w="986" w:type="dxa"/>
            <w:vAlign w:val="center"/>
          </w:tcPr>
          <w:p>
            <w:pPr>
              <w:tabs>
                <w:tab w:val="left" w:pos="1120"/>
              </w:tabs>
              <w:snapToGrid w:val="0"/>
              <w:jc w:val="center"/>
              <w:rPr>
                <w:rFonts w:ascii="Times New Roman" w:hAnsi="Times New Roman"/>
                <w:kern w:val="2"/>
              </w:rPr>
            </w:pPr>
            <w:r>
              <w:rPr>
                <w:rFonts w:ascii="Times New Roman" w:hAnsi="Times New Roman"/>
                <w:kern w:val="2"/>
              </w:rPr>
              <w:t>表层样</w:t>
            </w:r>
          </w:p>
        </w:tc>
        <w:tc>
          <w:tcPr>
            <w:tcW w:w="2154" w:type="dxa"/>
            <w:vAlign w:val="center"/>
          </w:tcPr>
          <w:p>
            <w:pPr>
              <w:tabs>
                <w:tab w:val="left" w:pos="1120"/>
              </w:tabs>
              <w:snapToGrid w:val="0"/>
              <w:jc w:val="center"/>
              <w:rPr>
                <w:rFonts w:ascii="Times New Roman" w:hAnsi="Times New Roman"/>
                <w:kern w:val="2"/>
              </w:rPr>
            </w:pPr>
            <w:r>
              <w:rPr>
                <w:rFonts w:ascii="Times New Roman" w:hAnsi="Times New Roman"/>
                <w:kern w:val="2"/>
              </w:rPr>
              <w:t>0~0.2m</w:t>
            </w:r>
          </w:p>
        </w:tc>
        <w:tc>
          <w:tcPr>
            <w:tcW w:w="2410" w:type="dxa"/>
            <w:vAlign w:val="center"/>
          </w:tcPr>
          <w:p>
            <w:pPr>
              <w:tabs>
                <w:tab w:val="left" w:pos="1120"/>
              </w:tabs>
              <w:snapToGrid w:val="0"/>
              <w:rPr>
                <w:rFonts w:ascii="Times New Roman" w:hAnsi="Times New Roman"/>
                <w:kern w:val="2"/>
              </w:rPr>
            </w:pPr>
            <w:r>
              <w:rPr>
                <w:rFonts w:ascii="Times New Roman" w:hAnsi="Times New Roman"/>
              </w:rPr>
              <w:t>涉及大气沉降影响的，应在占地范围外主导风向的上、下风向各设置1个表层样监测点，可在最大落地浓度点增设表层样监测点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79" w:type="dxa"/>
            <w:vAlign w:val="center"/>
          </w:tcPr>
          <w:p>
            <w:pPr>
              <w:rPr>
                <w:rFonts w:ascii="Times New Roman" w:hAnsi="Times New Roman"/>
                <w:kern w:val="2"/>
              </w:rPr>
            </w:pPr>
            <w:r>
              <w:rPr>
                <w:rFonts w:ascii="Times New Roman" w:hAnsi="Times New Roman"/>
              </w:rPr>
              <w:t>T6</w:t>
            </w:r>
          </w:p>
        </w:tc>
        <w:tc>
          <w:tcPr>
            <w:tcW w:w="1500" w:type="dxa"/>
            <w:vAlign w:val="center"/>
          </w:tcPr>
          <w:p>
            <w:pPr>
              <w:jc w:val="center"/>
              <w:rPr>
                <w:rFonts w:ascii="Times New Roman" w:hAnsi="Times New Roman"/>
                <w:kern w:val="2"/>
              </w:rPr>
            </w:pPr>
            <w:r>
              <w:rPr>
                <w:rFonts w:ascii="Times New Roman" w:hAnsi="Times New Roman"/>
                <w:kern w:val="2"/>
              </w:rPr>
              <w:t>项目厂址</w:t>
            </w:r>
          </w:p>
          <w:p>
            <w:pPr>
              <w:jc w:val="center"/>
              <w:rPr>
                <w:rFonts w:ascii="Times New Roman" w:hAnsi="Times New Roman"/>
                <w:kern w:val="2"/>
              </w:rPr>
            </w:pPr>
            <w:r>
              <w:rPr>
                <w:rFonts w:ascii="Times New Roman" w:hAnsi="Times New Roman"/>
                <w:kern w:val="2"/>
              </w:rPr>
              <w:t>下风向</w:t>
            </w:r>
          </w:p>
        </w:tc>
        <w:tc>
          <w:tcPr>
            <w:tcW w:w="1276" w:type="dxa"/>
            <w:vAlign w:val="center"/>
          </w:tcPr>
          <w:p>
            <w:pPr>
              <w:jc w:val="center"/>
              <w:rPr>
                <w:rFonts w:ascii="Times New Roman" w:hAnsi="Times New Roman"/>
                <w:kern w:val="2"/>
              </w:rPr>
            </w:pPr>
            <w:r>
              <w:rPr>
                <w:rFonts w:ascii="Times New Roman" w:hAnsi="Times New Roman"/>
              </w:rPr>
              <w:t>工业用地</w:t>
            </w:r>
          </w:p>
        </w:tc>
        <w:tc>
          <w:tcPr>
            <w:tcW w:w="1301" w:type="dxa"/>
            <w:vAlign w:val="center"/>
          </w:tcPr>
          <w:p>
            <w:pPr>
              <w:jc w:val="center"/>
              <w:rPr>
                <w:rFonts w:ascii="Times New Roman" w:hAnsi="Times New Roman"/>
                <w:kern w:val="2"/>
              </w:rPr>
            </w:pPr>
            <w:r>
              <w:rPr>
                <w:rFonts w:ascii="Times New Roman" w:hAnsi="Times New Roman"/>
                <w:kern w:val="2"/>
              </w:rPr>
              <w:t>NE/34m</w:t>
            </w:r>
          </w:p>
        </w:tc>
        <w:tc>
          <w:tcPr>
            <w:tcW w:w="3869" w:type="dxa"/>
            <w:vAlign w:val="center"/>
          </w:tcPr>
          <w:p>
            <w:pPr>
              <w:tabs>
                <w:tab w:val="left" w:pos="1120"/>
              </w:tabs>
              <w:snapToGrid w:val="0"/>
              <w:rPr>
                <w:rFonts w:ascii="Times New Roman" w:hAnsi="Times New Roman"/>
                <w:kern w:val="2"/>
              </w:rPr>
            </w:pPr>
            <w:r>
              <w:rPr>
                <w:rFonts w:ascii="Times New Roman" w:hAnsi="Times New Roman"/>
              </w:rPr>
              <w:t>砷、镉、铬（六价）、铜、铅、汞、镍</w:t>
            </w:r>
          </w:p>
        </w:tc>
        <w:tc>
          <w:tcPr>
            <w:tcW w:w="986" w:type="dxa"/>
            <w:vAlign w:val="center"/>
          </w:tcPr>
          <w:p>
            <w:pPr>
              <w:tabs>
                <w:tab w:val="left" w:pos="1120"/>
              </w:tabs>
              <w:snapToGrid w:val="0"/>
              <w:jc w:val="center"/>
              <w:rPr>
                <w:rFonts w:ascii="Times New Roman" w:hAnsi="Times New Roman"/>
                <w:kern w:val="2"/>
              </w:rPr>
            </w:pPr>
            <w:r>
              <w:rPr>
                <w:rFonts w:ascii="Times New Roman" w:hAnsi="Times New Roman"/>
                <w:kern w:val="2"/>
              </w:rPr>
              <w:t>表层样</w:t>
            </w:r>
          </w:p>
        </w:tc>
        <w:tc>
          <w:tcPr>
            <w:tcW w:w="2154" w:type="dxa"/>
            <w:vAlign w:val="center"/>
          </w:tcPr>
          <w:p>
            <w:pPr>
              <w:tabs>
                <w:tab w:val="left" w:pos="1120"/>
              </w:tabs>
              <w:snapToGrid w:val="0"/>
              <w:jc w:val="center"/>
              <w:rPr>
                <w:rFonts w:ascii="Times New Roman" w:hAnsi="Times New Roman"/>
                <w:kern w:val="2"/>
              </w:rPr>
            </w:pPr>
            <w:r>
              <w:rPr>
                <w:rFonts w:ascii="Times New Roman" w:hAnsi="Times New Roman"/>
                <w:kern w:val="2"/>
              </w:rPr>
              <w:t>0~0.2m</w:t>
            </w:r>
          </w:p>
        </w:tc>
        <w:tc>
          <w:tcPr>
            <w:tcW w:w="2410" w:type="dxa"/>
            <w:vAlign w:val="center"/>
          </w:tcPr>
          <w:p>
            <w:pPr>
              <w:tabs>
                <w:tab w:val="left" w:pos="1120"/>
              </w:tabs>
              <w:snapToGrid w:val="0"/>
              <w:rPr>
                <w:rFonts w:ascii="Times New Roman" w:hAnsi="Times New Roman"/>
                <w:kern w:val="2"/>
              </w:rPr>
            </w:pPr>
            <w:r>
              <w:rPr>
                <w:rFonts w:ascii="Times New Roman" w:hAnsi="Times New Roman"/>
              </w:rPr>
              <w:t>涉及大气沉降影响的，应在占地范围外主导风向的上、下风向各设置1个表层样监测点，可在最大落地浓度点增设表层样监测点；评价等级为一级、二级的改扩建项目，应在现有工程厂界外可能产生影响的土壤敏感目标处设置监测点</w:t>
            </w:r>
          </w:p>
        </w:tc>
      </w:tr>
    </w:tbl>
    <w:p>
      <w:pPr>
        <w:pStyle w:val="155"/>
        <w:spacing w:line="480" w:lineRule="exact"/>
        <w:ind w:firstLine="480"/>
      </w:pPr>
    </w:p>
    <w:p>
      <w:pPr>
        <w:pStyle w:val="155"/>
        <w:spacing w:line="480" w:lineRule="exact"/>
        <w:ind w:firstLine="480"/>
      </w:pPr>
    </w:p>
    <w:p>
      <w:pPr>
        <w:pStyle w:val="155"/>
        <w:spacing w:line="480" w:lineRule="exact"/>
        <w:ind w:firstLine="480"/>
      </w:pPr>
    </w:p>
    <w:p>
      <w:pPr>
        <w:pStyle w:val="155"/>
        <w:spacing w:line="480" w:lineRule="exact"/>
        <w:ind w:firstLine="480"/>
      </w:pPr>
    </w:p>
    <w:p>
      <w:pPr>
        <w:pStyle w:val="70"/>
        <w:ind w:left="2100" w:hanging="1050"/>
        <w:rPr>
          <w:rFonts w:ascii="Times New Roman" w:hAnsi="Times New Roman"/>
          <w:kern w:val="0"/>
          <w:sz w:val="21"/>
          <w:szCs w:val="21"/>
        </w:rPr>
        <w:sectPr>
          <w:pgSz w:w="16839" w:h="11907" w:orient="landscape"/>
          <w:pgMar w:top="1440" w:right="1797" w:bottom="1440" w:left="1797" w:header="851" w:footer="850" w:gutter="0"/>
          <w:cols w:space="720" w:num="1"/>
          <w:docGrid w:linePitch="312" w:charSpace="0"/>
        </w:sectPr>
      </w:pPr>
    </w:p>
    <w:p>
      <w:pPr>
        <w:pStyle w:val="155"/>
        <w:spacing w:line="480" w:lineRule="exact"/>
        <w:ind w:firstLine="480"/>
      </w:pPr>
      <w:r>
        <w:t>（2）监测因子</w:t>
      </w:r>
    </w:p>
    <w:p>
      <w:pPr>
        <w:pStyle w:val="155"/>
        <w:spacing w:line="480" w:lineRule="exact"/>
        <w:ind w:firstLine="480"/>
      </w:pPr>
      <w:r>
        <w:t>pH、砷、镉、铬（六价）、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k]荧蒽、䓛、二苯并[a,h]蒽、茚并[1,2,3-cd]芘、萘。</w:t>
      </w:r>
    </w:p>
    <w:p>
      <w:pPr>
        <w:pStyle w:val="155"/>
        <w:spacing w:line="480" w:lineRule="exact"/>
        <w:ind w:firstLine="480"/>
      </w:pPr>
      <w:r>
        <w:t>（3）监测时间及频率</w:t>
      </w:r>
    </w:p>
    <w:p>
      <w:pPr>
        <w:pStyle w:val="155"/>
        <w:spacing w:line="480" w:lineRule="exact"/>
        <w:ind w:firstLine="480"/>
      </w:pPr>
      <w:r>
        <w:rPr>
          <w:szCs w:val="24"/>
        </w:rPr>
        <w:t>2022年5月24</w:t>
      </w:r>
      <w:r>
        <w:t>监测一次。</w:t>
      </w:r>
    </w:p>
    <w:p>
      <w:pPr>
        <w:pStyle w:val="155"/>
        <w:spacing w:line="480" w:lineRule="exact"/>
        <w:ind w:firstLine="480"/>
      </w:pPr>
      <w:r>
        <w:t>（4）监测方法</w:t>
      </w:r>
    </w:p>
    <w:p>
      <w:pPr>
        <w:pStyle w:val="155"/>
        <w:spacing w:line="480" w:lineRule="exact"/>
        <w:ind w:firstLine="480"/>
      </w:pPr>
      <w:r>
        <w:t>监测分析方法按《土壤环境监测技术规范》（HJ/T166-2004）。</w:t>
      </w:r>
    </w:p>
    <w:p>
      <w:pPr>
        <w:pStyle w:val="19"/>
        <w:spacing w:line="480" w:lineRule="exact"/>
        <w:ind w:firstLine="0"/>
        <w:jc w:val="center"/>
        <w:rPr>
          <w:rFonts w:ascii="Times New Roman" w:hAnsi="Times New Roman"/>
          <w:b/>
          <w:bCs/>
          <w:sz w:val="21"/>
        </w:rPr>
      </w:pPr>
      <w:r>
        <w:rPr>
          <w:rFonts w:ascii="Times New Roman" w:hAnsi="Times New Roman"/>
          <w:b/>
          <w:bCs/>
          <w:sz w:val="21"/>
        </w:rPr>
        <w:t>表4.2-21 土壤监测分析方法</w:t>
      </w:r>
    </w:p>
    <w:tbl>
      <w:tblPr>
        <w:tblStyle w:val="7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72"/>
        <w:gridCol w:w="1295"/>
        <w:gridCol w:w="645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7" w:type="dxa"/>
            <w:tcBorders>
              <w:top w:val="single" w:color="auto" w:sz="12" w:space="0"/>
              <w:left w:val="nil"/>
              <w:bottom w:val="single" w:color="auto" w:sz="4" w:space="0"/>
              <w:right w:val="single" w:color="auto" w:sz="4" w:space="0"/>
            </w:tcBorders>
            <w:vAlign w:val="center"/>
          </w:tcPr>
          <w:p>
            <w:pPr>
              <w:widowControl/>
              <w:jc w:val="center"/>
              <w:textAlignment w:val="center"/>
              <w:rPr>
                <w:rFonts w:ascii="Times New Roman" w:hAnsi="Times New Roman"/>
                <w:b/>
                <w:bCs/>
              </w:rPr>
            </w:pPr>
            <w:r>
              <w:rPr>
                <w:rFonts w:hint="eastAsia"/>
                <w:b/>
                <w:bCs/>
              </w:rPr>
              <w:t>序号</w:t>
            </w:r>
          </w:p>
        </w:tc>
        <w:tc>
          <w:tcPr>
            <w:tcW w:w="1291" w:type="dxa"/>
            <w:tcBorders>
              <w:top w:val="single" w:color="auto" w:sz="12" w:space="0"/>
              <w:left w:val="single" w:color="auto" w:sz="4" w:space="0"/>
              <w:bottom w:val="single" w:color="auto" w:sz="4" w:space="0"/>
              <w:right w:val="single" w:color="auto" w:sz="4" w:space="0"/>
            </w:tcBorders>
            <w:vAlign w:val="center"/>
          </w:tcPr>
          <w:p>
            <w:pPr>
              <w:widowControl/>
              <w:jc w:val="center"/>
              <w:textAlignment w:val="center"/>
              <w:rPr>
                <w:rFonts w:ascii="Times New Roman" w:hAnsi="Times New Roman"/>
                <w:b/>
                <w:bCs/>
              </w:rPr>
            </w:pPr>
            <w:r>
              <w:rPr>
                <w:rFonts w:hint="eastAsia"/>
                <w:b/>
                <w:bCs/>
              </w:rPr>
              <w:t>监测项目</w:t>
            </w:r>
          </w:p>
        </w:tc>
        <w:tc>
          <w:tcPr>
            <w:tcW w:w="6468" w:type="dxa"/>
            <w:tcBorders>
              <w:top w:val="single" w:color="auto" w:sz="12" w:space="0"/>
              <w:left w:val="single" w:color="auto" w:sz="4" w:space="0"/>
              <w:bottom w:val="single" w:color="auto" w:sz="4" w:space="0"/>
              <w:right w:val="nil"/>
            </w:tcBorders>
            <w:vAlign w:val="center"/>
          </w:tcPr>
          <w:p>
            <w:pPr>
              <w:widowControl/>
              <w:jc w:val="center"/>
              <w:textAlignment w:val="center"/>
              <w:rPr>
                <w:rFonts w:ascii="Times New Roman" w:hAnsi="Times New Roman"/>
                <w:b/>
                <w:bCs/>
              </w:rPr>
            </w:pPr>
            <w:r>
              <w:rPr>
                <w:b/>
                <w:bCs/>
              </w:rPr>
              <w:t>标准方法名称及代号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7" w:type="dxa"/>
            <w:tcBorders>
              <w:top w:val="single" w:color="auto" w:sz="4" w:space="0"/>
              <w:left w:val="nil"/>
              <w:bottom w:val="single" w:color="auto" w:sz="4" w:space="0"/>
              <w:right w:val="single" w:color="auto" w:sz="4" w:space="0"/>
            </w:tcBorders>
            <w:vAlign w:val="center"/>
          </w:tcPr>
          <w:p>
            <w:pPr>
              <w:widowControl/>
              <w:jc w:val="center"/>
              <w:textAlignment w:val="center"/>
              <w:rPr>
                <w:rFonts w:ascii="Times New Roman" w:hAnsi="Times New Roman"/>
              </w:rPr>
            </w:pPr>
            <w:r>
              <w:rPr>
                <w:rFonts w:hint="eastAsia" w:ascii="Times New Roman" w:hAnsi="Times New Roman"/>
              </w:rPr>
              <w:t>1</w:t>
            </w:r>
          </w:p>
        </w:tc>
        <w:tc>
          <w:tcPr>
            <w:tcW w:w="1291" w:type="dxa"/>
            <w:tcBorders>
              <w:top w:val="single" w:color="auto" w:sz="4" w:space="0"/>
              <w:left w:val="single" w:color="auto" w:sz="4" w:space="0"/>
              <w:bottom w:val="single" w:color="auto" w:sz="4" w:space="0"/>
              <w:right w:val="single" w:color="auto" w:sz="4" w:space="0"/>
            </w:tcBorders>
            <w:vAlign w:val="center"/>
          </w:tcPr>
          <w:p>
            <w:pPr>
              <w:pStyle w:val="524"/>
              <w:jc w:val="center"/>
            </w:pPr>
            <w:r>
              <w:rPr>
                <w:rFonts w:hint="eastAsia" w:ascii="宋体" w:hAnsi="宋体"/>
              </w:rPr>
              <w:t>砷</w:t>
            </w:r>
          </w:p>
        </w:tc>
        <w:tc>
          <w:tcPr>
            <w:tcW w:w="6468" w:type="dxa"/>
            <w:tcBorders>
              <w:top w:val="single" w:color="auto" w:sz="4" w:space="0"/>
              <w:left w:val="single" w:color="auto" w:sz="4" w:space="0"/>
              <w:bottom w:val="single" w:color="auto" w:sz="4" w:space="0"/>
              <w:right w:val="nil"/>
            </w:tcBorders>
            <w:vAlign w:val="center"/>
          </w:tcPr>
          <w:p>
            <w:pPr>
              <w:pStyle w:val="524"/>
              <w:jc w:val="center"/>
            </w:pPr>
            <w:r>
              <w:rPr>
                <w:rFonts w:hint="eastAsia"/>
              </w:rPr>
              <w:t xml:space="preserve">GB/T 22105.2-2008 </w:t>
            </w:r>
            <w:r>
              <w:rPr>
                <w:rFonts w:hint="eastAsia" w:ascii="宋体" w:hAnsi="宋体"/>
              </w:rPr>
              <w:t>土壤质量 总汞、总砷、总铅的测定 原子荧光法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7" w:type="dxa"/>
            <w:tcBorders>
              <w:top w:val="single" w:color="auto" w:sz="4" w:space="0"/>
              <w:left w:val="nil"/>
              <w:bottom w:val="single" w:color="auto" w:sz="4" w:space="0"/>
              <w:right w:val="single" w:color="auto" w:sz="4" w:space="0"/>
            </w:tcBorders>
            <w:vAlign w:val="center"/>
          </w:tcPr>
          <w:p>
            <w:pPr>
              <w:widowControl/>
              <w:jc w:val="center"/>
              <w:textAlignment w:val="center"/>
              <w:rPr>
                <w:rFonts w:ascii="Times New Roman" w:hAnsi="Times New Roman"/>
              </w:rPr>
            </w:pPr>
            <w:r>
              <w:rPr>
                <w:rFonts w:hint="eastAsia" w:ascii="Times New Roman" w:hAnsi="Times New Roman"/>
              </w:rPr>
              <w:t>2</w:t>
            </w:r>
          </w:p>
        </w:tc>
        <w:tc>
          <w:tcPr>
            <w:tcW w:w="1291" w:type="dxa"/>
            <w:tcBorders>
              <w:top w:val="single" w:color="auto" w:sz="4" w:space="0"/>
              <w:left w:val="single" w:color="auto" w:sz="4" w:space="0"/>
              <w:bottom w:val="single" w:color="auto" w:sz="4" w:space="0"/>
              <w:right w:val="single" w:color="auto" w:sz="4" w:space="0"/>
            </w:tcBorders>
            <w:vAlign w:val="center"/>
          </w:tcPr>
          <w:p>
            <w:pPr>
              <w:pStyle w:val="524"/>
              <w:jc w:val="center"/>
            </w:pPr>
            <w:r>
              <w:rPr>
                <w:rFonts w:hint="eastAsia" w:ascii="宋体" w:hAnsi="宋体"/>
              </w:rPr>
              <w:t>镉</w:t>
            </w:r>
          </w:p>
        </w:tc>
        <w:tc>
          <w:tcPr>
            <w:tcW w:w="6468" w:type="dxa"/>
            <w:tcBorders>
              <w:top w:val="single" w:color="auto" w:sz="4" w:space="0"/>
              <w:left w:val="single" w:color="auto" w:sz="4" w:space="0"/>
              <w:bottom w:val="single" w:color="auto" w:sz="4" w:space="0"/>
              <w:right w:val="nil"/>
            </w:tcBorders>
            <w:vAlign w:val="center"/>
          </w:tcPr>
          <w:p>
            <w:pPr>
              <w:pStyle w:val="524"/>
              <w:jc w:val="center"/>
              <w:rPr>
                <w:rFonts w:ascii="宋体" w:hAnsi="宋体"/>
              </w:rPr>
            </w:pPr>
            <w:r>
              <w:rPr>
                <w:rFonts w:hint="eastAsia"/>
              </w:rPr>
              <w:t xml:space="preserve">GB/T 17141-1997 </w:t>
            </w:r>
            <w:r>
              <w:rPr>
                <w:rFonts w:hint="eastAsia" w:ascii="宋体" w:hAnsi="宋体"/>
              </w:rPr>
              <w:t>土壤质量 铅、镉的测定</w:t>
            </w:r>
          </w:p>
          <w:p>
            <w:pPr>
              <w:pStyle w:val="524"/>
              <w:jc w:val="center"/>
            </w:pPr>
            <w:r>
              <w:rPr>
                <w:rFonts w:hint="eastAsia" w:ascii="宋体" w:hAnsi="宋体"/>
              </w:rPr>
              <w:t>石墨炉原子吸收分光光度法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7" w:type="dxa"/>
            <w:tcBorders>
              <w:top w:val="single" w:color="auto" w:sz="4" w:space="0"/>
              <w:left w:val="nil"/>
              <w:bottom w:val="single" w:color="auto" w:sz="4" w:space="0"/>
              <w:right w:val="single" w:color="auto" w:sz="4" w:space="0"/>
            </w:tcBorders>
            <w:vAlign w:val="center"/>
          </w:tcPr>
          <w:p>
            <w:pPr>
              <w:widowControl/>
              <w:jc w:val="center"/>
              <w:textAlignment w:val="center"/>
              <w:rPr>
                <w:rFonts w:ascii="Times New Roman" w:hAnsi="Times New Roman"/>
              </w:rPr>
            </w:pPr>
            <w:r>
              <w:rPr>
                <w:rFonts w:hint="eastAsia" w:ascii="Times New Roman" w:hAnsi="Times New Roman"/>
              </w:rPr>
              <w:t>3</w:t>
            </w:r>
          </w:p>
        </w:tc>
        <w:tc>
          <w:tcPr>
            <w:tcW w:w="1291" w:type="dxa"/>
            <w:tcBorders>
              <w:top w:val="single" w:color="auto" w:sz="4" w:space="0"/>
              <w:left w:val="single" w:color="auto" w:sz="4" w:space="0"/>
              <w:bottom w:val="single" w:color="auto" w:sz="4" w:space="0"/>
              <w:right w:val="single" w:color="auto" w:sz="4" w:space="0"/>
            </w:tcBorders>
            <w:vAlign w:val="center"/>
          </w:tcPr>
          <w:p>
            <w:pPr>
              <w:pStyle w:val="524"/>
              <w:jc w:val="center"/>
            </w:pPr>
            <w:r>
              <w:rPr>
                <w:rFonts w:hint="eastAsia" w:ascii="宋体" w:hAnsi="宋体"/>
              </w:rPr>
              <w:t>铬（六价）</w:t>
            </w:r>
          </w:p>
        </w:tc>
        <w:tc>
          <w:tcPr>
            <w:tcW w:w="6468" w:type="dxa"/>
            <w:tcBorders>
              <w:top w:val="single" w:color="auto" w:sz="4" w:space="0"/>
              <w:left w:val="single" w:color="auto" w:sz="4" w:space="0"/>
              <w:bottom w:val="single" w:color="auto" w:sz="4" w:space="0"/>
              <w:right w:val="nil"/>
            </w:tcBorders>
            <w:vAlign w:val="center"/>
          </w:tcPr>
          <w:p>
            <w:pPr>
              <w:pStyle w:val="524"/>
              <w:jc w:val="center"/>
              <w:rPr>
                <w:rFonts w:ascii="宋体" w:hAnsi="宋体"/>
              </w:rPr>
            </w:pPr>
            <w:r>
              <w:fldChar w:fldCharType="begin"/>
            </w:r>
            <w:r>
              <w:instrText xml:space="preserve"> HYPERLINK "http://huanbao.bjx.com.cn/hot/hot_93891.shtml" \o "固体废物六价铬新闻专题" </w:instrText>
            </w:r>
            <w:r>
              <w:fldChar w:fldCharType="separate"/>
            </w:r>
            <w:r>
              <w:rPr>
                <w:rStyle w:val="90"/>
                <w:rFonts w:hint="default" w:ascii="宋体" w:hAnsi="宋体"/>
                <w:color w:val="auto"/>
              </w:rPr>
              <w:t>固体废物  六价铬</w:t>
            </w:r>
            <w:r>
              <w:rPr>
                <w:rStyle w:val="90"/>
                <w:rFonts w:hint="default" w:ascii="宋体" w:hAnsi="宋体"/>
                <w:color w:val="auto"/>
              </w:rPr>
              <w:fldChar w:fldCharType="end"/>
            </w:r>
            <w:r>
              <w:rPr>
                <w:rFonts w:hint="eastAsia" w:ascii="宋体" w:hAnsi="宋体"/>
              </w:rPr>
              <w:t>的测定 碱消解</w:t>
            </w:r>
          </w:p>
          <w:p>
            <w:pPr>
              <w:pStyle w:val="524"/>
              <w:jc w:val="center"/>
            </w:pPr>
            <w:r>
              <w:rPr>
                <w:rFonts w:hint="eastAsia" w:ascii="宋体" w:hAnsi="宋体"/>
              </w:rPr>
              <w:t>火焰原子吸收分光光度法（</w:t>
            </w:r>
            <w:r>
              <w:rPr>
                <w:rFonts w:hint="eastAsia"/>
              </w:rPr>
              <w:t>HJ 687-2014</w:t>
            </w:r>
            <w:r>
              <w:rPr>
                <w:rFonts w:hint="eastAsia" w:ascii="宋体" w:hAnsi="宋体"/>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7" w:type="dxa"/>
            <w:tcBorders>
              <w:top w:val="single" w:color="auto" w:sz="4" w:space="0"/>
              <w:left w:val="nil"/>
              <w:bottom w:val="single" w:color="auto" w:sz="4" w:space="0"/>
              <w:right w:val="single" w:color="auto" w:sz="4" w:space="0"/>
            </w:tcBorders>
            <w:vAlign w:val="center"/>
          </w:tcPr>
          <w:p>
            <w:pPr>
              <w:widowControl/>
              <w:jc w:val="center"/>
              <w:textAlignment w:val="center"/>
              <w:rPr>
                <w:rFonts w:ascii="Times New Roman" w:hAnsi="Times New Roman"/>
              </w:rPr>
            </w:pPr>
            <w:r>
              <w:rPr>
                <w:rFonts w:hint="eastAsia" w:ascii="Times New Roman" w:hAnsi="Times New Roman"/>
              </w:rPr>
              <w:t>4</w:t>
            </w:r>
          </w:p>
        </w:tc>
        <w:tc>
          <w:tcPr>
            <w:tcW w:w="1291" w:type="dxa"/>
            <w:tcBorders>
              <w:top w:val="single" w:color="auto" w:sz="4" w:space="0"/>
              <w:left w:val="single" w:color="auto" w:sz="4" w:space="0"/>
              <w:bottom w:val="single" w:color="auto" w:sz="4" w:space="0"/>
              <w:right w:val="single" w:color="auto" w:sz="4" w:space="0"/>
            </w:tcBorders>
            <w:vAlign w:val="center"/>
          </w:tcPr>
          <w:p>
            <w:pPr>
              <w:pStyle w:val="524"/>
              <w:jc w:val="center"/>
            </w:pPr>
            <w:r>
              <w:rPr>
                <w:rFonts w:hint="eastAsia" w:ascii="宋体" w:hAnsi="宋体"/>
              </w:rPr>
              <w:t>铜</w:t>
            </w:r>
          </w:p>
        </w:tc>
        <w:tc>
          <w:tcPr>
            <w:tcW w:w="6468" w:type="dxa"/>
            <w:tcBorders>
              <w:top w:val="single" w:color="auto" w:sz="4" w:space="0"/>
              <w:left w:val="single" w:color="auto" w:sz="4" w:space="0"/>
              <w:bottom w:val="single" w:color="auto" w:sz="4" w:space="0"/>
              <w:right w:val="nil"/>
            </w:tcBorders>
            <w:vAlign w:val="center"/>
          </w:tcPr>
          <w:p>
            <w:pPr>
              <w:pStyle w:val="524"/>
              <w:jc w:val="center"/>
              <w:rPr>
                <w:rFonts w:ascii="宋体" w:hAnsi="宋体"/>
              </w:rPr>
            </w:pPr>
            <w:r>
              <w:rPr>
                <w:rFonts w:hint="eastAsia"/>
              </w:rPr>
              <w:t xml:space="preserve">HJ 491-2019 </w:t>
            </w:r>
            <w:r>
              <w:rPr>
                <w:rFonts w:hint="eastAsia" w:ascii="宋体" w:hAnsi="宋体"/>
              </w:rPr>
              <w:t>土壤和沉积物 铜、锌、铅、镍、铬的测定</w:t>
            </w:r>
          </w:p>
          <w:p>
            <w:pPr>
              <w:pStyle w:val="524"/>
              <w:jc w:val="center"/>
            </w:pPr>
            <w:r>
              <w:rPr>
                <w:rFonts w:hint="eastAsia" w:ascii="宋体" w:hAnsi="宋体"/>
              </w:rPr>
              <w:t>火焰原子吸收分光光度法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7" w:type="dxa"/>
            <w:tcBorders>
              <w:top w:val="single" w:color="auto" w:sz="4" w:space="0"/>
              <w:left w:val="nil"/>
              <w:bottom w:val="single" w:color="auto" w:sz="4" w:space="0"/>
              <w:right w:val="single" w:color="auto" w:sz="4" w:space="0"/>
            </w:tcBorders>
            <w:vAlign w:val="center"/>
          </w:tcPr>
          <w:p>
            <w:pPr>
              <w:widowControl/>
              <w:jc w:val="center"/>
              <w:textAlignment w:val="center"/>
              <w:rPr>
                <w:rFonts w:ascii="Times New Roman" w:hAnsi="Times New Roman"/>
              </w:rPr>
            </w:pPr>
            <w:r>
              <w:rPr>
                <w:rFonts w:hint="eastAsia" w:ascii="Times New Roman" w:hAnsi="Times New Roman"/>
              </w:rPr>
              <w:t>5</w:t>
            </w:r>
          </w:p>
        </w:tc>
        <w:tc>
          <w:tcPr>
            <w:tcW w:w="1291" w:type="dxa"/>
            <w:tcBorders>
              <w:top w:val="single" w:color="auto" w:sz="4" w:space="0"/>
              <w:left w:val="single" w:color="auto" w:sz="4" w:space="0"/>
              <w:bottom w:val="single" w:color="auto" w:sz="4" w:space="0"/>
              <w:right w:val="single" w:color="auto" w:sz="4" w:space="0"/>
            </w:tcBorders>
            <w:vAlign w:val="center"/>
          </w:tcPr>
          <w:p>
            <w:pPr>
              <w:pStyle w:val="524"/>
              <w:jc w:val="center"/>
            </w:pPr>
            <w:r>
              <w:rPr>
                <w:rFonts w:hint="eastAsia" w:ascii="宋体" w:hAnsi="宋体"/>
              </w:rPr>
              <w:t>铅</w:t>
            </w:r>
          </w:p>
        </w:tc>
        <w:tc>
          <w:tcPr>
            <w:tcW w:w="6468" w:type="dxa"/>
            <w:tcBorders>
              <w:top w:val="single" w:color="auto" w:sz="4" w:space="0"/>
              <w:left w:val="single" w:color="auto" w:sz="4" w:space="0"/>
              <w:bottom w:val="single" w:color="auto" w:sz="4" w:space="0"/>
              <w:right w:val="nil"/>
            </w:tcBorders>
            <w:vAlign w:val="center"/>
          </w:tcPr>
          <w:p>
            <w:pPr>
              <w:pStyle w:val="524"/>
              <w:jc w:val="center"/>
              <w:rPr>
                <w:rFonts w:ascii="宋体" w:hAnsi="宋体"/>
              </w:rPr>
            </w:pPr>
            <w:r>
              <w:rPr>
                <w:rFonts w:hint="eastAsia"/>
              </w:rPr>
              <w:t xml:space="preserve">HJ 491-2019 </w:t>
            </w:r>
            <w:r>
              <w:rPr>
                <w:rFonts w:hint="eastAsia" w:ascii="宋体" w:hAnsi="宋体"/>
              </w:rPr>
              <w:t>土壤和沉积物 铜、锌、铅、镍、铬的测定</w:t>
            </w:r>
          </w:p>
          <w:p>
            <w:pPr>
              <w:pStyle w:val="524"/>
              <w:jc w:val="center"/>
            </w:pPr>
            <w:r>
              <w:rPr>
                <w:rFonts w:hint="eastAsia" w:ascii="宋体" w:hAnsi="宋体"/>
              </w:rPr>
              <w:t>火焰原子吸收分光光度法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7" w:type="dxa"/>
            <w:tcBorders>
              <w:top w:val="single" w:color="auto" w:sz="4" w:space="0"/>
              <w:left w:val="nil"/>
              <w:bottom w:val="single" w:color="auto" w:sz="4" w:space="0"/>
              <w:right w:val="single" w:color="auto" w:sz="4" w:space="0"/>
            </w:tcBorders>
            <w:vAlign w:val="center"/>
          </w:tcPr>
          <w:p>
            <w:pPr>
              <w:widowControl/>
              <w:jc w:val="center"/>
              <w:textAlignment w:val="center"/>
              <w:rPr>
                <w:rFonts w:ascii="Times New Roman" w:hAnsi="Times New Roman"/>
              </w:rPr>
            </w:pPr>
            <w:r>
              <w:rPr>
                <w:rFonts w:hint="eastAsia" w:ascii="Times New Roman" w:hAnsi="Times New Roman"/>
              </w:rPr>
              <w:t>6</w:t>
            </w:r>
          </w:p>
        </w:tc>
        <w:tc>
          <w:tcPr>
            <w:tcW w:w="1291" w:type="dxa"/>
            <w:tcBorders>
              <w:top w:val="single" w:color="auto" w:sz="4" w:space="0"/>
              <w:left w:val="single" w:color="auto" w:sz="4" w:space="0"/>
              <w:bottom w:val="single" w:color="auto" w:sz="4" w:space="0"/>
              <w:right w:val="single" w:color="auto" w:sz="4" w:space="0"/>
            </w:tcBorders>
            <w:vAlign w:val="center"/>
          </w:tcPr>
          <w:p>
            <w:pPr>
              <w:pStyle w:val="524"/>
              <w:jc w:val="center"/>
            </w:pPr>
            <w:r>
              <w:rPr>
                <w:rFonts w:hint="eastAsia" w:ascii="宋体" w:hAnsi="宋体"/>
              </w:rPr>
              <w:t>汞</w:t>
            </w:r>
          </w:p>
        </w:tc>
        <w:tc>
          <w:tcPr>
            <w:tcW w:w="6468" w:type="dxa"/>
            <w:tcBorders>
              <w:top w:val="single" w:color="auto" w:sz="4" w:space="0"/>
              <w:left w:val="single" w:color="auto" w:sz="4" w:space="0"/>
              <w:bottom w:val="single" w:color="auto" w:sz="4" w:space="0"/>
              <w:right w:val="nil"/>
            </w:tcBorders>
            <w:vAlign w:val="center"/>
          </w:tcPr>
          <w:p>
            <w:pPr>
              <w:pStyle w:val="524"/>
              <w:jc w:val="center"/>
            </w:pPr>
            <w:r>
              <w:t xml:space="preserve">GB/T 22105.1-2008 </w:t>
            </w:r>
            <w:r>
              <w:rPr>
                <w:rFonts w:hint="eastAsia" w:ascii="宋体" w:hAnsi="宋体"/>
              </w:rPr>
              <w:t>土壤质量 总汞、总砷、总铅的测定 原子荧光法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7" w:type="dxa"/>
            <w:tcBorders>
              <w:top w:val="single" w:color="auto" w:sz="4" w:space="0"/>
              <w:left w:val="nil"/>
              <w:bottom w:val="single" w:color="auto" w:sz="4" w:space="0"/>
              <w:right w:val="single" w:color="auto" w:sz="4" w:space="0"/>
            </w:tcBorders>
            <w:vAlign w:val="center"/>
          </w:tcPr>
          <w:p>
            <w:pPr>
              <w:widowControl/>
              <w:jc w:val="center"/>
              <w:textAlignment w:val="center"/>
              <w:rPr>
                <w:rFonts w:ascii="Times New Roman" w:hAnsi="Times New Roman"/>
              </w:rPr>
            </w:pPr>
            <w:r>
              <w:rPr>
                <w:rFonts w:hint="eastAsia" w:ascii="Times New Roman" w:hAnsi="Times New Roman"/>
              </w:rPr>
              <w:t>7</w:t>
            </w:r>
          </w:p>
        </w:tc>
        <w:tc>
          <w:tcPr>
            <w:tcW w:w="1291" w:type="dxa"/>
            <w:tcBorders>
              <w:top w:val="single" w:color="auto" w:sz="4" w:space="0"/>
              <w:left w:val="single" w:color="auto" w:sz="4" w:space="0"/>
              <w:bottom w:val="single" w:color="auto" w:sz="4" w:space="0"/>
              <w:right w:val="single" w:color="auto" w:sz="4" w:space="0"/>
            </w:tcBorders>
            <w:vAlign w:val="center"/>
          </w:tcPr>
          <w:p>
            <w:pPr>
              <w:pStyle w:val="524"/>
              <w:jc w:val="center"/>
            </w:pPr>
            <w:r>
              <w:rPr>
                <w:rFonts w:hint="eastAsia" w:ascii="宋体" w:hAnsi="宋体"/>
              </w:rPr>
              <w:t>镍</w:t>
            </w:r>
          </w:p>
        </w:tc>
        <w:tc>
          <w:tcPr>
            <w:tcW w:w="6468" w:type="dxa"/>
            <w:tcBorders>
              <w:top w:val="single" w:color="auto" w:sz="4" w:space="0"/>
              <w:left w:val="single" w:color="auto" w:sz="4" w:space="0"/>
              <w:bottom w:val="single" w:color="auto" w:sz="4" w:space="0"/>
              <w:right w:val="nil"/>
            </w:tcBorders>
            <w:vAlign w:val="center"/>
          </w:tcPr>
          <w:p>
            <w:pPr>
              <w:pStyle w:val="524"/>
              <w:jc w:val="center"/>
              <w:rPr>
                <w:rFonts w:ascii="宋体" w:hAnsi="宋体"/>
              </w:rPr>
            </w:pPr>
            <w:r>
              <w:rPr>
                <w:rFonts w:hint="eastAsia"/>
              </w:rPr>
              <w:t xml:space="preserve">HJ 491-2019 </w:t>
            </w:r>
            <w:r>
              <w:rPr>
                <w:rFonts w:hint="eastAsia" w:ascii="宋体" w:hAnsi="宋体"/>
              </w:rPr>
              <w:t>土壤和沉积物 铜、锌、铅、镍、铬的测定</w:t>
            </w:r>
          </w:p>
          <w:p>
            <w:pPr>
              <w:pStyle w:val="524"/>
              <w:jc w:val="center"/>
            </w:pPr>
            <w:r>
              <w:rPr>
                <w:rFonts w:hint="eastAsia" w:ascii="宋体" w:hAnsi="宋体"/>
              </w:rPr>
              <w:t>火焰原子吸收分光光度法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7" w:type="dxa"/>
            <w:tcBorders>
              <w:top w:val="single" w:color="auto" w:sz="4" w:space="0"/>
              <w:left w:val="nil"/>
              <w:bottom w:val="single" w:color="auto" w:sz="4" w:space="0"/>
              <w:right w:val="single" w:color="auto" w:sz="4" w:space="0"/>
            </w:tcBorders>
            <w:vAlign w:val="center"/>
          </w:tcPr>
          <w:p>
            <w:pPr>
              <w:widowControl/>
              <w:jc w:val="center"/>
              <w:textAlignment w:val="center"/>
              <w:rPr>
                <w:rFonts w:ascii="Times New Roman" w:hAnsi="Times New Roman"/>
              </w:rPr>
            </w:pPr>
            <w:r>
              <w:rPr>
                <w:rFonts w:hint="eastAsia" w:ascii="Times New Roman" w:hAnsi="Times New Roman"/>
              </w:rPr>
              <w:t>8</w:t>
            </w:r>
          </w:p>
        </w:tc>
        <w:tc>
          <w:tcPr>
            <w:tcW w:w="1291" w:type="dxa"/>
            <w:tcBorders>
              <w:top w:val="single" w:color="auto" w:sz="4" w:space="0"/>
              <w:left w:val="single" w:color="auto" w:sz="4" w:space="0"/>
              <w:bottom w:val="single" w:color="auto" w:sz="4" w:space="0"/>
              <w:right w:val="single" w:color="auto" w:sz="4" w:space="0"/>
            </w:tcBorders>
            <w:vAlign w:val="center"/>
          </w:tcPr>
          <w:p>
            <w:pPr>
              <w:pStyle w:val="524"/>
              <w:jc w:val="center"/>
            </w:pPr>
            <w:r>
              <w:rPr>
                <w:rFonts w:hint="eastAsia" w:ascii="宋体" w:hAnsi="宋体"/>
              </w:rPr>
              <w:t>四氯化碳</w:t>
            </w:r>
          </w:p>
        </w:tc>
        <w:tc>
          <w:tcPr>
            <w:tcW w:w="6468" w:type="dxa"/>
            <w:tcBorders>
              <w:top w:val="single" w:color="auto" w:sz="4" w:space="0"/>
              <w:left w:val="single" w:color="auto" w:sz="4" w:space="0"/>
              <w:bottom w:val="single" w:color="auto" w:sz="4" w:space="0"/>
              <w:right w:val="nil"/>
            </w:tcBorders>
            <w:vAlign w:val="center"/>
          </w:tcPr>
          <w:p>
            <w:pPr>
              <w:pStyle w:val="524"/>
              <w:jc w:val="center"/>
              <w:rPr>
                <w:rFonts w:ascii="宋体" w:hAnsi="宋体"/>
              </w:rPr>
            </w:pPr>
            <w:r>
              <w:rPr>
                <w:rFonts w:hint="eastAsia"/>
              </w:rPr>
              <w:t xml:space="preserve">HJ 736-2015 </w:t>
            </w:r>
            <w:r>
              <w:rPr>
                <w:rFonts w:hint="eastAsia" w:ascii="宋体" w:hAnsi="宋体"/>
              </w:rPr>
              <w:t>土壤和沉积物 挥发性卤代烃的测定 顶空</w:t>
            </w:r>
          </w:p>
          <w:p>
            <w:pPr>
              <w:pStyle w:val="524"/>
              <w:jc w:val="center"/>
            </w:pPr>
            <w:r>
              <w:rPr>
                <w:rFonts w:hint="eastAsia" w:ascii="宋体" w:hAnsi="宋体"/>
              </w:rPr>
              <w:t>气相色谱</w:t>
            </w:r>
            <w:r>
              <w:rPr>
                <w:rFonts w:hint="eastAsia"/>
              </w:rPr>
              <w:t>-</w:t>
            </w:r>
            <w:r>
              <w:rPr>
                <w:rFonts w:hint="eastAsia" w:ascii="宋体" w:hAnsi="宋体"/>
              </w:rPr>
              <w:t>质谱法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7" w:type="dxa"/>
            <w:tcBorders>
              <w:top w:val="single" w:color="auto" w:sz="4" w:space="0"/>
              <w:left w:val="nil"/>
              <w:bottom w:val="single" w:color="auto" w:sz="4" w:space="0"/>
              <w:right w:val="single" w:color="auto" w:sz="4" w:space="0"/>
            </w:tcBorders>
            <w:vAlign w:val="center"/>
          </w:tcPr>
          <w:p>
            <w:pPr>
              <w:widowControl/>
              <w:jc w:val="center"/>
              <w:textAlignment w:val="center"/>
              <w:rPr>
                <w:rFonts w:ascii="Times New Roman" w:hAnsi="Times New Roman"/>
              </w:rPr>
            </w:pPr>
            <w:r>
              <w:rPr>
                <w:rFonts w:hint="eastAsia" w:ascii="Times New Roman" w:hAnsi="Times New Roman"/>
              </w:rPr>
              <w:t>9</w:t>
            </w:r>
          </w:p>
        </w:tc>
        <w:tc>
          <w:tcPr>
            <w:tcW w:w="1291" w:type="dxa"/>
            <w:tcBorders>
              <w:top w:val="single" w:color="auto" w:sz="4" w:space="0"/>
              <w:left w:val="single" w:color="auto" w:sz="4" w:space="0"/>
              <w:bottom w:val="single" w:color="auto" w:sz="4" w:space="0"/>
              <w:right w:val="single" w:color="auto" w:sz="4" w:space="0"/>
            </w:tcBorders>
            <w:vAlign w:val="center"/>
          </w:tcPr>
          <w:p>
            <w:pPr>
              <w:pStyle w:val="524"/>
              <w:jc w:val="center"/>
            </w:pPr>
            <w:r>
              <w:rPr>
                <w:rFonts w:hint="eastAsia" w:ascii="宋体" w:hAnsi="宋体"/>
              </w:rPr>
              <w:t>氯仿</w:t>
            </w:r>
          </w:p>
        </w:tc>
        <w:tc>
          <w:tcPr>
            <w:tcW w:w="6468" w:type="dxa"/>
            <w:tcBorders>
              <w:top w:val="single" w:color="auto" w:sz="4" w:space="0"/>
              <w:left w:val="single" w:color="auto" w:sz="4" w:space="0"/>
              <w:bottom w:val="single" w:color="auto" w:sz="4" w:space="0"/>
              <w:right w:val="nil"/>
            </w:tcBorders>
            <w:vAlign w:val="center"/>
          </w:tcPr>
          <w:p>
            <w:pPr>
              <w:pStyle w:val="524"/>
              <w:jc w:val="center"/>
              <w:rPr>
                <w:rFonts w:ascii="宋体" w:hAnsi="宋体"/>
              </w:rPr>
            </w:pPr>
            <w:r>
              <w:rPr>
                <w:rFonts w:hint="eastAsia"/>
              </w:rPr>
              <w:t xml:space="preserve">HJ 736-2015 </w:t>
            </w:r>
            <w:r>
              <w:rPr>
                <w:rFonts w:hint="eastAsia" w:ascii="宋体" w:hAnsi="宋体"/>
              </w:rPr>
              <w:t>土壤和沉积物 挥发性卤代烃的测定 顶空</w:t>
            </w:r>
          </w:p>
          <w:p>
            <w:pPr>
              <w:pStyle w:val="524"/>
              <w:jc w:val="center"/>
            </w:pPr>
            <w:r>
              <w:rPr>
                <w:rFonts w:hint="eastAsia" w:ascii="宋体" w:hAnsi="宋体"/>
              </w:rPr>
              <w:t>气相色谱</w:t>
            </w:r>
            <w:r>
              <w:rPr>
                <w:rFonts w:hint="eastAsia"/>
              </w:rPr>
              <w:t>-</w:t>
            </w:r>
            <w:r>
              <w:rPr>
                <w:rFonts w:hint="eastAsia" w:ascii="宋体" w:hAnsi="宋体"/>
              </w:rPr>
              <w:t>质谱法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7" w:type="dxa"/>
            <w:tcBorders>
              <w:top w:val="single" w:color="auto" w:sz="4" w:space="0"/>
              <w:left w:val="nil"/>
              <w:bottom w:val="single" w:color="auto" w:sz="4" w:space="0"/>
              <w:right w:val="single" w:color="auto" w:sz="4" w:space="0"/>
            </w:tcBorders>
            <w:vAlign w:val="center"/>
          </w:tcPr>
          <w:p>
            <w:pPr>
              <w:widowControl/>
              <w:jc w:val="center"/>
              <w:textAlignment w:val="center"/>
              <w:rPr>
                <w:rFonts w:ascii="Times New Roman" w:hAnsi="Times New Roman"/>
              </w:rPr>
            </w:pPr>
            <w:r>
              <w:rPr>
                <w:rFonts w:hint="eastAsia" w:ascii="Times New Roman" w:hAnsi="Times New Roman"/>
              </w:rPr>
              <w:t>10</w:t>
            </w:r>
          </w:p>
        </w:tc>
        <w:tc>
          <w:tcPr>
            <w:tcW w:w="1291" w:type="dxa"/>
            <w:tcBorders>
              <w:top w:val="single" w:color="auto" w:sz="4" w:space="0"/>
              <w:left w:val="single" w:color="auto" w:sz="4" w:space="0"/>
              <w:bottom w:val="single" w:color="auto" w:sz="4" w:space="0"/>
              <w:right w:val="single" w:color="auto" w:sz="4" w:space="0"/>
            </w:tcBorders>
            <w:vAlign w:val="center"/>
          </w:tcPr>
          <w:p>
            <w:pPr>
              <w:pStyle w:val="524"/>
              <w:jc w:val="center"/>
            </w:pPr>
            <w:r>
              <w:rPr>
                <w:rFonts w:hint="eastAsia" w:ascii="宋体" w:hAnsi="宋体"/>
              </w:rPr>
              <w:t>氯甲烷</w:t>
            </w:r>
          </w:p>
        </w:tc>
        <w:tc>
          <w:tcPr>
            <w:tcW w:w="6468" w:type="dxa"/>
            <w:tcBorders>
              <w:top w:val="single" w:color="auto" w:sz="4" w:space="0"/>
              <w:left w:val="single" w:color="auto" w:sz="4" w:space="0"/>
              <w:bottom w:val="single" w:color="auto" w:sz="4" w:space="0"/>
              <w:right w:val="nil"/>
            </w:tcBorders>
            <w:vAlign w:val="center"/>
          </w:tcPr>
          <w:p>
            <w:pPr>
              <w:pStyle w:val="524"/>
              <w:jc w:val="center"/>
              <w:rPr>
                <w:rFonts w:ascii="宋体" w:hAnsi="宋体"/>
              </w:rPr>
            </w:pPr>
            <w:r>
              <w:rPr>
                <w:rFonts w:hint="eastAsia"/>
              </w:rPr>
              <w:t xml:space="preserve">HJ 736-2015 </w:t>
            </w:r>
            <w:r>
              <w:rPr>
                <w:rFonts w:hint="eastAsia" w:ascii="宋体" w:hAnsi="宋体"/>
              </w:rPr>
              <w:t>土壤和沉积物 挥发性卤代烃的测定 顶空</w:t>
            </w:r>
          </w:p>
          <w:p>
            <w:pPr>
              <w:pStyle w:val="524"/>
              <w:jc w:val="center"/>
            </w:pPr>
            <w:r>
              <w:rPr>
                <w:rFonts w:hint="eastAsia" w:ascii="宋体" w:hAnsi="宋体"/>
              </w:rPr>
              <w:t>气相色谱</w:t>
            </w:r>
            <w:r>
              <w:rPr>
                <w:rFonts w:hint="eastAsia"/>
              </w:rPr>
              <w:t>-</w:t>
            </w:r>
            <w:r>
              <w:rPr>
                <w:rFonts w:hint="eastAsia" w:ascii="宋体" w:hAnsi="宋体"/>
              </w:rPr>
              <w:t>质谱法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7" w:type="dxa"/>
            <w:tcBorders>
              <w:top w:val="single" w:color="auto" w:sz="4" w:space="0"/>
              <w:left w:val="nil"/>
              <w:bottom w:val="single" w:color="auto" w:sz="4" w:space="0"/>
              <w:right w:val="single" w:color="auto" w:sz="4" w:space="0"/>
            </w:tcBorders>
            <w:vAlign w:val="center"/>
          </w:tcPr>
          <w:p>
            <w:pPr>
              <w:widowControl/>
              <w:jc w:val="center"/>
              <w:textAlignment w:val="center"/>
              <w:rPr>
                <w:rFonts w:ascii="Times New Roman" w:hAnsi="Times New Roman"/>
              </w:rPr>
            </w:pPr>
            <w:r>
              <w:rPr>
                <w:rFonts w:hint="eastAsia" w:ascii="Times New Roman" w:hAnsi="Times New Roman"/>
              </w:rPr>
              <w:t>11</w:t>
            </w:r>
          </w:p>
        </w:tc>
        <w:tc>
          <w:tcPr>
            <w:tcW w:w="1291" w:type="dxa"/>
            <w:tcBorders>
              <w:top w:val="single" w:color="auto" w:sz="4" w:space="0"/>
              <w:left w:val="single" w:color="auto" w:sz="4" w:space="0"/>
              <w:bottom w:val="single" w:color="auto" w:sz="4" w:space="0"/>
              <w:right w:val="single" w:color="auto" w:sz="4" w:space="0"/>
            </w:tcBorders>
            <w:vAlign w:val="center"/>
          </w:tcPr>
          <w:p>
            <w:pPr>
              <w:pStyle w:val="524"/>
              <w:jc w:val="center"/>
            </w:pPr>
            <w:r>
              <w:rPr>
                <w:rFonts w:hint="eastAsia"/>
              </w:rPr>
              <w:t>1,1-</w:t>
            </w:r>
            <w:r>
              <w:rPr>
                <w:rFonts w:hint="eastAsia" w:ascii="宋体" w:hAnsi="宋体"/>
              </w:rPr>
              <w:t>二氯乙烷</w:t>
            </w:r>
          </w:p>
        </w:tc>
        <w:tc>
          <w:tcPr>
            <w:tcW w:w="6468" w:type="dxa"/>
            <w:tcBorders>
              <w:top w:val="single" w:color="auto" w:sz="4" w:space="0"/>
              <w:left w:val="single" w:color="auto" w:sz="4" w:space="0"/>
              <w:bottom w:val="single" w:color="auto" w:sz="4" w:space="0"/>
              <w:right w:val="nil"/>
            </w:tcBorders>
            <w:vAlign w:val="center"/>
          </w:tcPr>
          <w:p>
            <w:pPr>
              <w:pStyle w:val="524"/>
              <w:jc w:val="center"/>
              <w:rPr>
                <w:rFonts w:ascii="宋体" w:hAnsi="宋体"/>
              </w:rPr>
            </w:pPr>
            <w:r>
              <w:rPr>
                <w:rFonts w:hint="eastAsia"/>
              </w:rPr>
              <w:t xml:space="preserve">HJ 736-2015 </w:t>
            </w:r>
            <w:r>
              <w:rPr>
                <w:rFonts w:hint="eastAsia" w:ascii="宋体" w:hAnsi="宋体"/>
              </w:rPr>
              <w:t>土壤和沉积物 挥发性卤代烃的测定 顶空</w:t>
            </w:r>
          </w:p>
          <w:p>
            <w:pPr>
              <w:pStyle w:val="524"/>
              <w:jc w:val="center"/>
            </w:pPr>
            <w:r>
              <w:rPr>
                <w:rFonts w:hint="eastAsia" w:ascii="宋体" w:hAnsi="宋体"/>
              </w:rPr>
              <w:t>气相色谱</w:t>
            </w:r>
            <w:r>
              <w:rPr>
                <w:rFonts w:hint="eastAsia"/>
              </w:rPr>
              <w:t>-</w:t>
            </w:r>
            <w:r>
              <w:rPr>
                <w:rFonts w:hint="eastAsia" w:ascii="宋体" w:hAnsi="宋体"/>
              </w:rPr>
              <w:t>质谱法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7" w:type="dxa"/>
            <w:tcBorders>
              <w:top w:val="single" w:color="auto" w:sz="4" w:space="0"/>
              <w:left w:val="nil"/>
              <w:bottom w:val="single" w:color="auto" w:sz="4" w:space="0"/>
              <w:right w:val="single" w:color="auto" w:sz="4" w:space="0"/>
            </w:tcBorders>
            <w:vAlign w:val="center"/>
          </w:tcPr>
          <w:p>
            <w:pPr>
              <w:widowControl/>
              <w:jc w:val="center"/>
              <w:textAlignment w:val="center"/>
              <w:rPr>
                <w:rFonts w:ascii="Times New Roman" w:hAnsi="Times New Roman"/>
              </w:rPr>
            </w:pPr>
            <w:r>
              <w:rPr>
                <w:rFonts w:hint="eastAsia" w:ascii="Times New Roman" w:hAnsi="Times New Roman"/>
              </w:rPr>
              <w:t>12</w:t>
            </w:r>
          </w:p>
        </w:tc>
        <w:tc>
          <w:tcPr>
            <w:tcW w:w="1291" w:type="dxa"/>
            <w:tcBorders>
              <w:top w:val="single" w:color="auto" w:sz="4" w:space="0"/>
              <w:left w:val="single" w:color="auto" w:sz="4" w:space="0"/>
              <w:bottom w:val="single" w:color="auto" w:sz="4" w:space="0"/>
              <w:right w:val="single" w:color="auto" w:sz="4" w:space="0"/>
            </w:tcBorders>
            <w:vAlign w:val="center"/>
          </w:tcPr>
          <w:p>
            <w:pPr>
              <w:pStyle w:val="524"/>
              <w:jc w:val="center"/>
            </w:pPr>
            <w:r>
              <w:rPr>
                <w:rFonts w:hint="eastAsia"/>
              </w:rPr>
              <w:t>1,2-</w:t>
            </w:r>
            <w:r>
              <w:rPr>
                <w:rFonts w:hint="eastAsia" w:ascii="宋体" w:hAnsi="宋体"/>
              </w:rPr>
              <w:t>二氯乙烷</w:t>
            </w:r>
          </w:p>
        </w:tc>
        <w:tc>
          <w:tcPr>
            <w:tcW w:w="6468" w:type="dxa"/>
            <w:tcBorders>
              <w:top w:val="single" w:color="auto" w:sz="4" w:space="0"/>
              <w:left w:val="single" w:color="auto" w:sz="4" w:space="0"/>
              <w:bottom w:val="single" w:color="auto" w:sz="4" w:space="0"/>
              <w:right w:val="nil"/>
            </w:tcBorders>
            <w:vAlign w:val="center"/>
          </w:tcPr>
          <w:p>
            <w:pPr>
              <w:pStyle w:val="524"/>
              <w:jc w:val="center"/>
              <w:rPr>
                <w:rFonts w:ascii="宋体" w:hAnsi="宋体"/>
              </w:rPr>
            </w:pPr>
            <w:r>
              <w:rPr>
                <w:rFonts w:hint="eastAsia"/>
              </w:rPr>
              <w:t xml:space="preserve">HJ 736-2015 </w:t>
            </w:r>
            <w:r>
              <w:rPr>
                <w:rFonts w:hint="eastAsia" w:ascii="宋体" w:hAnsi="宋体"/>
              </w:rPr>
              <w:t>土壤和沉积物 挥发性卤代烃的测定 顶空</w:t>
            </w:r>
          </w:p>
          <w:p>
            <w:pPr>
              <w:pStyle w:val="524"/>
              <w:jc w:val="center"/>
            </w:pPr>
            <w:r>
              <w:rPr>
                <w:rFonts w:hint="eastAsia" w:ascii="宋体" w:hAnsi="宋体"/>
              </w:rPr>
              <w:t>气相色谱</w:t>
            </w:r>
            <w:r>
              <w:rPr>
                <w:rFonts w:hint="eastAsia"/>
              </w:rPr>
              <w:t>-</w:t>
            </w:r>
            <w:r>
              <w:rPr>
                <w:rFonts w:hint="eastAsia" w:ascii="宋体" w:hAnsi="宋体"/>
              </w:rPr>
              <w:t>质谱法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7" w:type="dxa"/>
            <w:tcBorders>
              <w:top w:val="single" w:color="auto" w:sz="4" w:space="0"/>
              <w:left w:val="nil"/>
              <w:bottom w:val="single" w:color="auto" w:sz="4" w:space="0"/>
              <w:right w:val="single" w:color="auto" w:sz="4" w:space="0"/>
            </w:tcBorders>
            <w:vAlign w:val="center"/>
          </w:tcPr>
          <w:p>
            <w:pPr>
              <w:widowControl/>
              <w:jc w:val="center"/>
              <w:textAlignment w:val="center"/>
              <w:rPr>
                <w:rFonts w:ascii="Times New Roman" w:hAnsi="Times New Roman"/>
              </w:rPr>
            </w:pPr>
            <w:r>
              <w:rPr>
                <w:rFonts w:hint="eastAsia" w:ascii="Times New Roman" w:hAnsi="Times New Roman"/>
              </w:rPr>
              <w:t>13</w:t>
            </w:r>
          </w:p>
        </w:tc>
        <w:tc>
          <w:tcPr>
            <w:tcW w:w="1291" w:type="dxa"/>
            <w:tcBorders>
              <w:top w:val="single" w:color="auto" w:sz="4" w:space="0"/>
              <w:left w:val="single" w:color="auto" w:sz="4" w:space="0"/>
              <w:bottom w:val="single" w:color="auto" w:sz="4" w:space="0"/>
              <w:right w:val="single" w:color="auto" w:sz="4" w:space="0"/>
            </w:tcBorders>
            <w:vAlign w:val="center"/>
          </w:tcPr>
          <w:p>
            <w:pPr>
              <w:pStyle w:val="524"/>
              <w:jc w:val="center"/>
            </w:pPr>
            <w:r>
              <w:rPr>
                <w:rFonts w:hint="eastAsia"/>
              </w:rPr>
              <w:t>1,1-</w:t>
            </w:r>
            <w:r>
              <w:rPr>
                <w:rFonts w:hint="eastAsia" w:ascii="宋体" w:hAnsi="宋体"/>
              </w:rPr>
              <w:t>二氯乙烯</w:t>
            </w:r>
          </w:p>
        </w:tc>
        <w:tc>
          <w:tcPr>
            <w:tcW w:w="6468" w:type="dxa"/>
            <w:tcBorders>
              <w:top w:val="single" w:color="auto" w:sz="4" w:space="0"/>
              <w:left w:val="single" w:color="auto" w:sz="4" w:space="0"/>
              <w:bottom w:val="single" w:color="auto" w:sz="4" w:space="0"/>
              <w:right w:val="nil"/>
            </w:tcBorders>
            <w:vAlign w:val="center"/>
          </w:tcPr>
          <w:p>
            <w:pPr>
              <w:pStyle w:val="524"/>
              <w:jc w:val="center"/>
              <w:rPr>
                <w:rFonts w:ascii="宋体" w:hAnsi="宋体"/>
              </w:rPr>
            </w:pPr>
            <w:r>
              <w:rPr>
                <w:rFonts w:hint="eastAsia"/>
              </w:rPr>
              <w:t xml:space="preserve">HJ 736-2015 </w:t>
            </w:r>
            <w:r>
              <w:rPr>
                <w:rFonts w:hint="eastAsia" w:ascii="宋体" w:hAnsi="宋体"/>
              </w:rPr>
              <w:t>土壤和沉积物 挥发性卤代烃的测定 顶空</w:t>
            </w:r>
          </w:p>
          <w:p>
            <w:pPr>
              <w:pStyle w:val="524"/>
              <w:jc w:val="center"/>
            </w:pPr>
            <w:r>
              <w:rPr>
                <w:rFonts w:hint="eastAsia" w:ascii="宋体" w:hAnsi="宋体"/>
              </w:rPr>
              <w:t>气相色谱</w:t>
            </w:r>
            <w:r>
              <w:rPr>
                <w:rFonts w:hint="eastAsia"/>
              </w:rPr>
              <w:t>-</w:t>
            </w:r>
            <w:r>
              <w:rPr>
                <w:rFonts w:hint="eastAsia" w:ascii="宋体" w:hAnsi="宋体"/>
              </w:rPr>
              <w:t>质谱法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7" w:type="dxa"/>
            <w:tcBorders>
              <w:top w:val="single" w:color="auto" w:sz="4" w:space="0"/>
              <w:left w:val="nil"/>
              <w:bottom w:val="single" w:color="auto" w:sz="4" w:space="0"/>
              <w:right w:val="single" w:color="auto" w:sz="4" w:space="0"/>
            </w:tcBorders>
            <w:vAlign w:val="center"/>
          </w:tcPr>
          <w:p>
            <w:pPr>
              <w:jc w:val="center"/>
              <w:rPr>
                <w:rFonts w:ascii="Times New Roman" w:hAnsi="Times New Roman"/>
              </w:rPr>
            </w:pPr>
            <w:r>
              <w:rPr>
                <w:rFonts w:hint="eastAsia" w:ascii="Times New Roman" w:hAnsi="Times New Roman"/>
              </w:rPr>
              <w:t>14</w:t>
            </w:r>
          </w:p>
        </w:tc>
        <w:tc>
          <w:tcPr>
            <w:tcW w:w="1291" w:type="dxa"/>
            <w:tcBorders>
              <w:top w:val="single" w:color="auto" w:sz="4" w:space="0"/>
              <w:left w:val="single" w:color="auto" w:sz="4" w:space="0"/>
              <w:bottom w:val="single" w:color="auto" w:sz="4" w:space="0"/>
              <w:right w:val="single" w:color="auto" w:sz="4" w:space="0"/>
            </w:tcBorders>
            <w:vAlign w:val="center"/>
          </w:tcPr>
          <w:p>
            <w:pPr>
              <w:pStyle w:val="524"/>
              <w:jc w:val="center"/>
            </w:pPr>
            <w:r>
              <w:rPr>
                <w:rFonts w:hint="eastAsia" w:ascii="宋体" w:hAnsi="宋体"/>
              </w:rPr>
              <w:t>顺</w:t>
            </w:r>
            <w:r>
              <w:rPr>
                <w:rFonts w:hint="eastAsia"/>
              </w:rPr>
              <w:t>-1,2-</w:t>
            </w:r>
            <w:r>
              <w:rPr>
                <w:rFonts w:hint="eastAsia" w:ascii="宋体" w:hAnsi="宋体"/>
              </w:rPr>
              <w:t>二氯乙烯</w:t>
            </w:r>
          </w:p>
        </w:tc>
        <w:tc>
          <w:tcPr>
            <w:tcW w:w="6468" w:type="dxa"/>
            <w:tcBorders>
              <w:top w:val="single" w:color="auto" w:sz="4" w:space="0"/>
              <w:left w:val="single" w:color="auto" w:sz="4" w:space="0"/>
              <w:bottom w:val="single" w:color="auto" w:sz="4" w:space="0"/>
              <w:right w:val="nil"/>
            </w:tcBorders>
            <w:vAlign w:val="center"/>
          </w:tcPr>
          <w:p>
            <w:pPr>
              <w:pStyle w:val="524"/>
              <w:jc w:val="center"/>
              <w:rPr>
                <w:rFonts w:ascii="宋体" w:hAnsi="宋体"/>
              </w:rPr>
            </w:pPr>
            <w:r>
              <w:rPr>
                <w:rFonts w:hint="eastAsia"/>
              </w:rPr>
              <w:t xml:space="preserve">HJ 736-2015 </w:t>
            </w:r>
            <w:r>
              <w:rPr>
                <w:rFonts w:hint="eastAsia" w:ascii="宋体" w:hAnsi="宋体"/>
              </w:rPr>
              <w:t>土壤和沉积物 挥发性卤代烃的测定 顶空</w:t>
            </w:r>
          </w:p>
          <w:p>
            <w:pPr>
              <w:pStyle w:val="524"/>
              <w:jc w:val="center"/>
            </w:pPr>
            <w:r>
              <w:rPr>
                <w:rFonts w:hint="eastAsia" w:ascii="宋体" w:hAnsi="宋体"/>
              </w:rPr>
              <w:t>气相色谱</w:t>
            </w:r>
            <w:r>
              <w:rPr>
                <w:rFonts w:hint="eastAsia"/>
              </w:rPr>
              <w:t>-</w:t>
            </w:r>
            <w:r>
              <w:rPr>
                <w:rFonts w:hint="eastAsia" w:ascii="宋体" w:hAnsi="宋体"/>
              </w:rPr>
              <w:t>质谱法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7" w:type="dxa"/>
            <w:tcBorders>
              <w:top w:val="single" w:color="auto" w:sz="4" w:space="0"/>
              <w:left w:val="nil"/>
              <w:bottom w:val="single" w:color="auto" w:sz="4" w:space="0"/>
              <w:right w:val="single" w:color="auto" w:sz="4" w:space="0"/>
            </w:tcBorders>
            <w:vAlign w:val="center"/>
          </w:tcPr>
          <w:p>
            <w:pPr>
              <w:widowControl/>
              <w:jc w:val="center"/>
              <w:textAlignment w:val="center"/>
              <w:rPr>
                <w:rFonts w:ascii="Times New Roman" w:hAnsi="Times New Roman"/>
              </w:rPr>
            </w:pPr>
            <w:r>
              <w:rPr>
                <w:rFonts w:hint="eastAsia" w:ascii="Times New Roman" w:hAnsi="Times New Roman"/>
              </w:rPr>
              <w:t>15</w:t>
            </w:r>
          </w:p>
        </w:tc>
        <w:tc>
          <w:tcPr>
            <w:tcW w:w="1291" w:type="dxa"/>
            <w:tcBorders>
              <w:top w:val="single" w:color="auto" w:sz="4" w:space="0"/>
              <w:left w:val="single" w:color="auto" w:sz="4" w:space="0"/>
              <w:bottom w:val="single" w:color="auto" w:sz="4" w:space="0"/>
              <w:right w:val="single" w:color="auto" w:sz="4" w:space="0"/>
            </w:tcBorders>
            <w:vAlign w:val="center"/>
          </w:tcPr>
          <w:p>
            <w:pPr>
              <w:pStyle w:val="524"/>
              <w:jc w:val="center"/>
            </w:pPr>
            <w:r>
              <w:rPr>
                <w:rFonts w:hint="eastAsia" w:ascii="宋体" w:hAnsi="宋体"/>
              </w:rPr>
              <w:t>反</w:t>
            </w:r>
            <w:r>
              <w:rPr>
                <w:rFonts w:hint="eastAsia"/>
              </w:rPr>
              <w:t>-1,2-</w:t>
            </w:r>
            <w:r>
              <w:rPr>
                <w:rFonts w:hint="eastAsia" w:ascii="宋体" w:hAnsi="宋体"/>
              </w:rPr>
              <w:t>二氯乙烯</w:t>
            </w:r>
          </w:p>
        </w:tc>
        <w:tc>
          <w:tcPr>
            <w:tcW w:w="6468" w:type="dxa"/>
            <w:tcBorders>
              <w:top w:val="single" w:color="auto" w:sz="4" w:space="0"/>
              <w:left w:val="single" w:color="auto" w:sz="4" w:space="0"/>
              <w:bottom w:val="single" w:color="auto" w:sz="4" w:space="0"/>
              <w:right w:val="nil"/>
            </w:tcBorders>
            <w:vAlign w:val="center"/>
          </w:tcPr>
          <w:p>
            <w:pPr>
              <w:pStyle w:val="524"/>
              <w:jc w:val="center"/>
              <w:rPr>
                <w:rFonts w:ascii="宋体" w:hAnsi="宋体"/>
              </w:rPr>
            </w:pPr>
            <w:r>
              <w:rPr>
                <w:rFonts w:hint="eastAsia"/>
              </w:rPr>
              <w:t xml:space="preserve">HJ 736-2015 </w:t>
            </w:r>
            <w:r>
              <w:rPr>
                <w:rFonts w:hint="eastAsia" w:ascii="宋体" w:hAnsi="宋体"/>
              </w:rPr>
              <w:t>土壤和沉积物 挥发性卤代烃的测定 顶空</w:t>
            </w:r>
          </w:p>
          <w:p>
            <w:pPr>
              <w:pStyle w:val="524"/>
              <w:jc w:val="center"/>
            </w:pPr>
            <w:r>
              <w:rPr>
                <w:rFonts w:hint="eastAsia" w:ascii="宋体" w:hAnsi="宋体"/>
              </w:rPr>
              <w:t>气相色谱</w:t>
            </w:r>
            <w:r>
              <w:rPr>
                <w:rFonts w:hint="eastAsia"/>
              </w:rPr>
              <w:t>-</w:t>
            </w:r>
            <w:r>
              <w:rPr>
                <w:rFonts w:hint="eastAsia" w:ascii="宋体" w:hAnsi="宋体"/>
              </w:rPr>
              <w:t>质谱法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7" w:type="dxa"/>
            <w:tcBorders>
              <w:top w:val="single" w:color="auto" w:sz="4" w:space="0"/>
              <w:left w:val="nil"/>
              <w:bottom w:val="single" w:color="auto" w:sz="4" w:space="0"/>
              <w:right w:val="single" w:color="auto" w:sz="4" w:space="0"/>
            </w:tcBorders>
            <w:vAlign w:val="center"/>
          </w:tcPr>
          <w:p>
            <w:pPr>
              <w:widowControl/>
              <w:jc w:val="center"/>
              <w:textAlignment w:val="center"/>
              <w:rPr>
                <w:rFonts w:ascii="Times New Roman" w:hAnsi="Times New Roman"/>
              </w:rPr>
            </w:pPr>
            <w:r>
              <w:rPr>
                <w:rFonts w:hint="eastAsia" w:ascii="Times New Roman" w:hAnsi="Times New Roman"/>
              </w:rPr>
              <w:t>16</w:t>
            </w:r>
          </w:p>
        </w:tc>
        <w:tc>
          <w:tcPr>
            <w:tcW w:w="1291" w:type="dxa"/>
            <w:tcBorders>
              <w:top w:val="single" w:color="auto" w:sz="4" w:space="0"/>
              <w:left w:val="single" w:color="auto" w:sz="4" w:space="0"/>
              <w:bottom w:val="single" w:color="auto" w:sz="4" w:space="0"/>
              <w:right w:val="single" w:color="auto" w:sz="4" w:space="0"/>
            </w:tcBorders>
            <w:vAlign w:val="center"/>
          </w:tcPr>
          <w:p>
            <w:pPr>
              <w:pStyle w:val="524"/>
              <w:jc w:val="center"/>
            </w:pPr>
            <w:r>
              <w:rPr>
                <w:rFonts w:hint="eastAsia" w:ascii="宋体" w:hAnsi="宋体"/>
              </w:rPr>
              <w:t>二氯甲烷</w:t>
            </w:r>
          </w:p>
        </w:tc>
        <w:tc>
          <w:tcPr>
            <w:tcW w:w="6468" w:type="dxa"/>
            <w:tcBorders>
              <w:top w:val="single" w:color="auto" w:sz="4" w:space="0"/>
              <w:left w:val="single" w:color="auto" w:sz="4" w:space="0"/>
              <w:bottom w:val="single" w:color="auto" w:sz="4" w:space="0"/>
              <w:right w:val="nil"/>
            </w:tcBorders>
            <w:vAlign w:val="center"/>
          </w:tcPr>
          <w:p>
            <w:pPr>
              <w:pStyle w:val="524"/>
              <w:jc w:val="center"/>
              <w:rPr>
                <w:rFonts w:ascii="宋体" w:hAnsi="宋体"/>
              </w:rPr>
            </w:pPr>
            <w:r>
              <w:rPr>
                <w:rFonts w:hint="eastAsia"/>
              </w:rPr>
              <w:t xml:space="preserve">HJ 736-2015 </w:t>
            </w:r>
            <w:r>
              <w:rPr>
                <w:rFonts w:hint="eastAsia" w:ascii="宋体" w:hAnsi="宋体"/>
              </w:rPr>
              <w:t>土壤和沉积物 挥发性卤代烃的测定 顶空</w:t>
            </w:r>
          </w:p>
          <w:p>
            <w:pPr>
              <w:pStyle w:val="524"/>
              <w:jc w:val="center"/>
            </w:pPr>
            <w:r>
              <w:rPr>
                <w:rFonts w:hint="eastAsia" w:ascii="宋体" w:hAnsi="宋体"/>
              </w:rPr>
              <w:t>气相色谱</w:t>
            </w:r>
            <w:r>
              <w:rPr>
                <w:rFonts w:hint="eastAsia"/>
              </w:rPr>
              <w:t>-</w:t>
            </w:r>
            <w:r>
              <w:rPr>
                <w:rFonts w:hint="eastAsia" w:ascii="宋体" w:hAnsi="宋体"/>
              </w:rPr>
              <w:t>质谱法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7" w:type="dxa"/>
            <w:tcBorders>
              <w:top w:val="single" w:color="auto" w:sz="4" w:space="0"/>
              <w:left w:val="nil"/>
              <w:bottom w:val="single" w:color="auto" w:sz="4" w:space="0"/>
              <w:right w:val="single" w:color="auto" w:sz="4" w:space="0"/>
            </w:tcBorders>
            <w:vAlign w:val="center"/>
          </w:tcPr>
          <w:p>
            <w:pPr>
              <w:widowControl/>
              <w:jc w:val="center"/>
              <w:textAlignment w:val="center"/>
              <w:rPr>
                <w:rFonts w:ascii="Times New Roman" w:hAnsi="Times New Roman"/>
              </w:rPr>
            </w:pPr>
            <w:r>
              <w:rPr>
                <w:rFonts w:hint="eastAsia" w:ascii="Times New Roman" w:hAnsi="Times New Roman"/>
              </w:rPr>
              <w:t>17</w:t>
            </w:r>
          </w:p>
        </w:tc>
        <w:tc>
          <w:tcPr>
            <w:tcW w:w="1291" w:type="dxa"/>
            <w:tcBorders>
              <w:top w:val="single" w:color="auto" w:sz="4" w:space="0"/>
              <w:left w:val="single" w:color="auto" w:sz="4" w:space="0"/>
              <w:bottom w:val="single" w:color="auto" w:sz="4" w:space="0"/>
              <w:right w:val="single" w:color="auto" w:sz="4" w:space="0"/>
            </w:tcBorders>
            <w:vAlign w:val="center"/>
          </w:tcPr>
          <w:p>
            <w:pPr>
              <w:pStyle w:val="524"/>
              <w:jc w:val="center"/>
            </w:pPr>
            <w:r>
              <w:rPr>
                <w:rFonts w:hint="eastAsia"/>
              </w:rPr>
              <w:t>1,2-</w:t>
            </w:r>
            <w:r>
              <w:rPr>
                <w:rFonts w:hint="eastAsia" w:ascii="宋体" w:hAnsi="宋体"/>
              </w:rPr>
              <w:t>二氯丙烷</w:t>
            </w:r>
          </w:p>
        </w:tc>
        <w:tc>
          <w:tcPr>
            <w:tcW w:w="6468" w:type="dxa"/>
            <w:tcBorders>
              <w:top w:val="single" w:color="auto" w:sz="4" w:space="0"/>
              <w:left w:val="single" w:color="auto" w:sz="4" w:space="0"/>
              <w:bottom w:val="single" w:color="auto" w:sz="4" w:space="0"/>
              <w:right w:val="nil"/>
            </w:tcBorders>
            <w:vAlign w:val="center"/>
          </w:tcPr>
          <w:p>
            <w:pPr>
              <w:pStyle w:val="524"/>
              <w:jc w:val="center"/>
              <w:rPr>
                <w:rFonts w:ascii="宋体" w:hAnsi="宋体"/>
              </w:rPr>
            </w:pPr>
            <w:r>
              <w:rPr>
                <w:rFonts w:hint="eastAsia"/>
              </w:rPr>
              <w:t xml:space="preserve">HJ 736-2015 </w:t>
            </w:r>
            <w:r>
              <w:rPr>
                <w:rFonts w:hint="eastAsia" w:ascii="宋体" w:hAnsi="宋体"/>
              </w:rPr>
              <w:t>土壤和沉积物 挥发性卤代烃的测定 顶空</w:t>
            </w:r>
          </w:p>
          <w:p>
            <w:pPr>
              <w:pStyle w:val="524"/>
              <w:jc w:val="center"/>
            </w:pPr>
            <w:r>
              <w:rPr>
                <w:rFonts w:hint="eastAsia" w:ascii="宋体" w:hAnsi="宋体"/>
              </w:rPr>
              <w:t>气相色谱</w:t>
            </w:r>
            <w:r>
              <w:rPr>
                <w:rFonts w:hint="eastAsia"/>
              </w:rPr>
              <w:t>-</w:t>
            </w:r>
            <w:r>
              <w:rPr>
                <w:rFonts w:hint="eastAsia" w:ascii="宋体" w:hAnsi="宋体"/>
              </w:rPr>
              <w:t>质谱法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7" w:type="dxa"/>
            <w:tcBorders>
              <w:top w:val="single" w:color="auto" w:sz="4" w:space="0"/>
              <w:left w:val="nil"/>
              <w:bottom w:val="single" w:color="auto" w:sz="4" w:space="0"/>
              <w:right w:val="single" w:color="auto" w:sz="4" w:space="0"/>
            </w:tcBorders>
            <w:vAlign w:val="center"/>
          </w:tcPr>
          <w:p>
            <w:pPr>
              <w:widowControl/>
              <w:jc w:val="center"/>
              <w:textAlignment w:val="center"/>
              <w:rPr>
                <w:rFonts w:ascii="Times New Roman" w:hAnsi="Times New Roman"/>
              </w:rPr>
            </w:pPr>
            <w:r>
              <w:rPr>
                <w:rFonts w:hint="eastAsia" w:ascii="Times New Roman" w:hAnsi="Times New Roman"/>
              </w:rPr>
              <w:t>18</w:t>
            </w:r>
          </w:p>
        </w:tc>
        <w:tc>
          <w:tcPr>
            <w:tcW w:w="1291" w:type="dxa"/>
            <w:tcBorders>
              <w:top w:val="single" w:color="auto" w:sz="4" w:space="0"/>
              <w:left w:val="single" w:color="auto" w:sz="4" w:space="0"/>
              <w:bottom w:val="single" w:color="auto" w:sz="4" w:space="0"/>
              <w:right w:val="single" w:color="auto" w:sz="4" w:space="0"/>
            </w:tcBorders>
            <w:vAlign w:val="center"/>
          </w:tcPr>
          <w:p>
            <w:pPr>
              <w:pStyle w:val="524"/>
              <w:jc w:val="center"/>
            </w:pPr>
            <w:r>
              <w:rPr>
                <w:rFonts w:hint="eastAsia"/>
              </w:rPr>
              <w:t>1,1,1,2-</w:t>
            </w:r>
            <w:r>
              <w:rPr>
                <w:rFonts w:hint="eastAsia" w:ascii="宋体" w:hAnsi="宋体"/>
              </w:rPr>
              <w:t>四氯乙烷</w:t>
            </w:r>
          </w:p>
        </w:tc>
        <w:tc>
          <w:tcPr>
            <w:tcW w:w="6468" w:type="dxa"/>
            <w:tcBorders>
              <w:top w:val="single" w:color="auto" w:sz="4" w:space="0"/>
              <w:left w:val="single" w:color="auto" w:sz="4" w:space="0"/>
              <w:bottom w:val="single" w:color="auto" w:sz="4" w:space="0"/>
              <w:right w:val="nil"/>
            </w:tcBorders>
            <w:vAlign w:val="center"/>
          </w:tcPr>
          <w:p>
            <w:pPr>
              <w:pStyle w:val="524"/>
              <w:jc w:val="center"/>
              <w:rPr>
                <w:rFonts w:ascii="宋体" w:hAnsi="宋体"/>
              </w:rPr>
            </w:pPr>
            <w:r>
              <w:rPr>
                <w:rFonts w:hint="eastAsia"/>
              </w:rPr>
              <w:t xml:space="preserve">HJ 736-2015 </w:t>
            </w:r>
            <w:r>
              <w:rPr>
                <w:rFonts w:hint="eastAsia" w:ascii="宋体" w:hAnsi="宋体"/>
              </w:rPr>
              <w:t>土壤和沉积物 挥发性卤代烃的测定 顶空</w:t>
            </w:r>
          </w:p>
          <w:p>
            <w:pPr>
              <w:pStyle w:val="524"/>
              <w:jc w:val="center"/>
            </w:pPr>
            <w:r>
              <w:rPr>
                <w:rFonts w:hint="eastAsia" w:ascii="宋体" w:hAnsi="宋体"/>
              </w:rPr>
              <w:t>气相色谱</w:t>
            </w:r>
            <w:r>
              <w:rPr>
                <w:rFonts w:hint="eastAsia"/>
              </w:rPr>
              <w:t>-</w:t>
            </w:r>
            <w:r>
              <w:rPr>
                <w:rFonts w:hint="eastAsia" w:ascii="宋体" w:hAnsi="宋体"/>
              </w:rPr>
              <w:t>质谱法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7" w:type="dxa"/>
            <w:tcBorders>
              <w:top w:val="single" w:color="auto" w:sz="4" w:space="0"/>
              <w:left w:val="nil"/>
              <w:bottom w:val="single" w:color="auto" w:sz="4" w:space="0"/>
              <w:right w:val="single" w:color="auto" w:sz="4" w:space="0"/>
            </w:tcBorders>
            <w:vAlign w:val="center"/>
          </w:tcPr>
          <w:p>
            <w:pPr>
              <w:widowControl/>
              <w:jc w:val="center"/>
              <w:textAlignment w:val="center"/>
              <w:rPr>
                <w:rFonts w:ascii="Times New Roman" w:hAnsi="Times New Roman"/>
              </w:rPr>
            </w:pPr>
            <w:r>
              <w:rPr>
                <w:rFonts w:hint="eastAsia" w:ascii="Times New Roman" w:hAnsi="Times New Roman"/>
              </w:rPr>
              <w:t>19</w:t>
            </w:r>
          </w:p>
        </w:tc>
        <w:tc>
          <w:tcPr>
            <w:tcW w:w="1291" w:type="dxa"/>
            <w:tcBorders>
              <w:top w:val="single" w:color="auto" w:sz="4" w:space="0"/>
              <w:left w:val="single" w:color="auto" w:sz="4" w:space="0"/>
              <w:bottom w:val="single" w:color="auto" w:sz="4" w:space="0"/>
              <w:right w:val="single" w:color="auto" w:sz="4" w:space="0"/>
            </w:tcBorders>
            <w:vAlign w:val="center"/>
          </w:tcPr>
          <w:p>
            <w:pPr>
              <w:pStyle w:val="524"/>
              <w:jc w:val="center"/>
            </w:pPr>
            <w:r>
              <w:rPr>
                <w:rFonts w:hint="eastAsia"/>
              </w:rPr>
              <w:t>1,1,2,2-</w:t>
            </w:r>
            <w:r>
              <w:rPr>
                <w:rFonts w:hint="eastAsia" w:ascii="宋体" w:hAnsi="宋体"/>
              </w:rPr>
              <w:t>四氯乙烷</w:t>
            </w:r>
          </w:p>
        </w:tc>
        <w:tc>
          <w:tcPr>
            <w:tcW w:w="6468" w:type="dxa"/>
            <w:tcBorders>
              <w:top w:val="single" w:color="auto" w:sz="4" w:space="0"/>
              <w:left w:val="single" w:color="auto" w:sz="4" w:space="0"/>
              <w:bottom w:val="single" w:color="auto" w:sz="4" w:space="0"/>
              <w:right w:val="nil"/>
            </w:tcBorders>
            <w:vAlign w:val="center"/>
          </w:tcPr>
          <w:p>
            <w:pPr>
              <w:pStyle w:val="524"/>
              <w:jc w:val="center"/>
              <w:rPr>
                <w:rFonts w:ascii="宋体" w:hAnsi="宋体"/>
              </w:rPr>
            </w:pPr>
            <w:r>
              <w:rPr>
                <w:rFonts w:hint="eastAsia"/>
              </w:rPr>
              <w:t xml:space="preserve">HJ 736-2015 </w:t>
            </w:r>
            <w:r>
              <w:rPr>
                <w:rFonts w:hint="eastAsia" w:ascii="宋体" w:hAnsi="宋体"/>
              </w:rPr>
              <w:t>土壤和沉积物 挥发性卤代烃的测定 顶空</w:t>
            </w:r>
          </w:p>
          <w:p>
            <w:pPr>
              <w:pStyle w:val="524"/>
              <w:jc w:val="center"/>
            </w:pPr>
            <w:r>
              <w:rPr>
                <w:rFonts w:hint="eastAsia" w:ascii="宋体" w:hAnsi="宋体"/>
              </w:rPr>
              <w:t>气相色谱</w:t>
            </w:r>
            <w:r>
              <w:rPr>
                <w:rFonts w:hint="eastAsia"/>
              </w:rPr>
              <w:t>-</w:t>
            </w:r>
            <w:r>
              <w:rPr>
                <w:rFonts w:hint="eastAsia" w:ascii="宋体" w:hAnsi="宋体"/>
              </w:rPr>
              <w:t>质谱法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7" w:type="dxa"/>
            <w:tcBorders>
              <w:top w:val="single" w:color="auto" w:sz="4" w:space="0"/>
              <w:left w:val="nil"/>
              <w:bottom w:val="single" w:color="auto" w:sz="4" w:space="0"/>
              <w:right w:val="single" w:color="auto" w:sz="4" w:space="0"/>
            </w:tcBorders>
            <w:vAlign w:val="center"/>
          </w:tcPr>
          <w:p>
            <w:pPr>
              <w:widowControl/>
              <w:jc w:val="center"/>
              <w:textAlignment w:val="center"/>
              <w:rPr>
                <w:rFonts w:ascii="Times New Roman" w:hAnsi="Times New Roman"/>
              </w:rPr>
            </w:pPr>
            <w:r>
              <w:rPr>
                <w:rFonts w:hint="eastAsia" w:ascii="Times New Roman" w:hAnsi="Times New Roman"/>
              </w:rPr>
              <w:t>20</w:t>
            </w:r>
          </w:p>
        </w:tc>
        <w:tc>
          <w:tcPr>
            <w:tcW w:w="1291" w:type="dxa"/>
            <w:tcBorders>
              <w:top w:val="single" w:color="auto" w:sz="4" w:space="0"/>
              <w:left w:val="single" w:color="auto" w:sz="4" w:space="0"/>
              <w:bottom w:val="single" w:color="auto" w:sz="4" w:space="0"/>
              <w:right w:val="single" w:color="auto" w:sz="4" w:space="0"/>
            </w:tcBorders>
            <w:vAlign w:val="center"/>
          </w:tcPr>
          <w:p>
            <w:pPr>
              <w:pStyle w:val="524"/>
              <w:jc w:val="center"/>
            </w:pPr>
            <w:r>
              <w:rPr>
                <w:rFonts w:hint="eastAsia" w:ascii="宋体" w:hAnsi="宋体"/>
              </w:rPr>
              <w:t>四氯乙烯</w:t>
            </w:r>
          </w:p>
        </w:tc>
        <w:tc>
          <w:tcPr>
            <w:tcW w:w="6468" w:type="dxa"/>
            <w:tcBorders>
              <w:top w:val="single" w:color="auto" w:sz="4" w:space="0"/>
              <w:left w:val="single" w:color="auto" w:sz="4" w:space="0"/>
              <w:bottom w:val="single" w:color="auto" w:sz="4" w:space="0"/>
              <w:right w:val="nil"/>
            </w:tcBorders>
            <w:vAlign w:val="center"/>
          </w:tcPr>
          <w:p>
            <w:pPr>
              <w:pStyle w:val="524"/>
              <w:jc w:val="center"/>
              <w:rPr>
                <w:rFonts w:ascii="宋体" w:hAnsi="宋体"/>
              </w:rPr>
            </w:pPr>
            <w:r>
              <w:rPr>
                <w:rFonts w:hint="eastAsia"/>
              </w:rPr>
              <w:t xml:space="preserve">HJ 736-2015 </w:t>
            </w:r>
            <w:r>
              <w:rPr>
                <w:rFonts w:hint="eastAsia" w:ascii="宋体" w:hAnsi="宋体"/>
              </w:rPr>
              <w:t>土壤和沉积物 挥发性卤代烃的测定 顶空</w:t>
            </w:r>
          </w:p>
          <w:p>
            <w:pPr>
              <w:pStyle w:val="524"/>
              <w:jc w:val="center"/>
            </w:pPr>
            <w:r>
              <w:rPr>
                <w:rFonts w:hint="eastAsia" w:ascii="宋体" w:hAnsi="宋体"/>
              </w:rPr>
              <w:t>气相色谱</w:t>
            </w:r>
            <w:r>
              <w:rPr>
                <w:rFonts w:hint="eastAsia"/>
              </w:rPr>
              <w:t>-</w:t>
            </w:r>
            <w:r>
              <w:rPr>
                <w:rFonts w:hint="eastAsia" w:ascii="宋体" w:hAnsi="宋体"/>
              </w:rPr>
              <w:t>质谱法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7" w:type="dxa"/>
            <w:tcBorders>
              <w:top w:val="single" w:color="auto" w:sz="4" w:space="0"/>
              <w:left w:val="nil"/>
              <w:bottom w:val="single" w:color="auto" w:sz="4" w:space="0"/>
              <w:right w:val="single" w:color="auto" w:sz="4" w:space="0"/>
            </w:tcBorders>
            <w:vAlign w:val="center"/>
          </w:tcPr>
          <w:p>
            <w:pPr>
              <w:widowControl/>
              <w:jc w:val="center"/>
              <w:textAlignment w:val="center"/>
              <w:rPr>
                <w:rFonts w:ascii="Times New Roman" w:hAnsi="Times New Roman"/>
              </w:rPr>
            </w:pPr>
            <w:r>
              <w:rPr>
                <w:rFonts w:hint="eastAsia" w:ascii="Times New Roman" w:hAnsi="Times New Roman"/>
              </w:rPr>
              <w:t>21</w:t>
            </w:r>
          </w:p>
        </w:tc>
        <w:tc>
          <w:tcPr>
            <w:tcW w:w="1291" w:type="dxa"/>
            <w:tcBorders>
              <w:top w:val="single" w:color="auto" w:sz="4" w:space="0"/>
              <w:left w:val="single" w:color="auto" w:sz="4" w:space="0"/>
              <w:bottom w:val="single" w:color="auto" w:sz="4" w:space="0"/>
              <w:right w:val="single" w:color="auto" w:sz="4" w:space="0"/>
            </w:tcBorders>
            <w:vAlign w:val="center"/>
          </w:tcPr>
          <w:p>
            <w:pPr>
              <w:pStyle w:val="524"/>
              <w:jc w:val="center"/>
            </w:pPr>
            <w:r>
              <w:rPr>
                <w:rFonts w:hint="eastAsia"/>
              </w:rPr>
              <w:t>1,1,1-</w:t>
            </w:r>
            <w:r>
              <w:rPr>
                <w:rFonts w:hint="eastAsia" w:ascii="宋体" w:hAnsi="宋体"/>
              </w:rPr>
              <w:t>三氯乙烷</w:t>
            </w:r>
          </w:p>
        </w:tc>
        <w:tc>
          <w:tcPr>
            <w:tcW w:w="6468" w:type="dxa"/>
            <w:tcBorders>
              <w:top w:val="single" w:color="auto" w:sz="4" w:space="0"/>
              <w:left w:val="single" w:color="auto" w:sz="4" w:space="0"/>
              <w:bottom w:val="single" w:color="auto" w:sz="4" w:space="0"/>
              <w:right w:val="nil"/>
            </w:tcBorders>
            <w:vAlign w:val="center"/>
          </w:tcPr>
          <w:p>
            <w:pPr>
              <w:pStyle w:val="524"/>
              <w:jc w:val="center"/>
              <w:rPr>
                <w:rFonts w:ascii="宋体" w:hAnsi="宋体"/>
              </w:rPr>
            </w:pPr>
            <w:r>
              <w:rPr>
                <w:rFonts w:hint="eastAsia"/>
              </w:rPr>
              <w:t xml:space="preserve">HJ 736-2015 </w:t>
            </w:r>
            <w:r>
              <w:rPr>
                <w:rFonts w:hint="eastAsia" w:ascii="宋体" w:hAnsi="宋体"/>
              </w:rPr>
              <w:t>土壤和沉积物 挥发性卤代烃的测定 顶空</w:t>
            </w:r>
          </w:p>
          <w:p>
            <w:pPr>
              <w:pStyle w:val="524"/>
              <w:jc w:val="center"/>
            </w:pPr>
            <w:r>
              <w:rPr>
                <w:rFonts w:hint="eastAsia" w:ascii="宋体" w:hAnsi="宋体"/>
              </w:rPr>
              <w:t>气相色谱</w:t>
            </w:r>
            <w:r>
              <w:rPr>
                <w:rFonts w:hint="eastAsia"/>
              </w:rPr>
              <w:t>-</w:t>
            </w:r>
            <w:r>
              <w:rPr>
                <w:rFonts w:hint="eastAsia" w:ascii="宋体" w:hAnsi="宋体"/>
              </w:rPr>
              <w:t>质谱法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7" w:type="dxa"/>
            <w:tcBorders>
              <w:top w:val="single" w:color="auto" w:sz="4" w:space="0"/>
              <w:left w:val="nil"/>
              <w:bottom w:val="single" w:color="auto" w:sz="4" w:space="0"/>
              <w:right w:val="single" w:color="auto" w:sz="4" w:space="0"/>
            </w:tcBorders>
            <w:vAlign w:val="center"/>
          </w:tcPr>
          <w:p>
            <w:pPr>
              <w:widowControl/>
              <w:jc w:val="center"/>
              <w:textAlignment w:val="center"/>
              <w:rPr>
                <w:rFonts w:ascii="Times New Roman" w:hAnsi="Times New Roman"/>
              </w:rPr>
            </w:pPr>
            <w:r>
              <w:rPr>
                <w:rFonts w:hint="eastAsia" w:ascii="Times New Roman" w:hAnsi="Times New Roman"/>
              </w:rPr>
              <w:t>22</w:t>
            </w:r>
          </w:p>
        </w:tc>
        <w:tc>
          <w:tcPr>
            <w:tcW w:w="1291" w:type="dxa"/>
            <w:tcBorders>
              <w:top w:val="single" w:color="auto" w:sz="4" w:space="0"/>
              <w:left w:val="single" w:color="auto" w:sz="4" w:space="0"/>
              <w:bottom w:val="single" w:color="auto" w:sz="4" w:space="0"/>
              <w:right w:val="single" w:color="auto" w:sz="4" w:space="0"/>
            </w:tcBorders>
            <w:vAlign w:val="center"/>
          </w:tcPr>
          <w:p>
            <w:pPr>
              <w:pStyle w:val="524"/>
              <w:jc w:val="center"/>
            </w:pPr>
            <w:r>
              <w:rPr>
                <w:rFonts w:hint="eastAsia"/>
              </w:rPr>
              <w:t>1,1,2-</w:t>
            </w:r>
            <w:r>
              <w:rPr>
                <w:rFonts w:hint="eastAsia" w:ascii="宋体" w:hAnsi="宋体"/>
              </w:rPr>
              <w:t>三氯乙烷</w:t>
            </w:r>
          </w:p>
        </w:tc>
        <w:tc>
          <w:tcPr>
            <w:tcW w:w="6468" w:type="dxa"/>
            <w:tcBorders>
              <w:top w:val="single" w:color="auto" w:sz="4" w:space="0"/>
              <w:left w:val="single" w:color="auto" w:sz="4" w:space="0"/>
              <w:bottom w:val="single" w:color="auto" w:sz="4" w:space="0"/>
              <w:right w:val="nil"/>
            </w:tcBorders>
            <w:vAlign w:val="center"/>
          </w:tcPr>
          <w:p>
            <w:pPr>
              <w:pStyle w:val="524"/>
              <w:jc w:val="center"/>
              <w:rPr>
                <w:rFonts w:ascii="宋体" w:hAnsi="宋体"/>
              </w:rPr>
            </w:pPr>
            <w:r>
              <w:rPr>
                <w:rFonts w:hint="eastAsia"/>
              </w:rPr>
              <w:t xml:space="preserve">HJ 736-2015 </w:t>
            </w:r>
            <w:r>
              <w:rPr>
                <w:rFonts w:hint="eastAsia" w:ascii="宋体" w:hAnsi="宋体"/>
              </w:rPr>
              <w:t>土壤和沉积物 挥发性卤代烃的测定 顶空</w:t>
            </w:r>
          </w:p>
          <w:p>
            <w:pPr>
              <w:pStyle w:val="524"/>
              <w:jc w:val="center"/>
            </w:pPr>
            <w:r>
              <w:rPr>
                <w:rFonts w:hint="eastAsia" w:ascii="宋体" w:hAnsi="宋体"/>
              </w:rPr>
              <w:t>气相色谱</w:t>
            </w:r>
            <w:r>
              <w:rPr>
                <w:rFonts w:hint="eastAsia"/>
              </w:rPr>
              <w:t>-</w:t>
            </w:r>
            <w:r>
              <w:rPr>
                <w:rFonts w:hint="eastAsia" w:ascii="宋体" w:hAnsi="宋体"/>
              </w:rPr>
              <w:t>质谱法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7" w:type="dxa"/>
            <w:tcBorders>
              <w:top w:val="single" w:color="auto" w:sz="4" w:space="0"/>
              <w:left w:val="nil"/>
              <w:bottom w:val="single" w:color="auto" w:sz="4" w:space="0"/>
              <w:right w:val="single" w:color="auto" w:sz="4" w:space="0"/>
            </w:tcBorders>
            <w:vAlign w:val="center"/>
          </w:tcPr>
          <w:p>
            <w:pPr>
              <w:widowControl/>
              <w:jc w:val="center"/>
              <w:textAlignment w:val="center"/>
              <w:rPr>
                <w:rFonts w:ascii="Times New Roman" w:hAnsi="Times New Roman"/>
              </w:rPr>
            </w:pPr>
            <w:r>
              <w:rPr>
                <w:rFonts w:hint="eastAsia" w:ascii="Times New Roman" w:hAnsi="Times New Roman"/>
              </w:rPr>
              <w:t>23</w:t>
            </w:r>
          </w:p>
        </w:tc>
        <w:tc>
          <w:tcPr>
            <w:tcW w:w="1291" w:type="dxa"/>
            <w:tcBorders>
              <w:top w:val="single" w:color="auto" w:sz="4" w:space="0"/>
              <w:left w:val="single" w:color="auto" w:sz="4" w:space="0"/>
              <w:bottom w:val="single" w:color="auto" w:sz="4" w:space="0"/>
              <w:right w:val="single" w:color="auto" w:sz="4" w:space="0"/>
            </w:tcBorders>
            <w:vAlign w:val="center"/>
          </w:tcPr>
          <w:p>
            <w:pPr>
              <w:pStyle w:val="524"/>
              <w:jc w:val="center"/>
            </w:pPr>
            <w:r>
              <w:rPr>
                <w:rFonts w:hint="eastAsia" w:ascii="宋体" w:hAnsi="宋体"/>
              </w:rPr>
              <w:t>三氯乙烯</w:t>
            </w:r>
          </w:p>
        </w:tc>
        <w:tc>
          <w:tcPr>
            <w:tcW w:w="6468" w:type="dxa"/>
            <w:tcBorders>
              <w:top w:val="single" w:color="auto" w:sz="4" w:space="0"/>
              <w:left w:val="single" w:color="auto" w:sz="4" w:space="0"/>
              <w:bottom w:val="single" w:color="auto" w:sz="4" w:space="0"/>
              <w:right w:val="nil"/>
            </w:tcBorders>
            <w:vAlign w:val="center"/>
          </w:tcPr>
          <w:p>
            <w:pPr>
              <w:pStyle w:val="524"/>
              <w:jc w:val="center"/>
              <w:rPr>
                <w:rFonts w:ascii="宋体" w:hAnsi="宋体"/>
              </w:rPr>
            </w:pPr>
            <w:r>
              <w:rPr>
                <w:rFonts w:hint="eastAsia"/>
              </w:rPr>
              <w:t xml:space="preserve">HJ 736-2015 </w:t>
            </w:r>
            <w:r>
              <w:rPr>
                <w:rFonts w:hint="eastAsia" w:ascii="宋体" w:hAnsi="宋体"/>
              </w:rPr>
              <w:t>土壤和沉积物 挥发性卤代烃的测定 顶空</w:t>
            </w:r>
          </w:p>
          <w:p>
            <w:pPr>
              <w:pStyle w:val="524"/>
              <w:jc w:val="center"/>
            </w:pPr>
            <w:r>
              <w:rPr>
                <w:rFonts w:hint="eastAsia" w:ascii="宋体" w:hAnsi="宋体"/>
              </w:rPr>
              <w:t>气相色谱</w:t>
            </w:r>
            <w:r>
              <w:rPr>
                <w:rFonts w:hint="eastAsia"/>
              </w:rPr>
              <w:t>-</w:t>
            </w:r>
            <w:r>
              <w:rPr>
                <w:rFonts w:hint="eastAsia" w:ascii="宋体" w:hAnsi="宋体"/>
              </w:rPr>
              <w:t>质谱法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7" w:type="dxa"/>
            <w:tcBorders>
              <w:top w:val="single" w:color="auto" w:sz="4" w:space="0"/>
              <w:left w:val="nil"/>
              <w:bottom w:val="single" w:color="auto" w:sz="4" w:space="0"/>
              <w:right w:val="single" w:color="auto" w:sz="4" w:space="0"/>
            </w:tcBorders>
            <w:vAlign w:val="center"/>
          </w:tcPr>
          <w:p>
            <w:pPr>
              <w:widowControl/>
              <w:jc w:val="center"/>
              <w:textAlignment w:val="center"/>
              <w:rPr>
                <w:rFonts w:ascii="Times New Roman" w:hAnsi="Times New Roman"/>
              </w:rPr>
            </w:pPr>
            <w:r>
              <w:rPr>
                <w:rFonts w:hint="eastAsia" w:ascii="Times New Roman" w:hAnsi="Times New Roman"/>
              </w:rPr>
              <w:t>24</w:t>
            </w:r>
          </w:p>
        </w:tc>
        <w:tc>
          <w:tcPr>
            <w:tcW w:w="1291" w:type="dxa"/>
            <w:tcBorders>
              <w:top w:val="single" w:color="auto" w:sz="4" w:space="0"/>
              <w:left w:val="single" w:color="auto" w:sz="4" w:space="0"/>
              <w:bottom w:val="single" w:color="auto" w:sz="4" w:space="0"/>
              <w:right w:val="single" w:color="auto" w:sz="4" w:space="0"/>
            </w:tcBorders>
            <w:vAlign w:val="center"/>
          </w:tcPr>
          <w:p>
            <w:pPr>
              <w:pStyle w:val="524"/>
              <w:jc w:val="center"/>
            </w:pPr>
            <w:r>
              <w:rPr>
                <w:rFonts w:hint="eastAsia"/>
              </w:rPr>
              <w:t>1,2,3-</w:t>
            </w:r>
            <w:r>
              <w:rPr>
                <w:rFonts w:hint="eastAsia" w:ascii="宋体" w:hAnsi="宋体"/>
              </w:rPr>
              <w:t>三氯丙烷</w:t>
            </w:r>
          </w:p>
        </w:tc>
        <w:tc>
          <w:tcPr>
            <w:tcW w:w="6468" w:type="dxa"/>
            <w:tcBorders>
              <w:top w:val="single" w:color="auto" w:sz="4" w:space="0"/>
              <w:left w:val="single" w:color="auto" w:sz="4" w:space="0"/>
              <w:bottom w:val="single" w:color="auto" w:sz="4" w:space="0"/>
              <w:right w:val="nil"/>
            </w:tcBorders>
            <w:vAlign w:val="center"/>
          </w:tcPr>
          <w:p>
            <w:pPr>
              <w:pStyle w:val="524"/>
              <w:jc w:val="center"/>
              <w:rPr>
                <w:rFonts w:ascii="宋体" w:hAnsi="宋体"/>
              </w:rPr>
            </w:pPr>
            <w:r>
              <w:rPr>
                <w:rFonts w:hint="eastAsia"/>
              </w:rPr>
              <w:t xml:space="preserve">HJ 736-2015 </w:t>
            </w:r>
            <w:r>
              <w:rPr>
                <w:rFonts w:hint="eastAsia" w:ascii="宋体" w:hAnsi="宋体"/>
              </w:rPr>
              <w:t>土壤和沉积物 挥发性卤代烃的测定 顶空</w:t>
            </w:r>
          </w:p>
          <w:p>
            <w:pPr>
              <w:pStyle w:val="524"/>
              <w:jc w:val="center"/>
            </w:pPr>
            <w:r>
              <w:rPr>
                <w:rFonts w:hint="eastAsia" w:ascii="宋体" w:hAnsi="宋体"/>
              </w:rPr>
              <w:t>气相色谱</w:t>
            </w:r>
            <w:r>
              <w:rPr>
                <w:rFonts w:hint="eastAsia"/>
              </w:rPr>
              <w:t>-</w:t>
            </w:r>
            <w:r>
              <w:rPr>
                <w:rFonts w:hint="eastAsia" w:ascii="宋体" w:hAnsi="宋体"/>
              </w:rPr>
              <w:t>质谱法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7" w:type="dxa"/>
            <w:tcBorders>
              <w:top w:val="single" w:color="auto" w:sz="4" w:space="0"/>
              <w:left w:val="nil"/>
              <w:bottom w:val="single" w:color="auto" w:sz="4" w:space="0"/>
              <w:right w:val="single" w:color="auto" w:sz="4" w:space="0"/>
            </w:tcBorders>
            <w:vAlign w:val="center"/>
          </w:tcPr>
          <w:p>
            <w:pPr>
              <w:widowControl/>
              <w:jc w:val="center"/>
              <w:textAlignment w:val="center"/>
              <w:rPr>
                <w:rFonts w:ascii="Times New Roman" w:hAnsi="Times New Roman"/>
              </w:rPr>
            </w:pPr>
            <w:r>
              <w:rPr>
                <w:rFonts w:hint="eastAsia" w:ascii="Times New Roman" w:hAnsi="Times New Roman"/>
              </w:rPr>
              <w:t>25</w:t>
            </w:r>
          </w:p>
        </w:tc>
        <w:tc>
          <w:tcPr>
            <w:tcW w:w="1291" w:type="dxa"/>
            <w:tcBorders>
              <w:top w:val="single" w:color="auto" w:sz="4" w:space="0"/>
              <w:left w:val="single" w:color="auto" w:sz="4" w:space="0"/>
              <w:bottom w:val="single" w:color="auto" w:sz="4" w:space="0"/>
              <w:right w:val="single" w:color="auto" w:sz="4" w:space="0"/>
            </w:tcBorders>
            <w:vAlign w:val="center"/>
          </w:tcPr>
          <w:p>
            <w:pPr>
              <w:pStyle w:val="524"/>
              <w:jc w:val="center"/>
            </w:pPr>
            <w:r>
              <w:rPr>
                <w:rFonts w:hint="eastAsia" w:ascii="宋体" w:hAnsi="宋体"/>
              </w:rPr>
              <w:t>氯乙烯</w:t>
            </w:r>
          </w:p>
        </w:tc>
        <w:tc>
          <w:tcPr>
            <w:tcW w:w="6468" w:type="dxa"/>
            <w:tcBorders>
              <w:top w:val="single" w:color="auto" w:sz="4" w:space="0"/>
              <w:left w:val="single" w:color="auto" w:sz="4" w:space="0"/>
              <w:bottom w:val="single" w:color="auto" w:sz="4" w:space="0"/>
              <w:right w:val="nil"/>
            </w:tcBorders>
            <w:vAlign w:val="center"/>
          </w:tcPr>
          <w:p>
            <w:pPr>
              <w:pStyle w:val="524"/>
              <w:jc w:val="center"/>
              <w:rPr>
                <w:rFonts w:ascii="宋体" w:hAnsi="宋体"/>
              </w:rPr>
            </w:pPr>
            <w:r>
              <w:rPr>
                <w:rFonts w:hint="eastAsia"/>
              </w:rPr>
              <w:t xml:space="preserve">HJ 736-2015 </w:t>
            </w:r>
            <w:r>
              <w:rPr>
                <w:rFonts w:hint="eastAsia" w:ascii="宋体" w:hAnsi="宋体"/>
              </w:rPr>
              <w:t>土壤和沉积物 挥发性卤代烃的测定 顶空</w:t>
            </w:r>
          </w:p>
          <w:p>
            <w:pPr>
              <w:pStyle w:val="524"/>
              <w:jc w:val="center"/>
            </w:pPr>
            <w:r>
              <w:rPr>
                <w:rFonts w:hint="eastAsia" w:ascii="宋体" w:hAnsi="宋体"/>
              </w:rPr>
              <w:t>气相色谱</w:t>
            </w:r>
            <w:r>
              <w:rPr>
                <w:rFonts w:hint="eastAsia"/>
              </w:rPr>
              <w:t>-</w:t>
            </w:r>
            <w:r>
              <w:rPr>
                <w:rFonts w:hint="eastAsia" w:ascii="宋体" w:hAnsi="宋体"/>
              </w:rPr>
              <w:t>质谱法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7" w:type="dxa"/>
            <w:tcBorders>
              <w:top w:val="single" w:color="auto" w:sz="4" w:space="0"/>
              <w:left w:val="nil"/>
              <w:bottom w:val="single" w:color="auto" w:sz="4" w:space="0"/>
              <w:right w:val="single" w:color="auto" w:sz="4" w:space="0"/>
            </w:tcBorders>
            <w:vAlign w:val="center"/>
          </w:tcPr>
          <w:p>
            <w:pPr>
              <w:widowControl/>
              <w:jc w:val="center"/>
              <w:textAlignment w:val="center"/>
              <w:rPr>
                <w:rFonts w:ascii="Times New Roman" w:hAnsi="Times New Roman"/>
              </w:rPr>
            </w:pPr>
            <w:r>
              <w:rPr>
                <w:rFonts w:hint="eastAsia" w:ascii="Times New Roman" w:hAnsi="Times New Roman"/>
              </w:rPr>
              <w:t>26</w:t>
            </w:r>
          </w:p>
        </w:tc>
        <w:tc>
          <w:tcPr>
            <w:tcW w:w="1291" w:type="dxa"/>
            <w:tcBorders>
              <w:top w:val="single" w:color="auto" w:sz="4" w:space="0"/>
              <w:left w:val="single" w:color="auto" w:sz="4" w:space="0"/>
              <w:bottom w:val="single" w:color="auto" w:sz="4" w:space="0"/>
              <w:right w:val="single" w:color="auto" w:sz="4" w:space="0"/>
            </w:tcBorders>
            <w:vAlign w:val="center"/>
          </w:tcPr>
          <w:p>
            <w:pPr>
              <w:pStyle w:val="524"/>
              <w:jc w:val="center"/>
            </w:pPr>
            <w:r>
              <w:rPr>
                <w:rFonts w:hint="eastAsia" w:ascii="宋体" w:hAnsi="宋体"/>
              </w:rPr>
              <w:t>苯</w:t>
            </w:r>
          </w:p>
        </w:tc>
        <w:tc>
          <w:tcPr>
            <w:tcW w:w="6468" w:type="dxa"/>
            <w:tcBorders>
              <w:top w:val="single" w:color="auto" w:sz="4" w:space="0"/>
              <w:left w:val="single" w:color="auto" w:sz="4" w:space="0"/>
              <w:bottom w:val="single" w:color="auto" w:sz="4" w:space="0"/>
              <w:right w:val="nil"/>
            </w:tcBorders>
            <w:vAlign w:val="center"/>
          </w:tcPr>
          <w:p>
            <w:pPr>
              <w:pStyle w:val="524"/>
              <w:jc w:val="center"/>
            </w:pPr>
            <w:r>
              <w:rPr>
                <w:rFonts w:hint="eastAsia"/>
              </w:rPr>
              <w:t>HJ742-2015</w:t>
            </w:r>
            <w:r>
              <w:rPr>
                <w:rFonts w:hint="eastAsia" w:ascii="宋体" w:hAnsi="宋体"/>
              </w:rPr>
              <w:t>土壤和沉积物挥发性芳香烃的测定顶空气相色谱法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7" w:type="dxa"/>
            <w:tcBorders>
              <w:top w:val="single" w:color="auto" w:sz="4" w:space="0"/>
              <w:left w:val="nil"/>
              <w:bottom w:val="single" w:color="auto" w:sz="4" w:space="0"/>
              <w:right w:val="single" w:color="auto" w:sz="4" w:space="0"/>
            </w:tcBorders>
            <w:vAlign w:val="center"/>
          </w:tcPr>
          <w:p>
            <w:pPr>
              <w:widowControl/>
              <w:jc w:val="center"/>
              <w:textAlignment w:val="center"/>
              <w:rPr>
                <w:rFonts w:ascii="Times New Roman" w:hAnsi="Times New Roman"/>
              </w:rPr>
            </w:pPr>
            <w:r>
              <w:rPr>
                <w:rFonts w:hint="eastAsia" w:ascii="Times New Roman" w:hAnsi="Times New Roman"/>
              </w:rPr>
              <w:t>27</w:t>
            </w:r>
          </w:p>
        </w:tc>
        <w:tc>
          <w:tcPr>
            <w:tcW w:w="1291" w:type="dxa"/>
            <w:tcBorders>
              <w:top w:val="single" w:color="auto" w:sz="4" w:space="0"/>
              <w:left w:val="single" w:color="auto" w:sz="4" w:space="0"/>
              <w:bottom w:val="single" w:color="auto" w:sz="4" w:space="0"/>
              <w:right w:val="single" w:color="auto" w:sz="4" w:space="0"/>
            </w:tcBorders>
            <w:vAlign w:val="center"/>
          </w:tcPr>
          <w:p>
            <w:pPr>
              <w:pStyle w:val="524"/>
              <w:jc w:val="center"/>
            </w:pPr>
            <w:r>
              <w:rPr>
                <w:rFonts w:hint="eastAsia" w:ascii="宋体" w:hAnsi="宋体"/>
              </w:rPr>
              <w:t>氯苯</w:t>
            </w:r>
          </w:p>
        </w:tc>
        <w:tc>
          <w:tcPr>
            <w:tcW w:w="6468" w:type="dxa"/>
            <w:tcBorders>
              <w:top w:val="single" w:color="auto" w:sz="4" w:space="0"/>
              <w:left w:val="single" w:color="auto" w:sz="4" w:space="0"/>
              <w:bottom w:val="single" w:color="auto" w:sz="4" w:space="0"/>
              <w:right w:val="nil"/>
            </w:tcBorders>
            <w:vAlign w:val="center"/>
          </w:tcPr>
          <w:p>
            <w:pPr>
              <w:pStyle w:val="524"/>
              <w:jc w:val="center"/>
            </w:pPr>
            <w:r>
              <w:rPr>
                <w:rFonts w:hint="eastAsia"/>
              </w:rPr>
              <w:t>HJ742-2015</w:t>
            </w:r>
            <w:r>
              <w:rPr>
                <w:rFonts w:hint="eastAsia" w:ascii="宋体" w:hAnsi="宋体"/>
              </w:rPr>
              <w:t>土壤和沉积物挥发性芳香烃的测定顶空气相色谱法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7" w:type="dxa"/>
            <w:tcBorders>
              <w:top w:val="single" w:color="auto" w:sz="4" w:space="0"/>
              <w:left w:val="nil"/>
              <w:bottom w:val="single" w:color="auto" w:sz="4" w:space="0"/>
              <w:right w:val="single" w:color="auto" w:sz="4" w:space="0"/>
            </w:tcBorders>
            <w:vAlign w:val="center"/>
          </w:tcPr>
          <w:p>
            <w:pPr>
              <w:widowControl/>
              <w:jc w:val="center"/>
              <w:textAlignment w:val="center"/>
              <w:rPr>
                <w:rFonts w:ascii="Times New Roman" w:hAnsi="Times New Roman"/>
              </w:rPr>
            </w:pPr>
            <w:r>
              <w:rPr>
                <w:rFonts w:hint="eastAsia" w:ascii="Times New Roman" w:hAnsi="Times New Roman"/>
              </w:rPr>
              <w:t>28</w:t>
            </w:r>
          </w:p>
        </w:tc>
        <w:tc>
          <w:tcPr>
            <w:tcW w:w="1291" w:type="dxa"/>
            <w:tcBorders>
              <w:top w:val="single" w:color="auto" w:sz="4" w:space="0"/>
              <w:left w:val="single" w:color="auto" w:sz="4" w:space="0"/>
              <w:bottom w:val="single" w:color="auto" w:sz="4" w:space="0"/>
              <w:right w:val="single" w:color="auto" w:sz="4" w:space="0"/>
            </w:tcBorders>
            <w:vAlign w:val="center"/>
          </w:tcPr>
          <w:p>
            <w:pPr>
              <w:pStyle w:val="524"/>
              <w:jc w:val="center"/>
            </w:pPr>
            <w:r>
              <w:rPr>
                <w:rFonts w:hint="eastAsia"/>
              </w:rPr>
              <w:t>1,2-</w:t>
            </w:r>
            <w:r>
              <w:rPr>
                <w:rFonts w:hint="eastAsia" w:ascii="宋体" w:hAnsi="宋体"/>
              </w:rPr>
              <w:t>二氯苯</w:t>
            </w:r>
          </w:p>
        </w:tc>
        <w:tc>
          <w:tcPr>
            <w:tcW w:w="6468" w:type="dxa"/>
            <w:tcBorders>
              <w:top w:val="single" w:color="auto" w:sz="4" w:space="0"/>
              <w:left w:val="single" w:color="auto" w:sz="4" w:space="0"/>
              <w:bottom w:val="single" w:color="auto" w:sz="4" w:space="0"/>
              <w:right w:val="nil"/>
            </w:tcBorders>
            <w:vAlign w:val="center"/>
          </w:tcPr>
          <w:p>
            <w:pPr>
              <w:pStyle w:val="524"/>
              <w:jc w:val="center"/>
            </w:pPr>
            <w:r>
              <w:rPr>
                <w:rFonts w:hint="eastAsia"/>
              </w:rPr>
              <w:t>HJ742-2015</w:t>
            </w:r>
            <w:r>
              <w:rPr>
                <w:rFonts w:hint="eastAsia" w:ascii="宋体" w:hAnsi="宋体"/>
              </w:rPr>
              <w:t>土壤和沉积物挥发性芳香烃的测定顶空气相色谱法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7" w:type="dxa"/>
            <w:tcBorders>
              <w:top w:val="single" w:color="auto" w:sz="4" w:space="0"/>
              <w:left w:val="nil"/>
              <w:bottom w:val="single" w:color="auto" w:sz="4" w:space="0"/>
              <w:right w:val="single" w:color="auto" w:sz="4" w:space="0"/>
            </w:tcBorders>
            <w:vAlign w:val="center"/>
          </w:tcPr>
          <w:p>
            <w:pPr>
              <w:widowControl/>
              <w:jc w:val="center"/>
              <w:textAlignment w:val="center"/>
              <w:rPr>
                <w:rFonts w:ascii="Times New Roman" w:hAnsi="Times New Roman"/>
              </w:rPr>
            </w:pPr>
            <w:r>
              <w:rPr>
                <w:rFonts w:hint="eastAsia" w:ascii="Times New Roman" w:hAnsi="Times New Roman"/>
              </w:rPr>
              <w:t>29</w:t>
            </w:r>
          </w:p>
        </w:tc>
        <w:tc>
          <w:tcPr>
            <w:tcW w:w="1291" w:type="dxa"/>
            <w:tcBorders>
              <w:top w:val="single" w:color="auto" w:sz="4" w:space="0"/>
              <w:left w:val="single" w:color="auto" w:sz="4" w:space="0"/>
              <w:bottom w:val="single" w:color="auto" w:sz="4" w:space="0"/>
              <w:right w:val="single" w:color="auto" w:sz="4" w:space="0"/>
            </w:tcBorders>
            <w:vAlign w:val="center"/>
          </w:tcPr>
          <w:p>
            <w:pPr>
              <w:pStyle w:val="524"/>
              <w:jc w:val="center"/>
            </w:pPr>
            <w:r>
              <w:rPr>
                <w:rFonts w:hint="eastAsia"/>
              </w:rPr>
              <w:t>1,4-</w:t>
            </w:r>
            <w:r>
              <w:rPr>
                <w:rFonts w:hint="eastAsia" w:ascii="宋体" w:hAnsi="宋体"/>
              </w:rPr>
              <w:t>二氯苯</w:t>
            </w:r>
          </w:p>
        </w:tc>
        <w:tc>
          <w:tcPr>
            <w:tcW w:w="6468" w:type="dxa"/>
            <w:tcBorders>
              <w:top w:val="single" w:color="auto" w:sz="4" w:space="0"/>
              <w:left w:val="single" w:color="auto" w:sz="4" w:space="0"/>
              <w:bottom w:val="single" w:color="auto" w:sz="4" w:space="0"/>
              <w:right w:val="nil"/>
            </w:tcBorders>
            <w:vAlign w:val="center"/>
          </w:tcPr>
          <w:p>
            <w:pPr>
              <w:pStyle w:val="524"/>
              <w:jc w:val="center"/>
            </w:pPr>
            <w:r>
              <w:rPr>
                <w:rFonts w:hint="eastAsia"/>
              </w:rPr>
              <w:t>HJ742-2015</w:t>
            </w:r>
            <w:r>
              <w:rPr>
                <w:rFonts w:hint="eastAsia" w:ascii="宋体" w:hAnsi="宋体"/>
              </w:rPr>
              <w:t>土壤和沉积物挥发性芳香烃的测定顶空气相色谱法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7" w:type="dxa"/>
            <w:tcBorders>
              <w:top w:val="single" w:color="auto" w:sz="4" w:space="0"/>
              <w:left w:val="nil"/>
              <w:bottom w:val="single" w:color="auto" w:sz="4" w:space="0"/>
              <w:right w:val="single" w:color="auto" w:sz="4" w:space="0"/>
            </w:tcBorders>
            <w:vAlign w:val="center"/>
          </w:tcPr>
          <w:p>
            <w:pPr>
              <w:widowControl/>
              <w:jc w:val="center"/>
              <w:textAlignment w:val="center"/>
              <w:rPr>
                <w:rFonts w:ascii="Times New Roman" w:hAnsi="Times New Roman"/>
              </w:rPr>
            </w:pPr>
            <w:r>
              <w:rPr>
                <w:rFonts w:hint="eastAsia" w:ascii="Times New Roman" w:hAnsi="Times New Roman"/>
              </w:rPr>
              <w:t>30</w:t>
            </w:r>
          </w:p>
        </w:tc>
        <w:tc>
          <w:tcPr>
            <w:tcW w:w="1291" w:type="dxa"/>
            <w:tcBorders>
              <w:top w:val="single" w:color="auto" w:sz="4" w:space="0"/>
              <w:left w:val="single" w:color="auto" w:sz="4" w:space="0"/>
              <w:bottom w:val="single" w:color="auto" w:sz="4" w:space="0"/>
              <w:right w:val="single" w:color="auto" w:sz="4" w:space="0"/>
            </w:tcBorders>
            <w:vAlign w:val="center"/>
          </w:tcPr>
          <w:p>
            <w:pPr>
              <w:pStyle w:val="524"/>
              <w:jc w:val="center"/>
            </w:pPr>
            <w:r>
              <w:rPr>
                <w:rFonts w:hint="eastAsia" w:ascii="宋体" w:hAnsi="宋体"/>
              </w:rPr>
              <w:t>乙苯</w:t>
            </w:r>
          </w:p>
        </w:tc>
        <w:tc>
          <w:tcPr>
            <w:tcW w:w="6468" w:type="dxa"/>
            <w:tcBorders>
              <w:top w:val="single" w:color="auto" w:sz="4" w:space="0"/>
              <w:left w:val="single" w:color="auto" w:sz="4" w:space="0"/>
              <w:bottom w:val="single" w:color="auto" w:sz="4" w:space="0"/>
              <w:right w:val="nil"/>
            </w:tcBorders>
            <w:vAlign w:val="center"/>
          </w:tcPr>
          <w:p>
            <w:pPr>
              <w:pStyle w:val="524"/>
              <w:jc w:val="center"/>
            </w:pPr>
            <w:r>
              <w:rPr>
                <w:rFonts w:hint="eastAsia"/>
              </w:rPr>
              <w:t>HJ742-2015</w:t>
            </w:r>
            <w:r>
              <w:rPr>
                <w:rFonts w:hint="eastAsia" w:ascii="宋体" w:hAnsi="宋体"/>
              </w:rPr>
              <w:t>土壤和沉积物挥发性芳香烃的测定顶空气相色谱法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7" w:type="dxa"/>
            <w:tcBorders>
              <w:top w:val="single" w:color="auto" w:sz="4" w:space="0"/>
              <w:left w:val="nil"/>
              <w:bottom w:val="single" w:color="auto" w:sz="4" w:space="0"/>
              <w:right w:val="single" w:color="auto" w:sz="4" w:space="0"/>
            </w:tcBorders>
            <w:vAlign w:val="center"/>
          </w:tcPr>
          <w:p>
            <w:pPr>
              <w:widowControl/>
              <w:jc w:val="center"/>
              <w:textAlignment w:val="center"/>
              <w:rPr>
                <w:rFonts w:ascii="Times New Roman" w:hAnsi="Times New Roman"/>
              </w:rPr>
            </w:pPr>
            <w:r>
              <w:rPr>
                <w:rFonts w:hint="eastAsia" w:ascii="Times New Roman" w:hAnsi="Times New Roman"/>
              </w:rPr>
              <w:t>31</w:t>
            </w:r>
          </w:p>
        </w:tc>
        <w:tc>
          <w:tcPr>
            <w:tcW w:w="1291" w:type="dxa"/>
            <w:tcBorders>
              <w:top w:val="single" w:color="auto" w:sz="4" w:space="0"/>
              <w:left w:val="single" w:color="auto" w:sz="4" w:space="0"/>
              <w:bottom w:val="single" w:color="auto" w:sz="4" w:space="0"/>
              <w:right w:val="single" w:color="auto" w:sz="4" w:space="0"/>
            </w:tcBorders>
            <w:vAlign w:val="center"/>
          </w:tcPr>
          <w:p>
            <w:pPr>
              <w:pStyle w:val="524"/>
              <w:jc w:val="center"/>
            </w:pPr>
            <w:r>
              <w:rPr>
                <w:rFonts w:hint="eastAsia" w:ascii="宋体" w:hAnsi="宋体"/>
              </w:rPr>
              <w:t>苯乙烯</w:t>
            </w:r>
          </w:p>
        </w:tc>
        <w:tc>
          <w:tcPr>
            <w:tcW w:w="6468" w:type="dxa"/>
            <w:tcBorders>
              <w:top w:val="single" w:color="auto" w:sz="4" w:space="0"/>
              <w:left w:val="single" w:color="auto" w:sz="4" w:space="0"/>
              <w:bottom w:val="single" w:color="auto" w:sz="4" w:space="0"/>
              <w:right w:val="nil"/>
            </w:tcBorders>
            <w:vAlign w:val="center"/>
          </w:tcPr>
          <w:p>
            <w:pPr>
              <w:pStyle w:val="524"/>
              <w:jc w:val="center"/>
            </w:pPr>
            <w:r>
              <w:rPr>
                <w:rFonts w:hint="eastAsia"/>
              </w:rPr>
              <w:t>HJ742-2015</w:t>
            </w:r>
            <w:r>
              <w:rPr>
                <w:rFonts w:hint="eastAsia" w:ascii="宋体" w:hAnsi="宋体"/>
              </w:rPr>
              <w:t>土壤和沉积物挥发性芳香烃的测定顶空气相色谱法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7" w:type="dxa"/>
            <w:tcBorders>
              <w:top w:val="single" w:color="auto" w:sz="4" w:space="0"/>
              <w:left w:val="nil"/>
              <w:bottom w:val="single" w:color="auto" w:sz="4" w:space="0"/>
              <w:right w:val="single" w:color="auto" w:sz="4" w:space="0"/>
            </w:tcBorders>
            <w:vAlign w:val="center"/>
          </w:tcPr>
          <w:p>
            <w:pPr>
              <w:widowControl/>
              <w:jc w:val="center"/>
              <w:textAlignment w:val="center"/>
              <w:rPr>
                <w:rFonts w:ascii="Times New Roman" w:hAnsi="Times New Roman"/>
              </w:rPr>
            </w:pPr>
            <w:r>
              <w:rPr>
                <w:rFonts w:hint="eastAsia" w:ascii="Times New Roman" w:hAnsi="Times New Roman"/>
              </w:rPr>
              <w:t>32</w:t>
            </w:r>
          </w:p>
        </w:tc>
        <w:tc>
          <w:tcPr>
            <w:tcW w:w="1291" w:type="dxa"/>
            <w:tcBorders>
              <w:top w:val="single" w:color="auto" w:sz="4" w:space="0"/>
              <w:left w:val="single" w:color="auto" w:sz="4" w:space="0"/>
              <w:bottom w:val="single" w:color="auto" w:sz="4" w:space="0"/>
              <w:right w:val="single" w:color="auto" w:sz="4" w:space="0"/>
            </w:tcBorders>
            <w:vAlign w:val="center"/>
          </w:tcPr>
          <w:p>
            <w:pPr>
              <w:pStyle w:val="524"/>
              <w:jc w:val="center"/>
            </w:pPr>
            <w:r>
              <w:rPr>
                <w:rFonts w:hint="eastAsia" w:ascii="宋体" w:hAnsi="宋体"/>
              </w:rPr>
              <w:t>甲苯</w:t>
            </w:r>
          </w:p>
        </w:tc>
        <w:tc>
          <w:tcPr>
            <w:tcW w:w="6468" w:type="dxa"/>
            <w:tcBorders>
              <w:top w:val="single" w:color="auto" w:sz="4" w:space="0"/>
              <w:left w:val="single" w:color="auto" w:sz="4" w:space="0"/>
              <w:bottom w:val="single" w:color="auto" w:sz="4" w:space="0"/>
              <w:right w:val="nil"/>
            </w:tcBorders>
            <w:vAlign w:val="center"/>
          </w:tcPr>
          <w:p>
            <w:pPr>
              <w:pStyle w:val="524"/>
              <w:jc w:val="center"/>
            </w:pPr>
            <w:r>
              <w:rPr>
                <w:rFonts w:hint="eastAsia"/>
              </w:rPr>
              <w:t>HJ742-2015</w:t>
            </w:r>
            <w:r>
              <w:rPr>
                <w:rFonts w:hint="eastAsia" w:ascii="宋体" w:hAnsi="宋体"/>
              </w:rPr>
              <w:t>土壤和沉积物挥发性芳香烃的测定顶空气相色谱法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7" w:type="dxa"/>
            <w:tcBorders>
              <w:top w:val="single" w:color="auto" w:sz="4" w:space="0"/>
              <w:left w:val="nil"/>
              <w:bottom w:val="single" w:color="auto" w:sz="4" w:space="0"/>
              <w:right w:val="single" w:color="auto" w:sz="4" w:space="0"/>
            </w:tcBorders>
            <w:vAlign w:val="center"/>
          </w:tcPr>
          <w:p>
            <w:pPr>
              <w:widowControl/>
              <w:jc w:val="center"/>
              <w:textAlignment w:val="center"/>
              <w:rPr>
                <w:rFonts w:ascii="Times New Roman" w:hAnsi="Times New Roman"/>
              </w:rPr>
            </w:pPr>
            <w:r>
              <w:rPr>
                <w:rFonts w:hint="eastAsia" w:ascii="Times New Roman" w:hAnsi="Times New Roman"/>
              </w:rPr>
              <w:t>33</w:t>
            </w:r>
          </w:p>
        </w:tc>
        <w:tc>
          <w:tcPr>
            <w:tcW w:w="1291" w:type="dxa"/>
            <w:tcBorders>
              <w:top w:val="single" w:color="auto" w:sz="4" w:space="0"/>
              <w:left w:val="single" w:color="auto" w:sz="4" w:space="0"/>
              <w:bottom w:val="single" w:color="auto" w:sz="4" w:space="0"/>
              <w:right w:val="single" w:color="auto" w:sz="4" w:space="0"/>
            </w:tcBorders>
            <w:vAlign w:val="center"/>
          </w:tcPr>
          <w:p>
            <w:pPr>
              <w:pStyle w:val="524"/>
              <w:jc w:val="center"/>
            </w:pPr>
            <w:r>
              <w:rPr>
                <w:rFonts w:hint="eastAsia" w:ascii="宋体" w:hAnsi="宋体"/>
              </w:rPr>
              <w:t>间二甲苯</w:t>
            </w:r>
            <w:r>
              <w:rPr>
                <w:rFonts w:hint="eastAsia"/>
              </w:rPr>
              <w:t>+</w:t>
            </w:r>
            <w:r>
              <w:rPr>
                <w:rFonts w:hint="eastAsia" w:ascii="宋体" w:hAnsi="宋体"/>
              </w:rPr>
              <w:t>对二甲苯</w:t>
            </w:r>
          </w:p>
        </w:tc>
        <w:tc>
          <w:tcPr>
            <w:tcW w:w="6468" w:type="dxa"/>
            <w:tcBorders>
              <w:top w:val="single" w:color="auto" w:sz="4" w:space="0"/>
              <w:left w:val="single" w:color="auto" w:sz="4" w:space="0"/>
              <w:bottom w:val="single" w:color="auto" w:sz="4" w:space="0"/>
              <w:right w:val="nil"/>
            </w:tcBorders>
            <w:vAlign w:val="center"/>
          </w:tcPr>
          <w:p>
            <w:pPr>
              <w:pStyle w:val="524"/>
              <w:jc w:val="center"/>
            </w:pPr>
            <w:r>
              <w:rPr>
                <w:rFonts w:hint="eastAsia"/>
              </w:rPr>
              <w:t>HJ742-2015</w:t>
            </w:r>
            <w:r>
              <w:rPr>
                <w:rFonts w:hint="eastAsia" w:ascii="宋体" w:hAnsi="宋体"/>
              </w:rPr>
              <w:t>土壤和沉积物挥发性芳香烃的测定顶空气相色谱法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7" w:type="dxa"/>
            <w:tcBorders>
              <w:top w:val="single" w:color="auto" w:sz="4" w:space="0"/>
              <w:left w:val="nil"/>
              <w:bottom w:val="single" w:color="auto" w:sz="4" w:space="0"/>
              <w:right w:val="single" w:color="auto" w:sz="4" w:space="0"/>
            </w:tcBorders>
            <w:vAlign w:val="center"/>
          </w:tcPr>
          <w:p>
            <w:pPr>
              <w:widowControl/>
              <w:jc w:val="center"/>
              <w:textAlignment w:val="center"/>
              <w:rPr>
                <w:rFonts w:ascii="Times New Roman" w:hAnsi="Times New Roman"/>
              </w:rPr>
            </w:pPr>
            <w:r>
              <w:rPr>
                <w:rFonts w:hint="eastAsia" w:ascii="Times New Roman" w:hAnsi="Times New Roman"/>
              </w:rPr>
              <w:t>34</w:t>
            </w:r>
          </w:p>
        </w:tc>
        <w:tc>
          <w:tcPr>
            <w:tcW w:w="1291" w:type="dxa"/>
            <w:tcBorders>
              <w:top w:val="single" w:color="auto" w:sz="4" w:space="0"/>
              <w:left w:val="single" w:color="auto" w:sz="4" w:space="0"/>
              <w:bottom w:val="single" w:color="auto" w:sz="4" w:space="0"/>
              <w:right w:val="single" w:color="auto" w:sz="4" w:space="0"/>
            </w:tcBorders>
            <w:vAlign w:val="center"/>
          </w:tcPr>
          <w:p>
            <w:pPr>
              <w:pStyle w:val="524"/>
              <w:jc w:val="center"/>
            </w:pPr>
            <w:r>
              <w:rPr>
                <w:rFonts w:hint="eastAsia" w:ascii="宋体" w:hAnsi="宋体"/>
              </w:rPr>
              <w:t>邻二甲苯</w:t>
            </w:r>
          </w:p>
        </w:tc>
        <w:tc>
          <w:tcPr>
            <w:tcW w:w="6468" w:type="dxa"/>
            <w:tcBorders>
              <w:top w:val="single" w:color="auto" w:sz="4" w:space="0"/>
              <w:left w:val="single" w:color="auto" w:sz="4" w:space="0"/>
              <w:bottom w:val="single" w:color="auto" w:sz="4" w:space="0"/>
              <w:right w:val="nil"/>
            </w:tcBorders>
            <w:vAlign w:val="center"/>
          </w:tcPr>
          <w:p>
            <w:pPr>
              <w:pStyle w:val="524"/>
              <w:jc w:val="center"/>
            </w:pPr>
            <w:r>
              <w:rPr>
                <w:rFonts w:hint="eastAsia"/>
              </w:rPr>
              <w:t>HJ742-2015</w:t>
            </w:r>
            <w:r>
              <w:rPr>
                <w:rFonts w:hint="eastAsia" w:ascii="宋体" w:hAnsi="宋体"/>
              </w:rPr>
              <w:t>土壤和沉积物挥发性芳香烃的测定顶空气相色谱法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7" w:type="dxa"/>
            <w:tcBorders>
              <w:top w:val="single" w:color="auto" w:sz="4" w:space="0"/>
              <w:left w:val="nil"/>
              <w:bottom w:val="single" w:color="auto" w:sz="4" w:space="0"/>
              <w:right w:val="single" w:color="auto" w:sz="4" w:space="0"/>
            </w:tcBorders>
            <w:vAlign w:val="center"/>
          </w:tcPr>
          <w:p>
            <w:pPr>
              <w:widowControl/>
              <w:jc w:val="center"/>
              <w:textAlignment w:val="center"/>
              <w:rPr>
                <w:rFonts w:ascii="Times New Roman" w:hAnsi="Times New Roman"/>
              </w:rPr>
            </w:pPr>
            <w:r>
              <w:rPr>
                <w:rFonts w:hint="eastAsia" w:ascii="Times New Roman" w:hAnsi="Times New Roman"/>
              </w:rPr>
              <w:t>35</w:t>
            </w:r>
          </w:p>
        </w:tc>
        <w:tc>
          <w:tcPr>
            <w:tcW w:w="1291" w:type="dxa"/>
            <w:tcBorders>
              <w:top w:val="single" w:color="auto" w:sz="4" w:space="0"/>
              <w:left w:val="single" w:color="auto" w:sz="4" w:space="0"/>
              <w:bottom w:val="single" w:color="auto" w:sz="4" w:space="0"/>
              <w:right w:val="single" w:color="auto" w:sz="4" w:space="0"/>
            </w:tcBorders>
            <w:vAlign w:val="center"/>
          </w:tcPr>
          <w:p>
            <w:pPr>
              <w:pStyle w:val="524"/>
              <w:jc w:val="center"/>
            </w:pPr>
            <w:r>
              <w:rPr>
                <w:rFonts w:hint="eastAsia" w:ascii="宋体" w:hAnsi="宋体"/>
              </w:rPr>
              <w:t>硝基苯</w:t>
            </w:r>
          </w:p>
        </w:tc>
        <w:tc>
          <w:tcPr>
            <w:tcW w:w="6468" w:type="dxa"/>
            <w:tcBorders>
              <w:top w:val="single" w:color="auto" w:sz="4" w:space="0"/>
              <w:left w:val="single" w:color="auto" w:sz="4" w:space="0"/>
              <w:bottom w:val="single" w:color="auto" w:sz="4" w:space="0"/>
              <w:right w:val="nil"/>
            </w:tcBorders>
            <w:vAlign w:val="center"/>
          </w:tcPr>
          <w:p>
            <w:pPr>
              <w:pStyle w:val="524"/>
              <w:jc w:val="center"/>
              <w:rPr>
                <w:rFonts w:ascii="宋体" w:hAnsi="宋体"/>
              </w:rPr>
            </w:pPr>
            <w:r>
              <w:t xml:space="preserve">HJ 834-2017 </w:t>
            </w:r>
            <w:r>
              <w:rPr>
                <w:rFonts w:hint="eastAsia" w:ascii="宋体" w:hAnsi="宋体"/>
              </w:rPr>
              <w:t>土壤和沉积物 半挥发性有机物的测定</w:t>
            </w:r>
          </w:p>
          <w:p>
            <w:pPr>
              <w:pStyle w:val="524"/>
              <w:jc w:val="center"/>
            </w:pPr>
            <w:r>
              <w:rPr>
                <w:rFonts w:hint="eastAsia" w:ascii="宋体" w:hAnsi="宋体"/>
              </w:rPr>
              <w:t>气相色谱</w:t>
            </w:r>
            <w:r>
              <w:t>-</w:t>
            </w:r>
            <w:r>
              <w:rPr>
                <w:rFonts w:hint="eastAsia" w:ascii="宋体" w:hAnsi="宋体"/>
              </w:rPr>
              <w:t>质谱法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7" w:type="dxa"/>
            <w:tcBorders>
              <w:top w:val="single" w:color="auto" w:sz="4" w:space="0"/>
              <w:left w:val="nil"/>
              <w:bottom w:val="single" w:color="auto" w:sz="4" w:space="0"/>
              <w:right w:val="single" w:color="auto" w:sz="4" w:space="0"/>
            </w:tcBorders>
            <w:vAlign w:val="center"/>
          </w:tcPr>
          <w:p>
            <w:pPr>
              <w:widowControl/>
              <w:jc w:val="center"/>
              <w:textAlignment w:val="center"/>
              <w:rPr>
                <w:rFonts w:ascii="Times New Roman" w:hAnsi="Times New Roman"/>
              </w:rPr>
            </w:pPr>
            <w:r>
              <w:rPr>
                <w:rFonts w:hint="eastAsia" w:ascii="Times New Roman" w:hAnsi="Times New Roman"/>
              </w:rPr>
              <w:t>36</w:t>
            </w:r>
          </w:p>
        </w:tc>
        <w:tc>
          <w:tcPr>
            <w:tcW w:w="1291" w:type="dxa"/>
            <w:tcBorders>
              <w:top w:val="single" w:color="auto" w:sz="4" w:space="0"/>
              <w:left w:val="single" w:color="auto" w:sz="4" w:space="0"/>
              <w:bottom w:val="single" w:color="auto" w:sz="4" w:space="0"/>
              <w:right w:val="single" w:color="auto" w:sz="4" w:space="0"/>
            </w:tcBorders>
            <w:vAlign w:val="center"/>
          </w:tcPr>
          <w:p>
            <w:pPr>
              <w:pStyle w:val="524"/>
              <w:jc w:val="center"/>
            </w:pPr>
            <w:r>
              <w:rPr>
                <w:rFonts w:hint="eastAsia" w:ascii="宋体" w:hAnsi="宋体"/>
              </w:rPr>
              <w:t>苯胺</w:t>
            </w:r>
          </w:p>
        </w:tc>
        <w:tc>
          <w:tcPr>
            <w:tcW w:w="6468" w:type="dxa"/>
            <w:tcBorders>
              <w:top w:val="single" w:color="auto" w:sz="4" w:space="0"/>
              <w:left w:val="single" w:color="auto" w:sz="4" w:space="0"/>
              <w:bottom w:val="single" w:color="auto" w:sz="4" w:space="0"/>
              <w:right w:val="nil"/>
            </w:tcBorders>
            <w:vAlign w:val="center"/>
          </w:tcPr>
          <w:p>
            <w:pPr>
              <w:pStyle w:val="524"/>
              <w:jc w:val="center"/>
              <w:rPr>
                <w:rFonts w:ascii="宋体" w:hAnsi="宋体"/>
              </w:rPr>
            </w:pPr>
            <w:r>
              <w:t xml:space="preserve">HJ 834-2017 </w:t>
            </w:r>
            <w:r>
              <w:rPr>
                <w:rFonts w:hint="eastAsia" w:ascii="宋体" w:hAnsi="宋体"/>
              </w:rPr>
              <w:t>土壤和沉积物 半挥发性有机物的测定</w:t>
            </w:r>
          </w:p>
          <w:p>
            <w:pPr>
              <w:pStyle w:val="524"/>
              <w:jc w:val="center"/>
            </w:pPr>
            <w:r>
              <w:rPr>
                <w:rFonts w:hint="eastAsia" w:ascii="宋体" w:hAnsi="宋体"/>
              </w:rPr>
              <w:t>气相色谱</w:t>
            </w:r>
            <w:r>
              <w:t>-</w:t>
            </w:r>
            <w:r>
              <w:rPr>
                <w:rFonts w:hint="eastAsia" w:ascii="宋体" w:hAnsi="宋体"/>
              </w:rPr>
              <w:t>质谱法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7" w:type="dxa"/>
            <w:tcBorders>
              <w:top w:val="single" w:color="auto" w:sz="4" w:space="0"/>
              <w:left w:val="nil"/>
              <w:bottom w:val="single" w:color="auto" w:sz="4" w:space="0"/>
              <w:right w:val="single" w:color="auto" w:sz="4" w:space="0"/>
            </w:tcBorders>
            <w:vAlign w:val="center"/>
          </w:tcPr>
          <w:p>
            <w:pPr>
              <w:widowControl/>
              <w:jc w:val="center"/>
              <w:textAlignment w:val="center"/>
              <w:rPr>
                <w:rFonts w:ascii="Times New Roman" w:hAnsi="Times New Roman"/>
              </w:rPr>
            </w:pPr>
            <w:r>
              <w:rPr>
                <w:rFonts w:hint="eastAsia" w:ascii="Times New Roman" w:hAnsi="Times New Roman"/>
              </w:rPr>
              <w:t>37</w:t>
            </w:r>
          </w:p>
        </w:tc>
        <w:tc>
          <w:tcPr>
            <w:tcW w:w="1291" w:type="dxa"/>
            <w:tcBorders>
              <w:top w:val="single" w:color="auto" w:sz="4" w:space="0"/>
              <w:left w:val="single" w:color="auto" w:sz="4" w:space="0"/>
              <w:bottom w:val="single" w:color="auto" w:sz="4" w:space="0"/>
              <w:right w:val="single" w:color="auto" w:sz="4" w:space="0"/>
            </w:tcBorders>
            <w:vAlign w:val="center"/>
          </w:tcPr>
          <w:p>
            <w:pPr>
              <w:pStyle w:val="524"/>
              <w:jc w:val="center"/>
            </w:pPr>
            <w:r>
              <w:rPr>
                <w:rFonts w:hint="eastAsia"/>
              </w:rPr>
              <w:t>2-</w:t>
            </w:r>
            <w:r>
              <w:rPr>
                <w:rFonts w:hint="eastAsia" w:ascii="宋体" w:hAnsi="宋体"/>
              </w:rPr>
              <w:t>氯酚</w:t>
            </w:r>
          </w:p>
        </w:tc>
        <w:tc>
          <w:tcPr>
            <w:tcW w:w="6468" w:type="dxa"/>
            <w:tcBorders>
              <w:top w:val="single" w:color="auto" w:sz="4" w:space="0"/>
              <w:left w:val="single" w:color="auto" w:sz="4" w:space="0"/>
              <w:bottom w:val="single" w:color="auto" w:sz="4" w:space="0"/>
              <w:right w:val="nil"/>
            </w:tcBorders>
            <w:vAlign w:val="center"/>
          </w:tcPr>
          <w:p>
            <w:pPr>
              <w:pStyle w:val="524"/>
              <w:jc w:val="center"/>
              <w:rPr>
                <w:rFonts w:ascii="宋体" w:hAnsi="宋体"/>
              </w:rPr>
            </w:pPr>
            <w:r>
              <w:t xml:space="preserve">HJ 834-2017 </w:t>
            </w:r>
            <w:r>
              <w:rPr>
                <w:rFonts w:hint="eastAsia" w:ascii="宋体" w:hAnsi="宋体"/>
              </w:rPr>
              <w:t>土壤和沉积物 半挥发性有机物的测定</w:t>
            </w:r>
          </w:p>
          <w:p>
            <w:pPr>
              <w:pStyle w:val="524"/>
              <w:jc w:val="center"/>
            </w:pPr>
            <w:r>
              <w:rPr>
                <w:rFonts w:hint="eastAsia" w:ascii="宋体" w:hAnsi="宋体"/>
              </w:rPr>
              <w:t>气相色谱</w:t>
            </w:r>
            <w:r>
              <w:t>-</w:t>
            </w:r>
            <w:r>
              <w:rPr>
                <w:rFonts w:hint="eastAsia" w:ascii="宋体" w:hAnsi="宋体"/>
              </w:rPr>
              <w:t>质谱法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7" w:type="dxa"/>
            <w:tcBorders>
              <w:top w:val="single" w:color="auto" w:sz="4" w:space="0"/>
              <w:left w:val="nil"/>
              <w:bottom w:val="single" w:color="auto" w:sz="4" w:space="0"/>
              <w:right w:val="single" w:color="auto" w:sz="4" w:space="0"/>
            </w:tcBorders>
            <w:vAlign w:val="center"/>
          </w:tcPr>
          <w:p>
            <w:pPr>
              <w:widowControl/>
              <w:jc w:val="center"/>
              <w:textAlignment w:val="center"/>
              <w:rPr>
                <w:rFonts w:ascii="Times New Roman" w:hAnsi="Times New Roman"/>
              </w:rPr>
            </w:pPr>
            <w:r>
              <w:rPr>
                <w:rFonts w:hint="eastAsia" w:ascii="Times New Roman" w:hAnsi="Times New Roman"/>
              </w:rPr>
              <w:t>38</w:t>
            </w:r>
          </w:p>
        </w:tc>
        <w:tc>
          <w:tcPr>
            <w:tcW w:w="1291" w:type="dxa"/>
            <w:tcBorders>
              <w:top w:val="single" w:color="auto" w:sz="4" w:space="0"/>
              <w:left w:val="single" w:color="auto" w:sz="4" w:space="0"/>
              <w:bottom w:val="single" w:color="auto" w:sz="4" w:space="0"/>
              <w:right w:val="single" w:color="auto" w:sz="4" w:space="0"/>
            </w:tcBorders>
            <w:vAlign w:val="center"/>
          </w:tcPr>
          <w:p>
            <w:pPr>
              <w:pStyle w:val="524"/>
              <w:jc w:val="center"/>
            </w:pPr>
            <w:r>
              <w:rPr>
                <w:rFonts w:hint="eastAsia" w:ascii="宋体" w:hAnsi="宋体"/>
              </w:rPr>
              <w:t>苯并</w:t>
            </w:r>
            <w:r>
              <w:rPr>
                <w:rFonts w:hint="eastAsia"/>
              </w:rPr>
              <w:t>[a]</w:t>
            </w:r>
            <w:r>
              <w:rPr>
                <w:rFonts w:hint="eastAsia" w:ascii="宋体" w:hAnsi="宋体"/>
              </w:rPr>
              <w:t>蒽</w:t>
            </w:r>
          </w:p>
        </w:tc>
        <w:tc>
          <w:tcPr>
            <w:tcW w:w="6468" w:type="dxa"/>
            <w:tcBorders>
              <w:top w:val="single" w:color="auto" w:sz="4" w:space="0"/>
              <w:left w:val="single" w:color="auto" w:sz="4" w:space="0"/>
              <w:bottom w:val="single" w:color="auto" w:sz="4" w:space="0"/>
              <w:right w:val="nil"/>
            </w:tcBorders>
            <w:vAlign w:val="center"/>
          </w:tcPr>
          <w:p>
            <w:pPr>
              <w:pStyle w:val="524"/>
              <w:jc w:val="center"/>
              <w:rPr>
                <w:rFonts w:ascii="宋体" w:hAnsi="宋体"/>
              </w:rPr>
            </w:pPr>
            <w:r>
              <w:t xml:space="preserve">HJ 834-2017 </w:t>
            </w:r>
            <w:r>
              <w:rPr>
                <w:rFonts w:hint="eastAsia" w:ascii="宋体" w:hAnsi="宋体"/>
              </w:rPr>
              <w:t>土壤和沉积物 半挥发性有机物的测定</w:t>
            </w:r>
          </w:p>
          <w:p>
            <w:pPr>
              <w:pStyle w:val="524"/>
              <w:jc w:val="center"/>
            </w:pPr>
            <w:r>
              <w:rPr>
                <w:rFonts w:hint="eastAsia" w:ascii="宋体" w:hAnsi="宋体"/>
              </w:rPr>
              <w:t>气相色谱</w:t>
            </w:r>
            <w:r>
              <w:t>-</w:t>
            </w:r>
            <w:r>
              <w:rPr>
                <w:rFonts w:hint="eastAsia" w:ascii="宋体" w:hAnsi="宋体"/>
              </w:rPr>
              <w:t>质谱法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7" w:type="dxa"/>
            <w:tcBorders>
              <w:top w:val="single" w:color="auto" w:sz="4" w:space="0"/>
              <w:left w:val="nil"/>
              <w:bottom w:val="single" w:color="auto" w:sz="4" w:space="0"/>
              <w:right w:val="single" w:color="auto" w:sz="4" w:space="0"/>
            </w:tcBorders>
            <w:vAlign w:val="center"/>
          </w:tcPr>
          <w:p>
            <w:pPr>
              <w:widowControl/>
              <w:jc w:val="center"/>
              <w:textAlignment w:val="center"/>
              <w:rPr>
                <w:rFonts w:ascii="Times New Roman" w:hAnsi="Times New Roman"/>
              </w:rPr>
            </w:pPr>
            <w:r>
              <w:rPr>
                <w:rFonts w:hint="eastAsia" w:ascii="Times New Roman" w:hAnsi="Times New Roman"/>
              </w:rPr>
              <w:t>39</w:t>
            </w:r>
          </w:p>
        </w:tc>
        <w:tc>
          <w:tcPr>
            <w:tcW w:w="1291" w:type="dxa"/>
            <w:tcBorders>
              <w:top w:val="single" w:color="auto" w:sz="4" w:space="0"/>
              <w:left w:val="single" w:color="auto" w:sz="4" w:space="0"/>
              <w:bottom w:val="single" w:color="auto" w:sz="4" w:space="0"/>
              <w:right w:val="single" w:color="auto" w:sz="4" w:space="0"/>
            </w:tcBorders>
            <w:vAlign w:val="center"/>
          </w:tcPr>
          <w:p>
            <w:pPr>
              <w:pStyle w:val="524"/>
              <w:jc w:val="center"/>
            </w:pPr>
            <w:r>
              <w:rPr>
                <w:rFonts w:hint="eastAsia" w:ascii="宋体" w:hAnsi="宋体"/>
              </w:rPr>
              <w:t>苯并</w:t>
            </w:r>
            <w:r>
              <w:rPr>
                <w:rFonts w:hint="eastAsia"/>
              </w:rPr>
              <w:t>[a]</w:t>
            </w:r>
            <w:r>
              <w:rPr>
                <w:rFonts w:hint="eastAsia" w:ascii="宋体" w:hAnsi="宋体"/>
              </w:rPr>
              <w:t>芘</w:t>
            </w:r>
          </w:p>
        </w:tc>
        <w:tc>
          <w:tcPr>
            <w:tcW w:w="6468" w:type="dxa"/>
            <w:tcBorders>
              <w:top w:val="single" w:color="auto" w:sz="4" w:space="0"/>
              <w:left w:val="single" w:color="auto" w:sz="4" w:space="0"/>
              <w:bottom w:val="single" w:color="auto" w:sz="4" w:space="0"/>
              <w:right w:val="nil"/>
            </w:tcBorders>
            <w:vAlign w:val="center"/>
          </w:tcPr>
          <w:p>
            <w:pPr>
              <w:pStyle w:val="524"/>
              <w:jc w:val="center"/>
              <w:rPr>
                <w:rFonts w:ascii="宋体" w:hAnsi="宋体"/>
              </w:rPr>
            </w:pPr>
            <w:r>
              <w:t xml:space="preserve">HJ 834-2017 </w:t>
            </w:r>
            <w:r>
              <w:rPr>
                <w:rFonts w:hint="eastAsia" w:ascii="宋体" w:hAnsi="宋体"/>
              </w:rPr>
              <w:t>土壤和沉积物 半挥发性有机物的测定</w:t>
            </w:r>
          </w:p>
          <w:p>
            <w:pPr>
              <w:pStyle w:val="524"/>
              <w:jc w:val="center"/>
            </w:pPr>
            <w:r>
              <w:rPr>
                <w:rFonts w:hint="eastAsia" w:ascii="宋体" w:hAnsi="宋体"/>
              </w:rPr>
              <w:t>气相色谱</w:t>
            </w:r>
            <w:r>
              <w:t>-</w:t>
            </w:r>
            <w:r>
              <w:rPr>
                <w:rFonts w:hint="eastAsia" w:ascii="宋体" w:hAnsi="宋体"/>
              </w:rPr>
              <w:t>质谱法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7" w:type="dxa"/>
            <w:tcBorders>
              <w:top w:val="single" w:color="auto" w:sz="4" w:space="0"/>
              <w:left w:val="nil"/>
              <w:bottom w:val="single" w:color="auto" w:sz="4" w:space="0"/>
              <w:right w:val="single" w:color="auto" w:sz="4" w:space="0"/>
            </w:tcBorders>
            <w:vAlign w:val="center"/>
          </w:tcPr>
          <w:p>
            <w:pPr>
              <w:widowControl/>
              <w:jc w:val="center"/>
              <w:textAlignment w:val="center"/>
              <w:rPr>
                <w:rFonts w:ascii="Times New Roman" w:hAnsi="Times New Roman"/>
              </w:rPr>
            </w:pPr>
            <w:r>
              <w:rPr>
                <w:rFonts w:hint="eastAsia" w:ascii="Times New Roman" w:hAnsi="Times New Roman"/>
              </w:rPr>
              <w:t>40</w:t>
            </w:r>
          </w:p>
        </w:tc>
        <w:tc>
          <w:tcPr>
            <w:tcW w:w="1291" w:type="dxa"/>
            <w:tcBorders>
              <w:top w:val="single" w:color="auto" w:sz="4" w:space="0"/>
              <w:left w:val="single" w:color="auto" w:sz="4" w:space="0"/>
              <w:bottom w:val="single" w:color="auto" w:sz="4" w:space="0"/>
              <w:right w:val="single" w:color="auto" w:sz="4" w:space="0"/>
            </w:tcBorders>
            <w:vAlign w:val="center"/>
          </w:tcPr>
          <w:p>
            <w:pPr>
              <w:pStyle w:val="524"/>
              <w:jc w:val="center"/>
            </w:pPr>
            <w:r>
              <w:rPr>
                <w:rFonts w:hint="eastAsia" w:ascii="宋体" w:hAnsi="宋体"/>
              </w:rPr>
              <w:t>苯并</w:t>
            </w:r>
            <w:r>
              <w:rPr>
                <w:rFonts w:hint="eastAsia"/>
              </w:rPr>
              <w:t>[b]</w:t>
            </w:r>
            <w:r>
              <w:rPr>
                <w:rFonts w:hint="eastAsia" w:ascii="宋体" w:hAnsi="宋体"/>
              </w:rPr>
              <w:t>荧蒽</w:t>
            </w:r>
          </w:p>
        </w:tc>
        <w:tc>
          <w:tcPr>
            <w:tcW w:w="6468" w:type="dxa"/>
            <w:tcBorders>
              <w:top w:val="single" w:color="auto" w:sz="4" w:space="0"/>
              <w:left w:val="single" w:color="auto" w:sz="4" w:space="0"/>
              <w:bottom w:val="single" w:color="auto" w:sz="4" w:space="0"/>
              <w:right w:val="nil"/>
            </w:tcBorders>
            <w:vAlign w:val="center"/>
          </w:tcPr>
          <w:p>
            <w:pPr>
              <w:pStyle w:val="524"/>
              <w:jc w:val="center"/>
              <w:rPr>
                <w:rFonts w:ascii="宋体" w:hAnsi="宋体"/>
              </w:rPr>
            </w:pPr>
            <w:r>
              <w:t xml:space="preserve">HJ 834-2017 </w:t>
            </w:r>
            <w:r>
              <w:rPr>
                <w:rFonts w:hint="eastAsia" w:ascii="宋体" w:hAnsi="宋体"/>
              </w:rPr>
              <w:t>土壤和沉积物 半挥发性有机物的测定</w:t>
            </w:r>
          </w:p>
          <w:p>
            <w:pPr>
              <w:pStyle w:val="524"/>
              <w:jc w:val="center"/>
            </w:pPr>
            <w:r>
              <w:rPr>
                <w:rFonts w:hint="eastAsia" w:ascii="宋体" w:hAnsi="宋体"/>
              </w:rPr>
              <w:t>气相色谱</w:t>
            </w:r>
            <w:r>
              <w:t>-</w:t>
            </w:r>
            <w:r>
              <w:rPr>
                <w:rFonts w:hint="eastAsia" w:ascii="宋体" w:hAnsi="宋体"/>
              </w:rPr>
              <w:t>质谱法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7" w:type="dxa"/>
            <w:tcBorders>
              <w:top w:val="single" w:color="auto" w:sz="4" w:space="0"/>
              <w:left w:val="nil"/>
              <w:bottom w:val="single" w:color="auto" w:sz="4" w:space="0"/>
              <w:right w:val="single" w:color="auto" w:sz="4" w:space="0"/>
            </w:tcBorders>
            <w:vAlign w:val="center"/>
          </w:tcPr>
          <w:p>
            <w:pPr>
              <w:widowControl/>
              <w:jc w:val="center"/>
              <w:textAlignment w:val="center"/>
              <w:rPr>
                <w:rFonts w:ascii="Times New Roman" w:hAnsi="Times New Roman"/>
              </w:rPr>
            </w:pPr>
            <w:r>
              <w:rPr>
                <w:rFonts w:hint="eastAsia" w:ascii="Times New Roman" w:hAnsi="Times New Roman"/>
              </w:rPr>
              <w:t>41</w:t>
            </w:r>
          </w:p>
        </w:tc>
        <w:tc>
          <w:tcPr>
            <w:tcW w:w="1291" w:type="dxa"/>
            <w:tcBorders>
              <w:top w:val="single" w:color="auto" w:sz="4" w:space="0"/>
              <w:left w:val="single" w:color="auto" w:sz="4" w:space="0"/>
              <w:bottom w:val="single" w:color="auto" w:sz="4" w:space="0"/>
              <w:right w:val="single" w:color="auto" w:sz="4" w:space="0"/>
            </w:tcBorders>
            <w:vAlign w:val="center"/>
          </w:tcPr>
          <w:p>
            <w:pPr>
              <w:pStyle w:val="524"/>
              <w:jc w:val="center"/>
            </w:pPr>
            <w:r>
              <w:rPr>
                <w:rFonts w:hint="eastAsia" w:ascii="宋体" w:hAnsi="宋体"/>
              </w:rPr>
              <w:t>苯并</w:t>
            </w:r>
            <w:r>
              <w:rPr>
                <w:rFonts w:hint="eastAsia"/>
              </w:rPr>
              <w:t>[k]</w:t>
            </w:r>
            <w:r>
              <w:rPr>
                <w:rFonts w:hint="eastAsia" w:ascii="宋体" w:hAnsi="宋体"/>
              </w:rPr>
              <w:t>荧蒽</w:t>
            </w:r>
          </w:p>
        </w:tc>
        <w:tc>
          <w:tcPr>
            <w:tcW w:w="6468" w:type="dxa"/>
            <w:tcBorders>
              <w:top w:val="single" w:color="auto" w:sz="4" w:space="0"/>
              <w:left w:val="single" w:color="auto" w:sz="4" w:space="0"/>
              <w:bottom w:val="single" w:color="auto" w:sz="4" w:space="0"/>
              <w:right w:val="nil"/>
            </w:tcBorders>
            <w:vAlign w:val="center"/>
          </w:tcPr>
          <w:p>
            <w:pPr>
              <w:pStyle w:val="524"/>
              <w:jc w:val="center"/>
              <w:rPr>
                <w:rFonts w:ascii="宋体" w:hAnsi="宋体"/>
              </w:rPr>
            </w:pPr>
            <w:r>
              <w:t xml:space="preserve">HJ 834-2017 </w:t>
            </w:r>
            <w:r>
              <w:rPr>
                <w:rFonts w:hint="eastAsia" w:ascii="宋体" w:hAnsi="宋体"/>
              </w:rPr>
              <w:t>土壤和沉积物 半挥发性有机物的测定</w:t>
            </w:r>
          </w:p>
          <w:p>
            <w:pPr>
              <w:pStyle w:val="524"/>
              <w:jc w:val="center"/>
            </w:pPr>
            <w:r>
              <w:rPr>
                <w:rFonts w:hint="eastAsia" w:ascii="宋体" w:hAnsi="宋体"/>
              </w:rPr>
              <w:t>气相色谱</w:t>
            </w:r>
            <w:r>
              <w:t>-</w:t>
            </w:r>
            <w:r>
              <w:rPr>
                <w:rFonts w:hint="eastAsia" w:ascii="宋体" w:hAnsi="宋体"/>
              </w:rPr>
              <w:t>质谱法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7" w:type="dxa"/>
            <w:tcBorders>
              <w:top w:val="single" w:color="auto" w:sz="4" w:space="0"/>
              <w:left w:val="nil"/>
              <w:bottom w:val="single" w:color="auto" w:sz="4" w:space="0"/>
              <w:right w:val="single" w:color="auto" w:sz="4" w:space="0"/>
            </w:tcBorders>
            <w:vAlign w:val="center"/>
          </w:tcPr>
          <w:p>
            <w:pPr>
              <w:widowControl/>
              <w:jc w:val="center"/>
              <w:textAlignment w:val="center"/>
              <w:rPr>
                <w:rFonts w:ascii="Times New Roman" w:hAnsi="Times New Roman"/>
              </w:rPr>
            </w:pPr>
            <w:r>
              <w:rPr>
                <w:rFonts w:hint="eastAsia" w:ascii="Times New Roman" w:hAnsi="Times New Roman"/>
              </w:rPr>
              <w:t>42</w:t>
            </w:r>
          </w:p>
        </w:tc>
        <w:tc>
          <w:tcPr>
            <w:tcW w:w="1291" w:type="dxa"/>
            <w:tcBorders>
              <w:top w:val="single" w:color="auto" w:sz="4" w:space="0"/>
              <w:left w:val="single" w:color="auto" w:sz="4" w:space="0"/>
              <w:bottom w:val="single" w:color="auto" w:sz="4" w:space="0"/>
              <w:right w:val="single" w:color="auto" w:sz="4" w:space="0"/>
            </w:tcBorders>
            <w:vAlign w:val="center"/>
          </w:tcPr>
          <w:p>
            <w:pPr>
              <w:pStyle w:val="524"/>
              <w:jc w:val="center"/>
            </w:pPr>
            <w:r>
              <w:rPr>
                <w:rFonts w:hint="eastAsia" w:ascii="宋体" w:hAnsi="宋体"/>
              </w:rPr>
              <w:t>䓛</w:t>
            </w:r>
          </w:p>
        </w:tc>
        <w:tc>
          <w:tcPr>
            <w:tcW w:w="6468" w:type="dxa"/>
            <w:tcBorders>
              <w:top w:val="single" w:color="auto" w:sz="4" w:space="0"/>
              <w:left w:val="single" w:color="auto" w:sz="4" w:space="0"/>
              <w:bottom w:val="single" w:color="auto" w:sz="4" w:space="0"/>
              <w:right w:val="nil"/>
            </w:tcBorders>
            <w:vAlign w:val="center"/>
          </w:tcPr>
          <w:p>
            <w:pPr>
              <w:pStyle w:val="524"/>
              <w:jc w:val="center"/>
              <w:rPr>
                <w:rFonts w:ascii="宋体" w:hAnsi="宋体"/>
              </w:rPr>
            </w:pPr>
            <w:r>
              <w:t xml:space="preserve">HJ 834-2017 </w:t>
            </w:r>
            <w:r>
              <w:rPr>
                <w:rFonts w:hint="eastAsia" w:ascii="宋体" w:hAnsi="宋体"/>
              </w:rPr>
              <w:t>土壤和沉积物 半挥发性有机物的测定</w:t>
            </w:r>
          </w:p>
          <w:p>
            <w:pPr>
              <w:pStyle w:val="524"/>
              <w:jc w:val="center"/>
            </w:pPr>
            <w:r>
              <w:rPr>
                <w:rFonts w:hint="eastAsia" w:ascii="宋体" w:hAnsi="宋体"/>
              </w:rPr>
              <w:t>气相色谱</w:t>
            </w:r>
            <w:r>
              <w:t>-</w:t>
            </w:r>
            <w:r>
              <w:rPr>
                <w:rFonts w:hint="eastAsia" w:ascii="宋体" w:hAnsi="宋体"/>
              </w:rPr>
              <w:t>质谱法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7" w:type="dxa"/>
            <w:tcBorders>
              <w:top w:val="single" w:color="auto" w:sz="4" w:space="0"/>
              <w:left w:val="nil"/>
              <w:bottom w:val="single" w:color="auto" w:sz="4" w:space="0"/>
              <w:right w:val="single" w:color="auto" w:sz="4" w:space="0"/>
            </w:tcBorders>
            <w:vAlign w:val="center"/>
          </w:tcPr>
          <w:p>
            <w:pPr>
              <w:widowControl/>
              <w:jc w:val="center"/>
              <w:textAlignment w:val="center"/>
              <w:rPr>
                <w:rFonts w:ascii="Times New Roman" w:hAnsi="Times New Roman"/>
              </w:rPr>
            </w:pPr>
            <w:r>
              <w:rPr>
                <w:rFonts w:hint="eastAsia" w:ascii="Times New Roman" w:hAnsi="Times New Roman"/>
              </w:rPr>
              <w:t>43</w:t>
            </w:r>
          </w:p>
        </w:tc>
        <w:tc>
          <w:tcPr>
            <w:tcW w:w="1291" w:type="dxa"/>
            <w:tcBorders>
              <w:top w:val="single" w:color="auto" w:sz="4" w:space="0"/>
              <w:left w:val="single" w:color="auto" w:sz="4" w:space="0"/>
              <w:bottom w:val="single" w:color="auto" w:sz="4" w:space="0"/>
              <w:right w:val="single" w:color="auto" w:sz="4" w:space="0"/>
            </w:tcBorders>
            <w:vAlign w:val="center"/>
          </w:tcPr>
          <w:p>
            <w:pPr>
              <w:pStyle w:val="524"/>
              <w:jc w:val="center"/>
            </w:pPr>
            <w:r>
              <w:rPr>
                <w:rFonts w:hint="eastAsia" w:ascii="宋体" w:hAnsi="宋体"/>
              </w:rPr>
              <w:t>二苯并</w:t>
            </w:r>
            <w:r>
              <w:rPr>
                <w:rFonts w:hint="eastAsia"/>
              </w:rPr>
              <w:t>[a, h]</w:t>
            </w:r>
            <w:r>
              <w:rPr>
                <w:rFonts w:hint="eastAsia" w:ascii="宋体" w:hAnsi="宋体"/>
              </w:rPr>
              <w:t>蒽</w:t>
            </w:r>
          </w:p>
        </w:tc>
        <w:tc>
          <w:tcPr>
            <w:tcW w:w="6468" w:type="dxa"/>
            <w:tcBorders>
              <w:top w:val="single" w:color="auto" w:sz="4" w:space="0"/>
              <w:left w:val="single" w:color="auto" w:sz="4" w:space="0"/>
              <w:bottom w:val="single" w:color="auto" w:sz="4" w:space="0"/>
              <w:right w:val="nil"/>
            </w:tcBorders>
            <w:vAlign w:val="center"/>
          </w:tcPr>
          <w:p>
            <w:pPr>
              <w:pStyle w:val="524"/>
              <w:jc w:val="center"/>
              <w:rPr>
                <w:rFonts w:ascii="宋体" w:hAnsi="宋体"/>
              </w:rPr>
            </w:pPr>
            <w:r>
              <w:t xml:space="preserve">HJ 834-2017 </w:t>
            </w:r>
            <w:r>
              <w:rPr>
                <w:rFonts w:hint="eastAsia" w:ascii="宋体" w:hAnsi="宋体"/>
              </w:rPr>
              <w:t>土壤和沉积物 半挥发性有机物的测定</w:t>
            </w:r>
          </w:p>
          <w:p>
            <w:pPr>
              <w:pStyle w:val="524"/>
              <w:jc w:val="center"/>
            </w:pPr>
            <w:r>
              <w:rPr>
                <w:rFonts w:hint="eastAsia" w:ascii="宋体" w:hAnsi="宋体"/>
              </w:rPr>
              <w:t>气相色谱</w:t>
            </w:r>
            <w:r>
              <w:t>-</w:t>
            </w:r>
            <w:r>
              <w:rPr>
                <w:rFonts w:hint="eastAsia" w:ascii="宋体" w:hAnsi="宋体"/>
              </w:rPr>
              <w:t>质谱法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7" w:type="dxa"/>
            <w:tcBorders>
              <w:top w:val="single" w:color="auto" w:sz="4" w:space="0"/>
              <w:left w:val="nil"/>
              <w:bottom w:val="single" w:color="auto" w:sz="4" w:space="0"/>
              <w:right w:val="single" w:color="auto" w:sz="4" w:space="0"/>
            </w:tcBorders>
            <w:vAlign w:val="center"/>
          </w:tcPr>
          <w:p>
            <w:pPr>
              <w:widowControl/>
              <w:jc w:val="center"/>
              <w:textAlignment w:val="center"/>
              <w:rPr>
                <w:rFonts w:ascii="Times New Roman" w:hAnsi="Times New Roman"/>
              </w:rPr>
            </w:pPr>
            <w:r>
              <w:rPr>
                <w:rFonts w:hint="eastAsia" w:ascii="Times New Roman" w:hAnsi="Times New Roman"/>
              </w:rPr>
              <w:t>44</w:t>
            </w:r>
          </w:p>
        </w:tc>
        <w:tc>
          <w:tcPr>
            <w:tcW w:w="1291" w:type="dxa"/>
            <w:tcBorders>
              <w:top w:val="single" w:color="auto" w:sz="4" w:space="0"/>
              <w:left w:val="single" w:color="auto" w:sz="4" w:space="0"/>
              <w:bottom w:val="single" w:color="auto" w:sz="4" w:space="0"/>
              <w:right w:val="single" w:color="auto" w:sz="4" w:space="0"/>
            </w:tcBorders>
            <w:vAlign w:val="center"/>
          </w:tcPr>
          <w:p>
            <w:pPr>
              <w:pStyle w:val="524"/>
              <w:jc w:val="center"/>
            </w:pPr>
            <w:r>
              <w:rPr>
                <w:rFonts w:hint="eastAsia" w:ascii="宋体" w:hAnsi="宋体"/>
              </w:rPr>
              <w:t>茚并</w:t>
            </w:r>
            <w:r>
              <w:rPr>
                <w:rFonts w:hint="eastAsia"/>
              </w:rPr>
              <w:t>[1,2,3-cd]</w:t>
            </w:r>
            <w:r>
              <w:rPr>
                <w:rFonts w:hint="eastAsia" w:ascii="宋体" w:hAnsi="宋体"/>
              </w:rPr>
              <w:t>芘</w:t>
            </w:r>
          </w:p>
        </w:tc>
        <w:tc>
          <w:tcPr>
            <w:tcW w:w="6468" w:type="dxa"/>
            <w:tcBorders>
              <w:top w:val="single" w:color="auto" w:sz="4" w:space="0"/>
              <w:left w:val="single" w:color="auto" w:sz="4" w:space="0"/>
              <w:bottom w:val="single" w:color="auto" w:sz="4" w:space="0"/>
              <w:right w:val="nil"/>
            </w:tcBorders>
            <w:vAlign w:val="center"/>
          </w:tcPr>
          <w:p>
            <w:pPr>
              <w:pStyle w:val="524"/>
              <w:jc w:val="center"/>
              <w:rPr>
                <w:rFonts w:ascii="宋体" w:hAnsi="宋体"/>
              </w:rPr>
            </w:pPr>
            <w:r>
              <w:t xml:space="preserve">HJ 834-2017 </w:t>
            </w:r>
            <w:r>
              <w:rPr>
                <w:rFonts w:hint="eastAsia" w:ascii="宋体" w:hAnsi="宋体"/>
              </w:rPr>
              <w:t>土壤和沉积物 半挥发性有机物的测定</w:t>
            </w:r>
          </w:p>
          <w:p>
            <w:pPr>
              <w:pStyle w:val="524"/>
              <w:jc w:val="center"/>
            </w:pPr>
            <w:r>
              <w:rPr>
                <w:rFonts w:hint="eastAsia" w:ascii="宋体" w:hAnsi="宋体"/>
              </w:rPr>
              <w:t>气相色谱</w:t>
            </w:r>
            <w:r>
              <w:t>-</w:t>
            </w:r>
            <w:r>
              <w:rPr>
                <w:rFonts w:hint="eastAsia" w:ascii="宋体" w:hAnsi="宋体"/>
              </w:rPr>
              <w:t>质谱法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7" w:type="dxa"/>
            <w:tcBorders>
              <w:top w:val="single" w:color="auto" w:sz="4" w:space="0"/>
              <w:left w:val="nil"/>
              <w:bottom w:val="single" w:color="auto" w:sz="12" w:space="0"/>
              <w:right w:val="single" w:color="auto" w:sz="4" w:space="0"/>
            </w:tcBorders>
            <w:vAlign w:val="center"/>
          </w:tcPr>
          <w:p>
            <w:pPr>
              <w:widowControl/>
              <w:jc w:val="center"/>
              <w:textAlignment w:val="center"/>
              <w:rPr>
                <w:rFonts w:ascii="Times New Roman" w:hAnsi="Times New Roman"/>
              </w:rPr>
            </w:pPr>
            <w:r>
              <w:rPr>
                <w:rFonts w:hint="eastAsia" w:ascii="Times New Roman" w:hAnsi="Times New Roman"/>
              </w:rPr>
              <w:t>45</w:t>
            </w:r>
          </w:p>
        </w:tc>
        <w:tc>
          <w:tcPr>
            <w:tcW w:w="1291" w:type="dxa"/>
            <w:tcBorders>
              <w:top w:val="single" w:color="auto" w:sz="4" w:space="0"/>
              <w:left w:val="single" w:color="auto" w:sz="4" w:space="0"/>
              <w:bottom w:val="single" w:color="auto" w:sz="12" w:space="0"/>
              <w:right w:val="single" w:color="auto" w:sz="4" w:space="0"/>
            </w:tcBorders>
            <w:vAlign w:val="center"/>
          </w:tcPr>
          <w:p>
            <w:pPr>
              <w:pStyle w:val="524"/>
              <w:jc w:val="center"/>
            </w:pPr>
            <w:r>
              <w:rPr>
                <w:rFonts w:hint="eastAsia" w:ascii="宋体" w:hAnsi="宋体"/>
              </w:rPr>
              <w:t>萘</w:t>
            </w:r>
          </w:p>
        </w:tc>
        <w:tc>
          <w:tcPr>
            <w:tcW w:w="6468" w:type="dxa"/>
            <w:tcBorders>
              <w:top w:val="single" w:color="auto" w:sz="4" w:space="0"/>
              <w:left w:val="single" w:color="auto" w:sz="4" w:space="0"/>
              <w:bottom w:val="single" w:color="auto" w:sz="12" w:space="0"/>
              <w:right w:val="nil"/>
            </w:tcBorders>
            <w:vAlign w:val="center"/>
          </w:tcPr>
          <w:p>
            <w:pPr>
              <w:pStyle w:val="524"/>
              <w:jc w:val="center"/>
              <w:rPr>
                <w:rFonts w:ascii="宋体" w:hAnsi="宋体"/>
              </w:rPr>
            </w:pPr>
            <w:r>
              <w:t xml:space="preserve">HJ 834-2017 </w:t>
            </w:r>
            <w:r>
              <w:rPr>
                <w:rFonts w:hint="eastAsia" w:ascii="宋体" w:hAnsi="宋体"/>
              </w:rPr>
              <w:t>土壤和沉积物 半挥发性有机物的测定</w:t>
            </w:r>
          </w:p>
          <w:p>
            <w:pPr>
              <w:pStyle w:val="524"/>
              <w:jc w:val="center"/>
            </w:pPr>
            <w:r>
              <w:rPr>
                <w:rFonts w:hint="eastAsia" w:ascii="宋体" w:hAnsi="宋体"/>
              </w:rPr>
              <w:t>气相色谱</w:t>
            </w:r>
            <w:r>
              <w:t>-</w:t>
            </w:r>
            <w:r>
              <w:rPr>
                <w:rFonts w:hint="eastAsia" w:ascii="宋体" w:hAnsi="宋体"/>
              </w:rPr>
              <w:t>质谱法</w:t>
            </w:r>
          </w:p>
        </w:tc>
      </w:tr>
    </w:tbl>
    <w:p>
      <w:pPr>
        <w:spacing w:line="480" w:lineRule="exact"/>
        <w:ind w:firstLine="480" w:firstLineChars="200"/>
        <w:rPr>
          <w:rFonts w:ascii="Times New Roman" w:hAnsi="Times New Roman"/>
          <w:sz w:val="24"/>
          <w:szCs w:val="24"/>
        </w:rPr>
      </w:pPr>
      <w:r>
        <w:rPr>
          <w:rFonts w:ascii="Times New Roman" w:hAnsi="Times New Roman"/>
          <w:sz w:val="24"/>
          <w:szCs w:val="24"/>
        </w:rPr>
        <w:t>（5）评价方法</w:t>
      </w:r>
    </w:p>
    <w:p>
      <w:pPr>
        <w:spacing w:line="480" w:lineRule="exact"/>
        <w:ind w:firstLine="480" w:firstLineChars="200"/>
        <w:rPr>
          <w:rFonts w:ascii="Times New Roman" w:hAnsi="Times New Roman"/>
          <w:sz w:val="24"/>
          <w:szCs w:val="24"/>
        </w:rPr>
      </w:pPr>
      <w:r>
        <w:rPr>
          <w:rFonts w:ascii="Times New Roman" w:hAnsi="Times New Roman"/>
          <w:sz w:val="24"/>
          <w:szCs w:val="24"/>
        </w:rPr>
        <w:t>采用土壤单项污染指数法，计算公式为：</w:t>
      </w:r>
    </w:p>
    <w:p>
      <w:pPr>
        <w:spacing w:line="480" w:lineRule="exact"/>
        <w:ind w:firstLine="480" w:firstLineChars="200"/>
        <w:rPr>
          <w:rFonts w:ascii="Times New Roman" w:hAnsi="Times New Roman"/>
          <w:sz w:val="24"/>
          <w:szCs w:val="24"/>
        </w:rPr>
      </w:pPr>
      <w:r>
        <w:rPr>
          <w:rFonts w:ascii="Times New Roman" w:hAnsi="Times New Roman"/>
          <w:sz w:val="24"/>
          <w:szCs w:val="24"/>
        </w:rPr>
        <w:t>土壤单项污染指数=土壤污染物实测值/土壤污染物质量标准</w:t>
      </w:r>
    </w:p>
    <w:p>
      <w:pPr>
        <w:spacing w:line="480" w:lineRule="exact"/>
        <w:ind w:firstLine="480" w:firstLineChars="200"/>
        <w:rPr>
          <w:rFonts w:ascii="Times New Roman" w:hAnsi="Times New Roman"/>
          <w:sz w:val="24"/>
          <w:szCs w:val="24"/>
        </w:rPr>
      </w:pPr>
      <w:r>
        <w:rPr>
          <w:rFonts w:ascii="Times New Roman" w:hAnsi="Times New Roman"/>
          <w:sz w:val="24"/>
          <w:szCs w:val="24"/>
        </w:rPr>
        <w:t>（6）评价标准</w:t>
      </w:r>
    </w:p>
    <w:p>
      <w:pPr>
        <w:spacing w:line="480" w:lineRule="exact"/>
        <w:ind w:firstLine="480" w:firstLineChars="200"/>
        <w:rPr>
          <w:rFonts w:ascii="Times New Roman" w:hAnsi="Times New Roman"/>
        </w:rPr>
      </w:pPr>
      <w:r>
        <w:rPr>
          <w:rFonts w:ascii="Times New Roman" w:hAnsi="Times New Roman"/>
          <w:sz w:val="24"/>
          <w:szCs w:val="24"/>
        </w:rPr>
        <w:t>厂区及周边工业用地各监测点位的监测值符合《土壤环境质量 建设用地土壤污染风险管控标准》（试行）（GB36600-2018）中第二类用地筛选值标准</w:t>
      </w:r>
      <w:r>
        <w:rPr>
          <w:rFonts w:hint="eastAsia" w:ascii="Times New Roman" w:hAnsi="Times New Roman"/>
          <w:sz w:val="24"/>
          <w:szCs w:val="24"/>
        </w:rPr>
        <w:t>。</w:t>
      </w:r>
      <w:r>
        <w:rPr>
          <w:rFonts w:ascii="Times New Roman" w:hAnsi="Times New Roman"/>
        </w:rPr>
        <w:t xml:space="preserve"> </w:t>
      </w:r>
    </w:p>
    <w:p>
      <w:pPr>
        <w:pStyle w:val="155"/>
        <w:spacing w:line="480" w:lineRule="exact"/>
        <w:ind w:firstLine="480"/>
      </w:pPr>
      <w:r>
        <w:t>（7）监测结果</w:t>
      </w:r>
    </w:p>
    <w:p>
      <w:pPr>
        <w:pStyle w:val="155"/>
        <w:spacing w:line="480" w:lineRule="exact"/>
        <w:ind w:firstLine="480"/>
      </w:pPr>
      <w:r>
        <w:rPr>
          <w:szCs w:val="32"/>
        </w:rPr>
        <w:t>根据评价方法及评价标准，对现状监测结果进行评价，并对评价结果进行分析。</w:t>
      </w:r>
      <w:r>
        <w:rPr>
          <w:szCs w:val="24"/>
        </w:rPr>
        <w:t>土壤环境</w:t>
      </w:r>
      <w:r>
        <w:rPr>
          <w:szCs w:val="32"/>
        </w:rPr>
        <w:t>监测结果见表</w:t>
      </w:r>
      <w:r>
        <w:rPr>
          <w:szCs w:val="24"/>
        </w:rPr>
        <w:t>4.2-21，土壤环境</w:t>
      </w:r>
      <w:r>
        <w:rPr>
          <w:szCs w:val="32"/>
        </w:rPr>
        <w:t>评价结果见表4.2-22</w:t>
      </w:r>
      <w:r>
        <w:t>。</w:t>
      </w:r>
    </w:p>
    <w:p>
      <w:pPr>
        <w:widowControl/>
        <w:spacing w:line="480" w:lineRule="exact"/>
        <w:outlineLvl w:val="3"/>
        <w:rPr>
          <w:rFonts w:ascii="Times New Roman" w:hAnsi="Times New Roman" w:eastAsia="黑体"/>
          <w:sz w:val="24"/>
        </w:rPr>
      </w:pPr>
      <w:r>
        <w:rPr>
          <w:rFonts w:ascii="Times New Roman" w:hAnsi="Times New Roman" w:eastAsia="黑体"/>
          <w:sz w:val="24"/>
        </w:rPr>
        <w:t>4.3.5.2.土壤环境质量现状评价结论</w:t>
      </w:r>
    </w:p>
    <w:p>
      <w:pPr>
        <w:pStyle w:val="155"/>
        <w:spacing w:line="480" w:lineRule="exact"/>
        <w:ind w:firstLine="480"/>
      </w:pPr>
      <w:r>
        <w:t>由上述分析可知，</w:t>
      </w:r>
      <w:r>
        <w:rPr>
          <w:kern w:val="0"/>
        </w:rPr>
        <w:t>项目</w:t>
      </w:r>
      <w:r>
        <w:rPr>
          <w:szCs w:val="24"/>
        </w:rPr>
        <w:t>厂区及周边工业用地</w:t>
      </w:r>
      <w:r>
        <w:rPr>
          <w:kern w:val="0"/>
        </w:rPr>
        <w:t>各监测点各层土壤中各监测因子标准指数均小于1，满足</w:t>
      </w:r>
      <w:r>
        <w:rPr>
          <w:bCs/>
          <w:kern w:val="0"/>
          <w:szCs w:val="32"/>
        </w:rPr>
        <w:t>《土壤环境质量建设用地土壤污染风险管控标准》（试行）（GB36600-2018）中第二类用地筛选值标准</w:t>
      </w:r>
      <w:r>
        <w:rPr>
          <w:rFonts w:hint="eastAsia"/>
          <w:kern w:val="0"/>
        </w:rPr>
        <w:t>。</w:t>
      </w:r>
    </w:p>
    <w:p>
      <w:pPr>
        <w:pStyle w:val="155"/>
        <w:spacing w:line="480" w:lineRule="exact"/>
        <w:ind w:firstLine="480"/>
        <w:sectPr>
          <w:pgSz w:w="11907" w:h="16839"/>
          <w:pgMar w:top="1440" w:right="1797" w:bottom="1440" w:left="1797" w:header="851" w:footer="850" w:gutter="0"/>
          <w:cols w:space="720" w:num="1"/>
          <w:docGrid w:linePitch="312" w:charSpace="0"/>
        </w:sectPr>
      </w:pPr>
    </w:p>
    <w:p>
      <w:pPr>
        <w:pStyle w:val="19"/>
        <w:spacing w:line="480" w:lineRule="exact"/>
        <w:ind w:firstLine="0"/>
        <w:jc w:val="center"/>
        <w:rPr>
          <w:rFonts w:ascii="Times New Roman" w:hAnsi="Times New Roman"/>
          <w:b/>
          <w:bCs/>
          <w:sz w:val="21"/>
        </w:rPr>
      </w:pPr>
      <w:r>
        <w:rPr>
          <w:rFonts w:ascii="Times New Roman" w:hAnsi="Times New Roman"/>
          <w:b/>
          <w:bCs/>
          <w:sz w:val="21"/>
        </w:rPr>
        <w:t>表4.2-22 土壤环境监测结果（mg/kg）</w:t>
      </w:r>
    </w:p>
    <w:tbl>
      <w:tblPr>
        <w:tblStyle w:val="7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73"/>
        <w:gridCol w:w="2180"/>
        <w:gridCol w:w="1896"/>
        <w:gridCol w:w="1626"/>
        <w:gridCol w:w="1198"/>
        <w:gridCol w:w="1199"/>
        <w:gridCol w:w="1201"/>
        <w:gridCol w:w="1196"/>
        <w:gridCol w:w="1199"/>
        <w:gridCol w:w="119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7" w:type="pct"/>
            <w:vMerge w:val="restart"/>
            <w:vAlign w:val="center"/>
          </w:tcPr>
          <w:p>
            <w:pPr>
              <w:jc w:val="center"/>
              <w:rPr>
                <w:rFonts w:ascii="Times New Roman" w:hAnsi="Times New Roman"/>
              </w:rPr>
            </w:pPr>
            <w:r>
              <w:rPr>
                <w:rFonts w:hint="eastAsia"/>
              </w:rPr>
              <w:t>序号</w:t>
            </w:r>
          </w:p>
        </w:tc>
        <w:tc>
          <w:tcPr>
            <w:tcW w:w="814" w:type="pct"/>
            <w:vMerge w:val="restart"/>
            <w:vAlign w:val="center"/>
          </w:tcPr>
          <w:p>
            <w:pPr>
              <w:jc w:val="center"/>
              <w:rPr>
                <w:rFonts w:ascii="Times New Roman" w:hAnsi="Times New Roman"/>
                <w:kern w:val="2"/>
              </w:rPr>
            </w:pPr>
            <w:r>
              <w:rPr>
                <w:rFonts w:hint="eastAsia"/>
                <w:kern w:val="2"/>
              </w:rPr>
              <w:t>检测项目</w:t>
            </w:r>
          </w:p>
        </w:tc>
        <w:tc>
          <w:tcPr>
            <w:tcW w:w="669" w:type="pct"/>
            <w:vMerge w:val="restart"/>
          </w:tcPr>
          <w:p>
            <w:pPr>
              <w:jc w:val="center"/>
              <w:rPr>
                <w:rFonts w:ascii="Times New Roman" w:hAnsi="Times New Roman"/>
                <w:kern w:val="2"/>
              </w:rPr>
            </w:pPr>
            <w:r>
              <w:rPr>
                <w:rFonts w:hint="eastAsia"/>
                <w:bCs/>
              </w:rPr>
              <w:t>《土壤环境质量建设用地土壤污染风险管控标准》（试行）（GB36600-2018）中第二类用地筛选值标准（mg/kg）</w:t>
            </w:r>
          </w:p>
        </w:tc>
        <w:tc>
          <w:tcPr>
            <w:tcW w:w="3301" w:type="pct"/>
            <w:gridSpan w:val="7"/>
            <w:vAlign w:val="center"/>
          </w:tcPr>
          <w:p>
            <w:pPr>
              <w:jc w:val="center"/>
              <w:rPr>
                <w:rFonts w:ascii="Times New Roman" w:hAnsi="Times New Roman"/>
                <w:kern w:val="2"/>
              </w:rPr>
            </w:pPr>
            <w:r>
              <w:rPr>
                <w:rFonts w:hint="eastAsia" w:ascii="Times New Roman" w:hAnsi="Times New Roman"/>
                <w:kern w:val="2"/>
              </w:rPr>
              <w:t>2022.05.24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vAlign w:val="center"/>
          </w:tcPr>
          <w:p>
            <w:pPr>
              <w:widowControl/>
              <w:jc w:val="center"/>
              <w:rPr>
                <w:rFonts w:ascii="Times New Roman" w:hAnsi="Times New Roman"/>
              </w:rPr>
            </w:pPr>
          </w:p>
        </w:tc>
        <w:tc>
          <w:tcPr>
            <w:tcW w:w="0" w:type="auto"/>
            <w:vMerge w:val="continue"/>
            <w:vAlign w:val="center"/>
          </w:tcPr>
          <w:p>
            <w:pPr>
              <w:widowControl/>
              <w:jc w:val="center"/>
              <w:rPr>
                <w:rFonts w:ascii="Times New Roman" w:hAnsi="Times New Roman"/>
                <w:kern w:val="2"/>
              </w:rPr>
            </w:pPr>
          </w:p>
        </w:tc>
        <w:tc>
          <w:tcPr>
            <w:tcW w:w="0" w:type="auto"/>
            <w:vMerge w:val="continue"/>
            <w:vAlign w:val="center"/>
          </w:tcPr>
          <w:p>
            <w:pPr>
              <w:widowControl/>
              <w:jc w:val="center"/>
              <w:rPr>
                <w:rFonts w:ascii="Times New Roman" w:hAnsi="Times New Roman"/>
                <w:kern w:val="2"/>
              </w:rPr>
            </w:pPr>
          </w:p>
        </w:tc>
        <w:tc>
          <w:tcPr>
            <w:tcW w:w="608" w:type="pct"/>
            <w:vAlign w:val="center"/>
          </w:tcPr>
          <w:p>
            <w:pPr>
              <w:jc w:val="center"/>
              <w:rPr>
                <w:rFonts w:ascii="Times New Roman" w:hAnsi="Times New Roman"/>
                <w:kern w:val="2"/>
              </w:rPr>
            </w:pPr>
            <w:r>
              <w:rPr>
                <w:rFonts w:hint="eastAsia"/>
                <w:kern w:val="2"/>
              </w:rPr>
              <w:t>门卫室附近</w:t>
            </w:r>
            <w:r>
              <w:rPr>
                <w:rFonts w:hint="eastAsia" w:ascii="Times New Roman" w:hAnsi="Times New Roman"/>
                <w:kern w:val="2"/>
              </w:rPr>
              <w:t>T1 1</w:t>
            </w:r>
            <w:r>
              <w:rPr>
                <w:kern w:val="2"/>
              </w:rPr>
              <w:t>¨</w:t>
            </w:r>
          </w:p>
        </w:tc>
        <w:tc>
          <w:tcPr>
            <w:tcW w:w="1348" w:type="pct"/>
            <w:gridSpan w:val="3"/>
            <w:vAlign w:val="center"/>
          </w:tcPr>
          <w:p>
            <w:pPr>
              <w:jc w:val="center"/>
              <w:rPr>
                <w:rFonts w:ascii="Times New Roman" w:hAnsi="Times New Roman"/>
              </w:rPr>
            </w:pPr>
            <w:r>
              <w:rPr>
                <w:rFonts w:hint="eastAsia"/>
                <w:kern w:val="2"/>
              </w:rPr>
              <w:t>蒸汽灭菌车间附近</w:t>
            </w:r>
            <w:r>
              <w:rPr>
                <w:rFonts w:hint="eastAsia" w:ascii="Times New Roman" w:hAnsi="Times New Roman"/>
                <w:kern w:val="2"/>
              </w:rPr>
              <w:t>T2 2</w:t>
            </w:r>
            <w:r>
              <w:rPr>
                <w:kern w:val="2"/>
              </w:rPr>
              <w:t>¨</w:t>
            </w:r>
          </w:p>
        </w:tc>
        <w:tc>
          <w:tcPr>
            <w:tcW w:w="1345" w:type="pct"/>
            <w:gridSpan w:val="3"/>
            <w:vAlign w:val="center"/>
          </w:tcPr>
          <w:p>
            <w:pPr>
              <w:jc w:val="center"/>
              <w:rPr>
                <w:rFonts w:ascii="Times New Roman" w:hAnsi="Times New Roman"/>
                <w:kern w:val="2"/>
              </w:rPr>
            </w:pPr>
            <w:r>
              <w:rPr>
                <w:rFonts w:hint="eastAsia"/>
                <w:kern w:val="2"/>
              </w:rPr>
              <w:t>事故应急池附近</w:t>
            </w:r>
            <w:r>
              <w:rPr>
                <w:rFonts w:hint="eastAsia" w:ascii="Times New Roman" w:hAnsi="Times New Roman"/>
                <w:kern w:val="2"/>
              </w:rPr>
              <w:t>T3 3</w:t>
            </w:r>
            <w:r>
              <w:rPr>
                <w:kern w:val="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vAlign w:val="center"/>
          </w:tcPr>
          <w:p>
            <w:pPr>
              <w:widowControl/>
              <w:jc w:val="center"/>
              <w:rPr>
                <w:rFonts w:ascii="Times New Roman" w:hAnsi="Times New Roman"/>
              </w:rPr>
            </w:pPr>
          </w:p>
        </w:tc>
        <w:tc>
          <w:tcPr>
            <w:tcW w:w="0" w:type="auto"/>
            <w:vMerge w:val="continue"/>
            <w:vAlign w:val="center"/>
          </w:tcPr>
          <w:p>
            <w:pPr>
              <w:widowControl/>
              <w:jc w:val="center"/>
              <w:rPr>
                <w:rFonts w:ascii="Times New Roman" w:hAnsi="Times New Roman"/>
                <w:kern w:val="2"/>
              </w:rPr>
            </w:pPr>
          </w:p>
        </w:tc>
        <w:tc>
          <w:tcPr>
            <w:tcW w:w="0" w:type="auto"/>
            <w:vMerge w:val="continue"/>
            <w:vAlign w:val="center"/>
          </w:tcPr>
          <w:p>
            <w:pPr>
              <w:widowControl/>
              <w:jc w:val="center"/>
              <w:rPr>
                <w:rFonts w:ascii="Times New Roman" w:hAnsi="Times New Roman"/>
                <w:kern w:val="2"/>
              </w:rPr>
            </w:pPr>
          </w:p>
        </w:tc>
        <w:tc>
          <w:tcPr>
            <w:tcW w:w="608" w:type="pct"/>
            <w:vAlign w:val="center"/>
          </w:tcPr>
          <w:p>
            <w:pPr>
              <w:jc w:val="center"/>
              <w:rPr>
                <w:rFonts w:ascii="Times New Roman" w:hAnsi="Times New Roman"/>
                <w:kern w:val="2"/>
              </w:rPr>
            </w:pPr>
            <w:r>
              <w:rPr>
                <w:rFonts w:ascii="Times New Roman" w:hAnsi="Times New Roman"/>
                <w:kern w:val="2"/>
              </w:rPr>
              <w:t>0~0.2m</w:t>
            </w:r>
          </w:p>
        </w:tc>
        <w:tc>
          <w:tcPr>
            <w:tcW w:w="449" w:type="pct"/>
            <w:vAlign w:val="center"/>
          </w:tcPr>
          <w:p>
            <w:pPr>
              <w:jc w:val="center"/>
              <w:rPr>
                <w:rFonts w:ascii="Times New Roman" w:hAnsi="Times New Roman"/>
                <w:kern w:val="2"/>
              </w:rPr>
            </w:pPr>
            <w:r>
              <w:rPr>
                <w:rFonts w:hint="eastAsia" w:ascii="Times New Roman" w:hAnsi="Times New Roman"/>
                <w:kern w:val="2"/>
              </w:rPr>
              <w:t>0~0.5m</w:t>
            </w:r>
          </w:p>
        </w:tc>
        <w:tc>
          <w:tcPr>
            <w:tcW w:w="449" w:type="pct"/>
            <w:vAlign w:val="center"/>
          </w:tcPr>
          <w:p>
            <w:pPr>
              <w:jc w:val="center"/>
              <w:rPr>
                <w:rFonts w:ascii="Times New Roman" w:hAnsi="Times New Roman"/>
                <w:kern w:val="2"/>
              </w:rPr>
            </w:pPr>
            <w:r>
              <w:rPr>
                <w:rFonts w:hint="eastAsia" w:ascii="Times New Roman" w:hAnsi="Times New Roman"/>
                <w:kern w:val="2"/>
              </w:rPr>
              <w:t>0.5~1.5m</w:t>
            </w:r>
          </w:p>
        </w:tc>
        <w:tc>
          <w:tcPr>
            <w:tcW w:w="450" w:type="pct"/>
            <w:vAlign w:val="center"/>
          </w:tcPr>
          <w:p>
            <w:pPr>
              <w:jc w:val="center"/>
              <w:rPr>
                <w:rFonts w:ascii="Times New Roman" w:hAnsi="Times New Roman"/>
                <w:kern w:val="2"/>
              </w:rPr>
            </w:pPr>
            <w:r>
              <w:rPr>
                <w:rFonts w:hint="eastAsia" w:ascii="Times New Roman" w:hAnsi="Times New Roman"/>
                <w:kern w:val="2"/>
              </w:rPr>
              <w:t>1.5~3.0m</w:t>
            </w:r>
          </w:p>
        </w:tc>
        <w:tc>
          <w:tcPr>
            <w:tcW w:w="448" w:type="pct"/>
            <w:vAlign w:val="center"/>
          </w:tcPr>
          <w:p>
            <w:pPr>
              <w:jc w:val="center"/>
              <w:rPr>
                <w:rFonts w:ascii="Times New Roman" w:hAnsi="Times New Roman"/>
                <w:kern w:val="2"/>
              </w:rPr>
            </w:pPr>
            <w:r>
              <w:rPr>
                <w:rFonts w:hint="eastAsia" w:ascii="Times New Roman" w:hAnsi="Times New Roman"/>
                <w:kern w:val="2"/>
              </w:rPr>
              <w:t>0~0.5m</w:t>
            </w:r>
          </w:p>
        </w:tc>
        <w:tc>
          <w:tcPr>
            <w:tcW w:w="449" w:type="pct"/>
            <w:vAlign w:val="center"/>
          </w:tcPr>
          <w:p>
            <w:pPr>
              <w:jc w:val="center"/>
              <w:rPr>
                <w:rFonts w:ascii="Times New Roman" w:hAnsi="Times New Roman"/>
                <w:kern w:val="2"/>
              </w:rPr>
            </w:pPr>
            <w:r>
              <w:rPr>
                <w:rFonts w:hint="eastAsia" w:ascii="Times New Roman" w:hAnsi="Times New Roman"/>
                <w:kern w:val="2"/>
              </w:rPr>
              <w:t>0.5~1.5m</w:t>
            </w:r>
          </w:p>
        </w:tc>
        <w:tc>
          <w:tcPr>
            <w:tcW w:w="448" w:type="pct"/>
            <w:vAlign w:val="center"/>
          </w:tcPr>
          <w:p>
            <w:pPr>
              <w:jc w:val="center"/>
              <w:rPr>
                <w:rFonts w:ascii="Times New Roman" w:hAnsi="Times New Roman"/>
                <w:kern w:val="2"/>
              </w:rPr>
            </w:pPr>
            <w:r>
              <w:rPr>
                <w:rFonts w:hint="eastAsia" w:ascii="Times New Roman" w:hAnsi="Times New Roman"/>
                <w:kern w:val="2"/>
              </w:rPr>
              <w:t>1.5~3.0m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217" w:type="pct"/>
            <w:vAlign w:val="center"/>
          </w:tcPr>
          <w:p>
            <w:pPr>
              <w:jc w:val="center"/>
              <w:rPr>
                <w:rFonts w:ascii="Times New Roman" w:hAnsi="Times New Roman"/>
              </w:rPr>
            </w:pPr>
            <w:r>
              <w:rPr>
                <w:rFonts w:hint="eastAsia" w:ascii="Times New Roman" w:hAnsi="Times New Roman"/>
              </w:rPr>
              <w:t>1</w:t>
            </w:r>
          </w:p>
        </w:tc>
        <w:tc>
          <w:tcPr>
            <w:tcW w:w="814" w:type="pct"/>
            <w:vAlign w:val="center"/>
          </w:tcPr>
          <w:p>
            <w:pPr>
              <w:widowControl/>
              <w:jc w:val="center"/>
              <w:textAlignment w:val="center"/>
              <w:rPr>
                <w:rFonts w:ascii="Times New Roman" w:hAnsi="Times New Roman"/>
                <w:kern w:val="2"/>
              </w:rPr>
            </w:pPr>
            <w:r>
              <w:rPr>
                <w:kern w:val="2"/>
              </w:rPr>
              <w:t>砷</w:t>
            </w:r>
          </w:p>
        </w:tc>
        <w:tc>
          <w:tcPr>
            <w:tcW w:w="669" w:type="pct"/>
            <w:vAlign w:val="center"/>
          </w:tcPr>
          <w:p>
            <w:pPr>
              <w:widowControl/>
              <w:jc w:val="center"/>
              <w:textAlignment w:val="center"/>
              <w:rPr>
                <w:rFonts w:ascii="Times New Roman" w:hAnsi="Times New Roman"/>
                <w:kern w:val="2"/>
              </w:rPr>
            </w:pPr>
            <w:r>
              <w:rPr>
                <w:rFonts w:ascii="Times New Roman" w:hAnsi="Times New Roman"/>
              </w:rPr>
              <w:t>60</w:t>
            </w:r>
          </w:p>
        </w:tc>
        <w:tc>
          <w:tcPr>
            <w:tcW w:w="608" w:type="pct"/>
            <w:vAlign w:val="center"/>
          </w:tcPr>
          <w:p>
            <w:pPr>
              <w:widowControl/>
              <w:jc w:val="center"/>
              <w:textAlignment w:val="center"/>
              <w:rPr>
                <w:rFonts w:ascii="Times New Roman" w:hAnsi="Times New Roman"/>
                <w:kern w:val="2"/>
              </w:rPr>
            </w:pPr>
            <w:r>
              <w:rPr>
                <w:rFonts w:hint="eastAsia" w:ascii="Times New Roman" w:hAnsi="Times New Roman"/>
                <w:kern w:val="2"/>
              </w:rPr>
              <w:t>6.29</w:t>
            </w:r>
          </w:p>
        </w:tc>
        <w:tc>
          <w:tcPr>
            <w:tcW w:w="449" w:type="pct"/>
            <w:vAlign w:val="center"/>
          </w:tcPr>
          <w:p>
            <w:pPr>
              <w:jc w:val="center"/>
              <w:rPr>
                <w:rFonts w:ascii="Times New Roman" w:hAnsi="Times New Roman"/>
                <w:kern w:val="2"/>
              </w:rPr>
            </w:pPr>
            <w:r>
              <w:rPr>
                <w:rFonts w:hint="eastAsia" w:ascii="Times New Roman" w:hAnsi="Times New Roman"/>
                <w:kern w:val="2"/>
              </w:rPr>
              <w:t>5.51</w:t>
            </w:r>
          </w:p>
        </w:tc>
        <w:tc>
          <w:tcPr>
            <w:tcW w:w="449" w:type="pct"/>
            <w:vAlign w:val="center"/>
          </w:tcPr>
          <w:p>
            <w:pPr>
              <w:jc w:val="center"/>
              <w:rPr>
                <w:rFonts w:ascii="Times New Roman" w:hAnsi="Times New Roman"/>
                <w:kern w:val="2"/>
              </w:rPr>
            </w:pPr>
            <w:r>
              <w:rPr>
                <w:rFonts w:hint="eastAsia" w:ascii="Times New Roman" w:hAnsi="Times New Roman"/>
                <w:kern w:val="2"/>
              </w:rPr>
              <w:t>5.16</w:t>
            </w:r>
          </w:p>
        </w:tc>
        <w:tc>
          <w:tcPr>
            <w:tcW w:w="450" w:type="pct"/>
            <w:vAlign w:val="center"/>
          </w:tcPr>
          <w:p>
            <w:pPr>
              <w:jc w:val="center"/>
              <w:rPr>
                <w:rFonts w:ascii="Times New Roman" w:hAnsi="Times New Roman"/>
                <w:kern w:val="2"/>
              </w:rPr>
            </w:pPr>
            <w:r>
              <w:rPr>
                <w:rFonts w:hint="eastAsia" w:ascii="Times New Roman" w:hAnsi="Times New Roman"/>
                <w:kern w:val="2"/>
              </w:rPr>
              <w:t>4.88</w:t>
            </w:r>
          </w:p>
        </w:tc>
        <w:tc>
          <w:tcPr>
            <w:tcW w:w="448" w:type="pct"/>
            <w:vAlign w:val="center"/>
          </w:tcPr>
          <w:p>
            <w:pPr>
              <w:jc w:val="center"/>
              <w:rPr>
                <w:rFonts w:ascii="Times New Roman" w:hAnsi="Times New Roman"/>
                <w:kern w:val="2"/>
              </w:rPr>
            </w:pPr>
            <w:r>
              <w:rPr>
                <w:rFonts w:hint="eastAsia" w:ascii="Times New Roman" w:hAnsi="Times New Roman"/>
                <w:kern w:val="2"/>
              </w:rPr>
              <w:t>6.20</w:t>
            </w:r>
          </w:p>
        </w:tc>
        <w:tc>
          <w:tcPr>
            <w:tcW w:w="449" w:type="pct"/>
            <w:vAlign w:val="center"/>
          </w:tcPr>
          <w:p>
            <w:pPr>
              <w:jc w:val="center"/>
              <w:rPr>
                <w:rFonts w:ascii="Times New Roman" w:hAnsi="Times New Roman"/>
                <w:kern w:val="2"/>
              </w:rPr>
            </w:pPr>
            <w:r>
              <w:rPr>
                <w:rFonts w:hint="eastAsia" w:ascii="Times New Roman" w:hAnsi="Times New Roman"/>
                <w:kern w:val="2"/>
              </w:rPr>
              <w:t>5.93</w:t>
            </w:r>
          </w:p>
        </w:tc>
        <w:tc>
          <w:tcPr>
            <w:tcW w:w="448" w:type="pct"/>
            <w:vAlign w:val="center"/>
          </w:tcPr>
          <w:p>
            <w:pPr>
              <w:jc w:val="center"/>
              <w:rPr>
                <w:rFonts w:ascii="Times New Roman" w:hAnsi="Times New Roman"/>
                <w:kern w:val="2"/>
              </w:rPr>
            </w:pPr>
            <w:r>
              <w:rPr>
                <w:rFonts w:hint="eastAsia" w:ascii="Times New Roman" w:hAnsi="Times New Roman"/>
                <w:kern w:val="2"/>
              </w:rPr>
              <w:t>5.71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217" w:type="pct"/>
            <w:vAlign w:val="center"/>
          </w:tcPr>
          <w:p>
            <w:pPr>
              <w:jc w:val="center"/>
              <w:rPr>
                <w:rFonts w:ascii="Times New Roman" w:hAnsi="Times New Roman"/>
              </w:rPr>
            </w:pPr>
            <w:r>
              <w:rPr>
                <w:rFonts w:hint="eastAsia" w:ascii="Times New Roman" w:hAnsi="Times New Roman"/>
              </w:rPr>
              <w:t>2</w:t>
            </w:r>
          </w:p>
        </w:tc>
        <w:tc>
          <w:tcPr>
            <w:tcW w:w="814" w:type="pct"/>
            <w:vAlign w:val="center"/>
          </w:tcPr>
          <w:p>
            <w:pPr>
              <w:widowControl/>
              <w:jc w:val="center"/>
              <w:textAlignment w:val="center"/>
              <w:rPr>
                <w:rFonts w:ascii="Times New Roman" w:hAnsi="Times New Roman"/>
                <w:kern w:val="2"/>
              </w:rPr>
            </w:pPr>
            <w:r>
              <w:t>镉</w:t>
            </w:r>
          </w:p>
        </w:tc>
        <w:tc>
          <w:tcPr>
            <w:tcW w:w="669" w:type="pct"/>
            <w:vAlign w:val="center"/>
          </w:tcPr>
          <w:p>
            <w:pPr>
              <w:widowControl/>
              <w:jc w:val="center"/>
              <w:textAlignment w:val="center"/>
              <w:rPr>
                <w:rFonts w:ascii="Times New Roman" w:hAnsi="Times New Roman"/>
              </w:rPr>
            </w:pPr>
            <w:r>
              <w:rPr>
                <w:rFonts w:ascii="Times New Roman" w:hAnsi="Times New Roman"/>
              </w:rPr>
              <w:t>65</w:t>
            </w:r>
          </w:p>
        </w:tc>
        <w:tc>
          <w:tcPr>
            <w:tcW w:w="608" w:type="pct"/>
            <w:vAlign w:val="center"/>
          </w:tcPr>
          <w:p>
            <w:pPr>
              <w:widowControl/>
              <w:jc w:val="center"/>
              <w:textAlignment w:val="center"/>
              <w:rPr>
                <w:rFonts w:ascii="Times New Roman" w:hAnsi="Times New Roman"/>
              </w:rPr>
            </w:pPr>
            <w:r>
              <w:rPr>
                <w:rFonts w:hint="eastAsia" w:ascii="Times New Roman" w:hAnsi="Times New Roman"/>
              </w:rPr>
              <w:t>0.05</w:t>
            </w:r>
          </w:p>
        </w:tc>
        <w:tc>
          <w:tcPr>
            <w:tcW w:w="449" w:type="pct"/>
            <w:vAlign w:val="center"/>
          </w:tcPr>
          <w:p>
            <w:pPr>
              <w:jc w:val="center"/>
              <w:rPr>
                <w:rFonts w:ascii="Times New Roman" w:hAnsi="Times New Roman"/>
                <w:kern w:val="2"/>
              </w:rPr>
            </w:pPr>
            <w:r>
              <w:rPr>
                <w:rFonts w:hint="eastAsia" w:ascii="Times New Roman" w:hAnsi="Times New Roman"/>
                <w:kern w:val="2"/>
              </w:rPr>
              <w:t>0.11</w:t>
            </w:r>
          </w:p>
        </w:tc>
        <w:tc>
          <w:tcPr>
            <w:tcW w:w="449" w:type="pct"/>
            <w:vAlign w:val="center"/>
          </w:tcPr>
          <w:p>
            <w:pPr>
              <w:jc w:val="center"/>
              <w:rPr>
                <w:rFonts w:ascii="Times New Roman" w:hAnsi="Times New Roman"/>
                <w:kern w:val="2"/>
              </w:rPr>
            </w:pPr>
            <w:r>
              <w:rPr>
                <w:rFonts w:hint="eastAsia" w:ascii="Times New Roman" w:hAnsi="Times New Roman"/>
                <w:kern w:val="2"/>
              </w:rPr>
              <w:t>0.09</w:t>
            </w:r>
          </w:p>
        </w:tc>
        <w:tc>
          <w:tcPr>
            <w:tcW w:w="450" w:type="pct"/>
            <w:vAlign w:val="center"/>
          </w:tcPr>
          <w:p>
            <w:pPr>
              <w:jc w:val="center"/>
              <w:rPr>
                <w:rFonts w:ascii="Times New Roman" w:hAnsi="Times New Roman"/>
                <w:kern w:val="2"/>
              </w:rPr>
            </w:pPr>
            <w:r>
              <w:rPr>
                <w:rFonts w:hint="eastAsia" w:ascii="Times New Roman" w:hAnsi="Times New Roman"/>
                <w:kern w:val="2"/>
              </w:rPr>
              <w:t>0.08</w:t>
            </w:r>
          </w:p>
        </w:tc>
        <w:tc>
          <w:tcPr>
            <w:tcW w:w="448" w:type="pct"/>
            <w:vAlign w:val="center"/>
          </w:tcPr>
          <w:p>
            <w:pPr>
              <w:jc w:val="center"/>
              <w:rPr>
                <w:rFonts w:ascii="Times New Roman" w:hAnsi="Times New Roman"/>
                <w:kern w:val="2"/>
              </w:rPr>
            </w:pPr>
            <w:r>
              <w:rPr>
                <w:rFonts w:hint="eastAsia" w:ascii="Times New Roman" w:hAnsi="Times New Roman"/>
                <w:kern w:val="2"/>
              </w:rPr>
              <w:t>0.12</w:t>
            </w:r>
          </w:p>
        </w:tc>
        <w:tc>
          <w:tcPr>
            <w:tcW w:w="449" w:type="pct"/>
            <w:vAlign w:val="center"/>
          </w:tcPr>
          <w:p>
            <w:pPr>
              <w:jc w:val="center"/>
              <w:rPr>
                <w:rFonts w:ascii="Times New Roman" w:hAnsi="Times New Roman"/>
                <w:kern w:val="2"/>
              </w:rPr>
            </w:pPr>
            <w:r>
              <w:rPr>
                <w:rFonts w:hint="eastAsia" w:ascii="Times New Roman" w:hAnsi="Times New Roman"/>
                <w:kern w:val="2"/>
              </w:rPr>
              <w:t>0.09</w:t>
            </w:r>
          </w:p>
        </w:tc>
        <w:tc>
          <w:tcPr>
            <w:tcW w:w="448" w:type="pct"/>
            <w:vAlign w:val="center"/>
          </w:tcPr>
          <w:p>
            <w:pPr>
              <w:jc w:val="center"/>
              <w:rPr>
                <w:rFonts w:ascii="Times New Roman" w:hAnsi="Times New Roman"/>
                <w:kern w:val="2"/>
              </w:rPr>
            </w:pPr>
            <w:r>
              <w:rPr>
                <w:rFonts w:hint="eastAsia" w:ascii="Times New Roman" w:hAnsi="Times New Roman"/>
                <w:kern w:val="2"/>
              </w:rPr>
              <w:t>0.09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217" w:type="pct"/>
            <w:vAlign w:val="center"/>
          </w:tcPr>
          <w:p>
            <w:pPr>
              <w:jc w:val="center"/>
              <w:rPr>
                <w:rFonts w:ascii="Times New Roman" w:hAnsi="Times New Roman"/>
              </w:rPr>
            </w:pPr>
            <w:r>
              <w:rPr>
                <w:rFonts w:hint="eastAsia" w:ascii="Times New Roman" w:hAnsi="Times New Roman"/>
              </w:rPr>
              <w:t>3</w:t>
            </w:r>
          </w:p>
        </w:tc>
        <w:tc>
          <w:tcPr>
            <w:tcW w:w="814" w:type="pct"/>
            <w:vAlign w:val="center"/>
          </w:tcPr>
          <w:p>
            <w:pPr>
              <w:jc w:val="center"/>
              <w:rPr>
                <w:rFonts w:ascii="Times New Roman" w:hAnsi="Times New Roman"/>
                <w:kern w:val="2"/>
              </w:rPr>
            </w:pPr>
            <w:r>
              <w:t>铬（六价）</w:t>
            </w:r>
          </w:p>
        </w:tc>
        <w:tc>
          <w:tcPr>
            <w:tcW w:w="669" w:type="pct"/>
            <w:vAlign w:val="center"/>
          </w:tcPr>
          <w:p>
            <w:pPr>
              <w:jc w:val="center"/>
              <w:rPr>
                <w:rFonts w:ascii="Times New Roman" w:hAnsi="Times New Roman"/>
                <w:kern w:val="2"/>
              </w:rPr>
            </w:pPr>
            <w:r>
              <w:rPr>
                <w:rFonts w:ascii="Times New Roman" w:hAnsi="Times New Roman"/>
              </w:rPr>
              <w:t>5.7</w:t>
            </w:r>
          </w:p>
        </w:tc>
        <w:tc>
          <w:tcPr>
            <w:tcW w:w="608" w:type="pct"/>
            <w:vAlign w:val="center"/>
          </w:tcPr>
          <w:p>
            <w:pPr>
              <w:jc w:val="center"/>
              <w:rPr>
                <w:rFonts w:ascii="Times New Roman" w:hAnsi="Times New Roman"/>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50"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217" w:type="pct"/>
            <w:vAlign w:val="center"/>
          </w:tcPr>
          <w:p>
            <w:pPr>
              <w:jc w:val="center"/>
              <w:rPr>
                <w:rFonts w:ascii="Times New Roman" w:hAnsi="Times New Roman"/>
              </w:rPr>
            </w:pPr>
            <w:r>
              <w:rPr>
                <w:rFonts w:hint="eastAsia" w:ascii="Times New Roman" w:hAnsi="Times New Roman"/>
              </w:rPr>
              <w:t>4</w:t>
            </w:r>
          </w:p>
        </w:tc>
        <w:tc>
          <w:tcPr>
            <w:tcW w:w="814" w:type="pct"/>
            <w:vAlign w:val="center"/>
          </w:tcPr>
          <w:p>
            <w:pPr>
              <w:jc w:val="center"/>
              <w:rPr>
                <w:rFonts w:ascii="Times New Roman" w:hAnsi="Times New Roman"/>
                <w:kern w:val="2"/>
              </w:rPr>
            </w:pPr>
            <w:r>
              <w:t>铜</w:t>
            </w:r>
          </w:p>
        </w:tc>
        <w:tc>
          <w:tcPr>
            <w:tcW w:w="669" w:type="pct"/>
            <w:vAlign w:val="center"/>
          </w:tcPr>
          <w:p>
            <w:pPr>
              <w:jc w:val="center"/>
              <w:rPr>
                <w:rFonts w:ascii="Times New Roman" w:hAnsi="Times New Roman"/>
              </w:rPr>
            </w:pPr>
            <w:r>
              <w:rPr>
                <w:rFonts w:ascii="Times New Roman" w:hAnsi="Times New Roman"/>
              </w:rPr>
              <w:t>18000</w:t>
            </w:r>
          </w:p>
        </w:tc>
        <w:tc>
          <w:tcPr>
            <w:tcW w:w="608" w:type="pct"/>
            <w:vAlign w:val="center"/>
          </w:tcPr>
          <w:p>
            <w:pPr>
              <w:jc w:val="center"/>
              <w:rPr>
                <w:rFonts w:ascii="Times New Roman" w:hAnsi="Times New Roman"/>
              </w:rPr>
            </w:pPr>
            <w:r>
              <w:rPr>
                <w:rFonts w:hint="eastAsia" w:ascii="Times New Roman" w:hAnsi="Times New Roman"/>
              </w:rPr>
              <w:t>24</w:t>
            </w:r>
          </w:p>
        </w:tc>
        <w:tc>
          <w:tcPr>
            <w:tcW w:w="449" w:type="pct"/>
            <w:vAlign w:val="center"/>
          </w:tcPr>
          <w:p>
            <w:pPr>
              <w:jc w:val="center"/>
              <w:rPr>
                <w:rFonts w:ascii="Times New Roman" w:hAnsi="Times New Roman"/>
                <w:kern w:val="2"/>
              </w:rPr>
            </w:pPr>
            <w:r>
              <w:rPr>
                <w:rFonts w:hint="eastAsia" w:ascii="Times New Roman" w:hAnsi="Times New Roman"/>
                <w:kern w:val="2"/>
              </w:rPr>
              <w:t>22</w:t>
            </w:r>
          </w:p>
        </w:tc>
        <w:tc>
          <w:tcPr>
            <w:tcW w:w="449" w:type="pct"/>
            <w:vAlign w:val="center"/>
          </w:tcPr>
          <w:p>
            <w:pPr>
              <w:jc w:val="center"/>
              <w:rPr>
                <w:rFonts w:ascii="Times New Roman" w:hAnsi="Times New Roman"/>
                <w:kern w:val="2"/>
              </w:rPr>
            </w:pPr>
            <w:r>
              <w:rPr>
                <w:rFonts w:hint="eastAsia" w:ascii="Times New Roman" w:hAnsi="Times New Roman"/>
                <w:kern w:val="2"/>
              </w:rPr>
              <w:t>21</w:t>
            </w:r>
          </w:p>
        </w:tc>
        <w:tc>
          <w:tcPr>
            <w:tcW w:w="450" w:type="pct"/>
            <w:vAlign w:val="center"/>
          </w:tcPr>
          <w:p>
            <w:pPr>
              <w:jc w:val="center"/>
              <w:rPr>
                <w:rFonts w:ascii="Times New Roman" w:hAnsi="Times New Roman"/>
                <w:kern w:val="2"/>
              </w:rPr>
            </w:pPr>
            <w:r>
              <w:rPr>
                <w:rFonts w:hint="eastAsia" w:ascii="Times New Roman" w:hAnsi="Times New Roman"/>
                <w:kern w:val="2"/>
              </w:rPr>
              <w:t>19</w:t>
            </w:r>
          </w:p>
        </w:tc>
        <w:tc>
          <w:tcPr>
            <w:tcW w:w="448" w:type="pct"/>
            <w:vAlign w:val="center"/>
          </w:tcPr>
          <w:p>
            <w:pPr>
              <w:jc w:val="center"/>
              <w:rPr>
                <w:rFonts w:ascii="Times New Roman" w:hAnsi="Times New Roman"/>
                <w:kern w:val="2"/>
              </w:rPr>
            </w:pPr>
            <w:r>
              <w:rPr>
                <w:rFonts w:hint="eastAsia" w:ascii="Times New Roman" w:hAnsi="Times New Roman"/>
                <w:kern w:val="2"/>
              </w:rPr>
              <w:t>26</w:t>
            </w:r>
          </w:p>
        </w:tc>
        <w:tc>
          <w:tcPr>
            <w:tcW w:w="449" w:type="pct"/>
            <w:vAlign w:val="center"/>
          </w:tcPr>
          <w:p>
            <w:pPr>
              <w:jc w:val="center"/>
              <w:rPr>
                <w:rFonts w:ascii="Times New Roman" w:hAnsi="Times New Roman"/>
                <w:kern w:val="2"/>
              </w:rPr>
            </w:pPr>
            <w:r>
              <w:rPr>
                <w:rFonts w:hint="eastAsia" w:ascii="Times New Roman" w:hAnsi="Times New Roman"/>
                <w:kern w:val="2"/>
              </w:rPr>
              <w:t>24</w:t>
            </w:r>
          </w:p>
        </w:tc>
        <w:tc>
          <w:tcPr>
            <w:tcW w:w="448" w:type="pct"/>
            <w:vAlign w:val="center"/>
          </w:tcPr>
          <w:p>
            <w:pPr>
              <w:jc w:val="center"/>
              <w:rPr>
                <w:rFonts w:ascii="Times New Roman" w:hAnsi="Times New Roman"/>
                <w:kern w:val="2"/>
              </w:rPr>
            </w:pPr>
            <w:r>
              <w:rPr>
                <w:rFonts w:hint="eastAsia" w:ascii="Times New Roman" w:hAnsi="Times New Roman"/>
                <w:kern w:val="2"/>
              </w:rPr>
              <w:t>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217" w:type="pct"/>
            <w:vAlign w:val="center"/>
          </w:tcPr>
          <w:p>
            <w:pPr>
              <w:jc w:val="center"/>
              <w:rPr>
                <w:rFonts w:ascii="Times New Roman" w:hAnsi="Times New Roman"/>
              </w:rPr>
            </w:pPr>
            <w:r>
              <w:rPr>
                <w:rFonts w:hint="eastAsia" w:ascii="Times New Roman" w:hAnsi="Times New Roman"/>
              </w:rPr>
              <w:t>5</w:t>
            </w:r>
          </w:p>
        </w:tc>
        <w:tc>
          <w:tcPr>
            <w:tcW w:w="814" w:type="pct"/>
            <w:vAlign w:val="center"/>
          </w:tcPr>
          <w:p>
            <w:pPr>
              <w:jc w:val="center"/>
              <w:rPr>
                <w:rFonts w:ascii="Times New Roman" w:hAnsi="Times New Roman"/>
                <w:kern w:val="2"/>
              </w:rPr>
            </w:pPr>
            <w:r>
              <w:t>铅</w:t>
            </w:r>
          </w:p>
        </w:tc>
        <w:tc>
          <w:tcPr>
            <w:tcW w:w="669" w:type="pct"/>
            <w:vAlign w:val="center"/>
          </w:tcPr>
          <w:p>
            <w:pPr>
              <w:jc w:val="center"/>
              <w:rPr>
                <w:rFonts w:ascii="Times New Roman" w:hAnsi="Times New Roman"/>
              </w:rPr>
            </w:pPr>
            <w:r>
              <w:rPr>
                <w:rFonts w:ascii="Times New Roman" w:hAnsi="Times New Roman"/>
              </w:rPr>
              <w:t>800</w:t>
            </w:r>
          </w:p>
        </w:tc>
        <w:tc>
          <w:tcPr>
            <w:tcW w:w="608" w:type="pct"/>
            <w:vAlign w:val="center"/>
          </w:tcPr>
          <w:p>
            <w:pPr>
              <w:jc w:val="center"/>
              <w:rPr>
                <w:rFonts w:ascii="Times New Roman" w:hAnsi="Times New Roman"/>
              </w:rPr>
            </w:pPr>
            <w:r>
              <w:rPr>
                <w:rFonts w:hint="eastAsia" w:ascii="Times New Roman" w:hAnsi="Times New Roman"/>
              </w:rPr>
              <w:t>24.0</w:t>
            </w:r>
          </w:p>
        </w:tc>
        <w:tc>
          <w:tcPr>
            <w:tcW w:w="449" w:type="pct"/>
            <w:vAlign w:val="center"/>
          </w:tcPr>
          <w:p>
            <w:pPr>
              <w:jc w:val="center"/>
              <w:rPr>
                <w:rFonts w:ascii="Times New Roman" w:hAnsi="Times New Roman"/>
                <w:kern w:val="2"/>
              </w:rPr>
            </w:pPr>
            <w:r>
              <w:rPr>
                <w:rFonts w:hint="eastAsia" w:ascii="Times New Roman" w:hAnsi="Times New Roman"/>
                <w:kern w:val="2"/>
              </w:rPr>
              <w:t>21.9</w:t>
            </w:r>
          </w:p>
        </w:tc>
        <w:tc>
          <w:tcPr>
            <w:tcW w:w="449" w:type="pct"/>
            <w:vAlign w:val="center"/>
          </w:tcPr>
          <w:p>
            <w:pPr>
              <w:jc w:val="center"/>
              <w:rPr>
                <w:rFonts w:ascii="Times New Roman" w:hAnsi="Times New Roman"/>
                <w:kern w:val="2"/>
              </w:rPr>
            </w:pPr>
            <w:r>
              <w:rPr>
                <w:rFonts w:hint="eastAsia" w:ascii="Times New Roman" w:hAnsi="Times New Roman"/>
                <w:kern w:val="2"/>
              </w:rPr>
              <w:t>21.4</w:t>
            </w:r>
          </w:p>
        </w:tc>
        <w:tc>
          <w:tcPr>
            <w:tcW w:w="450" w:type="pct"/>
            <w:vAlign w:val="center"/>
          </w:tcPr>
          <w:p>
            <w:pPr>
              <w:jc w:val="center"/>
              <w:rPr>
                <w:rFonts w:ascii="Times New Roman" w:hAnsi="Times New Roman"/>
                <w:kern w:val="2"/>
              </w:rPr>
            </w:pPr>
            <w:r>
              <w:rPr>
                <w:rFonts w:hint="eastAsia" w:ascii="Times New Roman" w:hAnsi="Times New Roman"/>
                <w:kern w:val="2"/>
              </w:rPr>
              <w:t>20.7</w:t>
            </w:r>
          </w:p>
        </w:tc>
        <w:tc>
          <w:tcPr>
            <w:tcW w:w="448" w:type="pct"/>
            <w:vAlign w:val="center"/>
          </w:tcPr>
          <w:p>
            <w:pPr>
              <w:jc w:val="center"/>
              <w:rPr>
                <w:rFonts w:ascii="Times New Roman" w:hAnsi="Times New Roman"/>
                <w:kern w:val="2"/>
              </w:rPr>
            </w:pPr>
            <w:r>
              <w:rPr>
                <w:rFonts w:hint="eastAsia" w:ascii="Times New Roman" w:hAnsi="Times New Roman"/>
                <w:kern w:val="2"/>
              </w:rPr>
              <w:t>33.7</w:t>
            </w:r>
          </w:p>
        </w:tc>
        <w:tc>
          <w:tcPr>
            <w:tcW w:w="449" w:type="pct"/>
            <w:vAlign w:val="center"/>
          </w:tcPr>
          <w:p>
            <w:pPr>
              <w:jc w:val="center"/>
              <w:rPr>
                <w:rFonts w:ascii="Times New Roman" w:hAnsi="Times New Roman"/>
                <w:kern w:val="2"/>
              </w:rPr>
            </w:pPr>
            <w:r>
              <w:rPr>
                <w:rFonts w:hint="eastAsia" w:ascii="Times New Roman" w:hAnsi="Times New Roman"/>
                <w:kern w:val="2"/>
              </w:rPr>
              <w:t>32.8</w:t>
            </w:r>
          </w:p>
        </w:tc>
        <w:tc>
          <w:tcPr>
            <w:tcW w:w="448" w:type="pct"/>
            <w:vAlign w:val="center"/>
          </w:tcPr>
          <w:p>
            <w:pPr>
              <w:jc w:val="center"/>
              <w:rPr>
                <w:rFonts w:ascii="Times New Roman" w:hAnsi="Times New Roman"/>
                <w:kern w:val="2"/>
              </w:rPr>
            </w:pPr>
            <w:r>
              <w:rPr>
                <w:rFonts w:hint="eastAsia" w:ascii="Times New Roman" w:hAnsi="Times New Roman"/>
                <w:kern w:val="2"/>
              </w:rPr>
              <w:t>31.4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217" w:type="pct"/>
            <w:vAlign w:val="center"/>
          </w:tcPr>
          <w:p>
            <w:pPr>
              <w:jc w:val="center"/>
              <w:rPr>
                <w:rFonts w:ascii="Times New Roman" w:hAnsi="Times New Roman"/>
              </w:rPr>
            </w:pPr>
            <w:r>
              <w:rPr>
                <w:rFonts w:hint="eastAsia" w:ascii="Times New Roman" w:hAnsi="Times New Roman"/>
              </w:rPr>
              <w:t>6</w:t>
            </w:r>
          </w:p>
        </w:tc>
        <w:tc>
          <w:tcPr>
            <w:tcW w:w="814" w:type="pct"/>
            <w:vAlign w:val="center"/>
          </w:tcPr>
          <w:p>
            <w:pPr>
              <w:jc w:val="center"/>
              <w:rPr>
                <w:rFonts w:ascii="Times New Roman" w:hAnsi="Times New Roman"/>
                <w:kern w:val="2"/>
              </w:rPr>
            </w:pPr>
            <w:r>
              <w:t>汞</w:t>
            </w:r>
          </w:p>
        </w:tc>
        <w:tc>
          <w:tcPr>
            <w:tcW w:w="669" w:type="pct"/>
            <w:vAlign w:val="center"/>
          </w:tcPr>
          <w:p>
            <w:pPr>
              <w:jc w:val="center"/>
              <w:rPr>
                <w:rFonts w:ascii="Times New Roman" w:hAnsi="Times New Roman"/>
              </w:rPr>
            </w:pPr>
            <w:r>
              <w:rPr>
                <w:rFonts w:ascii="Times New Roman" w:hAnsi="Times New Roman"/>
              </w:rPr>
              <w:t>38</w:t>
            </w:r>
          </w:p>
        </w:tc>
        <w:tc>
          <w:tcPr>
            <w:tcW w:w="608" w:type="pct"/>
            <w:vAlign w:val="center"/>
          </w:tcPr>
          <w:p>
            <w:pPr>
              <w:jc w:val="center"/>
              <w:rPr>
                <w:rFonts w:ascii="Times New Roman" w:hAnsi="Times New Roman"/>
              </w:rPr>
            </w:pPr>
            <w:r>
              <w:rPr>
                <w:rFonts w:hint="eastAsia" w:ascii="Times New Roman" w:hAnsi="Times New Roman"/>
              </w:rPr>
              <w:t>0.198</w:t>
            </w:r>
          </w:p>
        </w:tc>
        <w:tc>
          <w:tcPr>
            <w:tcW w:w="449" w:type="pct"/>
            <w:vAlign w:val="center"/>
          </w:tcPr>
          <w:p>
            <w:pPr>
              <w:jc w:val="center"/>
              <w:rPr>
                <w:rFonts w:ascii="Times New Roman" w:hAnsi="Times New Roman"/>
                <w:kern w:val="2"/>
              </w:rPr>
            </w:pPr>
            <w:r>
              <w:rPr>
                <w:rFonts w:hint="eastAsia" w:ascii="Times New Roman" w:hAnsi="Times New Roman"/>
                <w:kern w:val="2"/>
              </w:rPr>
              <w:t>0.114</w:t>
            </w:r>
          </w:p>
        </w:tc>
        <w:tc>
          <w:tcPr>
            <w:tcW w:w="449" w:type="pct"/>
            <w:vAlign w:val="center"/>
          </w:tcPr>
          <w:p>
            <w:pPr>
              <w:jc w:val="center"/>
              <w:rPr>
                <w:rFonts w:ascii="Times New Roman" w:hAnsi="Times New Roman"/>
                <w:kern w:val="2"/>
              </w:rPr>
            </w:pPr>
            <w:r>
              <w:rPr>
                <w:rFonts w:hint="eastAsia" w:ascii="Times New Roman" w:hAnsi="Times New Roman"/>
                <w:kern w:val="2"/>
              </w:rPr>
              <w:t>0.109</w:t>
            </w:r>
          </w:p>
        </w:tc>
        <w:tc>
          <w:tcPr>
            <w:tcW w:w="450" w:type="pct"/>
            <w:vAlign w:val="center"/>
          </w:tcPr>
          <w:p>
            <w:pPr>
              <w:jc w:val="center"/>
              <w:rPr>
                <w:rFonts w:ascii="Times New Roman" w:hAnsi="Times New Roman"/>
                <w:kern w:val="2"/>
              </w:rPr>
            </w:pPr>
            <w:r>
              <w:rPr>
                <w:rFonts w:hint="eastAsia" w:ascii="Times New Roman" w:hAnsi="Times New Roman"/>
                <w:kern w:val="2"/>
              </w:rPr>
              <w:t>0.105</w:t>
            </w:r>
          </w:p>
        </w:tc>
        <w:tc>
          <w:tcPr>
            <w:tcW w:w="448" w:type="pct"/>
            <w:vAlign w:val="center"/>
          </w:tcPr>
          <w:p>
            <w:pPr>
              <w:jc w:val="center"/>
              <w:rPr>
                <w:rFonts w:ascii="Times New Roman" w:hAnsi="Times New Roman"/>
                <w:kern w:val="2"/>
              </w:rPr>
            </w:pPr>
            <w:r>
              <w:rPr>
                <w:rFonts w:hint="eastAsia" w:ascii="Times New Roman" w:hAnsi="Times New Roman"/>
                <w:kern w:val="2"/>
              </w:rPr>
              <w:t>0.152</w:t>
            </w:r>
          </w:p>
        </w:tc>
        <w:tc>
          <w:tcPr>
            <w:tcW w:w="449" w:type="pct"/>
            <w:vAlign w:val="center"/>
          </w:tcPr>
          <w:p>
            <w:pPr>
              <w:jc w:val="center"/>
              <w:rPr>
                <w:rFonts w:ascii="Times New Roman" w:hAnsi="Times New Roman"/>
                <w:kern w:val="2"/>
              </w:rPr>
            </w:pPr>
            <w:r>
              <w:rPr>
                <w:rFonts w:hint="eastAsia" w:ascii="Times New Roman" w:hAnsi="Times New Roman"/>
                <w:kern w:val="2"/>
              </w:rPr>
              <w:t>0.143</w:t>
            </w:r>
          </w:p>
        </w:tc>
        <w:tc>
          <w:tcPr>
            <w:tcW w:w="448" w:type="pct"/>
            <w:vAlign w:val="center"/>
          </w:tcPr>
          <w:p>
            <w:pPr>
              <w:jc w:val="center"/>
              <w:rPr>
                <w:rFonts w:ascii="Times New Roman" w:hAnsi="Times New Roman"/>
                <w:kern w:val="2"/>
              </w:rPr>
            </w:pPr>
            <w:r>
              <w:rPr>
                <w:rFonts w:hint="eastAsia" w:ascii="Times New Roman" w:hAnsi="Times New Roman"/>
                <w:kern w:val="2"/>
              </w:rPr>
              <w:t>0.139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217" w:type="pct"/>
            <w:vAlign w:val="center"/>
          </w:tcPr>
          <w:p>
            <w:pPr>
              <w:jc w:val="center"/>
              <w:rPr>
                <w:rFonts w:ascii="Times New Roman" w:hAnsi="Times New Roman"/>
              </w:rPr>
            </w:pPr>
            <w:r>
              <w:rPr>
                <w:rFonts w:hint="eastAsia" w:ascii="Times New Roman" w:hAnsi="Times New Roman"/>
              </w:rPr>
              <w:t>7</w:t>
            </w:r>
          </w:p>
        </w:tc>
        <w:tc>
          <w:tcPr>
            <w:tcW w:w="814" w:type="pct"/>
            <w:vAlign w:val="center"/>
          </w:tcPr>
          <w:p>
            <w:pPr>
              <w:jc w:val="center"/>
              <w:rPr>
                <w:rFonts w:ascii="Times New Roman" w:hAnsi="Times New Roman"/>
                <w:kern w:val="2"/>
              </w:rPr>
            </w:pPr>
            <w:r>
              <w:t>镍</w:t>
            </w:r>
          </w:p>
        </w:tc>
        <w:tc>
          <w:tcPr>
            <w:tcW w:w="669" w:type="pct"/>
            <w:vAlign w:val="center"/>
          </w:tcPr>
          <w:p>
            <w:pPr>
              <w:jc w:val="center"/>
              <w:rPr>
                <w:rFonts w:ascii="Times New Roman" w:hAnsi="Times New Roman"/>
              </w:rPr>
            </w:pPr>
            <w:r>
              <w:rPr>
                <w:rFonts w:ascii="Times New Roman" w:hAnsi="Times New Roman"/>
              </w:rPr>
              <w:t>900</w:t>
            </w:r>
          </w:p>
        </w:tc>
        <w:tc>
          <w:tcPr>
            <w:tcW w:w="608" w:type="pct"/>
            <w:vAlign w:val="center"/>
          </w:tcPr>
          <w:p>
            <w:pPr>
              <w:jc w:val="center"/>
              <w:rPr>
                <w:rFonts w:ascii="Times New Roman" w:hAnsi="Times New Roman"/>
              </w:rPr>
            </w:pPr>
            <w:r>
              <w:rPr>
                <w:rFonts w:hint="eastAsia" w:ascii="Times New Roman" w:hAnsi="Times New Roman"/>
              </w:rPr>
              <w:t>48</w:t>
            </w:r>
          </w:p>
        </w:tc>
        <w:tc>
          <w:tcPr>
            <w:tcW w:w="449" w:type="pct"/>
            <w:vAlign w:val="center"/>
          </w:tcPr>
          <w:p>
            <w:pPr>
              <w:jc w:val="center"/>
              <w:rPr>
                <w:rFonts w:ascii="Times New Roman" w:hAnsi="Times New Roman"/>
                <w:kern w:val="2"/>
              </w:rPr>
            </w:pPr>
            <w:r>
              <w:rPr>
                <w:rFonts w:hint="eastAsia" w:ascii="Times New Roman" w:hAnsi="Times New Roman"/>
                <w:kern w:val="2"/>
              </w:rPr>
              <w:t>48</w:t>
            </w:r>
          </w:p>
        </w:tc>
        <w:tc>
          <w:tcPr>
            <w:tcW w:w="449" w:type="pct"/>
            <w:vAlign w:val="center"/>
          </w:tcPr>
          <w:p>
            <w:pPr>
              <w:jc w:val="center"/>
              <w:rPr>
                <w:rFonts w:ascii="Times New Roman" w:hAnsi="Times New Roman"/>
                <w:kern w:val="2"/>
              </w:rPr>
            </w:pPr>
            <w:r>
              <w:rPr>
                <w:rFonts w:hint="eastAsia" w:ascii="Times New Roman" w:hAnsi="Times New Roman"/>
                <w:kern w:val="2"/>
              </w:rPr>
              <w:t>45</w:t>
            </w:r>
          </w:p>
        </w:tc>
        <w:tc>
          <w:tcPr>
            <w:tcW w:w="450" w:type="pct"/>
            <w:vAlign w:val="center"/>
          </w:tcPr>
          <w:p>
            <w:pPr>
              <w:jc w:val="center"/>
              <w:rPr>
                <w:rFonts w:ascii="Times New Roman" w:hAnsi="Times New Roman"/>
                <w:kern w:val="2"/>
              </w:rPr>
            </w:pPr>
            <w:r>
              <w:rPr>
                <w:rFonts w:hint="eastAsia" w:ascii="Times New Roman" w:hAnsi="Times New Roman"/>
                <w:kern w:val="2"/>
              </w:rPr>
              <w:t>42</w:t>
            </w:r>
          </w:p>
        </w:tc>
        <w:tc>
          <w:tcPr>
            <w:tcW w:w="448" w:type="pct"/>
            <w:vAlign w:val="center"/>
          </w:tcPr>
          <w:p>
            <w:pPr>
              <w:jc w:val="center"/>
              <w:rPr>
                <w:rFonts w:ascii="Times New Roman" w:hAnsi="Times New Roman"/>
                <w:kern w:val="2"/>
              </w:rPr>
            </w:pPr>
            <w:r>
              <w:rPr>
                <w:rFonts w:hint="eastAsia" w:ascii="Times New Roman" w:hAnsi="Times New Roman"/>
                <w:kern w:val="2"/>
              </w:rPr>
              <w:t>38</w:t>
            </w:r>
          </w:p>
        </w:tc>
        <w:tc>
          <w:tcPr>
            <w:tcW w:w="449" w:type="pct"/>
            <w:vAlign w:val="center"/>
          </w:tcPr>
          <w:p>
            <w:pPr>
              <w:jc w:val="center"/>
              <w:rPr>
                <w:rFonts w:ascii="Times New Roman" w:hAnsi="Times New Roman"/>
                <w:kern w:val="2"/>
              </w:rPr>
            </w:pPr>
            <w:r>
              <w:rPr>
                <w:rFonts w:hint="eastAsia" w:ascii="Times New Roman" w:hAnsi="Times New Roman"/>
                <w:kern w:val="2"/>
              </w:rPr>
              <w:t>36</w:t>
            </w:r>
          </w:p>
        </w:tc>
        <w:tc>
          <w:tcPr>
            <w:tcW w:w="448" w:type="pct"/>
            <w:vAlign w:val="center"/>
          </w:tcPr>
          <w:p>
            <w:pPr>
              <w:jc w:val="center"/>
              <w:rPr>
                <w:rFonts w:ascii="Times New Roman" w:hAnsi="Times New Roman"/>
                <w:kern w:val="2"/>
              </w:rPr>
            </w:pPr>
            <w:r>
              <w:rPr>
                <w:rFonts w:hint="eastAsia" w:ascii="Times New Roman" w:hAnsi="Times New Roman"/>
                <w:kern w:val="2"/>
              </w:rPr>
              <w:t>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217" w:type="pct"/>
            <w:vAlign w:val="center"/>
          </w:tcPr>
          <w:p>
            <w:pPr>
              <w:jc w:val="center"/>
              <w:rPr>
                <w:rFonts w:ascii="Times New Roman" w:hAnsi="Times New Roman"/>
              </w:rPr>
            </w:pPr>
            <w:r>
              <w:rPr>
                <w:rFonts w:hint="eastAsia" w:ascii="Times New Roman" w:hAnsi="Times New Roman"/>
              </w:rPr>
              <w:t>8</w:t>
            </w:r>
          </w:p>
        </w:tc>
        <w:tc>
          <w:tcPr>
            <w:tcW w:w="814" w:type="pct"/>
            <w:vAlign w:val="center"/>
          </w:tcPr>
          <w:p>
            <w:pPr>
              <w:jc w:val="center"/>
              <w:rPr>
                <w:rFonts w:ascii="Times New Roman" w:hAnsi="Times New Roman"/>
              </w:rPr>
            </w:pPr>
            <w:r>
              <w:t>四氯化碳（</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2.8</w:t>
            </w:r>
          </w:p>
        </w:tc>
        <w:tc>
          <w:tcPr>
            <w:tcW w:w="60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50"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217" w:type="pct"/>
            <w:vAlign w:val="center"/>
          </w:tcPr>
          <w:p>
            <w:pPr>
              <w:jc w:val="center"/>
              <w:rPr>
                <w:rFonts w:ascii="Times New Roman" w:hAnsi="Times New Roman"/>
              </w:rPr>
            </w:pPr>
            <w:r>
              <w:rPr>
                <w:rFonts w:hint="eastAsia" w:ascii="Times New Roman" w:hAnsi="Times New Roman"/>
              </w:rPr>
              <w:t>9</w:t>
            </w:r>
          </w:p>
        </w:tc>
        <w:tc>
          <w:tcPr>
            <w:tcW w:w="814" w:type="pct"/>
            <w:vAlign w:val="center"/>
          </w:tcPr>
          <w:p>
            <w:pPr>
              <w:jc w:val="center"/>
              <w:rPr>
                <w:rFonts w:ascii="Times New Roman" w:hAnsi="Times New Roman"/>
              </w:rPr>
            </w:pPr>
            <w:r>
              <w:t>氯仿（</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0.9</w:t>
            </w:r>
          </w:p>
        </w:tc>
        <w:tc>
          <w:tcPr>
            <w:tcW w:w="60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50"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217" w:type="pct"/>
          </w:tcPr>
          <w:p>
            <w:pPr>
              <w:jc w:val="center"/>
              <w:rPr>
                <w:rFonts w:ascii="Times New Roman" w:hAnsi="Times New Roman"/>
              </w:rPr>
            </w:pPr>
            <w:r>
              <w:rPr>
                <w:rFonts w:hint="eastAsia" w:ascii="Times New Roman" w:hAnsi="Times New Roman"/>
              </w:rPr>
              <w:t>1</w:t>
            </w:r>
            <w:r>
              <w:rPr>
                <w:rFonts w:ascii="Times New Roman" w:hAnsi="Times New Roman"/>
              </w:rPr>
              <w:t>0</w:t>
            </w:r>
          </w:p>
        </w:tc>
        <w:tc>
          <w:tcPr>
            <w:tcW w:w="814" w:type="pct"/>
            <w:vAlign w:val="center"/>
          </w:tcPr>
          <w:p>
            <w:pPr>
              <w:jc w:val="center"/>
              <w:rPr>
                <w:rFonts w:ascii="Times New Roman" w:hAnsi="Times New Roman"/>
                <w:kern w:val="2"/>
              </w:rPr>
            </w:pPr>
            <w:r>
              <w:t>氯甲烷（</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37</w:t>
            </w:r>
          </w:p>
        </w:tc>
        <w:tc>
          <w:tcPr>
            <w:tcW w:w="60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50"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217" w:type="pct"/>
          </w:tcPr>
          <w:p>
            <w:pPr>
              <w:jc w:val="center"/>
              <w:rPr>
                <w:rFonts w:ascii="Times New Roman" w:hAnsi="Times New Roman"/>
              </w:rPr>
            </w:pPr>
            <w:r>
              <w:rPr>
                <w:rFonts w:hint="eastAsia" w:ascii="Times New Roman" w:hAnsi="Times New Roman"/>
              </w:rPr>
              <w:t>1</w:t>
            </w:r>
            <w:r>
              <w:rPr>
                <w:rFonts w:ascii="Times New Roman" w:hAnsi="Times New Roman"/>
              </w:rPr>
              <w:t>1</w:t>
            </w:r>
          </w:p>
        </w:tc>
        <w:tc>
          <w:tcPr>
            <w:tcW w:w="814" w:type="pct"/>
            <w:vAlign w:val="center"/>
          </w:tcPr>
          <w:p>
            <w:pPr>
              <w:jc w:val="center"/>
              <w:rPr>
                <w:rFonts w:ascii="Times New Roman" w:hAnsi="Times New Roman"/>
                <w:kern w:val="2"/>
              </w:rPr>
            </w:pPr>
            <w:r>
              <w:rPr>
                <w:rFonts w:ascii="Times New Roman" w:hAnsi="Times New Roman"/>
              </w:rPr>
              <w:t>1,1-</w:t>
            </w:r>
            <w:r>
              <w:t>二氯乙烷（</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9</w:t>
            </w:r>
          </w:p>
        </w:tc>
        <w:tc>
          <w:tcPr>
            <w:tcW w:w="60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50"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217" w:type="pct"/>
          </w:tcPr>
          <w:p>
            <w:pPr>
              <w:jc w:val="center"/>
              <w:rPr>
                <w:rFonts w:ascii="Times New Roman" w:hAnsi="Times New Roman"/>
              </w:rPr>
            </w:pPr>
            <w:r>
              <w:rPr>
                <w:rFonts w:hint="eastAsia" w:ascii="Times New Roman" w:hAnsi="Times New Roman"/>
              </w:rPr>
              <w:t>1</w:t>
            </w:r>
            <w:r>
              <w:rPr>
                <w:rFonts w:ascii="Times New Roman" w:hAnsi="Times New Roman"/>
              </w:rPr>
              <w:t>2</w:t>
            </w:r>
          </w:p>
        </w:tc>
        <w:tc>
          <w:tcPr>
            <w:tcW w:w="814" w:type="pct"/>
            <w:vAlign w:val="center"/>
          </w:tcPr>
          <w:p>
            <w:pPr>
              <w:jc w:val="center"/>
              <w:rPr>
                <w:rFonts w:ascii="Times New Roman" w:hAnsi="Times New Roman"/>
                <w:kern w:val="2"/>
              </w:rPr>
            </w:pPr>
            <w:r>
              <w:rPr>
                <w:rFonts w:ascii="Times New Roman" w:hAnsi="Times New Roman"/>
              </w:rPr>
              <w:t>1,2-</w:t>
            </w:r>
            <w:r>
              <w:t>二氯乙烷（</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5</w:t>
            </w:r>
          </w:p>
        </w:tc>
        <w:tc>
          <w:tcPr>
            <w:tcW w:w="60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50"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217" w:type="pct"/>
          </w:tcPr>
          <w:p>
            <w:pPr>
              <w:jc w:val="center"/>
              <w:rPr>
                <w:rFonts w:ascii="Times New Roman" w:hAnsi="Times New Roman"/>
              </w:rPr>
            </w:pPr>
            <w:r>
              <w:rPr>
                <w:rFonts w:hint="eastAsia" w:ascii="Times New Roman" w:hAnsi="Times New Roman"/>
              </w:rPr>
              <w:t>1</w:t>
            </w:r>
            <w:r>
              <w:rPr>
                <w:rFonts w:ascii="Times New Roman" w:hAnsi="Times New Roman"/>
              </w:rPr>
              <w:t>3</w:t>
            </w:r>
          </w:p>
        </w:tc>
        <w:tc>
          <w:tcPr>
            <w:tcW w:w="814" w:type="pct"/>
            <w:vAlign w:val="center"/>
          </w:tcPr>
          <w:p>
            <w:pPr>
              <w:jc w:val="center"/>
              <w:rPr>
                <w:rFonts w:ascii="Times New Roman" w:hAnsi="Times New Roman"/>
                <w:kern w:val="2"/>
              </w:rPr>
            </w:pPr>
            <w:r>
              <w:rPr>
                <w:rFonts w:ascii="Times New Roman" w:hAnsi="Times New Roman"/>
              </w:rPr>
              <w:t>1,1-</w:t>
            </w:r>
            <w:r>
              <w:t>二氯乙烯（</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66</w:t>
            </w:r>
          </w:p>
        </w:tc>
        <w:tc>
          <w:tcPr>
            <w:tcW w:w="60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50"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217" w:type="pct"/>
          </w:tcPr>
          <w:p>
            <w:pPr>
              <w:jc w:val="center"/>
              <w:rPr>
                <w:rFonts w:ascii="Times New Roman" w:hAnsi="Times New Roman"/>
              </w:rPr>
            </w:pPr>
            <w:r>
              <w:rPr>
                <w:rFonts w:hint="eastAsia" w:ascii="Times New Roman" w:hAnsi="Times New Roman"/>
              </w:rPr>
              <w:t>1</w:t>
            </w:r>
            <w:r>
              <w:rPr>
                <w:rFonts w:ascii="Times New Roman" w:hAnsi="Times New Roman"/>
              </w:rPr>
              <w:t>4</w:t>
            </w:r>
          </w:p>
        </w:tc>
        <w:tc>
          <w:tcPr>
            <w:tcW w:w="814" w:type="pct"/>
            <w:vAlign w:val="center"/>
          </w:tcPr>
          <w:p>
            <w:pPr>
              <w:jc w:val="center"/>
              <w:rPr>
                <w:rFonts w:ascii="Times New Roman" w:hAnsi="Times New Roman"/>
                <w:kern w:val="2"/>
              </w:rPr>
            </w:pPr>
            <w:r>
              <w:t>顺</w:t>
            </w:r>
            <w:r>
              <w:rPr>
                <w:rFonts w:ascii="Times New Roman" w:hAnsi="Times New Roman"/>
              </w:rPr>
              <w:t>-1,2-</w:t>
            </w:r>
            <w:r>
              <w:t>二氯乙烯（</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596</w:t>
            </w:r>
          </w:p>
        </w:tc>
        <w:tc>
          <w:tcPr>
            <w:tcW w:w="60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50"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217" w:type="pct"/>
          </w:tcPr>
          <w:p>
            <w:pPr>
              <w:jc w:val="center"/>
              <w:rPr>
                <w:rFonts w:ascii="Times New Roman" w:hAnsi="Times New Roman"/>
              </w:rPr>
            </w:pPr>
            <w:r>
              <w:rPr>
                <w:rFonts w:hint="eastAsia" w:ascii="Times New Roman" w:hAnsi="Times New Roman"/>
              </w:rPr>
              <w:t>1</w:t>
            </w:r>
            <w:r>
              <w:rPr>
                <w:rFonts w:ascii="Times New Roman" w:hAnsi="Times New Roman"/>
              </w:rPr>
              <w:t>5</w:t>
            </w:r>
          </w:p>
        </w:tc>
        <w:tc>
          <w:tcPr>
            <w:tcW w:w="814" w:type="pct"/>
            <w:vAlign w:val="center"/>
          </w:tcPr>
          <w:p>
            <w:pPr>
              <w:jc w:val="center"/>
              <w:rPr>
                <w:rFonts w:ascii="Times New Roman" w:hAnsi="Times New Roman"/>
                <w:kern w:val="2"/>
              </w:rPr>
            </w:pPr>
            <w:r>
              <w:t>反</w:t>
            </w:r>
            <w:r>
              <w:rPr>
                <w:rFonts w:ascii="Times New Roman" w:hAnsi="Times New Roman"/>
              </w:rPr>
              <w:t>-1,2-</w:t>
            </w:r>
            <w:r>
              <w:t>二氯乙烯（</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54</w:t>
            </w:r>
          </w:p>
        </w:tc>
        <w:tc>
          <w:tcPr>
            <w:tcW w:w="60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50"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217" w:type="pct"/>
          </w:tcPr>
          <w:p>
            <w:pPr>
              <w:jc w:val="center"/>
              <w:rPr>
                <w:rFonts w:ascii="Times New Roman" w:hAnsi="Times New Roman"/>
              </w:rPr>
            </w:pPr>
            <w:r>
              <w:rPr>
                <w:rFonts w:hint="eastAsia" w:ascii="Times New Roman" w:hAnsi="Times New Roman"/>
              </w:rPr>
              <w:t>1</w:t>
            </w:r>
            <w:r>
              <w:rPr>
                <w:rFonts w:ascii="Times New Roman" w:hAnsi="Times New Roman"/>
              </w:rPr>
              <w:t>6</w:t>
            </w:r>
          </w:p>
        </w:tc>
        <w:tc>
          <w:tcPr>
            <w:tcW w:w="814" w:type="pct"/>
            <w:vAlign w:val="center"/>
          </w:tcPr>
          <w:p>
            <w:pPr>
              <w:jc w:val="center"/>
              <w:rPr>
                <w:rFonts w:ascii="Times New Roman" w:hAnsi="Times New Roman"/>
                <w:kern w:val="2"/>
              </w:rPr>
            </w:pPr>
            <w:r>
              <w:t>二氯甲烷（</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616</w:t>
            </w:r>
          </w:p>
        </w:tc>
        <w:tc>
          <w:tcPr>
            <w:tcW w:w="60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50"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217" w:type="pct"/>
          </w:tcPr>
          <w:p>
            <w:pPr>
              <w:jc w:val="center"/>
              <w:rPr>
                <w:rFonts w:ascii="Times New Roman" w:hAnsi="Times New Roman"/>
              </w:rPr>
            </w:pPr>
            <w:r>
              <w:rPr>
                <w:rFonts w:hint="eastAsia" w:ascii="Times New Roman" w:hAnsi="Times New Roman"/>
              </w:rPr>
              <w:t>1</w:t>
            </w:r>
            <w:r>
              <w:rPr>
                <w:rFonts w:ascii="Times New Roman" w:hAnsi="Times New Roman"/>
              </w:rPr>
              <w:t>7</w:t>
            </w:r>
          </w:p>
        </w:tc>
        <w:tc>
          <w:tcPr>
            <w:tcW w:w="814" w:type="pct"/>
            <w:vAlign w:val="center"/>
          </w:tcPr>
          <w:p>
            <w:pPr>
              <w:jc w:val="center"/>
              <w:rPr>
                <w:rFonts w:ascii="Times New Roman" w:hAnsi="Times New Roman"/>
              </w:rPr>
            </w:pPr>
            <w:r>
              <w:rPr>
                <w:rFonts w:ascii="Times New Roman" w:hAnsi="Times New Roman"/>
              </w:rPr>
              <w:t>1,2-</w:t>
            </w:r>
            <w:r>
              <w:t>二氯丙烷（</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5</w:t>
            </w:r>
          </w:p>
        </w:tc>
        <w:tc>
          <w:tcPr>
            <w:tcW w:w="60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50"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217" w:type="pct"/>
          </w:tcPr>
          <w:p>
            <w:pPr>
              <w:jc w:val="center"/>
              <w:rPr>
                <w:rFonts w:ascii="Times New Roman" w:hAnsi="Times New Roman"/>
              </w:rPr>
            </w:pPr>
            <w:r>
              <w:rPr>
                <w:rFonts w:hint="eastAsia" w:ascii="Times New Roman" w:hAnsi="Times New Roman"/>
              </w:rPr>
              <w:t>1</w:t>
            </w:r>
            <w:r>
              <w:rPr>
                <w:rFonts w:ascii="Times New Roman" w:hAnsi="Times New Roman"/>
              </w:rPr>
              <w:t>8</w:t>
            </w:r>
          </w:p>
        </w:tc>
        <w:tc>
          <w:tcPr>
            <w:tcW w:w="814" w:type="pct"/>
            <w:vAlign w:val="center"/>
          </w:tcPr>
          <w:p>
            <w:pPr>
              <w:jc w:val="center"/>
              <w:rPr>
                <w:rFonts w:ascii="Times New Roman" w:hAnsi="Times New Roman"/>
              </w:rPr>
            </w:pPr>
            <w:r>
              <w:rPr>
                <w:rFonts w:ascii="Times New Roman" w:hAnsi="Times New Roman"/>
              </w:rPr>
              <w:t>1,1,1,2-</w:t>
            </w:r>
            <w:r>
              <w:t>四氯乙烷（</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10</w:t>
            </w:r>
          </w:p>
        </w:tc>
        <w:tc>
          <w:tcPr>
            <w:tcW w:w="60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50"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217" w:type="pct"/>
          </w:tcPr>
          <w:p>
            <w:pPr>
              <w:jc w:val="center"/>
              <w:rPr>
                <w:rFonts w:ascii="Times New Roman" w:hAnsi="Times New Roman"/>
              </w:rPr>
            </w:pPr>
            <w:r>
              <w:rPr>
                <w:rFonts w:hint="eastAsia" w:ascii="Times New Roman" w:hAnsi="Times New Roman"/>
              </w:rPr>
              <w:t>1</w:t>
            </w:r>
            <w:r>
              <w:rPr>
                <w:rFonts w:ascii="Times New Roman" w:hAnsi="Times New Roman"/>
              </w:rPr>
              <w:t>9</w:t>
            </w:r>
          </w:p>
        </w:tc>
        <w:tc>
          <w:tcPr>
            <w:tcW w:w="814" w:type="pct"/>
            <w:vAlign w:val="center"/>
          </w:tcPr>
          <w:p>
            <w:pPr>
              <w:jc w:val="center"/>
              <w:rPr>
                <w:rFonts w:ascii="Times New Roman" w:hAnsi="Times New Roman"/>
              </w:rPr>
            </w:pPr>
            <w:r>
              <w:rPr>
                <w:rFonts w:ascii="Times New Roman" w:hAnsi="Times New Roman"/>
              </w:rPr>
              <w:t>1,1,2,2-</w:t>
            </w:r>
            <w:r>
              <w:t>四氯乙烷（</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6.8</w:t>
            </w:r>
          </w:p>
        </w:tc>
        <w:tc>
          <w:tcPr>
            <w:tcW w:w="60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50"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217" w:type="pct"/>
          </w:tcPr>
          <w:p>
            <w:pPr>
              <w:jc w:val="center"/>
              <w:rPr>
                <w:rFonts w:ascii="Times New Roman" w:hAnsi="Times New Roman"/>
              </w:rPr>
            </w:pPr>
            <w:r>
              <w:rPr>
                <w:rFonts w:hint="eastAsia" w:ascii="Times New Roman" w:hAnsi="Times New Roman"/>
              </w:rPr>
              <w:t>2</w:t>
            </w:r>
            <w:r>
              <w:rPr>
                <w:rFonts w:ascii="Times New Roman" w:hAnsi="Times New Roman"/>
              </w:rPr>
              <w:t>0</w:t>
            </w:r>
          </w:p>
        </w:tc>
        <w:tc>
          <w:tcPr>
            <w:tcW w:w="814" w:type="pct"/>
            <w:vAlign w:val="center"/>
          </w:tcPr>
          <w:p>
            <w:pPr>
              <w:jc w:val="center"/>
              <w:rPr>
                <w:rFonts w:ascii="Times New Roman" w:hAnsi="Times New Roman"/>
                <w:kern w:val="2"/>
              </w:rPr>
            </w:pPr>
            <w:r>
              <w:t>四氯乙烯（</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53</w:t>
            </w:r>
          </w:p>
        </w:tc>
        <w:tc>
          <w:tcPr>
            <w:tcW w:w="60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50"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7" w:type="pct"/>
          </w:tcPr>
          <w:p>
            <w:pPr>
              <w:jc w:val="center"/>
              <w:rPr>
                <w:rFonts w:ascii="Times New Roman" w:hAnsi="Times New Roman"/>
              </w:rPr>
            </w:pPr>
            <w:r>
              <w:rPr>
                <w:rFonts w:hint="eastAsia" w:ascii="Times New Roman" w:hAnsi="Times New Roman"/>
              </w:rPr>
              <w:t>2</w:t>
            </w:r>
            <w:r>
              <w:rPr>
                <w:rFonts w:ascii="Times New Roman" w:hAnsi="Times New Roman"/>
              </w:rPr>
              <w:t>1</w:t>
            </w:r>
          </w:p>
        </w:tc>
        <w:tc>
          <w:tcPr>
            <w:tcW w:w="814" w:type="pct"/>
            <w:vAlign w:val="center"/>
          </w:tcPr>
          <w:p>
            <w:pPr>
              <w:jc w:val="center"/>
              <w:rPr>
                <w:rFonts w:ascii="Times New Roman" w:hAnsi="Times New Roman"/>
                <w:kern w:val="2"/>
              </w:rPr>
            </w:pPr>
            <w:r>
              <w:rPr>
                <w:rFonts w:ascii="Times New Roman" w:hAnsi="Times New Roman"/>
              </w:rPr>
              <w:t>1,1,1-</w:t>
            </w:r>
            <w:r>
              <w:t>三氯乙烷（</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840</w:t>
            </w:r>
          </w:p>
        </w:tc>
        <w:tc>
          <w:tcPr>
            <w:tcW w:w="60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50"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7" w:type="pct"/>
          </w:tcPr>
          <w:p>
            <w:pPr>
              <w:jc w:val="center"/>
              <w:rPr>
                <w:rFonts w:ascii="Times New Roman" w:hAnsi="Times New Roman"/>
              </w:rPr>
            </w:pPr>
            <w:r>
              <w:rPr>
                <w:rFonts w:hint="eastAsia" w:ascii="Times New Roman" w:hAnsi="Times New Roman"/>
              </w:rPr>
              <w:t>2</w:t>
            </w:r>
            <w:r>
              <w:rPr>
                <w:rFonts w:ascii="Times New Roman" w:hAnsi="Times New Roman"/>
              </w:rPr>
              <w:t>2</w:t>
            </w:r>
          </w:p>
        </w:tc>
        <w:tc>
          <w:tcPr>
            <w:tcW w:w="814" w:type="pct"/>
            <w:vAlign w:val="center"/>
          </w:tcPr>
          <w:p>
            <w:pPr>
              <w:jc w:val="center"/>
              <w:rPr>
                <w:rFonts w:ascii="Times New Roman" w:hAnsi="Times New Roman"/>
                <w:kern w:val="2"/>
              </w:rPr>
            </w:pPr>
            <w:r>
              <w:rPr>
                <w:rFonts w:ascii="Times New Roman" w:hAnsi="Times New Roman"/>
              </w:rPr>
              <w:t>1,1,2-</w:t>
            </w:r>
            <w:r>
              <w:t>三氯乙烷（</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2.8</w:t>
            </w:r>
          </w:p>
        </w:tc>
        <w:tc>
          <w:tcPr>
            <w:tcW w:w="60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50"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7" w:type="pct"/>
          </w:tcPr>
          <w:p>
            <w:pPr>
              <w:jc w:val="center"/>
              <w:rPr>
                <w:rFonts w:ascii="Times New Roman" w:hAnsi="Times New Roman"/>
              </w:rPr>
            </w:pPr>
            <w:r>
              <w:rPr>
                <w:rFonts w:hint="eastAsia" w:ascii="Times New Roman" w:hAnsi="Times New Roman"/>
              </w:rPr>
              <w:t>2</w:t>
            </w:r>
            <w:r>
              <w:rPr>
                <w:rFonts w:ascii="Times New Roman" w:hAnsi="Times New Roman"/>
              </w:rPr>
              <w:t>3</w:t>
            </w:r>
          </w:p>
        </w:tc>
        <w:tc>
          <w:tcPr>
            <w:tcW w:w="814" w:type="pct"/>
            <w:vAlign w:val="center"/>
          </w:tcPr>
          <w:p>
            <w:pPr>
              <w:jc w:val="center"/>
              <w:rPr>
                <w:rFonts w:ascii="Times New Roman" w:hAnsi="Times New Roman"/>
                <w:kern w:val="2"/>
              </w:rPr>
            </w:pPr>
            <w:r>
              <w:t>三氯乙烯（</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2.8</w:t>
            </w:r>
          </w:p>
        </w:tc>
        <w:tc>
          <w:tcPr>
            <w:tcW w:w="60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50"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7" w:type="pct"/>
          </w:tcPr>
          <w:p>
            <w:pPr>
              <w:jc w:val="center"/>
              <w:rPr>
                <w:rFonts w:ascii="Times New Roman" w:hAnsi="Times New Roman"/>
              </w:rPr>
            </w:pPr>
            <w:r>
              <w:rPr>
                <w:rFonts w:hint="eastAsia" w:ascii="Times New Roman" w:hAnsi="Times New Roman"/>
              </w:rPr>
              <w:t>2</w:t>
            </w:r>
            <w:r>
              <w:rPr>
                <w:rFonts w:ascii="Times New Roman" w:hAnsi="Times New Roman"/>
              </w:rPr>
              <w:t>4</w:t>
            </w:r>
          </w:p>
        </w:tc>
        <w:tc>
          <w:tcPr>
            <w:tcW w:w="814" w:type="pct"/>
            <w:vAlign w:val="center"/>
          </w:tcPr>
          <w:p>
            <w:pPr>
              <w:jc w:val="center"/>
              <w:rPr>
                <w:rFonts w:ascii="Times New Roman" w:hAnsi="Times New Roman"/>
                <w:kern w:val="2"/>
              </w:rPr>
            </w:pPr>
            <w:r>
              <w:rPr>
                <w:rFonts w:ascii="Times New Roman" w:hAnsi="Times New Roman"/>
              </w:rPr>
              <w:t>1,2,3-</w:t>
            </w:r>
            <w:r>
              <w:t>三氯丙烷（</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0.5</w:t>
            </w:r>
          </w:p>
        </w:tc>
        <w:tc>
          <w:tcPr>
            <w:tcW w:w="60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50"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7" w:type="pct"/>
          </w:tcPr>
          <w:p>
            <w:pPr>
              <w:jc w:val="center"/>
              <w:rPr>
                <w:rFonts w:ascii="Times New Roman" w:hAnsi="Times New Roman"/>
              </w:rPr>
            </w:pPr>
            <w:r>
              <w:rPr>
                <w:rFonts w:hint="eastAsia" w:ascii="Times New Roman" w:hAnsi="Times New Roman"/>
              </w:rPr>
              <w:t>2</w:t>
            </w:r>
            <w:r>
              <w:rPr>
                <w:rFonts w:ascii="Times New Roman" w:hAnsi="Times New Roman"/>
              </w:rPr>
              <w:t>5</w:t>
            </w:r>
          </w:p>
        </w:tc>
        <w:tc>
          <w:tcPr>
            <w:tcW w:w="814" w:type="pct"/>
            <w:vAlign w:val="center"/>
          </w:tcPr>
          <w:p>
            <w:pPr>
              <w:jc w:val="center"/>
              <w:rPr>
                <w:rFonts w:ascii="Times New Roman" w:hAnsi="Times New Roman"/>
                <w:kern w:val="2"/>
              </w:rPr>
            </w:pPr>
            <w:r>
              <w:t>氯乙烯（</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0.43</w:t>
            </w:r>
          </w:p>
        </w:tc>
        <w:tc>
          <w:tcPr>
            <w:tcW w:w="60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50"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7" w:type="pct"/>
          </w:tcPr>
          <w:p>
            <w:pPr>
              <w:jc w:val="center"/>
              <w:rPr>
                <w:rFonts w:ascii="Times New Roman" w:hAnsi="Times New Roman"/>
              </w:rPr>
            </w:pPr>
            <w:r>
              <w:rPr>
                <w:rFonts w:hint="eastAsia" w:ascii="Times New Roman" w:hAnsi="Times New Roman"/>
              </w:rPr>
              <w:t>2</w:t>
            </w:r>
            <w:r>
              <w:rPr>
                <w:rFonts w:ascii="Times New Roman" w:hAnsi="Times New Roman"/>
              </w:rPr>
              <w:t>6</w:t>
            </w:r>
          </w:p>
        </w:tc>
        <w:tc>
          <w:tcPr>
            <w:tcW w:w="814" w:type="pct"/>
            <w:vAlign w:val="center"/>
          </w:tcPr>
          <w:p>
            <w:pPr>
              <w:jc w:val="center"/>
              <w:rPr>
                <w:rFonts w:ascii="Times New Roman" w:hAnsi="Times New Roman"/>
                <w:kern w:val="2"/>
              </w:rPr>
            </w:pPr>
            <w:r>
              <w:t>苯（</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4</w:t>
            </w:r>
          </w:p>
        </w:tc>
        <w:tc>
          <w:tcPr>
            <w:tcW w:w="60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50"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7" w:type="pct"/>
          </w:tcPr>
          <w:p>
            <w:pPr>
              <w:jc w:val="center"/>
              <w:rPr>
                <w:rFonts w:ascii="Times New Roman" w:hAnsi="Times New Roman"/>
              </w:rPr>
            </w:pPr>
            <w:r>
              <w:rPr>
                <w:rFonts w:hint="eastAsia" w:ascii="Times New Roman" w:hAnsi="Times New Roman"/>
              </w:rPr>
              <w:t>2</w:t>
            </w:r>
            <w:r>
              <w:rPr>
                <w:rFonts w:ascii="Times New Roman" w:hAnsi="Times New Roman"/>
              </w:rPr>
              <w:t>7</w:t>
            </w:r>
          </w:p>
        </w:tc>
        <w:tc>
          <w:tcPr>
            <w:tcW w:w="814" w:type="pct"/>
            <w:vAlign w:val="center"/>
          </w:tcPr>
          <w:p>
            <w:pPr>
              <w:jc w:val="center"/>
              <w:rPr>
                <w:rFonts w:ascii="Times New Roman" w:hAnsi="Times New Roman"/>
                <w:kern w:val="2"/>
              </w:rPr>
            </w:pPr>
            <w:r>
              <w:t>氯苯（</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270</w:t>
            </w:r>
          </w:p>
        </w:tc>
        <w:tc>
          <w:tcPr>
            <w:tcW w:w="60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50"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7" w:type="pct"/>
          </w:tcPr>
          <w:p>
            <w:pPr>
              <w:jc w:val="center"/>
              <w:rPr>
                <w:rFonts w:ascii="Times New Roman" w:hAnsi="Times New Roman"/>
              </w:rPr>
            </w:pPr>
            <w:r>
              <w:rPr>
                <w:rFonts w:hint="eastAsia" w:ascii="Times New Roman" w:hAnsi="Times New Roman"/>
              </w:rPr>
              <w:t>2</w:t>
            </w:r>
            <w:r>
              <w:rPr>
                <w:rFonts w:ascii="Times New Roman" w:hAnsi="Times New Roman"/>
              </w:rPr>
              <w:t>8</w:t>
            </w:r>
          </w:p>
        </w:tc>
        <w:tc>
          <w:tcPr>
            <w:tcW w:w="814" w:type="pct"/>
            <w:vAlign w:val="center"/>
          </w:tcPr>
          <w:p>
            <w:pPr>
              <w:jc w:val="center"/>
              <w:rPr>
                <w:rFonts w:ascii="Times New Roman" w:hAnsi="Times New Roman"/>
                <w:kern w:val="2"/>
              </w:rPr>
            </w:pPr>
            <w:r>
              <w:rPr>
                <w:rFonts w:ascii="Times New Roman" w:hAnsi="Times New Roman"/>
              </w:rPr>
              <w:t>1,2-</w:t>
            </w:r>
            <w:r>
              <w:t>二氯苯（</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560</w:t>
            </w:r>
          </w:p>
        </w:tc>
        <w:tc>
          <w:tcPr>
            <w:tcW w:w="60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50"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7" w:type="pct"/>
          </w:tcPr>
          <w:p>
            <w:pPr>
              <w:jc w:val="center"/>
              <w:rPr>
                <w:rFonts w:ascii="Times New Roman" w:hAnsi="Times New Roman"/>
              </w:rPr>
            </w:pPr>
            <w:r>
              <w:rPr>
                <w:rFonts w:hint="eastAsia" w:ascii="Times New Roman" w:hAnsi="Times New Roman"/>
              </w:rPr>
              <w:t>2</w:t>
            </w:r>
            <w:r>
              <w:rPr>
                <w:rFonts w:ascii="Times New Roman" w:hAnsi="Times New Roman"/>
              </w:rPr>
              <w:t>9</w:t>
            </w:r>
          </w:p>
        </w:tc>
        <w:tc>
          <w:tcPr>
            <w:tcW w:w="814" w:type="pct"/>
            <w:vAlign w:val="center"/>
          </w:tcPr>
          <w:p>
            <w:pPr>
              <w:jc w:val="center"/>
              <w:rPr>
                <w:rFonts w:ascii="Times New Roman" w:hAnsi="Times New Roman"/>
                <w:kern w:val="2"/>
              </w:rPr>
            </w:pPr>
            <w:r>
              <w:rPr>
                <w:rFonts w:ascii="Times New Roman" w:hAnsi="Times New Roman"/>
              </w:rPr>
              <w:t>1,4-</w:t>
            </w:r>
            <w:r>
              <w:t>二氯苯（</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20</w:t>
            </w:r>
          </w:p>
        </w:tc>
        <w:tc>
          <w:tcPr>
            <w:tcW w:w="60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50"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7" w:type="pct"/>
          </w:tcPr>
          <w:p>
            <w:pPr>
              <w:jc w:val="center"/>
              <w:rPr>
                <w:rFonts w:ascii="Times New Roman" w:hAnsi="Times New Roman"/>
              </w:rPr>
            </w:pPr>
            <w:r>
              <w:rPr>
                <w:rFonts w:hint="eastAsia" w:ascii="Times New Roman" w:hAnsi="Times New Roman"/>
              </w:rPr>
              <w:t>3</w:t>
            </w:r>
            <w:r>
              <w:rPr>
                <w:rFonts w:ascii="Times New Roman" w:hAnsi="Times New Roman"/>
              </w:rPr>
              <w:t>0</w:t>
            </w:r>
          </w:p>
        </w:tc>
        <w:tc>
          <w:tcPr>
            <w:tcW w:w="814" w:type="pct"/>
            <w:vAlign w:val="center"/>
          </w:tcPr>
          <w:p>
            <w:pPr>
              <w:jc w:val="center"/>
              <w:rPr>
                <w:rFonts w:ascii="Times New Roman" w:hAnsi="Times New Roman"/>
                <w:kern w:val="2"/>
              </w:rPr>
            </w:pPr>
            <w:r>
              <w:t>乙苯（</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28</w:t>
            </w:r>
          </w:p>
        </w:tc>
        <w:tc>
          <w:tcPr>
            <w:tcW w:w="60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50"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7" w:type="pct"/>
          </w:tcPr>
          <w:p>
            <w:pPr>
              <w:jc w:val="center"/>
              <w:rPr>
                <w:rFonts w:ascii="Times New Roman" w:hAnsi="Times New Roman"/>
              </w:rPr>
            </w:pPr>
            <w:r>
              <w:rPr>
                <w:rFonts w:hint="eastAsia" w:ascii="Times New Roman" w:hAnsi="Times New Roman"/>
              </w:rPr>
              <w:t>3</w:t>
            </w:r>
            <w:r>
              <w:rPr>
                <w:rFonts w:ascii="Times New Roman" w:hAnsi="Times New Roman"/>
              </w:rPr>
              <w:t>1</w:t>
            </w:r>
          </w:p>
        </w:tc>
        <w:tc>
          <w:tcPr>
            <w:tcW w:w="814" w:type="pct"/>
            <w:vAlign w:val="center"/>
          </w:tcPr>
          <w:p>
            <w:pPr>
              <w:jc w:val="center"/>
              <w:rPr>
                <w:rFonts w:ascii="Times New Roman" w:hAnsi="Times New Roman"/>
                <w:kern w:val="2"/>
              </w:rPr>
            </w:pPr>
            <w:r>
              <w:t>苯乙烯（</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1290</w:t>
            </w:r>
          </w:p>
        </w:tc>
        <w:tc>
          <w:tcPr>
            <w:tcW w:w="60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50"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7" w:type="pct"/>
          </w:tcPr>
          <w:p>
            <w:pPr>
              <w:jc w:val="center"/>
              <w:rPr>
                <w:rFonts w:ascii="Times New Roman" w:hAnsi="Times New Roman"/>
              </w:rPr>
            </w:pPr>
            <w:r>
              <w:rPr>
                <w:rFonts w:hint="eastAsia" w:ascii="Times New Roman" w:hAnsi="Times New Roman"/>
              </w:rPr>
              <w:t>3</w:t>
            </w:r>
            <w:r>
              <w:rPr>
                <w:rFonts w:ascii="Times New Roman" w:hAnsi="Times New Roman"/>
              </w:rPr>
              <w:t>2</w:t>
            </w:r>
          </w:p>
        </w:tc>
        <w:tc>
          <w:tcPr>
            <w:tcW w:w="814" w:type="pct"/>
            <w:vAlign w:val="center"/>
          </w:tcPr>
          <w:p>
            <w:pPr>
              <w:jc w:val="center"/>
              <w:rPr>
                <w:rFonts w:ascii="Times New Roman" w:hAnsi="Times New Roman"/>
                <w:kern w:val="2"/>
              </w:rPr>
            </w:pPr>
            <w:r>
              <w:t>甲苯（</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1200</w:t>
            </w:r>
          </w:p>
        </w:tc>
        <w:tc>
          <w:tcPr>
            <w:tcW w:w="60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50"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7" w:type="pct"/>
          </w:tcPr>
          <w:p>
            <w:pPr>
              <w:jc w:val="center"/>
              <w:rPr>
                <w:rFonts w:ascii="Times New Roman" w:hAnsi="Times New Roman"/>
              </w:rPr>
            </w:pPr>
            <w:r>
              <w:rPr>
                <w:rFonts w:hint="eastAsia" w:ascii="Times New Roman" w:hAnsi="Times New Roman"/>
              </w:rPr>
              <w:t>3</w:t>
            </w:r>
            <w:r>
              <w:rPr>
                <w:rFonts w:ascii="Times New Roman" w:hAnsi="Times New Roman"/>
              </w:rPr>
              <w:t>3</w:t>
            </w:r>
          </w:p>
        </w:tc>
        <w:tc>
          <w:tcPr>
            <w:tcW w:w="814" w:type="pct"/>
            <w:vAlign w:val="center"/>
          </w:tcPr>
          <w:p>
            <w:pPr>
              <w:jc w:val="center"/>
              <w:rPr>
                <w:rFonts w:ascii="Times New Roman" w:hAnsi="Times New Roman"/>
                <w:kern w:val="2"/>
              </w:rPr>
            </w:pPr>
            <w:r>
              <w:t>间二甲苯</w:t>
            </w:r>
            <w:r>
              <w:rPr>
                <w:rFonts w:ascii="Times New Roman" w:hAnsi="Times New Roman"/>
              </w:rPr>
              <w:t>+</w:t>
            </w:r>
            <w:r>
              <w:t>对二甲苯（</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570</w:t>
            </w:r>
          </w:p>
        </w:tc>
        <w:tc>
          <w:tcPr>
            <w:tcW w:w="60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50"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7" w:type="pct"/>
          </w:tcPr>
          <w:p>
            <w:pPr>
              <w:jc w:val="center"/>
              <w:rPr>
                <w:rFonts w:ascii="Times New Roman" w:hAnsi="Times New Roman"/>
              </w:rPr>
            </w:pPr>
            <w:r>
              <w:rPr>
                <w:rFonts w:hint="eastAsia" w:ascii="Times New Roman" w:hAnsi="Times New Roman"/>
              </w:rPr>
              <w:t>3</w:t>
            </w:r>
            <w:r>
              <w:rPr>
                <w:rFonts w:ascii="Times New Roman" w:hAnsi="Times New Roman"/>
              </w:rPr>
              <w:t>4</w:t>
            </w:r>
          </w:p>
        </w:tc>
        <w:tc>
          <w:tcPr>
            <w:tcW w:w="814" w:type="pct"/>
            <w:vAlign w:val="center"/>
          </w:tcPr>
          <w:p>
            <w:pPr>
              <w:jc w:val="center"/>
              <w:rPr>
                <w:rFonts w:ascii="Times New Roman" w:hAnsi="Times New Roman"/>
                <w:kern w:val="2"/>
              </w:rPr>
            </w:pPr>
            <w:r>
              <w:t>邻二甲苯（</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640</w:t>
            </w:r>
          </w:p>
        </w:tc>
        <w:tc>
          <w:tcPr>
            <w:tcW w:w="60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50"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7" w:type="pct"/>
          </w:tcPr>
          <w:p>
            <w:pPr>
              <w:jc w:val="center"/>
              <w:rPr>
                <w:rFonts w:ascii="Times New Roman" w:hAnsi="Times New Roman"/>
              </w:rPr>
            </w:pPr>
            <w:r>
              <w:rPr>
                <w:rFonts w:hint="eastAsia" w:ascii="Times New Roman" w:hAnsi="Times New Roman"/>
              </w:rPr>
              <w:t>3</w:t>
            </w:r>
            <w:r>
              <w:rPr>
                <w:rFonts w:ascii="Times New Roman" w:hAnsi="Times New Roman"/>
              </w:rPr>
              <w:t>5</w:t>
            </w:r>
          </w:p>
        </w:tc>
        <w:tc>
          <w:tcPr>
            <w:tcW w:w="814" w:type="pct"/>
            <w:vAlign w:val="center"/>
          </w:tcPr>
          <w:p>
            <w:pPr>
              <w:jc w:val="center"/>
              <w:rPr>
                <w:rFonts w:ascii="Times New Roman" w:hAnsi="Times New Roman"/>
                <w:kern w:val="2"/>
              </w:rPr>
            </w:pPr>
            <w:r>
              <w:t>硝基苯（</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76</w:t>
            </w:r>
          </w:p>
        </w:tc>
        <w:tc>
          <w:tcPr>
            <w:tcW w:w="60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50"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7" w:type="pct"/>
          </w:tcPr>
          <w:p>
            <w:pPr>
              <w:jc w:val="center"/>
              <w:rPr>
                <w:rFonts w:ascii="Times New Roman" w:hAnsi="Times New Roman"/>
              </w:rPr>
            </w:pPr>
            <w:r>
              <w:rPr>
                <w:rFonts w:hint="eastAsia" w:ascii="Times New Roman" w:hAnsi="Times New Roman"/>
              </w:rPr>
              <w:t>3</w:t>
            </w:r>
            <w:r>
              <w:rPr>
                <w:rFonts w:ascii="Times New Roman" w:hAnsi="Times New Roman"/>
              </w:rPr>
              <w:t>6</w:t>
            </w:r>
          </w:p>
        </w:tc>
        <w:tc>
          <w:tcPr>
            <w:tcW w:w="814" w:type="pct"/>
            <w:vAlign w:val="center"/>
          </w:tcPr>
          <w:p>
            <w:pPr>
              <w:jc w:val="center"/>
              <w:rPr>
                <w:rFonts w:ascii="Times New Roman" w:hAnsi="Times New Roman"/>
                <w:kern w:val="2"/>
              </w:rPr>
            </w:pPr>
            <w:r>
              <w:t>苯胺</w:t>
            </w:r>
            <w:r>
              <w:rPr>
                <w:rFonts w:hint="eastAsia" w:ascii="Times New Roman" w:hAnsi="Times New Roman"/>
              </w:rPr>
              <w:t>*</w:t>
            </w:r>
            <w:r>
              <w:t>（</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260</w:t>
            </w:r>
          </w:p>
        </w:tc>
        <w:tc>
          <w:tcPr>
            <w:tcW w:w="60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50"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7" w:type="pct"/>
          </w:tcPr>
          <w:p>
            <w:pPr>
              <w:jc w:val="center"/>
              <w:rPr>
                <w:rFonts w:ascii="Times New Roman" w:hAnsi="Times New Roman"/>
              </w:rPr>
            </w:pPr>
            <w:r>
              <w:rPr>
                <w:rFonts w:hint="eastAsia" w:ascii="Times New Roman" w:hAnsi="Times New Roman"/>
              </w:rPr>
              <w:t>3</w:t>
            </w:r>
            <w:r>
              <w:rPr>
                <w:rFonts w:ascii="Times New Roman" w:hAnsi="Times New Roman"/>
              </w:rPr>
              <w:t>7</w:t>
            </w:r>
          </w:p>
        </w:tc>
        <w:tc>
          <w:tcPr>
            <w:tcW w:w="814" w:type="pct"/>
            <w:vAlign w:val="center"/>
          </w:tcPr>
          <w:p>
            <w:pPr>
              <w:jc w:val="center"/>
              <w:rPr>
                <w:rFonts w:ascii="Times New Roman" w:hAnsi="Times New Roman"/>
                <w:kern w:val="2"/>
              </w:rPr>
            </w:pPr>
            <w:r>
              <w:rPr>
                <w:rFonts w:ascii="Times New Roman" w:hAnsi="Times New Roman"/>
              </w:rPr>
              <w:t>2-</w:t>
            </w:r>
            <w:r>
              <w:t>氯酚（</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2256</w:t>
            </w:r>
          </w:p>
        </w:tc>
        <w:tc>
          <w:tcPr>
            <w:tcW w:w="60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50"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7" w:type="pct"/>
          </w:tcPr>
          <w:p>
            <w:pPr>
              <w:jc w:val="center"/>
              <w:rPr>
                <w:rFonts w:ascii="Times New Roman" w:hAnsi="Times New Roman"/>
              </w:rPr>
            </w:pPr>
            <w:r>
              <w:rPr>
                <w:rFonts w:hint="eastAsia" w:ascii="Times New Roman" w:hAnsi="Times New Roman"/>
              </w:rPr>
              <w:t>3</w:t>
            </w:r>
            <w:r>
              <w:rPr>
                <w:rFonts w:ascii="Times New Roman" w:hAnsi="Times New Roman"/>
              </w:rPr>
              <w:t>8</w:t>
            </w:r>
          </w:p>
        </w:tc>
        <w:tc>
          <w:tcPr>
            <w:tcW w:w="814" w:type="pct"/>
            <w:vAlign w:val="center"/>
          </w:tcPr>
          <w:p>
            <w:pPr>
              <w:jc w:val="center"/>
              <w:rPr>
                <w:rFonts w:ascii="Times New Roman" w:hAnsi="Times New Roman"/>
                <w:kern w:val="2"/>
              </w:rPr>
            </w:pPr>
            <w:r>
              <w:t>苯并</w:t>
            </w:r>
            <w:r>
              <w:rPr>
                <w:rFonts w:ascii="Times New Roman" w:hAnsi="Times New Roman"/>
              </w:rPr>
              <w:t>[a]</w:t>
            </w:r>
            <w:r>
              <w:t>蒽（</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15</w:t>
            </w:r>
          </w:p>
        </w:tc>
        <w:tc>
          <w:tcPr>
            <w:tcW w:w="60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50"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7" w:type="pct"/>
          </w:tcPr>
          <w:p>
            <w:pPr>
              <w:jc w:val="center"/>
              <w:rPr>
                <w:rFonts w:ascii="Times New Roman" w:hAnsi="Times New Roman"/>
              </w:rPr>
            </w:pPr>
            <w:r>
              <w:rPr>
                <w:rFonts w:hint="eastAsia" w:ascii="Times New Roman" w:hAnsi="Times New Roman"/>
              </w:rPr>
              <w:t>3</w:t>
            </w:r>
            <w:r>
              <w:rPr>
                <w:rFonts w:ascii="Times New Roman" w:hAnsi="Times New Roman"/>
              </w:rPr>
              <w:t>9</w:t>
            </w:r>
          </w:p>
        </w:tc>
        <w:tc>
          <w:tcPr>
            <w:tcW w:w="814" w:type="pct"/>
            <w:vAlign w:val="center"/>
          </w:tcPr>
          <w:p>
            <w:pPr>
              <w:jc w:val="center"/>
              <w:rPr>
                <w:rFonts w:ascii="Times New Roman" w:hAnsi="Times New Roman"/>
                <w:kern w:val="2"/>
              </w:rPr>
            </w:pPr>
            <w:r>
              <w:t>苯并</w:t>
            </w:r>
            <w:r>
              <w:rPr>
                <w:rFonts w:ascii="Times New Roman" w:hAnsi="Times New Roman"/>
              </w:rPr>
              <w:t>[a]</w:t>
            </w:r>
            <w:r>
              <w:t>芘（</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1.5</w:t>
            </w:r>
          </w:p>
        </w:tc>
        <w:tc>
          <w:tcPr>
            <w:tcW w:w="60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50"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7" w:type="pct"/>
          </w:tcPr>
          <w:p>
            <w:pPr>
              <w:jc w:val="center"/>
              <w:rPr>
                <w:rFonts w:ascii="Times New Roman" w:hAnsi="Times New Roman"/>
              </w:rPr>
            </w:pPr>
            <w:r>
              <w:rPr>
                <w:rFonts w:hint="eastAsia" w:ascii="Times New Roman" w:hAnsi="Times New Roman"/>
              </w:rPr>
              <w:t>4</w:t>
            </w:r>
            <w:r>
              <w:rPr>
                <w:rFonts w:ascii="Times New Roman" w:hAnsi="Times New Roman"/>
              </w:rPr>
              <w:t>0</w:t>
            </w:r>
          </w:p>
        </w:tc>
        <w:tc>
          <w:tcPr>
            <w:tcW w:w="814" w:type="pct"/>
            <w:vAlign w:val="center"/>
          </w:tcPr>
          <w:p>
            <w:pPr>
              <w:jc w:val="center"/>
              <w:rPr>
                <w:rFonts w:ascii="Times New Roman" w:hAnsi="Times New Roman"/>
                <w:kern w:val="2"/>
              </w:rPr>
            </w:pPr>
            <w:r>
              <w:t>苯并</w:t>
            </w:r>
            <w:r>
              <w:rPr>
                <w:rFonts w:ascii="Times New Roman" w:hAnsi="Times New Roman"/>
              </w:rPr>
              <w:t>[b]</w:t>
            </w:r>
            <w:r>
              <w:t>荧蒽（</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15</w:t>
            </w:r>
          </w:p>
        </w:tc>
        <w:tc>
          <w:tcPr>
            <w:tcW w:w="60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50"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7" w:type="pct"/>
          </w:tcPr>
          <w:p>
            <w:pPr>
              <w:jc w:val="center"/>
              <w:rPr>
                <w:rFonts w:ascii="Times New Roman" w:hAnsi="Times New Roman"/>
              </w:rPr>
            </w:pPr>
            <w:r>
              <w:rPr>
                <w:rFonts w:hint="eastAsia" w:ascii="Times New Roman" w:hAnsi="Times New Roman"/>
              </w:rPr>
              <w:t>4</w:t>
            </w:r>
            <w:r>
              <w:rPr>
                <w:rFonts w:ascii="Times New Roman" w:hAnsi="Times New Roman"/>
              </w:rPr>
              <w:t>1</w:t>
            </w:r>
          </w:p>
        </w:tc>
        <w:tc>
          <w:tcPr>
            <w:tcW w:w="814" w:type="pct"/>
            <w:vAlign w:val="center"/>
          </w:tcPr>
          <w:p>
            <w:pPr>
              <w:jc w:val="center"/>
              <w:rPr>
                <w:rFonts w:ascii="Times New Roman" w:hAnsi="Times New Roman"/>
                <w:kern w:val="2"/>
              </w:rPr>
            </w:pPr>
            <w:r>
              <w:t>苯并</w:t>
            </w:r>
            <w:r>
              <w:rPr>
                <w:rFonts w:ascii="Times New Roman" w:hAnsi="Times New Roman"/>
              </w:rPr>
              <w:t>[k]</w:t>
            </w:r>
            <w:r>
              <w:t>荧蒽（</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151</w:t>
            </w:r>
          </w:p>
        </w:tc>
        <w:tc>
          <w:tcPr>
            <w:tcW w:w="60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50"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7" w:type="pct"/>
          </w:tcPr>
          <w:p>
            <w:pPr>
              <w:jc w:val="center"/>
              <w:rPr>
                <w:rFonts w:ascii="Times New Roman" w:hAnsi="Times New Roman"/>
              </w:rPr>
            </w:pPr>
            <w:r>
              <w:rPr>
                <w:rFonts w:hint="eastAsia" w:ascii="Times New Roman" w:hAnsi="Times New Roman"/>
              </w:rPr>
              <w:t>4</w:t>
            </w:r>
            <w:r>
              <w:rPr>
                <w:rFonts w:ascii="Times New Roman" w:hAnsi="Times New Roman"/>
              </w:rPr>
              <w:t>2</w:t>
            </w:r>
          </w:p>
        </w:tc>
        <w:tc>
          <w:tcPr>
            <w:tcW w:w="814" w:type="pct"/>
            <w:vAlign w:val="center"/>
          </w:tcPr>
          <w:p>
            <w:pPr>
              <w:jc w:val="center"/>
              <w:rPr>
                <w:rFonts w:ascii="Times New Roman" w:hAnsi="Times New Roman"/>
                <w:kern w:val="2"/>
              </w:rPr>
            </w:pPr>
            <w:r>
              <w:t>䓛（</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1293</w:t>
            </w:r>
          </w:p>
        </w:tc>
        <w:tc>
          <w:tcPr>
            <w:tcW w:w="60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50"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7" w:type="pct"/>
          </w:tcPr>
          <w:p>
            <w:pPr>
              <w:jc w:val="center"/>
              <w:rPr>
                <w:rFonts w:ascii="Times New Roman" w:hAnsi="Times New Roman"/>
              </w:rPr>
            </w:pPr>
            <w:r>
              <w:rPr>
                <w:rFonts w:hint="eastAsia" w:ascii="Times New Roman" w:hAnsi="Times New Roman"/>
              </w:rPr>
              <w:t>4</w:t>
            </w:r>
            <w:r>
              <w:rPr>
                <w:rFonts w:ascii="Times New Roman" w:hAnsi="Times New Roman"/>
              </w:rPr>
              <w:t>3</w:t>
            </w:r>
          </w:p>
        </w:tc>
        <w:tc>
          <w:tcPr>
            <w:tcW w:w="814" w:type="pct"/>
            <w:vAlign w:val="center"/>
          </w:tcPr>
          <w:p>
            <w:pPr>
              <w:jc w:val="center"/>
              <w:rPr>
                <w:rFonts w:ascii="Times New Roman" w:hAnsi="Times New Roman"/>
                <w:kern w:val="2"/>
              </w:rPr>
            </w:pPr>
            <w:r>
              <w:t>二苯并</w:t>
            </w:r>
            <w:r>
              <w:rPr>
                <w:rFonts w:ascii="Times New Roman" w:hAnsi="Times New Roman"/>
              </w:rPr>
              <w:t>[a,h]</w:t>
            </w:r>
            <w:r>
              <w:t>蒽（</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1.5</w:t>
            </w:r>
          </w:p>
        </w:tc>
        <w:tc>
          <w:tcPr>
            <w:tcW w:w="60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50"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7" w:type="pct"/>
          </w:tcPr>
          <w:p>
            <w:pPr>
              <w:jc w:val="center"/>
              <w:rPr>
                <w:rFonts w:ascii="Times New Roman" w:hAnsi="Times New Roman"/>
              </w:rPr>
            </w:pPr>
            <w:r>
              <w:rPr>
                <w:rFonts w:hint="eastAsia" w:ascii="Times New Roman" w:hAnsi="Times New Roman"/>
              </w:rPr>
              <w:t>4</w:t>
            </w:r>
            <w:r>
              <w:rPr>
                <w:rFonts w:ascii="Times New Roman" w:hAnsi="Times New Roman"/>
              </w:rPr>
              <w:t>4</w:t>
            </w:r>
          </w:p>
        </w:tc>
        <w:tc>
          <w:tcPr>
            <w:tcW w:w="814" w:type="pct"/>
            <w:vAlign w:val="center"/>
          </w:tcPr>
          <w:p>
            <w:pPr>
              <w:jc w:val="center"/>
              <w:rPr>
                <w:rFonts w:ascii="Times New Roman" w:hAnsi="Times New Roman"/>
                <w:kern w:val="2"/>
              </w:rPr>
            </w:pPr>
            <w:r>
              <w:t>茚并</w:t>
            </w:r>
            <w:r>
              <w:rPr>
                <w:rFonts w:ascii="Times New Roman" w:hAnsi="Times New Roman"/>
              </w:rPr>
              <w:t>[1,2,3-cd]</w:t>
            </w:r>
            <w:r>
              <w:t>芘（</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15</w:t>
            </w:r>
          </w:p>
        </w:tc>
        <w:tc>
          <w:tcPr>
            <w:tcW w:w="60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50"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7" w:type="pct"/>
          </w:tcPr>
          <w:p>
            <w:pPr>
              <w:jc w:val="center"/>
              <w:rPr>
                <w:rFonts w:ascii="Times New Roman" w:hAnsi="Times New Roman"/>
              </w:rPr>
            </w:pPr>
            <w:r>
              <w:rPr>
                <w:rFonts w:hint="eastAsia" w:ascii="Times New Roman" w:hAnsi="Times New Roman"/>
              </w:rPr>
              <w:t>4</w:t>
            </w:r>
            <w:r>
              <w:rPr>
                <w:rFonts w:ascii="Times New Roman" w:hAnsi="Times New Roman"/>
              </w:rPr>
              <w:t>5</w:t>
            </w:r>
          </w:p>
        </w:tc>
        <w:tc>
          <w:tcPr>
            <w:tcW w:w="814" w:type="pct"/>
            <w:vAlign w:val="center"/>
          </w:tcPr>
          <w:p>
            <w:pPr>
              <w:jc w:val="center"/>
              <w:rPr>
                <w:rFonts w:ascii="Times New Roman" w:hAnsi="Times New Roman"/>
                <w:kern w:val="2"/>
              </w:rPr>
            </w:pPr>
            <w:r>
              <w:t>萘（</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70</w:t>
            </w:r>
          </w:p>
        </w:tc>
        <w:tc>
          <w:tcPr>
            <w:tcW w:w="60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50"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c>
          <w:tcPr>
            <w:tcW w:w="449" w:type="pct"/>
            <w:vAlign w:val="center"/>
          </w:tcPr>
          <w:p>
            <w:pPr>
              <w:jc w:val="center"/>
              <w:rPr>
                <w:rFonts w:ascii="Times New Roman" w:hAnsi="Times New Roman"/>
                <w:kern w:val="2"/>
              </w:rPr>
            </w:pPr>
            <w:r>
              <w:rPr>
                <w:rFonts w:hint="eastAsia"/>
                <w:kern w:val="2"/>
              </w:rPr>
              <w:t>未检出</w:t>
            </w:r>
          </w:p>
        </w:tc>
        <w:tc>
          <w:tcPr>
            <w:tcW w:w="448" w:type="pct"/>
            <w:vAlign w:val="center"/>
          </w:tcPr>
          <w:p>
            <w:pPr>
              <w:jc w:val="center"/>
              <w:rPr>
                <w:rFonts w:ascii="Times New Roman" w:hAnsi="Times New Roman"/>
                <w:kern w:val="2"/>
              </w:rPr>
            </w:pPr>
            <w:r>
              <w:rPr>
                <w:rFonts w:hint="eastAsia"/>
                <w:kern w:val="2"/>
              </w:rPr>
              <w:t>未检出</w:t>
            </w:r>
          </w:p>
        </w:tc>
      </w:tr>
    </w:tbl>
    <w:p>
      <w:pPr>
        <w:pStyle w:val="19"/>
        <w:spacing w:line="480" w:lineRule="exact"/>
        <w:ind w:firstLine="0"/>
        <w:jc w:val="center"/>
        <w:rPr>
          <w:rFonts w:ascii="Times New Roman" w:hAnsi="Times New Roman"/>
          <w:b/>
          <w:bCs/>
          <w:sz w:val="21"/>
        </w:rPr>
      </w:pPr>
      <w:r>
        <w:rPr>
          <w:rFonts w:ascii="Times New Roman" w:hAnsi="Times New Roman"/>
          <w:b/>
          <w:bCs/>
          <w:sz w:val="21"/>
        </w:rPr>
        <w:t>续表4.2-22 土壤环境监测结果（mg/kg）</w:t>
      </w:r>
    </w:p>
    <w:tbl>
      <w:tblPr>
        <w:tblStyle w:val="77"/>
        <w:tblW w:w="5000" w:type="pct"/>
        <w:tblInd w:w="13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46"/>
        <w:gridCol w:w="2146"/>
        <w:gridCol w:w="2857"/>
        <w:gridCol w:w="1446"/>
        <w:gridCol w:w="1853"/>
        <w:gridCol w:w="1520"/>
        <w:gridCol w:w="289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6" w:type="pct"/>
            <w:vMerge w:val="restart"/>
            <w:vAlign w:val="center"/>
          </w:tcPr>
          <w:p>
            <w:pPr>
              <w:jc w:val="center"/>
              <w:rPr>
                <w:rFonts w:ascii="Times New Roman" w:hAnsi="Times New Roman"/>
              </w:rPr>
            </w:pPr>
            <w:r>
              <w:rPr>
                <w:rFonts w:hint="eastAsia"/>
              </w:rPr>
              <w:t>序号</w:t>
            </w:r>
          </w:p>
        </w:tc>
        <w:tc>
          <w:tcPr>
            <w:tcW w:w="809" w:type="pct"/>
            <w:vMerge w:val="restart"/>
            <w:vAlign w:val="center"/>
          </w:tcPr>
          <w:p>
            <w:pPr>
              <w:jc w:val="center"/>
              <w:rPr>
                <w:rFonts w:ascii="Times New Roman" w:hAnsi="Times New Roman"/>
                <w:kern w:val="2"/>
              </w:rPr>
            </w:pPr>
            <w:r>
              <w:rPr>
                <w:rFonts w:hint="eastAsia"/>
                <w:kern w:val="2"/>
              </w:rPr>
              <w:t>检测项目</w:t>
            </w:r>
          </w:p>
        </w:tc>
        <w:tc>
          <w:tcPr>
            <w:tcW w:w="1073" w:type="pct"/>
            <w:vMerge w:val="restart"/>
          </w:tcPr>
          <w:p>
            <w:pPr>
              <w:jc w:val="center"/>
              <w:rPr>
                <w:rFonts w:ascii="Times New Roman" w:hAnsi="Times New Roman"/>
                <w:kern w:val="2"/>
              </w:rPr>
            </w:pPr>
            <w:r>
              <w:rPr>
                <w:rFonts w:hint="eastAsia"/>
                <w:bCs/>
              </w:rPr>
              <w:t>《土壤环境质量建设用地土壤污染风险管控标准》（试行）（GB36600-2018）中第二类用地筛选值标准（mg/kg）</w:t>
            </w:r>
          </w:p>
        </w:tc>
        <w:tc>
          <w:tcPr>
            <w:tcW w:w="2911" w:type="pct"/>
            <w:gridSpan w:val="4"/>
            <w:vAlign w:val="center"/>
          </w:tcPr>
          <w:p>
            <w:pPr>
              <w:jc w:val="center"/>
              <w:rPr>
                <w:rFonts w:ascii="Times New Roman" w:hAnsi="Times New Roman"/>
                <w:kern w:val="2"/>
              </w:rPr>
            </w:pPr>
            <w:r>
              <w:rPr>
                <w:rFonts w:hint="eastAsia" w:ascii="Times New Roman" w:hAnsi="Times New Roman"/>
                <w:kern w:val="2"/>
              </w:rPr>
              <w:t>2022.05.24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vAlign w:val="center"/>
          </w:tcPr>
          <w:p>
            <w:pPr>
              <w:widowControl/>
              <w:jc w:val="left"/>
              <w:rPr>
                <w:rFonts w:ascii="Times New Roman" w:hAnsi="Times New Roman"/>
              </w:rPr>
            </w:pPr>
          </w:p>
        </w:tc>
        <w:tc>
          <w:tcPr>
            <w:tcW w:w="0" w:type="auto"/>
            <w:vMerge w:val="continue"/>
            <w:vAlign w:val="center"/>
          </w:tcPr>
          <w:p>
            <w:pPr>
              <w:widowControl/>
              <w:jc w:val="left"/>
              <w:rPr>
                <w:rFonts w:ascii="Times New Roman" w:hAnsi="Times New Roman"/>
                <w:kern w:val="2"/>
              </w:rPr>
            </w:pPr>
          </w:p>
        </w:tc>
        <w:tc>
          <w:tcPr>
            <w:tcW w:w="0" w:type="auto"/>
            <w:vMerge w:val="continue"/>
            <w:vAlign w:val="center"/>
          </w:tcPr>
          <w:p>
            <w:pPr>
              <w:widowControl/>
              <w:jc w:val="left"/>
              <w:rPr>
                <w:rFonts w:ascii="Times New Roman" w:hAnsi="Times New Roman"/>
                <w:kern w:val="2"/>
              </w:rPr>
            </w:pPr>
          </w:p>
        </w:tc>
        <w:tc>
          <w:tcPr>
            <w:tcW w:w="1825" w:type="pct"/>
            <w:gridSpan w:val="3"/>
            <w:vAlign w:val="center"/>
          </w:tcPr>
          <w:p>
            <w:pPr>
              <w:jc w:val="center"/>
              <w:rPr>
                <w:rFonts w:ascii="Times New Roman" w:hAnsi="Times New Roman"/>
              </w:rPr>
            </w:pPr>
            <w:r>
              <w:rPr>
                <w:rFonts w:hint="eastAsia"/>
                <w:kern w:val="2"/>
              </w:rPr>
              <w:t>车库附近</w:t>
            </w:r>
            <w:r>
              <w:rPr>
                <w:rFonts w:hint="eastAsia" w:ascii="Times New Roman" w:hAnsi="Times New Roman"/>
                <w:kern w:val="2"/>
              </w:rPr>
              <w:t>T4 4</w:t>
            </w:r>
            <w:r>
              <w:rPr>
                <w:kern w:val="2"/>
              </w:rPr>
              <w:t>¨</w:t>
            </w:r>
          </w:p>
        </w:tc>
        <w:tc>
          <w:tcPr>
            <w:tcW w:w="1086" w:type="pct"/>
            <w:vAlign w:val="center"/>
          </w:tcPr>
          <w:p>
            <w:pPr>
              <w:jc w:val="center"/>
              <w:rPr>
                <w:rFonts w:ascii="Times New Roman" w:hAnsi="Times New Roman"/>
              </w:rPr>
            </w:pPr>
            <w:r>
              <w:rPr>
                <w:rFonts w:hint="eastAsia"/>
                <w:kern w:val="2"/>
              </w:rPr>
              <w:t>项目厂址下风向</w:t>
            </w:r>
            <w:r>
              <w:rPr>
                <w:rFonts w:hint="eastAsia" w:ascii="Times New Roman" w:hAnsi="Times New Roman"/>
                <w:kern w:val="2"/>
              </w:rPr>
              <w:t>T6 6</w:t>
            </w:r>
            <w:r>
              <w:rPr>
                <w:kern w:val="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rPr>
        <w:tc>
          <w:tcPr>
            <w:tcW w:w="0" w:type="auto"/>
            <w:vMerge w:val="continue"/>
            <w:vAlign w:val="center"/>
          </w:tcPr>
          <w:p>
            <w:pPr>
              <w:widowControl/>
              <w:jc w:val="left"/>
              <w:rPr>
                <w:rFonts w:ascii="Times New Roman" w:hAnsi="Times New Roman"/>
              </w:rPr>
            </w:pPr>
          </w:p>
        </w:tc>
        <w:tc>
          <w:tcPr>
            <w:tcW w:w="0" w:type="auto"/>
            <w:vMerge w:val="continue"/>
            <w:vAlign w:val="center"/>
          </w:tcPr>
          <w:p>
            <w:pPr>
              <w:widowControl/>
              <w:jc w:val="left"/>
              <w:rPr>
                <w:rFonts w:ascii="Times New Roman" w:hAnsi="Times New Roman"/>
                <w:kern w:val="2"/>
              </w:rPr>
            </w:pPr>
          </w:p>
        </w:tc>
        <w:tc>
          <w:tcPr>
            <w:tcW w:w="0" w:type="auto"/>
            <w:vMerge w:val="continue"/>
            <w:vAlign w:val="center"/>
          </w:tcPr>
          <w:p>
            <w:pPr>
              <w:widowControl/>
              <w:jc w:val="left"/>
              <w:rPr>
                <w:rFonts w:ascii="Times New Roman" w:hAnsi="Times New Roman"/>
                <w:kern w:val="2"/>
              </w:rPr>
            </w:pPr>
          </w:p>
        </w:tc>
        <w:tc>
          <w:tcPr>
            <w:tcW w:w="549" w:type="pct"/>
            <w:vAlign w:val="center"/>
          </w:tcPr>
          <w:p>
            <w:pPr>
              <w:jc w:val="center"/>
              <w:rPr>
                <w:rFonts w:ascii="Times New Roman" w:hAnsi="Times New Roman"/>
                <w:kern w:val="2"/>
              </w:rPr>
            </w:pPr>
            <w:r>
              <w:rPr>
                <w:rFonts w:hint="eastAsia" w:ascii="Times New Roman" w:hAnsi="Times New Roman"/>
                <w:kern w:val="2"/>
              </w:rPr>
              <w:t>0~0.5m</w:t>
            </w:r>
          </w:p>
        </w:tc>
        <w:tc>
          <w:tcPr>
            <w:tcW w:w="700" w:type="pct"/>
            <w:vAlign w:val="center"/>
          </w:tcPr>
          <w:p>
            <w:pPr>
              <w:jc w:val="center"/>
              <w:rPr>
                <w:rFonts w:ascii="Times New Roman" w:hAnsi="Times New Roman"/>
                <w:kern w:val="2"/>
              </w:rPr>
            </w:pPr>
            <w:r>
              <w:rPr>
                <w:rFonts w:hint="eastAsia" w:ascii="Times New Roman" w:hAnsi="Times New Roman"/>
                <w:kern w:val="2"/>
              </w:rPr>
              <w:t>0.5~1.5m</w:t>
            </w:r>
          </w:p>
        </w:tc>
        <w:tc>
          <w:tcPr>
            <w:tcW w:w="574" w:type="pct"/>
            <w:vAlign w:val="center"/>
          </w:tcPr>
          <w:p>
            <w:pPr>
              <w:jc w:val="center"/>
              <w:rPr>
                <w:rFonts w:ascii="Times New Roman" w:hAnsi="Times New Roman"/>
                <w:kern w:val="2"/>
              </w:rPr>
            </w:pPr>
            <w:r>
              <w:rPr>
                <w:rFonts w:hint="eastAsia" w:ascii="Times New Roman" w:hAnsi="Times New Roman"/>
                <w:kern w:val="2"/>
              </w:rPr>
              <w:t>1.5~3.0m</w:t>
            </w:r>
          </w:p>
        </w:tc>
        <w:tc>
          <w:tcPr>
            <w:tcW w:w="1086" w:type="pct"/>
            <w:vAlign w:val="center"/>
          </w:tcPr>
          <w:p>
            <w:pPr>
              <w:jc w:val="center"/>
              <w:rPr>
                <w:rFonts w:ascii="Times New Roman" w:hAnsi="Times New Roman"/>
                <w:kern w:val="2"/>
              </w:rPr>
            </w:pPr>
            <w:r>
              <w:rPr>
                <w:rFonts w:ascii="Times New Roman" w:hAnsi="Times New Roman"/>
                <w:kern w:val="2"/>
              </w:rPr>
              <w:t>0~0.2m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6" w:type="pct"/>
            <w:vAlign w:val="center"/>
          </w:tcPr>
          <w:p>
            <w:pPr>
              <w:ind w:left="425"/>
              <w:jc w:val="center"/>
              <w:rPr>
                <w:rFonts w:ascii="Times New Roman" w:hAnsi="Times New Roman"/>
              </w:rPr>
            </w:pPr>
            <w:r>
              <w:rPr>
                <w:rFonts w:hint="eastAsia" w:ascii="Times New Roman" w:hAnsi="Times New Roman"/>
              </w:rPr>
              <w:t>1</w:t>
            </w:r>
          </w:p>
        </w:tc>
        <w:tc>
          <w:tcPr>
            <w:tcW w:w="809" w:type="pct"/>
            <w:vAlign w:val="center"/>
          </w:tcPr>
          <w:p>
            <w:pPr>
              <w:jc w:val="center"/>
              <w:rPr>
                <w:rFonts w:ascii="Times New Roman" w:hAnsi="Times New Roman"/>
                <w:kern w:val="2"/>
              </w:rPr>
            </w:pPr>
            <w:r>
              <w:rPr>
                <w:rFonts w:ascii="Times New Roman" w:hAnsi="Times New Roman"/>
              </w:rPr>
              <w:t>pH</w:t>
            </w:r>
            <w:r>
              <w:rPr>
                <w:rFonts w:hint="eastAsia"/>
              </w:rPr>
              <w:t>（无量纲）</w:t>
            </w:r>
          </w:p>
        </w:tc>
        <w:tc>
          <w:tcPr>
            <w:tcW w:w="1073" w:type="pct"/>
          </w:tcPr>
          <w:p>
            <w:pPr>
              <w:jc w:val="center"/>
              <w:rPr>
                <w:rFonts w:ascii="Times New Roman" w:hAnsi="Times New Roman"/>
                <w:kern w:val="2"/>
              </w:rPr>
            </w:pPr>
            <w:r>
              <w:rPr>
                <w:rFonts w:hint="eastAsia" w:ascii="Times New Roman" w:hAnsi="Times New Roman"/>
                <w:kern w:val="2"/>
              </w:rPr>
              <w:t>/</w:t>
            </w:r>
          </w:p>
        </w:tc>
        <w:tc>
          <w:tcPr>
            <w:tcW w:w="549" w:type="pct"/>
            <w:vAlign w:val="center"/>
          </w:tcPr>
          <w:p>
            <w:pPr>
              <w:jc w:val="center"/>
              <w:rPr>
                <w:rFonts w:ascii="Times New Roman" w:hAnsi="Times New Roman"/>
                <w:kern w:val="2"/>
              </w:rPr>
            </w:pPr>
            <w:r>
              <w:rPr>
                <w:rFonts w:hint="eastAsia" w:ascii="Times New Roman" w:hAnsi="Times New Roman"/>
                <w:kern w:val="2"/>
              </w:rPr>
              <w:t>7.3</w:t>
            </w:r>
          </w:p>
        </w:tc>
        <w:tc>
          <w:tcPr>
            <w:tcW w:w="700" w:type="pct"/>
            <w:vAlign w:val="center"/>
          </w:tcPr>
          <w:p>
            <w:pPr>
              <w:jc w:val="center"/>
              <w:rPr>
                <w:rFonts w:ascii="Times New Roman" w:hAnsi="Times New Roman"/>
                <w:kern w:val="2"/>
              </w:rPr>
            </w:pPr>
            <w:r>
              <w:rPr>
                <w:rFonts w:hint="eastAsia" w:ascii="Times New Roman" w:hAnsi="Times New Roman"/>
                <w:kern w:val="2"/>
              </w:rPr>
              <w:t>7.5</w:t>
            </w:r>
          </w:p>
        </w:tc>
        <w:tc>
          <w:tcPr>
            <w:tcW w:w="574" w:type="pct"/>
            <w:vAlign w:val="center"/>
          </w:tcPr>
          <w:p>
            <w:pPr>
              <w:jc w:val="center"/>
              <w:rPr>
                <w:rFonts w:ascii="Times New Roman" w:hAnsi="Times New Roman"/>
                <w:kern w:val="2"/>
              </w:rPr>
            </w:pPr>
            <w:r>
              <w:rPr>
                <w:rFonts w:hint="eastAsia" w:ascii="Times New Roman" w:hAnsi="Times New Roman"/>
                <w:kern w:val="2"/>
              </w:rPr>
              <w:t>7.2</w:t>
            </w:r>
          </w:p>
        </w:tc>
        <w:tc>
          <w:tcPr>
            <w:tcW w:w="1086" w:type="pct"/>
            <w:vAlign w:val="center"/>
          </w:tcPr>
          <w:p>
            <w:pPr>
              <w:jc w:val="center"/>
              <w:rPr>
                <w:rFonts w:ascii="Times New Roman" w:hAnsi="Times New Roman"/>
                <w:kern w:val="2"/>
              </w:rPr>
            </w:pPr>
            <w:r>
              <w:rPr>
                <w:rFonts w:hint="eastAsia" w:ascii="Times New Roman" w:hAnsi="Times New Roman"/>
                <w:kern w:val="2"/>
              </w:rPr>
              <w:t>7.4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6" w:type="pct"/>
            <w:vAlign w:val="center"/>
          </w:tcPr>
          <w:p>
            <w:pPr>
              <w:ind w:left="425"/>
              <w:jc w:val="center"/>
              <w:rPr>
                <w:rFonts w:ascii="Times New Roman" w:hAnsi="Times New Roman"/>
              </w:rPr>
            </w:pPr>
            <w:r>
              <w:rPr>
                <w:rFonts w:hint="eastAsia" w:ascii="Times New Roman" w:hAnsi="Times New Roman"/>
              </w:rPr>
              <w:t>2</w:t>
            </w:r>
          </w:p>
        </w:tc>
        <w:tc>
          <w:tcPr>
            <w:tcW w:w="809" w:type="pct"/>
            <w:vAlign w:val="center"/>
          </w:tcPr>
          <w:p>
            <w:pPr>
              <w:widowControl/>
              <w:jc w:val="center"/>
              <w:textAlignment w:val="center"/>
              <w:rPr>
                <w:rFonts w:ascii="Times New Roman" w:hAnsi="Times New Roman"/>
                <w:kern w:val="2"/>
              </w:rPr>
            </w:pPr>
            <w:r>
              <w:t>砷</w:t>
            </w:r>
          </w:p>
        </w:tc>
        <w:tc>
          <w:tcPr>
            <w:tcW w:w="1073" w:type="pct"/>
            <w:vAlign w:val="center"/>
          </w:tcPr>
          <w:p>
            <w:pPr>
              <w:widowControl/>
              <w:jc w:val="center"/>
              <w:textAlignment w:val="center"/>
              <w:rPr>
                <w:rFonts w:ascii="Times New Roman" w:hAnsi="Times New Roman"/>
                <w:kern w:val="2"/>
              </w:rPr>
            </w:pPr>
            <w:r>
              <w:rPr>
                <w:rFonts w:ascii="Times New Roman" w:hAnsi="Times New Roman"/>
              </w:rPr>
              <w:t>60</w:t>
            </w:r>
          </w:p>
        </w:tc>
        <w:tc>
          <w:tcPr>
            <w:tcW w:w="549" w:type="pct"/>
            <w:vAlign w:val="center"/>
          </w:tcPr>
          <w:p>
            <w:pPr>
              <w:widowControl/>
              <w:jc w:val="center"/>
              <w:textAlignment w:val="center"/>
              <w:rPr>
                <w:rFonts w:ascii="Times New Roman" w:hAnsi="Times New Roman"/>
                <w:kern w:val="2"/>
              </w:rPr>
            </w:pPr>
            <w:r>
              <w:rPr>
                <w:rFonts w:hint="eastAsia" w:ascii="Times New Roman" w:hAnsi="Times New Roman"/>
                <w:kern w:val="2"/>
              </w:rPr>
              <w:t>7.64</w:t>
            </w:r>
          </w:p>
        </w:tc>
        <w:tc>
          <w:tcPr>
            <w:tcW w:w="700" w:type="pct"/>
            <w:vAlign w:val="center"/>
          </w:tcPr>
          <w:p>
            <w:pPr>
              <w:widowControl/>
              <w:jc w:val="center"/>
              <w:textAlignment w:val="center"/>
              <w:rPr>
                <w:rFonts w:ascii="Times New Roman" w:hAnsi="Times New Roman"/>
                <w:kern w:val="2"/>
              </w:rPr>
            </w:pPr>
            <w:r>
              <w:rPr>
                <w:rFonts w:hint="eastAsia" w:ascii="Times New Roman" w:hAnsi="Times New Roman"/>
                <w:kern w:val="2"/>
              </w:rPr>
              <w:t>7.41</w:t>
            </w:r>
          </w:p>
        </w:tc>
        <w:tc>
          <w:tcPr>
            <w:tcW w:w="574" w:type="pct"/>
            <w:vAlign w:val="center"/>
          </w:tcPr>
          <w:p>
            <w:pPr>
              <w:widowControl/>
              <w:jc w:val="center"/>
              <w:textAlignment w:val="center"/>
              <w:rPr>
                <w:rFonts w:ascii="Times New Roman" w:hAnsi="Times New Roman"/>
                <w:kern w:val="2"/>
              </w:rPr>
            </w:pPr>
            <w:r>
              <w:rPr>
                <w:rFonts w:hint="eastAsia" w:ascii="Times New Roman" w:hAnsi="Times New Roman"/>
                <w:kern w:val="2"/>
              </w:rPr>
              <w:t>7.28</w:t>
            </w:r>
          </w:p>
        </w:tc>
        <w:tc>
          <w:tcPr>
            <w:tcW w:w="1086" w:type="pct"/>
            <w:vAlign w:val="center"/>
          </w:tcPr>
          <w:p>
            <w:pPr>
              <w:widowControl/>
              <w:jc w:val="center"/>
              <w:textAlignment w:val="center"/>
              <w:rPr>
                <w:rFonts w:ascii="Times New Roman" w:hAnsi="Times New Roman"/>
                <w:kern w:val="2"/>
              </w:rPr>
            </w:pPr>
            <w:r>
              <w:rPr>
                <w:rFonts w:hint="eastAsia" w:ascii="Times New Roman" w:hAnsi="Times New Roman"/>
                <w:kern w:val="2"/>
              </w:rPr>
              <w:t>3.17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206" w:type="pct"/>
            <w:vAlign w:val="center"/>
          </w:tcPr>
          <w:p>
            <w:pPr>
              <w:ind w:left="425"/>
              <w:jc w:val="center"/>
              <w:rPr>
                <w:rFonts w:ascii="Times New Roman" w:hAnsi="Times New Roman"/>
              </w:rPr>
            </w:pPr>
            <w:r>
              <w:rPr>
                <w:rFonts w:hint="eastAsia" w:ascii="Times New Roman" w:hAnsi="Times New Roman"/>
              </w:rPr>
              <w:t>3</w:t>
            </w:r>
          </w:p>
        </w:tc>
        <w:tc>
          <w:tcPr>
            <w:tcW w:w="809" w:type="pct"/>
            <w:vAlign w:val="center"/>
          </w:tcPr>
          <w:p>
            <w:pPr>
              <w:widowControl/>
              <w:jc w:val="center"/>
              <w:textAlignment w:val="center"/>
              <w:rPr>
                <w:rFonts w:ascii="Times New Roman" w:hAnsi="Times New Roman"/>
                <w:kern w:val="2"/>
              </w:rPr>
            </w:pPr>
            <w:r>
              <w:t>镉</w:t>
            </w:r>
          </w:p>
        </w:tc>
        <w:tc>
          <w:tcPr>
            <w:tcW w:w="1073" w:type="pct"/>
            <w:vAlign w:val="center"/>
          </w:tcPr>
          <w:p>
            <w:pPr>
              <w:widowControl/>
              <w:jc w:val="center"/>
              <w:textAlignment w:val="center"/>
              <w:rPr>
                <w:rFonts w:ascii="Times New Roman" w:hAnsi="Times New Roman"/>
                <w:kern w:val="2"/>
              </w:rPr>
            </w:pPr>
            <w:r>
              <w:rPr>
                <w:rFonts w:ascii="Times New Roman" w:hAnsi="Times New Roman"/>
              </w:rPr>
              <w:t>65</w:t>
            </w:r>
          </w:p>
        </w:tc>
        <w:tc>
          <w:tcPr>
            <w:tcW w:w="549" w:type="pct"/>
            <w:vAlign w:val="center"/>
          </w:tcPr>
          <w:p>
            <w:pPr>
              <w:widowControl/>
              <w:jc w:val="center"/>
              <w:textAlignment w:val="center"/>
              <w:rPr>
                <w:rFonts w:ascii="Times New Roman" w:hAnsi="Times New Roman"/>
                <w:kern w:val="2"/>
              </w:rPr>
            </w:pPr>
            <w:r>
              <w:rPr>
                <w:rFonts w:hint="eastAsia" w:ascii="Times New Roman" w:hAnsi="Times New Roman"/>
                <w:kern w:val="2"/>
              </w:rPr>
              <w:t>0.19</w:t>
            </w:r>
          </w:p>
        </w:tc>
        <w:tc>
          <w:tcPr>
            <w:tcW w:w="700" w:type="pct"/>
            <w:vAlign w:val="center"/>
          </w:tcPr>
          <w:p>
            <w:pPr>
              <w:widowControl/>
              <w:jc w:val="center"/>
              <w:textAlignment w:val="center"/>
              <w:rPr>
                <w:rFonts w:ascii="Times New Roman" w:hAnsi="Times New Roman"/>
                <w:kern w:val="2"/>
              </w:rPr>
            </w:pPr>
            <w:r>
              <w:rPr>
                <w:rFonts w:hint="eastAsia" w:ascii="Times New Roman" w:hAnsi="Times New Roman"/>
                <w:kern w:val="2"/>
              </w:rPr>
              <w:t>0.16</w:t>
            </w:r>
          </w:p>
        </w:tc>
        <w:tc>
          <w:tcPr>
            <w:tcW w:w="574" w:type="pct"/>
            <w:vAlign w:val="center"/>
          </w:tcPr>
          <w:p>
            <w:pPr>
              <w:widowControl/>
              <w:jc w:val="center"/>
              <w:textAlignment w:val="center"/>
              <w:rPr>
                <w:rFonts w:ascii="Times New Roman" w:hAnsi="Times New Roman"/>
                <w:kern w:val="2"/>
              </w:rPr>
            </w:pPr>
            <w:r>
              <w:rPr>
                <w:rFonts w:hint="eastAsia" w:ascii="Times New Roman" w:hAnsi="Times New Roman"/>
                <w:kern w:val="2"/>
              </w:rPr>
              <w:t>0.12</w:t>
            </w:r>
          </w:p>
        </w:tc>
        <w:tc>
          <w:tcPr>
            <w:tcW w:w="1086" w:type="pct"/>
            <w:vAlign w:val="center"/>
          </w:tcPr>
          <w:p>
            <w:pPr>
              <w:widowControl/>
              <w:jc w:val="center"/>
              <w:textAlignment w:val="center"/>
              <w:rPr>
                <w:rFonts w:ascii="Times New Roman" w:hAnsi="Times New Roman"/>
                <w:kern w:val="2"/>
              </w:rPr>
            </w:pPr>
            <w:r>
              <w:rPr>
                <w:rFonts w:hint="eastAsia" w:ascii="Times New Roman" w:hAnsi="Times New Roman"/>
                <w:kern w:val="2"/>
              </w:rPr>
              <w:t>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6" w:type="pct"/>
            <w:vAlign w:val="center"/>
          </w:tcPr>
          <w:p>
            <w:pPr>
              <w:ind w:left="425"/>
              <w:jc w:val="center"/>
              <w:rPr>
                <w:rFonts w:ascii="Times New Roman" w:hAnsi="Times New Roman"/>
              </w:rPr>
            </w:pPr>
            <w:r>
              <w:rPr>
                <w:rFonts w:hint="eastAsia" w:ascii="Times New Roman" w:hAnsi="Times New Roman"/>
              </w:rPr>
              <w:t>4</w:t>
            </w:r>
          </w:p>
        </w:tc>
        <w:tc>
          <w:tcPr>
            <w:tcW w:w="809" w:type="pct"/>
            <w:vAlign w:val="center"/>
          </w:tcPr>
          <w:p>
            <w:pPr>
              <w:widowControl/>
              <w:jc w:val="center"/>
              <w:textAlignment w:val="center"/>
              <w:rPr>
                <w:rFonts w:ascii="Times New Roman" w:hAnsi="Times New Roman"/>
                <w:kern w:val="2"/>
              </w:rPr>
            </w:pPr>
            <w:r>
              <w:rPr>
                <w:rFonts w:hint="eastAsia"/>
              </w:rPr>
              <w:t>六价</w:t>
            </w:r>
            <w:r>
              <w:t>铬</w:t>
            </w:r>
          </w:p>
        </w:tc>
        <w:tc>
          <w:tcPr>
            <w:tcW w:w="1073" w:type="pct"/>
            <w:vAlign w:val="center"/>
          </w:tcPr>
          <w:p>
            <w:pPr>
              <w:widowControl/>
              <w:jc w:val="center"/>
              <w:textAlignment w:val="center"/>
              <w:rPr>
                <w:rFonts w:ascii="Times New Roman" w:hAnsi="Times New Roman"/>
                <w:kern w:val="2"/>
              </w:rPr>
            </w:pPr>
            <w:r>
              <w:rPr>
                <w:rFonts w:ascii="Times New Roman" w:hAnsi="Times New Roman"/>
              </w:rPr>
              <w:t>5.7</w:t>
            </w:r>
          </w:p>
        </w:tc>
        <w:tc>
          <w:tcPr>
            <w:tcW w:w="549" w:type="pct"/>
            <w:vAlign w:val="center"/>
          </w:tcPr>
          <w:p>
            <w:pPr>
              <w:widowControl/>
              <w:jc w:val="center"/>
              <w:textAlignment w:val="center"/>
              <w:rPr>
                <w:rFonts w:ascii="Times New Roman" w:hAnsi="Times New Roman"/>
                <w:kern w:val="2"/>
              </w:rPr>
            </w:pPr>
            <w:r>
              <w:rPr>
                <w:rFonts w:hint="eastAsia"/>
                <w:kern w:val="2"/>
              </w:rPr>
              <w:t>未检出</w:t>
            </w:r>
          </w:p>
        </w:tc>
        <w:tc>
          <w:tcPr>
            <w:tcW w:w="700" w:type="pct"/>
            <w:vAlign w:val="center"/>
          </w:tcPr>
          <w:p>
            <w:pPr>
              <w:widowControl/>
              <w:jc w:val="center"/>
              <w:textAlignment w:val="center"/>
              <w:rPr>
                <w:rFonts w:ascii="Times New Roman" w:hAnsi="Times New Roman"/>
                <w:kern w:val="2"/>
              </w:rPr>
            </w:pPr>
            <w:r>
              <w:rPr>
                <w:rFonts w:hint="eastAsia"/>
                <w:kern w:val="2"/>
              </w:rPr>
              <w:t>未检出</w:t>
            </w:r>
          </w:p>
        </w:tc>
        <w:tc>
          <w:tcPr>
            <w:tcW w:w="574" w:type="pct"/>
            <w:vAlign w:val="center"/>
          </w:tcPr>
          <w:p>
            <w:pPr>
              <w:widowControl/>
              <w:jc w:val="center"/>
              <w:textAlignment w:val="center"/>
              <w:rPr>
                <w:rFonts w:ascii="Times New Roman" w:hAnsi="Times New Roman"/>
                <w:kern w:val="2"/>
              </w:rPr>
            </w:pPr>
            <w:r>
              <w:rPr>
                <w:rFonts w:hint="eastAsia"/>
                <w:kern w:val="2"/>
              </w:rPr>
              <w:t>未检出</w:t>
            </w:r>
          </w:p>
        </w:tc>
        <w:tc>
          <w:tcPr>
            <w:tcW w:w="1086" w:type="pct"/>
            <w:vAlign w:val="center"/>
          </w:tcPr>
          <w:p>
            <w:pPr>
              <w:widowControl/>
              <w:jc w:val="center"/>
              <w:textAlignment w:val="center"/>
              <w:rPr>
                <w:rFonts w:ascii="Times New Roman" w:hAnsi="Times New Roman"/>
                <w:kern w:val="2"/>
              </w:rPr>
            </w:pPr>
            <w:r>
              <w:rPr>
                <w:rFonts w:hint="eastAsia"/>
                <w:kern w:val="2"/>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6" w:type="pct"/>
            <w:vAlign w:val="center"/>
          </w:tcPr>
          <w:p>
            <w:pPr>
              <w:ind w:left="425"/>
              <w:jc w:val="center"/>
              <w:rPr>
                <w:rFonts w:ascii="Times New Roman" w:hAnsi="Times New Roman"/>
              </w:rPr>
            </w:pPr>
            <w:r>
              <w:rPr>
                <w:rFonts w:hint="eastAsia" w:ascii="Times New Roman" w:hAnsi="Times New Roman"/>
              </w:rPr>
              <w:t>5</w:t>
            </w:r>
          </w:p>
        </w:tc>
        <w:tc>
          <w:tcPr>
            <w:tcW w:w="809" w:type="pct"/>
            <w:vAlign w:val="center"/>
          </w:tcPr>
          <w:p>
            <w:pPr>
              <w:widowControl/>
              <w:jc w:val="center"/>
              <w:textAlignment w:val="center"/>
              <w:rPr>
                <w:rFonts w:ascii="Times New Roman" w:hAnsi="Times New Roman"/>
                <w:kern w:val="2"/>
              </w:rPr>
            </w:pPr>
            <w:r>
              <w:t>铜</w:t>
            </w:r>
          </w:p>
        </w:tc>
        <w:tc>
          <w:tcPr>
            <w:tcW w:w="1073" w:type="pct"/>
            <w:vAlign w:val="center"/>
          </w:tcPr>
          <w:p>
            <w:pPr>
              <w:widowControl/>
              <w:jc w:val="center"/>
              <w:textAlignment w:val="center"/>
              <w:rPr>
                <w:rFonts w:ascii="Times New Roman" w:hAnsi="Times New Roman"/>
                <w:kern w:val="2"/>
              </w:rPr>
            </w:pPr>
            <w:r>
              <w:rPr>
                <w:rFonts w:ascii="Times New Roman" w:hAnsi="Times New Roman"/>
              </w:rPr>
              <w:t>18000</w:t>
            </w:r>
          </w:p>
        </w:tc>
        <w:tc>
          <w:tcPr>
            <w:tcW w:w="549" w:type="pct"/>
            <w:vAlign w:val="center"/>
          </w:tcPr>
          <w:p>
            <w:pPr>
              <w:widowControl/>
              <w:jc w:val="center"/>
              <w:textAlignment w:val="center"/>
              <w:rPr>
                <w:rFonts w:ascii="Times New Roman" w:hAnsi="Times New Roman"/>
                <w:kern w:val="2"/>
              </w:rPr>
            </w:pPr>
            <w:r>
              <w:rPr>
                <w:rFonts w:hint="eastAsia" w:ascii="Times New Roman" w:hAnsi="Times New Roman"/>
                <w:kern w:val="2"/>
              </w:rPr>
              <w:t>26</w:t>
            </w:r>
          </w:p>
        </w:tc>
        <w:tc>
          <w:tcPr>
            <w:tcW w:w="700" w:type="pct"/>
            <w:vAlign w:val="center"/>
          </w:tcPr>
          <w:p>
            <w:pPr>
              <w:widowControl/>
              <w:jc w:val="center"/>
              <w:textAlignment w:val="center"/>
              <w:rPr>
                <w:rFonts w:ascii="Times New Roman" w:hAnsi="Times New Roman"/>
                <w:kern w:val="2"/>
              </w:rPr>
            </w:pPr>
            <w:r>
              <w:rPr>
                <w:rFonts w:hint="eastAsia" w:ascii="Times New Roman" w:hAnsi="Times New Roman"/>
                <w:kern w:val="2"/>
              </w:rPr>
              <w:t>24</w:t>
            </w:r>
          </w:p>
        </w:tc>
        <w:tc>
          <w:tcPr>
            <w:tcW w:w="574" w:type="pct"/>
            <w:vAlign w:val="center"/>
          </w:tcPr>
          <w:p>
            <w:pPr>
              <w:widowControl/>
              <w:jc w:val="center"/>
              <w:textAlignment w:val="center"/>
              <w:rPr>
                <w:rFonts w:ascii="Times New Roman" w:hAnsi="Times New Roman"/>
                <w:kern w:val="2"/>
              </w:rPr>
            </w:pPr>
            <w:r>
              <w:rPr>
                <w:rFonts w:hint="eastAsia" w:ascii="Times New Roman" w:hAnsi="Times New Roman"/>
                <w:kern w:val="2"/>
              </w:rPr>
              <w:t>24</w:t>
            </w:r>
          </w:p>
        </w:tc>
        <w:tc>
          <w:tcPr>
            <w:tcW w:w="1086" w:type="pct"/>
            <w:vAlign w:val="center"/>
          </w:tcPr>
          <w:p>
            <w:pPr>
              <w:widowControl/>
              <w:jc w:val="center"/>
              <w:textAlignment w:val="center"/>
              <w:rPr>
                <w:rFonts w:ascii="Times New Roman" w:hAnsi="Times New Roman"/>
                <w:kern w:val="2"/>
              </w:rPr>
            </w:pPr>
            <w:r>
              <w:rPr>
                <w:rFonts w:hint="eastAsia" w:ascii="Times New Roman" w:hAnsi="Times New Roman"/>
                <w:kern w:val="2"/>
              </w:rPr>
              <w:t>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6" w:type="pct"/>
            <w:vAlign w:val="center"/>
          </w:tcPr>
          <w:p>
            <w:pPr>
              <w:ind w:left="425"/>
              <w:jc w:val="center"/>
              <w:rPr>
                <w:rFonts w:ascii="Times New Roman" w:hAnsi="Times New Roman"/>
              </w:rPr>
            </w:pPr>
            <w:r>
              <w:rPr>
                <w:rFonts w:hint="eastAsia" w:ascii="Times New Roman" w:hAnsi="Times New Roman"/>
              </w:rPr>
              <w:t>6</w:t>
            </w:r>
          </w:p>
        </w:tc>
        <w:tc>
          <w:tcPr>
            <w:tcW w:w="809" w:type="pct"/>
            <w:vAlign w:val="center"/>
          </w:tcPr>
          <w:p>
            <w:pPr>
              <w:widowControl/>
              <w:jc w:val="center"/>
              <w:textAlignment w:val="center"/>
              <w:rPr>
                <w:rFonts w:ascii="Times New Roman" w:hAnsi="Times New Roman"/>
                <w:kern w:val="2"/>
              </w:rPr>
            </w:pPr>
            <w:r>
              <w:t>铅</w:t>
            </w:r>
          </w:p>
        </w:tc>
        <w:tc>
          <w:tcPr>
            <w:tcW w:w="1073" w:type="pct"/>
            <w:vAlign w:val="center"/>
          </w:tcPr>
          <w:p>
            <w:pPr>
              <w:widowControl/>
              <w:jc w:val="center"/>
              <w:textAlignment w:val="center"/>
              <w:rPr>
                <w:rFonts w:ascii="Times New Roman" w:hAnsi="Times New Roman"/>
                <w:kern w:val="2"/>
              </w:rPr>
            </w:pPr>
            <w:r>
              <w:rPr>
                <w:rFonts w:ascii="Times New Roman" w:hAnsi="Times New Roman"/>
              </w:rPr>
              <w:t>800</w:t>
            </w:r>
          </w:p>
        </w:tc>
        <w:tc>
          <w:tcPr>
            <w:tcW w:w="549" w:type="pct"/>
            <w:vAlign w:val="center"/>
          </w:tcPr>
          <w:p>
            <w:pPr>
              <w:widowControl/>
              <w:jc w:val="center"/>
              <w:textAlignment w:val="center"/>
              <w:rPr>
                <w:rFonts w:ascii="Times New Roman" w:hAnsi="Times New Roman"/>
                <w:kern w:val="2"/>
              </w:rPr>
            </w:pPr>
            <w:r>
              <w:rPr>
                <w:rFonts w:hint="eastAsia" w:ascii="Times New Roman" w:hAnsi="Times New Roman"/>
                <w:kern w:val="2"/>
              </w:rPr>
              <w:t>19.3</w:t>
            </w:r>
          </w:p>
        </w:tc>
        <w:tc>
          <w:tcPr>
            <w:tcW w:w="700" w:type="pct"/>
            <w:vAlign w:val="center"/>
          </w:tcPr>
          <w:p>
            <w:pPr>
              <w:widowControl/>
              <w:jc w:val="center"/>
              <w:textAlignment w:val="center"/>
              <w:rPr>
                <w:rFonts w:ascii="Times New Roman" w:hAnsi="Times New Roman"/>
                <w:kern w:val="2"/>
              </w:rPr>
            </w:pPr>
            <w:r>
              <w:rPr>
                <w:rFonts w:hint="eastAsia" w:ascii="Times New Roman" w:hAnsi="Times New Roman"/>
                <w:kern w:val="2"/>
              </w:rPr>
              <w:t>18.4</w:t>
            </w:r>
          </w:p>
        </w:tc>
        <w:tc>
          <w:tcPr>
            <w:tcW w:w="574" w:type="pct"/>
            <w:vAlign w:val="center"/>
          </w:tcPr>
          <w:p>
            <w:pPr>
              <w:widowControl/>
              <w:jc w:val="center"/>
              <w:textAlignment w:val="center"/>
              <w:rPr>
                <w:rFonts w:ascii="Times New Roman" w:hAnsi="Times New Roman"/>
                <w:kern w:val="2"/>
              </w:rPr>
            </w:pPr>
            <w:r>
              <w:rPr>
                <w:rFonts w:hint="eastAsia" w:ascii="Times New Roman" w:hAnsi="Times New Roman"/>
                <w:kern w:val="2"/>
              </w:rPr>
              <w:t>17.1</w:t>
            </w:r>
          </w:p>
        </w:tc>
        <w:tc>
          <w:tcPr>
            <w:tcW w:w="1086" w:type="pct"/>
            <w:vAlign w:val="center"/>
          </w:tcPr>
          <w:p>
            <w:pPr>
              <w:widowControl/>
              <w:jc w:val="center"/>
              <w:textAlignment w:val="center"/>
              <w:rPr>
                <w:rFonts w:ascii="Times New Roman" w:hAnsi="Times New Roman"/>
                <w:kern w:val="2"/>
              </w:rPr>
            </w:pPr>
            <w:r>
              <w:rPr>
                <w:rFonts w:hint="eastAsia" w:ascii="Times New Roman" w:hAnsi="Times New Roman"/>
                <w:kern w:val="2"/>
              </w:rPr>
              <w:t>22.5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6" w:type="pct"/>
            <w:vAlign w:val="center"/>
          </w:tcPr>
          <w:p>
            <w:pPr>
              <w:ind w:left="425"/>
              <w:jc w:val="center"/>
              <w:rPr>
                <w:rFonts w:ascii="Times New Roman" w:hAnsi="Times New Roman"/>
              </w:rPr>
            </w:pPr>
            <w:r>
              <w:rPr>
                <w:rFonts w:hint="eastAsia" w:ascii="Times New Roman" w:hAnsi="Times New Roman"/>
              </w:rPr>
              <w:t>7</w:t>
            </w:r>
          </w:p>
        </w:tc>
        <w:tc>
          <w:tcPr>
            <w:tcW w:w="809" w:type="pct"/>
            <w:vAlign w:val="center"/>
          </w:tcPr>
          <w:p>
            <w:pPr>
              <w:widowControl/>
              <w:jc w:val="center"/>
              <w:textAlignment w:val="center"/>
              <w:rPr>
                <w:rFonts w:ascii="Times New Roman" w:hAnsi="Times New Roman"/>
                <w:kern w:val="2"/>
              </w:rPr>
            </w:pPr>
            <w:r>
              <w:t>汞</w:t>
            </w:r>
          </w:p>
        </w:tc>
        <w:tc>
          <w:tcPr>
            <w:tcW w:w="1073" w:type="pct"/>
            <w:vAlign w:val="center"/>
          </w:tcPr>
          <w:p>
            <w:pPr>
              <w:widowControl/>
              <w:jc w:val="center"/>
              <w:textAlignment w:val="center"/>
              <w:rPr>
                <w:rFonts w:ascii="Times New Roman" w:hAnsi="Times New Roman"/>
                <w:kern w:val="2"/>
              </w:rPr>
            </w:pPr>
            <w:r>
              <w:rPr>
                <w:rFonts w:ascii="Times New Roman" w:hAnsi="Times New Roman"/>
              </w:rPr>
              <w:t>38</w:t>
            </w:r>
          </w:p>
        </w:tc>
        <w:tc>
          <w:tcPr>
            <w:tcW w:w="549" w:type="pct"/>
            <w:vAlign w:val="center"/>
          </w:tcPr>
          <w:p>
            <w:pPr>
              <w:widowControl/>
              <w:jc w:val="center"/>
              <w:textAlignment w:val="center"/>
              <w:rPr>
                <w:rFonts w:ascii="Times New Roman" w:hAnsi="Times New Roman"/>
                <w:kern w:val="2"/>
              </w:rPr>
            </w:pPr>
            <w:r>
              <w:rPr>
                <w:rFonts w:hint="eastAsia" w:ascii="Times New Roman" w:hAnsi="Times New Roman"/>
                <w:kern w:val="2"/>
              </w:rPr>
              <w:t>0.158</w:t>
            </w:r>
          </w:p>
        </w:tc>
        <w:tc>
          <w:tcPr>
            <w:tcW w:w="700" w:type="pct"/>
            <w:vAlign w:val="center"/>
          </w:tcPr>
          <w:p>
            <w:pPr>
              <w:widowControl/>
              <w:jc w:val="center"/>
              <w:textAlignment w:val="center"/>
              <w:rPr>
                <w:rFonts w:ascii="Times New Roman" w:hAnsi="Times New Roman"/>
                <w:kern w:val="2"/>
              </w:rPr>
            </w:pPr>
            <w:r>
              <w:rPr>
                <w:rFonts w:hint="eastAsia" w:ascii="Times New Roman" w:hAnsi="Times New Roman"/>
                <w:kern w:val="2"/>
              </w:rPr>
              <w:t>0.147</w:t>
            </w:r>
          </w:p>
        </w:tc>
        <w:tc>
          <w:tcPr>
            <w:tcW w:w="574" w:type="pct"/>
            <w:vAlign w:val="center"/>
          </w:tcPr>
          <w:p>
            <w:pPr>
              <w:widowControl/>
              <w:jc w:val="center"/>
              <w:textAlignment w:val="center"/>
              <w:rPr>
                <w:rFonts w:ascii="Times New Roman" w:hAnsi="Times New Roman"/>
                <w:kern w:val="2"/>
              </w:rPr>
            </w:pPr>
            <w:r>
              <w:rPr>
                <w:rFonts w:hint="eastAsia" w:ascii="Times New Roman" w:hAnsi="Times New Roman"/>
                <w:kern w:val="2"/>
              </w:rPr>
              <w:t>0.133</w:t>
            </w:r>
          </w:p>
        </w:tc>
        <w:tc>
          <w:tcPr>
            <w:tcW w:w="1086" w:type="pct"/>
            <w:vAlign w:val="center"/>
          </w:tcPr>
          <w:p>
            <w:pPr>
              <w:widowControl/>
              <w:jc w:val="center"/>
              <w:textAlignment w:val="center"/>
              <w:rPr>
                <w:rFonts w:ascii="Times New Roman" w:hAnsi="Times New Roman"/>
                <w:kern w:val="2"/>
              </w:rPr>
            </w:pPr>
            <w:r>
              <w:rPr>
                <w:rFonts w:hint="eastAsia" w:ascii="Times New Roman" w:hAnsi="Times New Roman"/>
                <w:kern w:val="2"/>
              </w:rPr>
              <w:t>0.111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6" w:type="pct"/>
            <w:vAlign w:val="center"/>
          </w:tcPr>
          <w:p>
            <w:pPr>
              <w:ind w:left="425"/>
              <w:jc w:val="center"/>
              <w:rPr>
                <w:rFonts w:ascii="Times New Roman" w:hAnsi="Times New Roman"/>
              </w:rPr>
            </w:pPr>
            <w:r>
              <w:rPr>
                <w:rFonts w:hint="eastAsia" w:ascii="Times New Roman" w:hAnsi="Times New Roman"/>
              </w:rPr>
              <w:t>8</w:t>
            </w:r>
          </w:p>
        </w:tc>
        <w:tc>
          <w:tcPr>
            <w:tcW w:w="809" w:type="pct"/>
            <w:vAlign w:val="center"/>
          </w:tcPr>
          <w:p>
            <w:pPr>
              <w:widowControl/>
              <w:jc w:val="center"/>
              <w:textAlignment w:val="center"/>
              <w:rPr>
                <w:rFonts w:ascii="Times New Roman" w:hAnsi="Times New Roman"/>
                <w:kern w:val="2"/>
              </w:rPr>
            </w:pPr>
            <w:r>
              <w:t>镍</w:t>
            </w:r>
          </w:p>
        </w:tc>
        <w:tc>
          <w:tcPr>
            <w:tcW w:w="1073" w:type="pct"/>
            <w:vAlign w:val="center"/>
          </w:tcPr>
          <w:p>
            <w:pPr>
              <w:widowControl/>
              <w:jc w:val="center"/>
              <w:textAlignment w:val="center"/>
              <w:rPr>
                <w:rFonts w:ascii="Times New Roman" w:hAnsi="Times New Roman"/>
                <w:kern w:val="2"/>
              </w:rPr>
            </w:pPr>
            <w:r>
              <w:rPr>
                <w:rFonts w:ascii="Times New Roman" w:hAnsi="Times New Roman"/>
              </w:rPr>
              <w:t>900</w:t>
            </w:r>
          </w:p>
        </w:tc>
        <w:tc>
          <w:tcPr>
            <w:tcW w:w="549" w:type="pct"/>
            <w:vAlign w:val="center"/>
          </w:tcPr>
          <w:p>
            <w:pPr>
              <w:widowControl/>
              <w:jc w:val="center"/>
              <w:textAlignment w:val="center"/>
              <w:rPr>
                <w:rFonts w:ascii="Times New Roman" w:hAnsi="Times New Roman"/>
                <w:kern w:val="2"/>
              </w:rPr>
            </w:pPr>
            <w:r>
              <w:rPr>
                <w:rFonts w:hint="eastAsia" w:ascii="Times New Roman" w:hAnsi="Times New Roman"/>
                <w:kern w:val="2"/>
              </w:rPr>
              <w:t>52</w:t>
            </w:r>
          </w:p>
        </w:tc>
        <w:tc>
          <w:tcPr>
            <w:tcW w:w="700" w:type="pct"/>
            <w:vAlign w:val="center"/>
          </w:tcPr>
          <w:p>
            <w:pPr>
              <w:widowControl/>
              <w:jc w:val="center"/>
              <w:textAlignment w:val="center"/>
              <w:rPr>
                <w:rFonts w:ascii="Times New Roman" w:hAnsi="Times New Roman"/>
                <w:kern w:val="2"/>
              </w:rPr>
            </w:pPr>
            <w:r>
              <w:rPr>
                <w:rFonts w:hint="eastAsia" w:ascii="Times New Roman" w:hAnsi="Times New Roman"/>
                <w:kern w:val="2"/>
              </w:rPr>
              <w:t>48</w:t>
            </w:r>
          </w:p>
        </w:tc>
        <w:tc>
          <w:tcPr>
            <w:tcW w:w="574" w:type="pct"/>
            <w:vAlign w:val="center"/>
          </w:tcPr>
          <w:p>
            <w:pPr>
              <w:widowControl/>
              <w:jc w:val="center"/>
              <w:textAlignment w:val="center"/>
              <w:rPr>
                <w:rFonts w:ascii="Times New Roman" w:hAnsi="Times New Roman"/>
                <w:kern w:val="2"/>
              </w:rPr>
            </w:pPr>
            <w:r>
              <w:rPr>
                <w:rFonts w:hint="eastAsia" w:ascii="Times New Roman" w:hAnsi="Times New Roman"/>
                <w:kern w:val="2"/>
              </w:rPr>
              <w:t>45</w:t>
            </w:r>
          </w:p>
        </w:tc>
        <w:tc>
          <w:tcPr>
            <w:tcW w:w="1086" w:type="pct"/>
            <w:vAlign w:val="center"/>
          </w:tcPr>
          <w:p>
            <w:pPr>
              <w:widowControl/>
              <w:jc w:val="center"/>
              <w:textAlignment w:val="center"/>
              <w:rPr>
                <w:rFonts w:ascii="Times New Roman" w:hAnsi="Times New Roman"/>
                <w:kern w:val="2"/>
              </w:rPr>
            </w:pPr>
            <w:r>
              <w:rPr>
                <w:rFonts w:hint="eastAsia" w:ascii="Times New Roman" w:hAnsi="Times New Roman"/>
                <w:kern w:val="2"/>
              </w:rPr>
              <w:t>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6" w:type="pct"/>
            <w:vAlign w:val="center"/>
          </w:tcPr>
          <w:p>
            <w:pPr>
              <w:jc w:val="center"/>
              <w:rPr>
                <w:rFonts w:ascii="Times New Roman" w:hAnsi="Times New Roman"/>
              </w:rPr>
            </w:pPr>
            <w:r>
              <w:rPr>
                <w:rFonts w:hint="eastAsia" w:ascii="Times New Roman" w:hAnsi="Times New Roman"/>
              </w:rPr>
              <w:t>9</w:t>
            </w:r>
          </w:p>
        </w:tc>
        <w:tc>
          <w:tcPr>
            <w:tcW w:w="809" w:type="pct"/>
            <w:vAlign w:val="center"/>
          </w:tcPr>
          <w:p>
            <w:pPr>
              <w:widowControl/>
              <w:jc w:val="center"/>
              <w:textAlignment w:val="center"/>
              <w:rPr>
                <w:rFonts w:ascii="Times New Roman" w:hAnsi="Times New Roman"/>
                <w:kern w:val="2"/>
              </w:rPr>
            </w:pPr>
            <w:r>
              <w:rPr>
                <w:rFonts w:hint="eastAsia"/>
              </w:rPr>
              <w:t>锌</w:t>
            </w:r>
          </w:p>
        </w:tc>
        <w:tc>
          <w:tcPr>
            <w:tcW w:w="1073" w:type="pct"/>
          </w:tcPr>
          <w:p>
            <w:pPr>
              <w:widowControl/>
              <w:jc w:val="center"/>
              <w:textAlignment w:val="center"/>
              <w:rPr>
                <w:rFonts w:ascii="Times New Roman" w:hAnsi="Times New Roman"/>
                <w:kern w:val="2"/>
              </w:rPr>
            </w:pPr>
            <w:r>
              <w:rPr>
                <w:rFonts w:hint="eastAsia" w:ascii="Times New Roman" w:hAnsi="Times New Roman"/>
                <w:kern w:val="2"/>
              </w:rPr>
              <w:t>/</w:t>
            </w:r>
          </w:p>
        </w:tc>
        <w:tc>
          <w:tcPr>
            <w:tcW w:w="549" w:type="pct"/>
            <w:vAlign w:val="center"/>
          </w:tcPr>
          <w:p>
            <w:pPr>
              <w:widowControl/>
              <w:jc w:val="center"/>
              <w:textAlignment w:val="center"/>
              <w:rPr>
                <w:rFonts w:ascii="Times New Roman" w:hAnsi="Times New Roman"/>
                <w:kern w:val="2"/>
              </w:rPr>
            </w:pPr>
            <w:r>
              <w:rPr>
                <w:rFonts w:hint="eastAsia" w:ascii="Times New Roman" w:hAnsi="Times New Roman"/>
                <w:kern w:val="2"/>
              </w:rPr>
              <w:t>154</w:t>
            </w:r>
          </w:p>
        </w:tc>
        <w:tc>
          <w:tcPr>
            <w:tcW w:w="700" w:type="pct"/>
            <w:vAlign w:val="center"/>
          </w:tcPr>
          <w:p>
            <w:pPr>
              <w:widowControl/>
              <w:jc w:val="center"/>
              <w:textAlignment w:val="center"/>
              <w:rPr>
                <w:rFonts w:ascii="Times New Roman" w:hAnsi="Times New Roman"/>
                <w:kern w:val="2"/>
              </w:rPr>
            </w:pPr>
            <w:r>
              <w:rPr>
                <w:rFonts w:hint="eastAsia" w:ascii="Times New Roman" w:hAnsi="Times New Roman"/>
                <w:kern w:val="2"/>
              </w:rPr>
              <w:t>147</w:t>
            </w:r>
          </w:p>
        </w:tc>
        <w:tc>
          <w:tcPr>
            <w:tcW w:w="574" w:type="pct"/>
            <w:vAlign w:val="center"/>
          </w:tcPr>
          <w:p>
            <w:pPr>
              <w:widowControl/>
              <w:jc w:val="center"/>
              <w:textAlignment w:val="center"/>
              <w:rPr>
                <w:rFonts w:ascii="Times New Roman" w:hAnsi="Times New Roman"/>
                <w:kern w:val="2"/>
              </w:rPr>
            </w:pPr>
            <w:r>
              <w:rPr>
                <w:rFonts w:hint="eastAsia" w:ascii="Times New Roman" w:hAnsi="Times New Roman"/>
                <w:kern w:val="2"/>
              </w:rPr>
              <w:t>141</w:t>
            </w:r>
          </w:p>
        </w:tc>
        <w:tc>
          <w:tcPr>
            <w:tcW w:w="1086" w:type="pct"/>
            <w:vAlign w:val="center"/>
          </w:tcPr>
          <w:p>
            <w:pPr>
              <w:widowControl/>
              <w:jc w:val="center"/>
              <w:textAlignment w:val="center"/>
              <w:rPr>
                <w:rFonts w:ascii="Times New Roman" w:hAnsi="Times New Roman"/>
                <w:kern w:val="2"/>
              </w:rPr>
            </w:pPr>
            <w:r>
              <w:rPr>
                <w:rFonts w:hint="eastAsia" w:ascii="Times New Roman" w:hAnsi="Times New Roman"/>
                <w:kern w:val="2"/>
              </w:rPr>
              <w:t>136</w:t>
            </w:r>
          </w:p>
        </w:tc>
      </w:tr>
    </w:tbl>
    <w:p>
      <w:pPr>
        <w:pStyle w:val="19"/>
        <w:spacing w:line="480" w:lineRule="exact"/>
        <w:ind w:firstLine="0"/>
        <w:jc w:val="center"/>
        <w:rPr>
          <w:rFonts w:ascii="Times New Roman" w:hAnsi="Times New Roman"/>
          <w:b/>
          <w:bCs/>
          <w:sz w:val="21"/>
        </w:rPr>
      </w:pPr>
      <w:r>
        <w:rPr>
          <w:rFonts w:ascii="Times New Roman" w:hAnsi="Times New Roman"/>
          <w:b/>
          <w:bCs/>
          <w:sz w:val="21"/>
        </w:rPr>
        <w:t>续表4.2-22 土壤环境监测结果（mg/kg）</w:t>
      </w:r>
    </w:p>
    <w:tbl>
      <w:tblPr>
        <w:tblStyle w:val="7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795"/>
        <w:gridCol w:w="1750"/>
        <w:gridCol w:w="5177"/>
        <w:gridCol w:w="373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38" w:type="pct"/>
            <w:vMerge w:val="restart"/>
            <w:vAlign w:val="center"/>
          </w:tcPr>
          <w:p>
            <w:pPr>
              <w:rPr>
                <w:rFonts w:ascii="Times New Roman" w:hAnsi="Times New Roman"/>
                <w:b/>
                <w:bCs/>
              </w:rPr>
            </w:pPr>
            <w:r>
              <w:rPr>
                <w:rFonts w:ascii="Times New Roman" w:hAnsi="Times New Roman"/>
                <w:b/>
                <w:bCs/>
              </w:rPr>
              <w:t>监测因子</w:t>
            </w:r>
          </w:p>
        </w:tc>
        <w:tc>
          <w:tcPr>
            <w:tcW w:w="650" w:type="pct"/>
            <w:vMerge w:val="restart"/>
            <w:vAlign w:val="center"/>
          </w:tcPr>
          <w:p>
            <w:pPr>
              <w:rPr>
                <w:rFonts w:ascii="Times New Roman" w:hAnsi="Times New Roman"/>
                <w:b/>
                <w:bCs/>
              </w:rPr>
            </w:pPr>
            <w:r>
              <w:rPr>
                <w:rFonts w:ascii="Times New Roman" w:hAnsi="Times New Roman"/>
                <w:b/>
                <w:bCs/>
              </w:rPr>
              <w:t>单位</w:t>
            </w:r>
          </w:p>
        </w:tc>
        <w:tc>
          <w:tcPr>
            <w:tcW w:w="1923" w:type="pct"/>
            <w:vMerge w:val="restart"/>
            <w:vAlign w:val="center"/>
          </w:tcPr>
          <w:p>
            <w:pPr>
              <w:rPr>
                <w:rFonts w:ascii="Times New Roman" w:hAnsi="Times New Roman"/>
                <w:b/>
                <w:bCs/>
              </w:rPr>
            </w:pPr>
            <w:r>
              <w:rPr>
                <w:rFonts w:hint="eastAsia"/>
                <w:bCs/>
              </w:rPr>
              <w:t>《土壤环境质量建设用地土壤污染风险管控标准》（试行）（GB36600-2018）中第二类用地筛选值标准（mg/kg）</w:t>
            </w:r>
          </w:p>
        </w:tc>
        <w:tc>
          <w:tcPr>
            <w:tcW w:w="1389" w:type="pct"/>
            <w:vAlign w:val="center"/>
          </w:tcPr>
          <w:p>
            <w:pPr>
              <w:rPr>
                <w:rFonts w:ascii="Times New Roman" w:hAnsi="Times New Roman"/>
                <w:b/>
                <w:bCs/>
              </w:rPr>
            </w:pPr>
            <w:r>
              <w:rPr>
                <w:rFonts w:ascii="Times New Roman" w:hAnsi="Times New Roman"/>
                <w:b/>
                <w:bCs/>
              </w:rPr>
              <w:t>0~0.2m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38" w:type="pct"/>
            <w:vMerge w:val="continue"/>
            <w:vAlign w:val="center"/>
          </w:tcPr>
          <w:p>
            <w:pPr>
              <w:rPr>
                <w:rFonts w:ascii="Times New Roman" w:hAnsi="Times New Roman"/>
                <w:b/>
                <w:bCs/>
              </w:rPr>
            </w:pPr>
          </w:p>
        </w:tc>
        <w:tc>
          <w:tcPr>
            <w:tcW w:w="650" w:type="pct"/>
            <w:vMerge w:val="continue"/>
            <w:vAlign w:val="center"/>
          </w:tcPr>
          <w:p>
            <w:pPr>
              <w:rPr>
                <w:rFonts w:ascii="Times New Roman" w:hAnsi="Times New Roman"/>
                <w:b/>
                <w:bCs/>
              </w:rPr>
            </w:pPr>
          </w:p>
        </w:tc>
        <w:tc>
          <w:tcPr>
            <w:tcW w:w="1923" w:type="pct"/>
            <w:vMerge w:val="continue"/>
            <w:vAlign w:val="center"/>
          </w:tcPr>
          <w:p>
            <w:pPr>
              <w:rPr>
                <w:rFonts w:ascii="Times New Roman" w:hAnsi="Times New Roman"/>
                <w:b/>
                <w:bCs/>
              </w:rPr>
            </w:pPr>
          </w:p>
        </w:tc>
        <w:tc>
          <w:tcPr>
            <w:tcW w:w="1389" w:type="pct"/>
            <w:vAlign w:val="center"/>
          </w:tcPr>
          <w:p>
            <w:pPr>
              <w:rPr>
                <w:rFonts w:ascii="Times New Roman" w:hAnsi="Times New Roman"/>
                <w:b/>
                <w:bCs/>
              </w:rPr>
            </w:pPr>
            <w:r>
              <w:rPr>
                <w:rFonts w:ascii="Times New Roman" w:hAnsi="Times New Roman"/>
                <w:b/>
                <w:bCs/>
              </w:rPr>
              <w:t>T5厂址下风向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38" w:type="pct"/>
            <w:vAlign w:val="center"/>
          </w:tcPr>
          <w:p>
            <w:pPr>
              <w:rPr>
                <w:rFonts w:ascii="Times New Roman" w:hAnsi="Times New Roman"/>
                <w:bCs/>
              </w:rPr>
            </w:pPr>
            <w:r>
              <w:rPr>
                <w:rFonts w:ascii="Times New Roman" w:hAnsi="Times New Roman"/>
                <w:bCs/>
              </w:rPr>
              <w:t>pH</w:t>
            </w:r>
          </w:p>
        </w:tc>
        <w:tc>
          <w:tcPr>
            <w:tcW w:w="650" w:type="pct"/>
            <w:vAlign w:val="center"/>
          </w:tcPr>
          <w:p>
            <w:pPr>
              <w:rPr>
                <w:rFonts w:ascii="Times New Roman" w:hAnsi="Times New Roman"/>
              </w:rPr>
            </w:pPr>
            <w:r>
              <w:rPr>
                <w:rFonts w:ascii="Times New Roman" w:hAnsi="Times New Roman"/>
              </w:rPr>
              <w:t>无量纲</w:t>
            </w:r>
          </w:p>
        </w:tc>
        <w:tc>
          <w:tcPr>
            <w:tcW w:w="1923" w:type="pct"/>
            <w:vAlign w:val="center"/>
          </w:tcPr>
          <w:p>
            <w:pPr>
              <w:rPr>
                <w:rFonts w:ascii="Times New Roman" w:hAnsi="Times New Roman"/>
              </w:rPr>
            </w:pPr>
            <w:r>
              <w:rPr>
                <w:rFonts w:ascii="Times New Roman" w:hAnsi="Times New Roman"/>
              </w:rPr>
              <w:t>/</w:t>
            </w:r>
          </w:p>
        </w:tc>
        <w:tc>
          <w:tcPr>
            <w:tcW w:w="1389" w:type="pct"/>
            <w:vAlign w:val="center"/>
          </w:tcPr>
          <w:p>
            <w:pPr>
              <w:rPr>
                <w:rFonts w:ascii="Times New Roman" w:hAnsi="Times New Roman"/>
              </w:rPr>
            </w:pPr>
            <w:r>
              <w:rPr>
                <w:rFonts w:ascii="Times New Roman" w:hAnsi="Times New Roman"/>
                <w:kern w:val="2"/>
              </w:rPr>
              <w:t>7.1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38" w:type="pct"/>
            <w:vAlign w:val="center"/>
          </w:tcPr>
          <w:p>
            <w:pPr>
              <w:rPr>
                <w:rFonts w:ascii="Times New Roman" w:hAnsi="Times New Roman"/>
              </w:rPr>
            </w:pPr>
            <w:r>
              <w:rPr>
                <w:rFonts w:ascii="Times New Roman" w:hAnsi="Times New Roman"/>
                <w:bCs/>
              </w:rPr>
              <w:t>砷</w:t>
            </w:r>
          </w:p>
        </w:tc>
        <w:tc>
          <w:tcPr>
            <w:tcW w:w="650" w:type="pct"/>
            <w:vAlign w:val="center"/>
          </w:tcPr>
          <w:p>
            <w:pPr>
              <w:rPr>
                <w:rFonts w:ascii="Times New Roman" w:hAnsi="Times New Roman"/>
              </w:rPr>
            </w:pPr>
            <w:r>
              <w:rPr>
                <w:rFonts w:ascii="Times New Roman" w:hAnsi="Times New Roman"/>
              </w:rPr>
              <w:t>mg/kg</w:t>
            </w:r>
          </w:p>
        </w:tc>
        <w:tc>
          <w:tcPr>
            <w:tcW w:w="1923" w:type="pct"/>
            <w:vAlign w:val="center"/>
          </w:tcPr>
          <w:p>
            <w:pPr>
              <w:rPr>
                <w:rFonts w:ascii="Times New Roman" w:hAnsi="Times New Roman"/>
              </w:rPr>
            </w:pPr>
            <w:r>
              <w:rPr>
                <w:rFonts w:ascii="Times New Roman" w:hAnsi="Times New Roman"/>
              </w:rPr>
              <w:t>60</w:t>
            </w:r>
          </w:p>
        </w:tc>
        <w:tc>
          <w:tcPr>
            <w:tcW w:w="1389" w:type="pct"/>
            <w:vAlign w:val="center"/>
          </w:tcPr>
          <w:p>
            <w:pPr>
              <w:rPr>
                <w:rFonts w:ascii="Times New Roman" w:hAnsi="Times New Roman"/>
              </w:rPr>
            </w:pPr>
            <w:r>
              <w:rPr>
                <w:rFonts w:ascii="Times New Roman" w:hAnsi="Times New Roman"/>
                <w:kern w:val="2"/>
              </w:rPr>
              <w:t>4.32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038" w:type="pct"/>
            <w:vAlign w:val="center"/>
          </w:tcPr>
          <w:p>
            <w:pPr>
              <w:rPr>
                <w:rFonts w:ascii="Times New Roman" w:hAnsi="Times New Roman"/>
              </w:rPr>
            </w:pPr>
            <w:r>
              <w:rPr>
                <w:rFonts w:ascii="Times New Roman" w:hAnsi="Times New Roman"/>
                <w:bCs/>
              </w:rPr>
              <w:t>镉</w:t>
            </w:r>
          </w:p>
        </w:tc>
        <w:tc>
          <w:tcPr>
            <w:tcW w:w="650" w:type="pct"/>
            <w:vAlign w:val="center"/>
          </w:tcPr>
          <w:p>
            <w:pPr>
              <w:rPr>
                <w:rFonts w:ascii="Times New Roman" w:hAnsi="Times New Roman"/>
              </w:rPr>
            </w:pPr>
            <w:r>
              <w:rPr>
                <w:rFonts w:ascii="Times New Roman" w:hAnsi="Times New Roman"/>
              </w:rPr>
              <w:t>mg/kg</w:t>
            </w:r>
          </w:p>
        </w:tc>
        <w:tc>
          <w:tcPr>
            <w:tcW w:w="1923" w:type="pct"/>
            <w:vAlign w:val="center"/>
          </w:tcPr>
          <w:p>
            <w:pPr>
              <w:rPr>
                <w:rFonts w:ascii="Times New Roman" w:hAnsi="Times New Roman"/>
              </w:rPr>
            </w:pPr>
            <w:r>
              <w:rPr>
                <w:rFonts w:ascii="Times New Roman" w:hAnsi="Times New Roman"/>
              </w:rPr>
              <w:t>65</w:t>
            </w:r>
          </w:p>
        </w:tc>
        <w:tc>
          <w:tcPr>
            <w:tcW w:w="1389" w:type="pct"/>
            <w:vAlign w:val="center"/>
          </w:tcPr>
          <w:p>
            <w:pPr>
              <w:rPr>
                <w:rFonts w:ascii="Times New Roman" w:hAnsi="Times New Roman"/>
              </w:rPr>
            </w:pPr>
            <w:r>
              <w:rPr>
                <w:rFonts w:ascii="Times New Roman" w:hAnsi="Times New Roman"/>
                <w:kern w:val="2"/>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038" w:type="pct"/>
            <w:vAlign w:val="center"/>
          </w:tcPr>
          <w:p>
            <w:pPr>
              <w:rPr>
                <w:rFonts w:ascii="Times New Roman" w:hAnsi="Times New Roman"/>
              </w:rPr>
            </w:pPr>
            <w:r>
              <w:rPr>
                <w:rFonts w:ascii="Times New Roman" w:hAnsi="Times New Roman"/>
                <w:bCs/>
              </w:rPr>
              <w:t>铬（六价）</w:t>
            </w:r>
          </w:p>
        </w:tc>
        <w:tc>
          <w:tcPr>
            <w:tcW w:w="650" w:type="pct"/>
            <w:vAlign w:val="center"/>
          </w:tcPr>
          <w:p>
            <w:pPr>
              <w:rPr>
                <w:rFonts w:ascii="Times New Roman" w:hAnsi="Times New Roman"/>
              </w:rPr>
            </w:pPr>
            <w:r>
              <w:rPr>
                <w:rFonts w:ascii="Times New Roman" w:hAnsi="Times New Roman"/>
              </w:rPr>
              <w:t>mg/kg</w:t>
            </w:r>
          </w:p>
        </w:tc>
        <w:tc>
          <w:tcPr>
            <w:tcW w:w="1923" w:type="pct"/>
            <w:vAlign w:val="center"/>
          </w:tcPr>
          <w:p>
            <w:pPr>
              <w:rPr>
                <w:rFonts w:ascii="Times New Roman" w:hAnsi="Times New Roman"/>
              </w:rPr>
            </w:pPr>
            <w:r>
              <w:rPr>
                <w:rFonts w:ascii="Times New Roman" w:hAnsi="Times New Roman"/>
              </w:rPr>
              <w:t>5.7</w:t>
            </w:r>
          </w:p>
        </w:tc>
        <w:tc>
          <w:tcPr>
            <w:tcW w:w="1389" w:type="pct"/>
            <w:vAlign w:val="center"/>
          </w:tcPr>
          <w:p>
            <w:pPr>
              <w:rPr>
                <w:rFonts w:ascii="Times New Roman" w:hAnsi="Times New Roman"/>
              </w:rPr>
            </w:pPr>
            <w:r>
              <w:rPr>
                <w:rFonts w:ascii="Times New Roman" w:hAnsi="Times New Roman"/>
                <w:kern w:val="2"/>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38" w:type="pct"/>
            <w:vAlign w:val="center"/>
          </w:tcPr>
          <w:p>
            <w:pPr>
              <w:rPr>
                <w:rFonts w:ascii="Times New Roman" w:hAnsi="Times New Roman"/>
              </w:rPr>
            </w:pPr>
            <w:r>
              <w:rPr>
                <w:rFonts w:ascii="Times New Roman" w:hAnsi="Times New Roman"/>
                <w:bCs/>
              </w:rPr>
              <w:t>铜</w:t>
            </w:r>
          </w:p>
        </w:tc>
        <w:tc>
          <w:tcPr>
            <w:tcW w:w="650" w:type="pct"/>
            <w:vAlign w:val="center"/>
          </w:tcPr>
          <w:p>
            <w:pPr>
              <w:rPr>
                <w:rFonts w:ascii="Times New Roman" w:hAnsi="Times New Roman"/>
              </w:rPr>
            </w:pPr>
            <w:r>
              <w:rPr>
                <w:rFonts w:ascii="Times New Roman" w:hAnsi="Times New Roman"/>
              </w:rPr>
              <w:t>mg/kg</w:t>
            </w:r>
          </w:p>
        </w:tc>
        <w:tc>
          <w:tcPr>
            <w:tcW w:w="1923" w:type="pct"/>
            <w:vAlign w:val="center"/>
          </w:tcPr>
          <w:p>
            <w:pPr>
              <w:rPr>
                <w:rFonts w:ascii="Times New Roman" w:hAnsi="Times New Roman"/>
              </w:rPr>
            </w:pPr>
            <w:r>
              <w:rPr>
                <w:rFonts w:ascii="Times New Roman" w:hAnsi="Times New Roman"/>
              </w:rPr>
              <w:t>18000</w:t>
            </w:r>
          </w:p>
        </w:tc>
        <w:tc>
          <w:tcPr>
            <w:tcW w:w="1389" w:type="pct"/>
            <w:vAlign w:val="center"/>
          </w:tcPr>
          <w:p>
            <w:pPr>
              <w:rPr>
                <w:rFonts w:ascii="Times New Roman" w:hAnsi="Times New Roman"/>
              </w:rPr>
            </w:pPr>
            <w:r>
              <w:rPr>
                <w:rFonts w:ascii="Times New Roman" w:hAnsi="Times New Roman"/>
                <w:kern w:val="2"/>
              </w:rPr>
              <w:t>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38" w:type="pct"/>
            <w:vAlign w:val="center"/>
          </w:tcPr>
          <w:p>
            <w:pPr>
              <w:rPr>
                <w:rFonts w:ascii="Times New Roman" w:hAnsi="Times New Roman"/>
              </w:rPr>
            </w:pPr>
            <w:r>
              <w:rPr>
                <w:rFonts w:ascii="Times New Roman" w:hAnsi="Times New Roman"/>
                <w:bCs/>
              </w:rPr>
              <w:t>铅</w:t>
            </w:r>
          </w:p>
        </w:tc>
        <w:tc>
          <w:tcPr>
            <w:tcW w:w="650" w:type="pct"/>
            <w:vAlign w:val="center"/>
          </w:tcPr>
          <w:p>
            <w:pPr>
              <w:rPr>
                <w:rFonts w:ascii="Times New Roman" w:hAnsi="Times New Roman"/>
              </w:rPr>
            </w:pPr>
            <w:r>
              <w:rPr>
                <w:rFonts w:ascii="Times New Roman" w:hAnsi="Times New Roman"/>
              </w:rPr>
              <w:t>mg/kg</w:t>
            </w:r>
          </w:p>
        </w:tc>
        <w:tc>
          <w:tcPr>
            <w:tcW w:w="1923" w:type="pct"/>
            <w:vAlign w:val="center"/>
          </w:tcPr>
          <w:p>
            <w:pPr>
              <w:rPr>
                <w:rFonts w:ascii="Times New Roman" w:hAnsi="Times New Roman"/>
              </w:rPr>
            </w:pPr>
            <w:r>
              <w:rPr>
                <w:rFonts w:ascii="Times New Roman" w:hAnsi="Times New Roman"/>
              </w:rPr>
              <w:t>800</w:t>
            </w:r>
          </w:p>
        </w:tc>
        <w:tc>
          <w:tcPr>
            <w:tcW w:w="1389" w:type="pct"/>
            <w:vAlign w:val="center"/>
          </w:tcPr>
          <w:p>
            <w:pPr>
              <w:rPr>
                <w:rFonts w:ascii="Times New Roman" w:hAnsi="Times New Roman"/>
              </w:rPr>
            </w:pPr>
            <w:r>
              <w:rPr>
                <w:rFonts w:ascii="Times New Roman" w:hAnsi="Times New Roman"/>
                <w:kern w:val="2"/>
              </w:rPr>
              <w:t>26.4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38" w:type="pct"/>
            <w:vAlign w:val="center"/>
          </w:tcPr>
          <w:p>
            <w:pPr>
              <w:rPr>
                <w:rFonts w:ascii="Times New Roman" w:hAnsi="Times New Roman"/>
              </w:rPr>
            </w:pPr>
            <w:r>
              <w:rPr>
                <w:rFonts w:ascii="Times New Roman" w:hAnsi="Times New Roman"/>
                <w:bCs/>
              </w:rPr>
              <w:t>汞</w:t>
            </w:r>
          </w:p>
        </w:tc>
        <w:tc>
          <w:tcPr>
            <w:tcW w:w="650" w:type="pct"/>
            <w:vAlign w:val="center"/>
          </w:tcPr>
          <w:p>
            <w:pPr>
              <w:rPr>
                <w:rFonts w:ascii="Times New Roman" w:hAnsi="Times New Roman"/>
              </w:rPr>
            </w:pPr>
            <w:r>
              <w:rPr>
                <w:rFonts w:ascii="Times New Roman" w:hAnsi="Times New Roman"/>
              </w:rPr>
              <w:t>mg/kg</w:t>
            </w:r>
          </w:p>
        </w:tc>
        <w:tc>
          <w:tcPr>
            <w:tcW w:w="1923" w:type="pct"/>
            <w:vAlign w:val="center"/>
          </w:tcPr>
          <w:p>
            <w:pPr>
              <w:rPr>
                <w:rFonts w:ascii="Times New Roman" w:hAnsi="Times New Roman"/>
              </w:rPr>
            </w:pPr>
            <w:r>
              <w:rPr>
                <w:rFonts w:ascii="Times New Roman" w:hAnsi="Times New Roman"/>
              </w:rPr>
              <w:t>38</w:t>
            </w:r>
          </w:p>
        </w:tc>
        <w:tc>
          <w:tcPr>
            <w:tcW w:w="1389" w:type="pct"/>
            <w:vAlign w:val="center"/>
          </w:tcPr>
          <w:p>
            <w:pPr>
              <w:rPr>
                <w:rFonts w:ascii="Times New Roman" w:hAnsi="Times New Roman"/>
              </w:rPr>
            </w:pPr>
            <w:r>
              <w:rPr>
                <w:rFonts w:ascii="Times New Roman" w:hAnsi="Times New Roman"/>
                <w:kern w:val="2"/>
              </w:rPr>
              <w:t>0.138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38" w:type="pct"/>
            <w:vAlign w:val="center"/>
          </w:tcPr>
          <w:p>
            <w:pPr>
              <w:rPr>
                <w:rFonts w:ascii="Times New Roman" w:hAnsi="Times New Roman"/>
              </w:rPr>
            </w:pPr>
            <w:r>
              <w:rPr>
                <w:rFonts w:ascii="Times New Roman" w:hAnsi="Times New Roman"/>
                <w:bCs/>
              </w:rPr>
              <w:t>镍</w:t>
            </w:r>
          </w:p>
        </w:tc>
        <w:tc>
          <w:tcPr>
            <w:tcW w:w="650" w:type="pct"/>
            <w:vAlign w:val="center"/>
          </w:tcPr>
          <w:p>
            <w:pPr>
              <w:rPr>
                <w:rFonts w:ascii="Times New Roman" w:hAnsi="Times New Roman"/>
              </w:rPr>
            </w:pPr>
            <w:r>
              <w:rPr>
                <w:rFonts w:ascii="Times New Roman" w:hAnsi="Times New Roman"/>
              </w:rPr>
              <w:t>mg/kg</w:t>
            </w:r>
          </w:p>
        </w:tc>
        <w:tc>
          <w:tcPr>
            <w:tcW w:w="1923" w:type="pct"/>
            <w:vAlign w:val="center"/>
          </w:tcPr>
          <w:p>
            <w:pPr>
              <w:rPr>
                <w:rFonts w:ascii="Times New Roman" w:hAnsi="Times New Roman"/>
              </w:rPr>
            </w:pPr>
            <w:r>
              <w:rPr>
                <w:rFonts w:ascii="Times New Roman" w:hAnsi="Times New Roman"/>
              </w:rPr>
              <w:t>900</w:t>
            </w:r>
          </w:p>
        </w:tc>
        <w:tc>
          <w:tcPr>
            <w:tcW w:w="1389" w:type="pct"/>
            <w:vAlign w:val="center"/>
          </w:tcPr>
          <w:p>
            <w:pPr>
              <w:rPr>
                <w:rFonts w:ascii="Times New Roman" w:hAnsi="Times New Roman"/>
              </w:rPr>
            </w:pPr>
            <w:r>
              <w:rPr>
                <w:rFonts w:ascii="Times New Roman" w:hAnsi="Times New Roman"/>
                <w:kern w:val="2"/>
              </w:rPr>
              <w:t>41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38" w:type="pct"/>
            <w:vAlign w:val="center"/>
          </w:tcPr>
          <w:p>
            <w:pPr>
              <w:rPr>
                <w:rFonts w:ascii="Times New Roman" w:hAnsi="Times New Roman"/>
                <w:bCs/>
              </w:rPr>
            </w:pPr>
            <w:r>
              <w:rPr>
                <w:rFonts w:ascii="Times New Roman" w:hAnsi="Times New Roman"/>
                <w:bCs/>
              </w:rPr>
              <w:t>锌</w:t>
            </w:r>
          </w:p>
        </w:tc>
        <w:tc>
          <w:tcPr>
            <w:tcW w:w="650" w:type="pct"/>
            <w:vAlign w:val="center"/>
          </w:tcPr>
          <w:p>
            <w:pPr>
              <w:rPr>
                <w:rFonts w:ascii="Times New Roman" w:hAnsi="Times New Roman"/>
              </w:rPr>
            </w:pPr>
            <w:r>
              <w:rPr>
                <w:rFonts w:ascii="Times New Roman" w:hAnsi="Times New Roman"/>
              </w:rPr>
              <w:t>mg/kg</w:t>
            </w:r>
          </w:p>
        </w:tc>
        <w:tc>
          <w:tcPr>
            <w:tcW w:w="1923" w:type="pct"/>
            <w:vAlign w:val="center"/>
          </w:tcPr>
          <w:p>
            <w:pPr>
              <w:rPr>
                <w:rFonts w:ascii="Times New Roman" w:hAnsi="Times New Roman"/>
              </w:rPr>
            </w:pPr>
            <w:r>
              <w:rPr>
                <w:rFonts w:ascii="Times New Roman" w:hAnsi="Times New Roman"/>
              </w:rPr>
              <w:t>/</w:t>
            </w:r>
          </w:p>
        </w:tc>
        <w:tc>
          <w:tcPr>
            <w:tcW w:w="1389" w:type="pct"/>
            <w:vAlign w:val="center"/>
          </w:tcPr>
          <w:p>
            <w:pPr>
              <w:rPr>
                <w:rFonts w:ascii="Times New Roman" w:hAnsi="Times New Roman"/>
              </w:rPr>
            </w:pPr>
            <w:r>
              <w:rPr>
                <w:rFonts w:ascii="Times New Roman" w:hAnsi="Times New Roman"/>
                <w:kern w:val="2"/>
              </w:rPr>
              <w:t>107</w:t>
            </w:r>
          </w:p>
        </w:tc>
      </w:tr>
    </w:tbl>
    <w:p>
      <w:pPr>
        <w:pStyle w:val="19"/>
        <w:spacing w:line="480" w:lineRule="exact"/>
        <w:ind w:firstLine="0"/>
        <w:jc w:val="center"/>
        <w:rPr>
          <w:rFonts w:ascii="Times New Roman" w:hAnsi="Times New Roman"/>
          <w:b/>
          <w:bCs/>
          <w:sz w:val="21"/>
        </w:rPr>
      </w:pPr>
    </w:p>
    <w:p>
      <w:pPr>
        <w:pStyle w:val="19"/>
        <w:spacing w:line="480" w:lineRule="exact"/>
        <w:ind w:firstLine="0"/>
        <w:jc w:val="center"/>
        <w:rPr>
          <w:rFonts w:ascii="Times New Roman" w:hAnsi="Times New Roman"/>
          <w:b/>
          <w:bCs/>
          <w:sz w:val="21"/>
        </w:rPr>
      </w:pPr>
      <w:r>
        <w:rPr>
          <w:rFonts w:ascii="Times New Roman" w:hAnsi="Times New Roman"/>
          <w:b/>
          <w:bCs/>
          <w:sz w:val="21"/>
        </w:rPr>
        <w:t>表4.2-23 土壤环境现状监测评价结果（标准指数）</w:t>
      </w:r>
    </w:p>
    <w:tbl>
      <w:tblPr>
        <w:tblStyle w:val="7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71"/>
        <w:gridCol w:w="2181"/>
        <w:gridCol w:w="1896"/>
        <w:gridCol w:w="1626"/>
        <w:gridCol w:w="1198"/>
        <w:gridCol w:w="1198"/>
        <w:gridCol w:w="1202"/>
        <w:gridCol w:w="1196"/>
        <w:gridCol w:w="1199"/>
        <w:gridCol w:w="119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216" w:type="pct"/>
            <w:vMerge w:val="restart"/>
            <w:vAlign w:val="center"/>
          </w:tcPr>
          <w:p>
            <w:pPr>
              <w:jc w:val="center"/>
              <w:rPr>
                <w:rFonts w:ascii="Times New Roman" w:hAnsi="Times New Roman"/>
              </w:rPr>
            </w:pPr>
            <w:r>
              <w:rPr>
                <w:rFonts w:hint="eastAsia"/>
              </w:rPr>
              <w:t>序号</w:t>
            </w:r>
          </w:p>
        </w:tc>
        <w:tc>
          <w:tcPr>
            <w:tcW w:w="814" w:type="pct"/>
            <w:vMerge w:val="restart"/>
            <w:vAlign w:val="center"/>
          </w:tcPr>
          <w:p>
            <w:pPr>
              <w:jc w:val="center"/>
              <w:rPr>
                <w:rFonts w:ascii="Times New Roman" w:hAnsi="Times New Roman"/>
                <w:kern w:val="2"/>
              </w:rPr>
            </w:pPr>
            <w:r>
              <w:rPr>
                <w:rFonts w:hint="eastAsia"/>
                <w:kern w:val="2"/>
              </w:rPr>
              <w:t>检测项目</w:t>
            </w:r>
          </w:p>
        </w:tc>
        <w:tc>
          <w:tcPr>
            <w:tcW w:w="669" w:type="pct"/>
            <w:vMerge w:val="restart"/>
          </w:tcPr>
          <w:p>
            <w:pPr>
              <w:jc w:val="center"/>
              <w:rPr>
                <w:rFonts w:ascii="Times New Roman" w:hAnsi="Times New Roman"/>
                <w:kern w:val="2"/>
              </w:rPr>
            </w:pPr>
            <w:r>
              <w:rPr>
                <w:rFonts w:hint="eastAsia"/>
                <w:bCs/>
              </w:rPr>
              <w:t>《土壤环境质量建设用地土壤污染风险管控标准》（试行）（GB36600-2018）中第二类用地筛选值标准（mg/kg）</w:t>
            </w:r>
          </w:p>
        </w:tc>
        <w:tc>
          <w:tcPr>
            <w:tcW w:w="3300" w:type="pct"/>
            <w:gridSpan w:val="7"/>
            <w:vAlign w:val="center"/>
          </w:tcPr>
          <w:p>
            <w:pPr>
              <w:jc w:val="center"/>
              <w:rPr>
                <w:rFonts w:ascii="Times New Roman" w:hAnsi="Times New Roman"/>
                <w:kern w:val="2"/>
              </w:rPr>
            </w:pPr>
            <w:r>
              <w:rPr>
                <w:rFonts w:hint="eastAsia"/>
                <w:kern w:val="2"/>
              </w:rPr>
              <w:t>标准指数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vAlign w:val="center"/>
          </w:tcPr>
          <w:p>
            <w:pPr>
              <w:widowControl/>
              <w:jc w:val="left"/>
              <w:rPr>
                <w:rFonts w:ascii="Times New Roman" w:hAnsi="Times New Roman"/>
              </w:rPr>
            </w:pPr>
          </w:p>
        </w:tc>
        <w:tc>
          <w:tcPr>
            <w:tcW w:w="0" w:type="auto"/>
            <w:vMerge w:val="continue"/>
            <w:vAlign w:val="center"/>
          </w:tcPr>
          <w:p>
            <w:pPr>
              <w:widowControl/>
              <w:jc w:val="left"/>
              <w:rPr>
                <w:rFonts w:ascii="Times New Roman" w:hAnsi="Times New Roman"/>
                <w:kern w:val="2"/>
              </w:rPr>
            </w:pPr>
          </w:p>
        </w:tc>
        <w:tc>
          <w:tcPr>
            <w:tcW w:w="0" w:type="auto"/>
            <w:vMerge w:val="continue"/>
            <w:vAlign w:val="center"/>
          </w:tcPr>
          <w:p>
            <w:pPr>
              <w:widowControl/>
              <w:jc w:val="left"/>
              <w:rPr>
                <w:rFonts w:ascii="Times New Roman" w:hAnsi="Times New Roman"/>
                <w:kern w:val="2"/>
              </w:rPr>
            </w:pPr>
          </w:p>
        </w:tc>
        <w:tc>
          <w:tcPr>
            <w:tcW w:w="608" w:type="pct"/>
            <w:vAlign w:val="center"/>
          </w:tcPr>
          <w:p>
            <w:pPr>
              <w:jc w:val="center"/>
              <w:rPr>
                <w:rFonts w:ascii="Times New Roman" w:hAnsi="Times New Roman"/>
                <w:kern w:val="2"/>
              </w:rPr>
            </w:pPr>
            <w:r>
              <w:rPr>
                <w:rFonts w:hint="eastAsia"/>
                <w:kern w:val="2"/>
              </w:rPr>
              <w:t>门卫室附近</w:t>
            </w:r>
            <w:r>
              <w:rPr>
                <w:rFonts w:hint="eastAsia" w:ascii="Times New Roman" w:hAnsi="Times New Roman"/>
                <w:kern w:val="2"/>
              </w:rPr>
              <w:t>T1 1</w:t>
            </w:r>
            <w:r>
              <w:rPr>
                <w:kern w:val="2"/>
              </w:rPr>
              <w:t>¨</w:t>
            </w:r>
          </w:p>
        </w:tc>
        <w:tc>
          <w:tcPr>
            <w:tcW w:w="1348" w:type="pct"/>
            <w:gridSpan w:val="3"/>
            <w:vAlign w:val="center"/>
          </w:tcPr>
          <w:p>
            <w:pPr>
              <w:jc w:val="center"/>
              <w:rPr>
                <w:rFonts w:ascii="Times New Roman" w:hAnsi="Times New Roman"/>
              </w:rPr>
            </w:pPr>
            <w:r>
              <w:rPr>
                <w:rFonts w:hint="eastAsia"/>
                <w:kern w:val="2"/>
              </w:rPr>
              <w:t>蒸汽灭菌车间附近</w:t>
            </w:r>
            <w:r>
              <w:rPr>
                <w:rFonts w:hint="eastAsia" w:ascii="Times New Roman" w:hAnsi="Times New Roman"/>
                <w:kern w:val="2"/>
              </w:rPr>
              <w:t>T2 2</w:t>
            </w:r>
            <w:r>
              <w:rPr>
                <w:kern w:val="2"/>
              </w:rPr>
              <w:t>¨</w:t>
            </w:r>
          </w:p>
        </w:tc>
        <w:tc>
          <w:tcPr>
            <w:tcW w:w="1344" w:type="pct"/>
            <w:gridSpan w:val="3"/>
            <w:vAlign w:val="center"/>
          </w:tcPr>
          <w:p>
            <w:pPr>
              <w:jc w:val="center"/>
              <w:rPr>
                <w:rFonts w:ascii="Times New Roman" w:hAnsi="Times New Roman"/>
                <w:kern w:val="2"/>
              </w:rPr>
            </w:pPr>
            <w:r>
              <w:rPr>
                <w:rFonts w:hint="eastAsia"/>
                <w:kern w:val="2"/>
              </w:rPr>
              <w:t>事故应急池附近</w:t>
            </w:r>
            <w:r>
              <w:rPr>
                <w:rFonts w:hint="eastAsia" w:ascii="Times New Roman" w:hAnsi="Times New Roman"/>
                <w:kern w:val="2"/>
              </w:rPr>
              <w:t>T3 3</w:t>
            </w:r>
            <w:r>
              <w:rPr>
                <w:kern w:val="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vAlign w:val="center"/>
          </w:tcPr>
          <w:p>
            <w:pPr>
              <w:widowControl/>
              <w:jc w:val="left"/>
              <w:rPr>
                <w:rFonts w:ascii="Times New Roman" w:hAnsi="Times New Roman"/>
              </w:rPr>
            </w:pPr>
          </w:p>
        </w:tc>
        <w:tc>
          <w:tcPr>
            <w:tcW w:w="0" w:type="auto"/>
            <w:vMerge w:val="continue"/>
            <w:vAlign w:val="center"/>
          </w:tcPr>
          <w:p>
            <w:pPr>
              <w:widowControl/>
              <w:jc w:val="left"/>
              <w:rPr>
                <w:rFonts w:ascii="Times New Roman" w:hAnsi="Times New Roman"/>
                <w:kern w:val="2"/>
              </w:rPr>
            </w:pPr>
          </w:p>
        </w:tc>
        <w:tc>
          <w:tcPr>
            <w:tcW w:w="0" w:type="auto"/>
            <w:vMerge w:val="continue"/>
            <w:vAlign w:val="center"/>
          </w:tcPr>
          <w:p>
            <w:pPr>
              <w:widowControl/>
              <w:jc w:val="left"/>
              <w:rPr>
                <w:rFonts w:ascii="Times New Roman" w:hAnsi="Times New Roman"/>
                <w:kern w:val="2"/>
              </w:rPr>
            </w:pPr>
          </w:p>
        </w:tc>
        <w:tc>
          <w:tcPr>
            <w:tcW w:w="608" w:type="pct"/>
            <w:vAlign w:val="center"/>
          </w:tcPr>
          <w:p>
            <w:pPr>
              <w:jc w:val="center"/>
              <w:rPr>
                <w:rFonts w:ascii="Times New Roman" w:hAnsi="Times New Roman"/>
                <w:kern w:val="2"/>
              </w:rPr>
            </w:pPr>
            <w:r>
              <w:rPr>
                <w:rFonts w:ascii="Times New Roman" w:hAnsi="Times New Roman"/>
                <w:kern w:val="2"/>
              </w:rPr>
              <w:t>0~0.2m</w:t>
            </w:r>
          </w:p>
        </w:tc>
        <w:tc>
          <w:tcPr>
            <w:tcW w:w="449" w:type="pct"/>
            <w:vAlign w:val="center"/>
          </w:tcPr>
          <w:p>
            <w:pPr>
              <w:jc w:val="center"/>
              <w:rPr>
                <w:rFonts w:ascii="Times New Roman" w:hAnsi="Times New Roman"/>
                <w:kern w:val="2"/>
              </w:rPr>
            </w:pPr>
            <w:r>
              <w:rPr>
                <w:rFonts w:hint="eastAsia" w:ascii="Times New Roman" w:hAnsi="Times New Roman"/>
                <w:kern w:val="2"/>
              </w:rPr>
              <w:t>0~0.5m</w:t>
            </w:r>
          </w:p>
        </w:tc>
        <w:tc>
          <w:tcPr>
            <w:tcW w:w="449" w:type="pct"/>
            <w:vAlign w:val="center"/>
          </w:tcPr>
          <w:p>
            <w:pPr>
              <w:jc w:val="center"/>
              <w:rPr>
                <w:rFonts w:ascii="Times New Roman" w:hAnsi="Times New Roman"/>
                <w:kern w:val="2"/>
              </w:rPr>
            </w:pPr>
            <w:r>
              <w:rPr>
                <w:rFonts w:hint="eastAsia" w:ascii="Times New Roman" w:hAnsi="Times New Roman"/>
                <w:kern w:val="2"/>
              </w:rPr>
              <w:t>0.5~1.5m</w:t>
            </w:r>
          </w:p>
        </w:tc>
        <w:tc>
          <w:tcPr>
            <w:tcW w:w="450" w:type="pct"/>
            <w:vAlign w:val="center"/>
          </w:tcPr>
          <w:p>
            <w:pPr>
              <w:jc w:val="center"/>
              <w:rPr>
                <w:rFonts w:ascii="Times New Roman" w:hAnsi="Times New Roman"/>
                <w:kern w:val="2"/>
              </w:rPr>
            </w:pPr>
            <w:r>
              <w:rPr>
                <w:rFonts w:hint="eastAsia" w:ascii="Times New Roman" w:hAnsi="Times New Roman"/>
                <w:kern w:val="2"/>
              </w:rPr>
              <w:t>1.5~3.0m</w:t>
            </w:r>
          </w:p>
        </w:tc>
        <w:tc>
          <w:tcPr>
            <w:tcW w:w="448" w:type="pct"/>
            <w:vAlign w:val="center"/>
          </w:tcPr>
          <w:p>
            <w:pPr>
              <w:jc w:val="center"/>
              <w:rPr>
                <w:rFonts w:ascii="Times New Roman" w:hAnsi="Times New Roman"/>
                <w:kern w:val="2"/>
              </w:rPr>
            </w:pPr>
            <w:r>
              <w:rPr>
                <w:rFonts w:hint="eastAsia" w:ascii="Times New Roman" w:hAnsi="Times New Roman"/>
                <w:kern w:val="2"/>
              </w:rPr>
              <w:t>0~0.5m</w:t>
            </w:r>
          </w:p>
        </w:tc>
        <w:tc>
          <w:tcPr>
            <w:tcW w:w="449" w:type="pct"/>
            <w:vAlign w:val="center"/>
          </w:tcPr>
          <w:p>
            <w:pPr>
              <w:jc w:val="center"/>
              <w:rPr>
                <w:rFonts w:ascii="Times New Roman" w:hAnsi="Times New Roman"/>
                <w:kern w:val="2"/>
              </w:rPr>
            </w:pPr>
            <w:r>
              <w:rPr>
                <w:rFonts w:hint="eastAsia" w:ascii="Times New Roman" w:hAnsi="Times New Roman"/>
                <w:kern w:val="2"/>
              </w:rPr>
              <w:t>0.5~1.5m</w:t>
            </w:r>
          </w:p>
        </w:tc>
        <w:tc>
          <w:tcPr>
            <w:tcW w:w="447" w:type="pct"/>
            <w:vAlign w:val="center"/>
          </w:tcPr>
          <w:p>
            <w:pPr>
              <w:jc w:val="center"/>
              <w:rPr>
                <w:rFonts w:ascii="Times New Roman" w:hAnsi="Times New Roman"/>
                <w:kern w:val="2"/>
              </w:rPr>
            </w:pPr>
            <w:r>
              <w:rPr>
                <w:rFonts w:hint="eastAsia" w:ascii="Times New Roman" w:hAnsi="Times New Roman"/>
                <w:kern w:val="2"/>
              </w:rPr>
              <w:t>1.5~3.0m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57" w:hRule="atLeast"/>
          <w:jc w:val="center"/>
        </w:trPr>
        <w:tc>
          <w:tcPr>
            <w:tcW w:w="216" w:type="pct"/>
            <w:vAlign w:val="center"/>
          </w:tcPr>
          <w:p>
            <w:pPr>
              <w:jc w:val="center"/>
              <w:rPr>
                <w:rFonts w:ascii="Times New Roman" w:hAnsi="Times New Roman"/>
              </w:rPr>
            </w:pPr>
            <w:r>
              <w:rPr>
                <w:rFonts w:hint="eastAsia" w:ascii="Times New Roman" w:hAnsi="Times New Roman"/>
              </w:rPr>
              <w:t>1</w:t>
            </w:r>
          </w:p>
        </w:tc>
        <w:tc>
          <w:tcPr>
            <w:tcW w:w="814" w:type="pct"/>
            <w:vAlign w:val="center"/>
          </w:tcPr>
          <w:p>
            <w:pPr>
              <w:widowControl/>
              <w:jc w:val="center"/>
              <w:textAlignment w:val="center"/>
              <w:rPr>
                <w:rFonts w:ascii="Times New Roman" w:hAnsi="Times New Roman"/>
                <w:kern w:val="2"/>
              </w:rPr>
            </w:pPr>
            <w:r>
              <w:rPr>
                <w:kern w:val="2"/>
              </w:rPr>
              <w:t>砷</w:t>
            </w:r>
          </w:p>
        </w:tc>
        <w:tc>
          <w:tcPr>
            <w:tcW w:w="669" w:type="pct"/>
            <w:vAlign w:val="center"/>
          </w:tcPr>
          <w:p>
            <w:pPr>
              <w:widowControl/>
              <w:jc w:val="center"/>
              <w:textAlignment w:val="center"/>
              <w:rPr>
                <w:rFonts w:ascii="Times New Roman" w:hAnsi="Times New Roman"/>
                <w:kern w:val="2"/>
              </w:rPr>
            </w:pPr>
            <w:r>
              <w:rPr>
                <w:rFonts w:ascii="Times New Roman" w:hAnsi="Times New Roman"/>
              </w:rPr>
              <w:t>60</w:t>
            </w:r>
          </w:p>
        </w:tc>
        <w:tc>
          <w:tcPr>
            <w:tcW w:w="608" w:type="pct"/>
            <w:vAlign w:val="center"/>
          </w:tcPr>
          <w:p>
            <w:pPr>
              <w:widowControl/>
              <w:jc w:val="center"/>
              <w:textAlignment w:val="center"/>
              <w:rPr>
                <w:rFonts w:ascii="Times New Roman" w:hAnsi="Times New Roman"/>
                <w:kern w:val="2"/>
              </w:rPr>
            </w:pPr>
            <w:r>
              <w:rPr>
                <w:rFonts w:ascii="Times New Roman" w:hAnsi="Times New Roman"/>
                <w:kern w:val="2"/>
              </w:rPr>
              <w:t>0.11</w:t>
            </w:r>
          </w:p>
        </w:tc>
        <w:tc>
          <w:tcPr>
            <w:tcW w:w="449" w:type="pct"/>
            <w:vAlign w:val="center"/>
          </w:tcPr>
          <w:p>
            <w:pPr>
              <w:jc w:val="center"/>
              <w:rPr>
                <w:rFonts w:ascii="Times New Roman" w:hAnsi="Times New Roman"/>
                <w:kern w:val="2"/>
              </w:rPr>
            </w:pPr>
            <w:r>
              <w:rPr>
                <w:rFonts w:ascii="Times New Roman" w:hAnsi="Times New Roman"/>
                <w:kern w:val="2"/>
              </w:rPr>
              <w:t>0.09</w:t>
            </w:r>
          </w:p>
        </w:tc>
        <w:tc>
          <w:tcPr>
            <w:tcW w:w="449" w:type="pct"/>
            <w:vAlign w:val="center"/>
          </w:tcPr>
          <w:p>
            <w:pPr>
              <w:jc w:val="center"/>
              <w:rPr>
                <w:rFonts w:ascii="Times New Roman" w:hAnsi="Times New Roman"/>
                <w:kern w:val="2"/>
              </w:rPr>
            </w:pPr>
            <w:r>
              <w:rPr>
                <w:rFonts w:hint="eastAsia" w:ascii="Times New Roman" w:hAnsi="Times New Roman"/>
                <w:kern w:val="2"/>
              </w:rPr>
              <w:t>0</w:t>
            </w:r>
            <w:r>
              <w:rPr>
                <w:rFonts w:ascii="Times New Roman" w:hAnsi="Times New Roman"/>
                <w:kern w:val="2"/>
              </w:rPr>
              <w:t>.086</w:t>
            </w:r>
          </w:p>
        </w:tc>
        <w:tc>
          <w:tcPr>
            <w:tcW w:w="450" w:type="pct"/>
            <w:vAlign w:val="center"/>
          </w:tcPr>
          <w:p>
            <w:pPr>
              <w:jc w:val="center"/>
              <w:rPr>
                <w:rFonts w:ascii="Times New Roman" w:hAnsi="Times New Roman"/>
                <w:kern w:val="2"/>
              </w:rPr>
            </w:pPr>
            <w:r>
              <w:rPr>
                <w:rFonts w:hint="eastAsia" w:ascii="Times New Roman" w:hAnsi="Times New Roman"/>
                <w:kern w:val="2"/>
              </w:rPr>
              <w:t>0</w:t>
            </w:r>
            <w:r>
              <w:rPr>
                <w:rFonts w:ascii="Times New Roman" w:hAnsi="Times New Roman"/>
                <w:kern w:val="2"/>
              </w:rPr>
              <w:t>.081</w:t>
            </w:r>
          </w:p>
        </w:tc>
        <w:tc>
          <w:tcPr>
            <w:tcW w:w="448" w:type="pct"/>
            <w:vAlign w:val="center"/>
          </w:tcPr>
          <w:p>
            <w:pPr>
              <w:jc w:val="center"/>
              <w:rPr>
                <w:rFonts w:ascii="Times New Roman" w:hAnsi="Times New Roman"/>
                <w:kern w:val="2"/>
              </w:rPr>
            </w:pPr>
            <w:r>
              <w:rPr>
                <w:rFonts w:hint="eastAsia" w:ascii="Times New Roman" w:hAnsi="Times New Roman"/>
                <w:kern w:val="2"/>
              </w:rPr>
              <w:t>0</w:t>
            </w:r>
            <w:r>
              <w:rPr>
                <w:rFonts w:ascii="Times New Roman" w:hAnsi="Times New Roman"/>
                <w:kern w:val="2"/>
              </w:rPr>
              <w:t>.10</w:t>
            </w:r>
          </w:p>
        </w:tc>
        <w:tc>
          <w:tcPr>
            <w:tcW w:w="449" w:type="pct"/>
            <w:vAlign w:val="center"/>
          </w:tcPr>
          <w:p>
            <w:pPr>
              <w:jc w:val="center"/>
              <w:rPr>
                <w:rFonts w:ascii="Times New Roman" w:hAnsi="Times New Roman"/>
                <w:kern w:val="2"/>
              </w:rPr>
            </w:pPr>
            <w:r>
              <w:rPr>
                <w:rFonts w:hint="eastAsia" w:ascii="Times New Roman" w:hAnsi="Times New Roman"/>
                <w:kern w:val="2"/>
              </w:rPr>
              <w:t>0</w:t>
            </w:r>
            <w:r>
              <w:rPr>
                <w:rFonts w:ascii="Times New Roman" w:hAnsi="Times New Roman"/>
                <w:kern w:val="2"/>
              </w:rPr>
              <w:t>.098</w:t>
            </w:r>
          </w:p>
        </w:tc>
        <w:tc>
          <w:tcPr>
            <w:tcW w:w="447" w:type="pct"/>
            <w:vAlign w:val="center"/>
          </w:tcPr>
          <w:p>
            <w:pPr>
              <w:jc w:val="center"/>
              <w:rPr>
                <w:rFonts w:ascii="Times New Roman" w:hAnsi="Times New Roman"/>
                <w:kern w:val="2"/>
              </w:rPr>
            </w:pPr>
            <w:r>
              <w:rPr>
                <w:rFonts w:hint="eastAsia" w:ascii="Times New Roman" w:hAnsi="Times New Roman"/>
                <w:kern w:val="2"/>
              </w:rPr>
              <w:t>0</w:t>
            </w:r>
            <w:r>
              <w:rPr>
                <w:rFonts w:ascii="Times New Roman" w:hAnsi="Times New Roman"/>
                <w:kern w:val="2"/>
              </w:rPr>
              <w:t>.095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216" w:type="pct"/>
            <w:vAlign w:val="center"/>
          </w:tcPr>
          <w:p>
            <w:pPr>
              <w:jc w:val="center"/>
              <w:rPr>
                <w:rFonts w:ascii="Times New Roman" w:hAnsi="Times New Roman"/>
              </w:rPr>
            </w:pPr>
            <w:r>
              <w:rPr>
                <w:rFonts w:hint="eastAsia" w:ascii="Times New Roman" w:hAnsi="Times New Roman"/>
              </w:rPr>
              <w:t>2</w:t>
            </w:r>
          </w:p>
        </w:tc>
        <w:tc>
          <w:tcPr>
            <w:tcW w:w="814" w:type="pct"/>
            <w:vAlign w:val="center"/>
          </w:tcPr>
          <w:p>
            <w:pPr>
              <w:widowControl/>
              <w:jc w:val="center"/>
              <w:textAlignment w:val="center"/>
              <w:rPr>
                <w:rFonts w:ascii="Times New Roman" w:hAnsi="Times New Roman"/>
                <w:kern w:val="2"/>
              </w:rPr>
            </w:pPr>
            <w:r>
              <w:t>镉</w:t>
            </w:r>
          </w:p>
        </w:tc>
        <w:tc>
          <w:tcPr>
            <w:tcW w:w="669" w:type="pct"/>
            <w:vAlign w:val="center"/>
          </w:tcPr>
          <w:p>
            <w:pPr>
              <w:widowControl/>
              <w:jc w:val="center"/>
              <w:textAlignment w:val="center"/>
              <w:rPr>
                <w:rFonts w:ascii="Times New Roman" w:hAnsi="Times New Roman"/>
              </w:rPr>
            </w:pPr>
            <w:r>
              <w:rPr>
                <w:rFonts w:ascii="Times New Roman" w:hAnsi="Times New Roman"/>
              </w:rPr>
              <w:t>65</w:t>
            </w:r>
          </w:p>
        </w:tc>
        <w:tc>
          <w:tcPr>
            <w:tcW w:w="608" w:type="pct"/>
            <w:vAlign w:val="center"/>
          </w:tcPr>
          <w:p>
            <w:pPr>
              <w:widowControl/>
              <w:jc w:val="center"/>
              <w:textAlignment w:val="center"/>
              <w:rPr>
                <w:rFonts w:ascii="Times New Roman" w:hAnsi="Times New Roman"/>
              </w:rPr>
            </w:pPr>
            <w:r>
              <w:rPr>
                <w:rFonts w:hint="eastAsia" w:ascii="Times New Roman" w:hAnsi="Times New Roman"/>
              </w:rPr>
              <w:t>0.0</w:t>
            </w:r>
            <w:r>
              <w:rPr>
                <w:rFonts w:ascii="Times New Roman" w:hAnsi="Times New Roman"/>
              </w:rPr>
              <w:t>0076</w:t>
            </w:r>
          </w:p>
        </w:tc>
        <w:tc>
          <w:tcPr>
            <w:tcW w:w="449" w:type="pct"/>
            <w:vAlign w:val="center"/>
          </w:tcPr>
          <w:p>
            <w:pPr>
              <w:jc w:val="center"/>
              <w:rPr>
                <w:rFonts w:ascii="Times New Roman" w:hAnsi="Times New Roman"/>
                <w:kern w:val="2"/>
              </w:rPr>
            </w:pPr>
            <w:r>
              <w:rPr>
                <w:rFonts w:ascii="Times New Roman" w:hAnsi="Times New Roman"/>
                <w:kern w:val="2"/>
              </w:rPr>
              <w:t>0.0016</w:t>
            </w:r>
          </w:p>
        </w:tc>
        <w:tc>
          <w:tcPr>
            <w:tcW w:w="449" w:type="pct"/>
            <w:vAlign w:val="center"/>
          </w:tcPr>
          <w:p>
            <w:pPr>
              <w:jc w:val="center"/>
              <w:rPr>
                <w:rFonts w:ascii="Times New Roman" w:hAnsi="Times New Roman"/>
                <w:kern w:val="2"/>
              </w:rPr>
            </w:pPr>
            <w:r>
              <w:rPr>
                <w:rFonts w:ascii="Times New Roman" w:hAnsi="Times New Roman"/>
                <w:kern w:val="2"/>
              </w:rPr>
              <w:t>0.0013</w:t>
            </w:r>
          </w:p>
        </w:tc>
        <w:tc>
          <w:tcPr>
            <w:tcW w:w="450" w:type="pct"/>
            <w:vAlign w:val="center"/>
          </w:tcPr>
          <w:p>
            <w:pPr>
              <w:jc w:val="center"/>
              <w:rPr>
                <w:rFonts w:ascii="Times New Roman" w:hAnsi="Times New Roman"/>
                <w:kern w:val="2"/>
              </w:rPr>
            </w:pPr>
            <w:r>
              <w:rPr>
                <w:rFonts w:ascii="Times New Roman" w:hAnsi="Times New Roman"/>
                <w:kern w:val="2"/>
              </w:rPr>
              <w:t>0.0012</w:t>
            </w:r>
          </w:p>
        </w:tc>
        <w:tc>
          <w:tcPr>
            <w:tcW w:w="448" w:type="pct"/>
            <w:vAlign w:val="center"/>
          </w:tcPr>
          <w:p>
            <w:pPr>
              <w:jc w:val="center"/>
              <w:rPr>
                <w:rFonts w:ascii="Times New Roman" w:hAnsi="Times New Roman"/>
                <w:kern w:val="2"/>
              </w:rPr>
            </w:pPr>
            <w:r>
              <w:rPr>
                <w:rFonts w:ascii="Times New Roman" w:hAnsi="Times New Roman"/>
                <w:kern w:val="2"/>
              </w:rPr>
              <w:t>0.0018</w:t>
            </w:r>
          </w:p>
        </w:tc>
        <w:tc>
          <w:tcPr>
            <w:tcW w:w="449" w:type="pct"/>
            <w:vAlign w:val="center"/>
          </w:tcPr>
          <w:p>
            <w:pPr>
              <w:jc w:val="center"/>
              <w:rPr>
                <w:rFonts w:ascii="Times New Roman" w:hAnsi="Times New Roman"/>
                <w:kern w:val="2"/>
              </w:rPr>
            </w:pPr>
            <w:r>
              <w:rPr>
                <w:rFonts w:ascii="Times New Roman" w:hAnsi="Times New Roman"/>
                <w:kern w:val="2"/>
              </w:rPr>
              <w:t>0.0014</w:t>
            </w:r>
          </w:p>
        </w:tc>
        <w:tc>
          <w:tcPr>
            <w:tcW w:w="447" w:type="pct"/>
            <w:vAlign w:val="center"/>
          </w:tcPr>
          <w:p>
            <w:pPr>
              <w:jc w:val="center"/>
              <w:rPr>
                <w:rFonts w:ascii="Times New Roman" w:hAnsi="Times New Roman"/>
                <w:kern w:val="2"/>
              </w:rPr>
            </w:pPr>
            <w:r>
              <w:rPr>
                <w:rFonts w:ascii="Times New Roman" w:hAnsi="Times New Roman"/>
                <w:kern w:val="2"/>
              </w:rPr>
              <w:t>0.0013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216" w:type="pct"/>
            <w:vAlign w:val="center"/>
          </w:tcPr>
          <w:p>
            <w:pPr>
              <w:jc w:val="center"/>
              <w:rPr>
                <w:rFonts w:ascii="Times New Roman" w:hAnsi="Times New Roman"/>
              </w:rPr>
            </w:pPr>
            <w:r>
              <w:rPr>
                <w:rFonts w:hint="eastAsia" w:ascii="Times New Roman" w:hAnsi="Times New Roman"/>
              </w:rPr>
              <w:t>3</w:t>
            </w:r>
          </w:p>
        </w:tc>
        <w:tc>
          <w:tcPr>
            <w:tcW w:w="814" w:type="pct"/>
            <w:vAlign w:val="center"/>
          </w:tcPr>
          <w:p>
            <w:pPr>
              <w:jc w:val="center"/>
              <w:rPr>
                <w:rFonts w:ascii="Times New Roman" w:hAnsi="Times New Roman"/>
                <w:kern w:val="2"/>
              </w:rPr>
            </w:pPr>
            <w:r>
              <w:t>铬（六价）</w:t>
            </w:r>
          </w:p>
        </w:tc>
        <w:tc>
          <w:tcPr>
            <w:tcW w:w="669" w:type="pct"/>
            <w:vAlign w:val="center"/>
          </w:tcPr>
          <w:p>
            <w:pPr>
              <w:jc w:val="center"/>
              <w:rPr>
                <w:rFonts w:ascii="Times New Roman" w:hAnsi="Times New Roman"/>
                <w:kern w:val="2"/>
              </w:rPr>
            </w:pPr>
            <w:r>
              <w:rPr>
                <w:rFonts w:ascii="Times New Roman" w:hAnsi="Times New Roman"/>
              </w:rPr>
              <w:t>5.7</w:t>
            </w:r>
          </w:p>
        </w:tc>
        <w:tc>
          <w:tcPr>
            <w:tcW w:w="608" w:type="pct"/>
            <w:vAlign w:val="center"/>
          </w:tcPr>
          <w:p>
            <w:pPr>
              <w:jc w:val="center"/>
              <w:rPr>
                <w:rFonts w:ascii="Times New Roman" w:hAnsi="Times New Roman"/>
              </w:rPr>
            </w:pPr>
            <w:r>
              <w:rPr>
                <w:rFonts w:hint="eastAsia" w:ascii="Times New Roman" w:hAnsi="Times New Roman"/>
                <w:kern w:val="2"/>
              </w:rPr>
              <w:t>/</w:t>
            </w:r>
          </w:p>
        </w:tc>
        <w:tc>
          <w:tcPr>
            <w:tcW w:w="449" w:type="pct"/>
            <w:vAlign w:val="center"/>
          </w:tcPr>
          <w:p>
            <w:pPr>
              <w:jc w:val="center"/>
              <w:rPr>
                <w:rFonts w:ascii="Times New Roman" w:hAnsi="Times New Roman"/>
                <w:kern w:val="2"/>
              </w:rPr>
            </w:pPr>
            <w:r>
              <w:rPr>
                <w:rFonts w:hint="eastAsia" w:ascii="Times New Roman" w:hAnsi="Times New Roman"/>
                <w:kern w:val="2"/>
              </w:rPr>
              <w:t>/</w:t>
            </w:r>
          </w:p>
        </w:tc>
        <w:tc>
          <w:tcPr>
            <w:tcW w:w="449" w:type="pct"/>
            <w:vAlign w:val="center"/>
          </w:tcPr>
          <w:p>
            <w:pPr>
              <w:jc w:val="center"/>
              <w:rPr>
                <w:rFonts w:ascii="Times New Roman" w:hAnsi="Times New Roman"/>
                <w:kern w:val="2"/>
              </w:rPr>
            </w:pPr>
            <w:r>
              <w:rPr>
                <w:rFonts w:hint="eastAsia" w:ascii="Times New Roman" w:hAnsi="Times New Roman"/>
                <w:kern w:val="2"/>
              </w:rPr>
              <w:t>/</w:t>
            </w:r>
          </w:p>
        </w:tc>
        <w:tc>
          <w:tcPr>
            <w:tcW w:w="450" w:type="pct"/>
            <w:vAlign w:val="center"/>
          </w:tcPr>
          <w:p>
            <w:pPr>
              <w:jc w:val="center"/>
              <w:rPr>
                <w:rFonts w:ascii="Times New Roman" w:hAnsi="Times New Roman"/>
                <w:kern w:val="2"/>
              </w:rPr>
            </w:pPr>
            <w:r>
              <w:rPr>
                <w:rFonts w:hint="eastAsia" w:ascii="Times New Roman" w:hAnsi="Times New Roman"/>
                <w:kern w:val="2"/>
              </w:rPr>
              <w:t>/</w:t>
            </w:r>
          </w:p>
        </w:tc>
        <w:tc>
          <w:tcPr>
            <w:tcW w:w="448" w:type="pct"/>
            <w:vAlign w:val="center"/>
          </w:tcPr>
          <w:p>
            <w:pPr>
              <w:jc w:val="center"/>
              <w:rPr>
                <w:rFonts w:ascii="Times New Roman" w:hAnsi="Times New Roman"/>
                <w:kern w:val="2"/>
              </w:rPr>
            </w:pPr>
            <w:r>
              <w:rPr>
                <w:rFonts w:hint="eastAsia" w:ascii="Times New Roman" w:hAnsi="Times New Roman"/>
                <w:kern w:val="2"/>
              </w:rPr>
              <w:t>/</w:t>
            </w:r>
          </w:p>
        </w:tc>
        <w:tc>
          <w:tcPr>
            <w:tcW w:w="449" w:type="pct"/>
            <w:vAlign w:val="center"/>
          </w:tcPr>
          <w:p>
            <w:pPr>
              <w:jc w:val="center"/>
              <w:rPr>
                <w:rFonts w:ascii="Times New Roman" w:hAnsi="Times New Roman"/>
                <w:kern w:val="2"/>
              </w:rPr>
            </w:pPr>
            <w:r>
              <w:rPr>
                <w:rFonts w:hint="eastAsia" w:ascii="Times New Roman" w:hAnsi="Times New Roman"/>
                <w:kern w:val="2"/>
              </w:rPr>
              <w:t>/</w:t>
            </w:r>
          </w:p>
        </w:tc>
        <w:tc>
          <w:tcPr>
            <w:tcW w:w="447" w:type="pct"/>
            <w:vAlign w:val="center"/>
          </w:tcPr>
          <w:p>
            <w:pPr>
              <w:jc w:val="center"/>
              <w:rPr>
                <w:rFonts w:ascii="Times New Roman" w:hAnsi="Times New Roman"/>
                <w:kern w:val="2"/>
              </w:rPr>
            </w:pPr>
            <w:r>
              <w:rPr>
                <w:rFonts w:hint="eastAsia" w:ascii="Times New Roman" w:hAnsi="Times New Roman"/>
                <w:kern w:val="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216" w:type="pct"/>
            <w:vAlign w:val="center"/>
          </w:tcPr>
          <w:p>
            <w:pPr>
              <w:jc w:val="center"/>
              <w:rPr>
                <w:rFonts w:ascii="Times New Roman" w:hAnsi="Times New Roman"/>
              </w:rPr>
            </w:pPr>
            <w:r>
              <w:rPr>
                <w:rFonts w:hint="eastAsia" w:ascii="Times New Roman" w:hAnsi="Times New Roman"/>
              </w:rPr>
              <w:t>4</w:t>
            </w:r>
          </w:p>
        </w:tc>
        <w:tc>
          <w:tcPr>
            <w:tcW w:w="814" w:type="pct"/>
            <w:vAlign w:val="center"/>
          </w:tcPr>
          <w:p>
            <w:pPr>
              <w:jc w:val="center"/>
              <w:rPr>
                <w:rFonts w:ascii="Times New Roman" w:hAnsi="Times New Roman"/>
                <w:kern w:val="2"/>
              </w:rPr>
            </w:pPr>
            <w:r>
              <w:t>铜</w:t>
            </w:r>
          </w:p>
        </w:tc>
        <w:tc>
          <w:tcPr>
            <w:tcW w:w="669" w:type="pct"/>
            <w:vAlign w:val="center"/>
          </w:tcPr>
          <w:p>
            <w:pPr>
              <w:jc w:val="center"/>
              <w:rPr>
                <w:rFonts w:ascii="Times New Roman" w:hAnsi="Times New Roman"/>
              </w:rPr>
            </w:pPr>
            <w:r>
              <w:rPr>
                <w:rFonts w:ascii="Times New Roman" w:hAnsi="Times New Roman"/>
              </w:rPr>
              <w:t>18000</w:t>
            </w:r>
          </w:p>
        </w:tc>
        <w:tc>
          <w:tcPr>
            <w:tcW w:w="608" w:type="pct"/>
            <w:vAlign w:val="center"/>
          </w:tcPr>
          <w:p>
            <w:pPr>
              <w:jc w:val="center"/>
              <w:rPr>
                <w:rFonts w:ascii="Times New Roman" w:hAnsi="Times New Roman"/>
              </w:rPr>
            </w:pPr>
            <w:r>
              <w:rPr>
                <w:rFonts w:ascii="Times New Roman" w:hAnsi="Times New Roman"/>
              </w:rPr>
              <w:t>0.0013</w:t>
            </w:r>
          </w:p>
        </w:tc>
        <w:tc>
          <w:tcPr>
            <w:tcW w:w="449" w:type="pct"/>
            <w:vAlign w:val="center"/>
          </w:tcPr>
          <w:p>
            <w:pPr>
              <w:jc w:val="center"/>
              <w:rPr>
                <w:rFonts w:ascii="Times New Roman" w:hAnsi="Times New Roman"/>
                <w:kern w:val="2"/>
              </w:rPr>
            </w:pPr>
            <w:r>
              <w:rPr>
                <w:rFonts w:ascii="Times New Roman" w:hAnsi="Times New Roman"/>
                <w:kern w:val="2"/>
              </w:rPr>
              <w:t>0.0012</w:t>
            </w:r>
          </w:p>
        </w:tc>
        <w:tc>
          <w:tcPr>
            <w:tcW w:w="449" w:type="pct"/>
            <w:vAlign w:val="center"/>
          </w:tcPr>
          <w:p>
            <w:pPr>
              <w:jc w:val="center"/>
              <w:rPr>
                <w:rFonts w:ascii="Times New Roman" w:hAnsi="Times New Roman"/>
                <w:kern w:val="2"/>
              </w:rPr>
            </w:pPr>
            <w:r>
              <w:rPr>
                <w:rFonts w:ascii="Times New Roman" w:hAnsi="Times New Roman"/>
                <w:kern w:val="2"/>
              </w:rPr>
              <w:t>0.0011</w:t>
            </w:r>
          </w:p>
        </w:tc>
        <w:tc>
          <w:tcPr>
            <w:tcW w:w="450" w:type="pct"/>
            <w:vAlign w:val="center"/>
          </w:tcPr>
          <w:p>
            <w:pPr>
              <w:jc w:val="center"/>
              <w:rPr>
                <w:rFonts w:ascii="Times New Roman" w:hAnsi="Times New Roman"/>
                <w:kern w:val="2"/>
              </w:rPr>
            </w:pPr>
            <w:r>
              <w:rPr>
                <w:rFonts w:ascii="Times New Roman" w:hAnsi="Times New Roman"/>
                <w:kern w:val="2"/>
              </w:rPr>
              <w:t>0.0010</w:t>
            </w:r>
          </w:p>
        </w:tc>
        <w:tc>
          <w:tcPr>
            <w:tcW w:w="448" w:type="pct"/>
            <w:vAlign w:val="center"/>
          </w:tcPr>
          <w:p>
            <w:pPr>
              <w:jc w:val="center"/>
              <w:rPr>
                <w:rFonts w:ascii="Times New Roman" w:hAnsi="Times New Roman"/>
                <w:kern w:val="2"/>
              </w:rPr>
            </w:pPr>
            <w:r>
              <w:rPr>
                <w:rFonts w:ascii="Times New Roman" w:hAnsi="Times New Roman"/>
                <w:kern w:val="2"/>
              </w:rPr>
              <w:t>0.0014</w:t>
            </w:r>
          </w:p>
        </w:tc>
        <w:tc>
          <w:tcPr>
            <w:tcW w:w="449" w:type="pct"/>
            <w:vAlign w:val="center"/>
          </w:tcPr>
          <w:p>
            <w:pPr>
              <w:jc w:val="center"/>
              <w:rPr>
                <w:rFonts w:ascii="Times New Roman" w:hAnsi="Times New Roman"/>
                <w:kern w:val="2"/>
              </w:rPr>
            </w:pPr>
            <w:r>
              <w:rPr>
                <w:rFonts w:ascii="Times New Roman" w:hAnsi="Times New Roman"/>
                <w:kern w:val="2"/>
              </w:rPr>
              <w:t>0.0013</w:t>
            </w:r>
          </w:p>
        </w:tc>
        <w:tc>
          <w:tcPr>
            <w:tcW w:w="447" w:type="pct"/>
            <w:vAlign w:val="center"/>
          </w:tcPr>
          <w:p>
            <w:pPr>
              <w:jc w:val="center"/>
              <w:rPr>
                <w:rFonts w:ascii="Times New Roman" w:hAnsi="Times New Roman"/>
                <w:kern w:val="2"/>
              </w:rPr>
            </w:pPr>
            <w:r>
              <w:rPr>
                <w:rFonts w:hint="eastAsia" w:ascii="Times New Roman" w:hAnsi="Times New Roman"/>
                <w:kern w:val="2"/>
              </w:rPr>
              <w:t>0</w:t>
            </w:r>
            <w:r>
              <w:rPr>
                <w:rFonts w:ascii="Times New Roman" w:hAnsi="Times New Roman"/>
                <w:kern w:val="2"/>
              </w:rPr>
              <w:t>.0013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216" w:type="pct"/>
            <w:vAlign w:val="center"/>
          </w:tcPr>
          <w:p>
            <w:pPr>
              <w:jc w:val="center"/>
              <w:rPr>
                <w:rFonts w:ascii="Times New Roman" w:hAnsi="Times New Roman"/>
              </w:rPr>
            </w:pPr>
            <w:r>
              <w:rPr>
                <w:rFonts w:hint="eastAsia" w:ascii="Times New Roman" w:hAnsi="Times New Roman"/>
              </w:rPr>
              <w:t>5</w:t>
            </w:r>
          </w:p>
        </w:tc>
        <w:tc>
          <w:tcPr>
            <w:tcW w:w="814" w:type="pct"/>
            <w:vAlign w:val="center"/>
          </w:tcPr>
          <w:p>
            <w:pPr>
              <w:jc w:val="center"/>
              <w:rPr>
                <w:rFonts w:ascii="Times New Roman" w:hAnsi="Times New Roman"/>
                <w:kern w:val="2"/>
              </w:rPr>
            </w:pPr>
            <w:r>
              <w:t>铅</w:t>
            </w:r>
          </w:p>
        </w:tc>
        <w:tc>
          <w:tcPr>
            <w:tcW w:w="669" w:type="pct"/>
            <w:vAlign w:val="center"/>
          </w:tcPr>
          <w:p>
            <w:pPr>
              <w:jc w:val="center"/>
              <w:rPr>
                <w:rFonts w:ascii="Times New Roman" w:hAnsi="Times New Roman"/>
              </w:rPr>
            </w:pPr>
            <w:r>
              <w:rPr>
                <w:rFonts w:ascii="Times New Roman" w:hAnsi="Times New Roman"/>
              </w:rPr>
              <w:t>800</w:t>
            </w:r>
          </w:p>
        </w:tc>
        <w:tc>
          <w:tcPr>
            <w:tcW w:w="608" w:type="pct"/>
            <w:vAlign w:val="center"/>
          </w:tcPr>
          <w:p>
            <w:pPr>
              <w:jc w:val="center"/>
              <w:rPr>
                <w:rFonts w:ascii="Times New Roman" w:hAnsi="Times New Roman"/>
              </w:rPr>
            </w:pPr>
            <w:r>
              <w:rPr>
                <w:rFonts w:ascii="Times New Roman" w:hAnsi="Times New Roman"/>
              </w:rPr>
              <w:t>0.035</w:t>
            </w:r>
          </w:p>
        </w:tc>
        <w:tc>
          <w:tcPr>
            <w:tcW w:w="449" w:type="pct"/>
            <w:vAlign w:val="center"/>
          </w:tcPr>
          <w:p>
            <w:pPr>
              <w:jc w:val="center"/>
              <w:rPr>
                <w:rFonts w:ascii="Times New Roman" w:hAnsi="Times New Roman"/>
                <w:kern w:val="2"/>
              </w:rPr>
            </w:pPr>
            <w:r>
              <w:rPr>
                <w:rFonts w:ascii="Times New Roman" w:hAnsi="Times New Roman"/>
                <w:kern w:val="2"/>
              </w:rPr>
              <w:t>0.027</w:t>
            </w:r>
          </w:p>
        </w:tc>
        <w:tc>
          <w:tcPr>
            <w:tcW w:w="449" w:type="pct"/>
            <w:vAlign w:val="center"/>
          </w:tcPr>
          <w:p>
            <w:pPr>
              <w:jc w:val="center"/>
              <w:rPr>
                <w:rFonts w:ascii="Times New Roman" w:hAnsi="Times New Roman"/>
                <w:kern w:val="2"/>
              </w:rPr>
            </w:pPr>
            <w:r>
              <w:rPr>
                <w:rFonts w:ascii="Times New Roman" w:hAnsi="Times New Roman"/>
                <w:kern w:val="2"/>
              </w:rPr>
              <w:t>0.026</w:t>
            </w:r>
          </w:p>
        </w:tc>
        <w:tc>
          <w:tcPr>
            <w:tcW w:w="450" w:type="pct"/>
            <w:vAlign w:val="center"/>
          </w:tcPr>
          <w:p>
            <w:pPr>
              <w:jc w:val="center"/>
              <w:rPr>
                <w:rFonts w:ascii="Times New Roman" w:hAnsi="Times New Roman"/>
                <w:kern w:val="2"/>
              </w:rPr>
            </w:pPr>
            <w:r>
              <w:rPr>
                <w:rFonts w:ascii="Times New Roman" w:hAnsi="Times New Roman"/>
                <w:kern w:val="2"/>
              </w:rPr>
              <w:t>0.025</w:t>
            </w:r>
          </w:p>
        </w:tc>
        <w:tc>
          <w:tcPr>
            <w:tcW w:w="448" w:type="pct"/>
            <w:vAlign w:val="center"/>
          </w:tcPr>
          <w:p>
            <w:pPr>
              <w:jc w:val="center"/>
              <w:rPr>
                <w:rFonts w:ascii="Times New Roman" w:hAnsi="Times New Roman"/>
                <w:kern w:val="2"/>
              </w:rPr>
            </w:pPr>
            <w:r>
              <w:rPr>
                <w:rFonts w:ascii="Times New Roman" w:hAnsi="Times New Roman"/>
                <w:kern w:val="2"/>
              </w:rPr>
              <w:t>0.042</w:t>
            </w:r>
          </w:p>
        </w:tc>
        <w:tc>
          <w:tcPr>
            <w:tcW w:w="449" w:type="pct"/>
            <w:vAlign w:val="center"/>
          </w:tcPr>
          <w:p>
            <w:pPr>
              <w:jc w:val="center"/>
              <w:rPr>
                <w:rFonts w:ascii="Times New Roman" w:hAnsi="Times New Roman"/>
                <w:kern w:val="2"/>
              </w:rPr>
            </w:pPr>
            <w:r>
              <w:rPr>
                <w:rFonts w:ascii="Times New Roman" w:hAnsi="Times New Roman"/>
                <w:kern w:val="2"/>
              </w:rPr>
              <w:t>0.041</w:t>
            </w:r>
          </w:p>
        </w:tc>
        <w:tc>
          <w:tcPr>
            <w:tcW w:w="447" w:type="pct"/>
            <w:vAlign w:val="center"/>
          </w:tcPr>
          <w:p>
            <w:pPr>
              <w:jc w:val="center"/>
              <w:rPr>
                <w:rFonts w:ascii="Times New Roman" w:hAnsi="Times New Roman"/>
                <w:kern w:val="2"/>
              </w:rPr>
            </w:pPr>
            <w:r>
              <w:rPr>
                <w:rFonts w:ascii="Times New Roman" w:hAnsi="Times New Roman"/>
                <w:kern w:val="2"/>
              </w:rPr>
              <w:t>0.039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216" w:type="pct"/>
            <w:vAlign w:val="center"/>
          </w:tcPr>
          <w:p>
            <w:pPr>
              <w:jc w:val="center"/>
              <w:rPr>
                <w:rFonts w:ascii="Times New Roman" w:hAnsi="Times New Roman"/>
              </w:rPr>
            </w:pPr>
            <w:r>
              <w:rPr>
                <w:rFonts w:hint="eastAsia" w:ascii="Times New Roman" w:hAnsi="Times New Roman"/>
              </w:rPr>
              <w:t>6</w:t>
            </w:r>
          </w:p>
        </w:tc>
        <w:tc>
          <w:tcPr>
            <w:tcW w:w="814" w:type="pct"/>
            <w:vAlign w:val="center"/>
          </w:tcPr>
          <w:p>
            <w:pPr>
              <w:jc w:val="center"/>
              <w:rPr>
                <w:rFonts w:ascii="Times New Roman" w:hAnsi="Times New Roman"/>
                <w:kern w:val="2"/>
              </w:rPr>
            </w:pPr>
            <w:r>
              <w:t>汞</w:t>
            </w:r>
          </w:p>
        </w:tc>
        <w:tc>
          <w:tcPr>
            <w:tcW w:w="669" w:type="pct"/>
            <w:vAlign w:val="center"/>
          </w:tcPr>
          <w:p>
            <w:pPr>
              <w:jc w:val="center"/>
              <w:rPr>
                <w:rFonts w:ascii="Times New Roman" w:hAnsi="Times New Roman"/>
              </w:rPr>
            </w:pPr>
            <w:r>
              <w:rPr>
                <w:rFonts w:ascii="Times New Roman" w:hAnsi="Times New Roman"/>
              </w:rPr>
              <w:t>38</w:t>
            </w:r>
          </w:p>
        </w:tc>
        <w:tc>
          <w:tcPr>
            <w:tcW w:w="608" w:type="pct"/>
            <w:vAlign w:val="center"/>
          </w:tcPr>
          <w:p>
            <w:pPr>
              <w:jc w:val="center"/>
              <w:rPr>
                <w:rFonts w:ascii="Times New Roman" w:hAnsi="Times New Roman"/>
              </w:rPr>
            </w:pPr>
            <w:r>
              <w:rPr>
                <w:rFonts w:ascii="Times New Roman" w:hAnsi="Times New Roman"/>
              </w:rPr>
              <w:t>0.0052</w:t>
            </w:r>
          </w:p>
        </w:tc>
        <w:tc>
          <w:tcPr>
            <w:tcW w:w="449" w:type="pct"/>
            <w:vAlign w:val="center"/>
          </w:tcPr>
          <w:p>
            <w:pPr>
              <w:jc w:val="center"/>
              <w:rPr>
                <w:rFonts w:ascii="Times New Roman" w:hAnsi="Times New Roman"/>
                <w:kern w:val="2"/>
              </w:rPr>
            </w:pPr>
            <w:r>
              <w:rPr>
                <w:rFonts w:ascii="Times New Roman" w:hAnsi="Times New Roman"/>
                <w:kern w:val="2"/>
              </w:rPr>
              <w:t>0.003</w:t>
            </w:r>
          </w:p>
        </w:tc>
        <w:tc>
          <w:tcPr>
            <w:tcW w:w="449" w:type="pct"/>
            <w:vAlign w:val="center"/>
          </w:tcPr>
          <w:p>
            <w:pPr>
              <w:jc w:val="center"/>
              <w:rPr>
                <w:rFonts w:ascii="Times New Roman" w:hAnsi="Times New Roman"/>
                <w:kern w:val="2"/>
              </w:rPr>
            </w:pPr>
            <w:r>
              <w:rPr>
                <w:rFonts w:ascii="Times New Roman" w:hAnsi="Times New Roman"/>
                <w:kern w:val="2"/>
              </w:rPr>
              <w:t>0.0028</w:t>
            </w:r>
          </w:p>
        </w:tc>
        <w:tc>
          <w:tcPr>
            <w:tcW w:w="450" w:type="pct"/>
            <w:vAlign w:val="center"/>
          </w:tcPr>
          <w:p>
            <w:pPr>
              <w:jc w:val="center"/>
              <w:rPr>
                <w:rFonts w:ascii="Times New Roman" w:hAnsi="Times New Roman"/>
                <w:kern w:val="2"/>
              </w:rPr>
            </w:pPr>
            <w:r>
              <w:rPr>
                <w:rFonts w:ascii="Times New Roman" w:hAnsi="Times New Roman"/>
                <w:kern w:val="2"/>
              </w:rPr>
              <w:t>0.0027</w:t>
            </w:r>
          </w:p>
        </w:tc>
        <w:tc>
          <w:tcPr>
            <w:tcW w:w="448" w:type="pct"/>
            <w:vAlign w:val="center"/>
          </w:tcPr>
          <w:p>
            <w:pPr>
              <w:jc w:val="center"/>
              <w:rPr>
                <w:rFonts w:ascii="Times New Roman" w:hAnsi="Times New Roman"/>
                <w:kern w:val="2"/>
              </w:rPr>
            </w:pPr>
            <w:r>
              <w:rPr>
                <w:rFonts w:ascii="Times New Roman" w:hAnsi="Times New Roman"/>
                <w:kern w:val="2"/>
              </w:rPr>
              <w:t>0.004</w:t>
            </w:r>
          </w:p>
        </w:tc>
        <w:tc>
          <w:tcPr>
            <w:tcW w:w="449" w:type="pct"/>
            <w:vAlign w:val="center"/>
          </w:tcPr>
          <w:p>
            <w:pPr>
              <w:jc w:val="center"/>
              <w:rPr>
                <w:rFonts w:ascii="Times New Roman" w:hAnsi="Times New Roman"/>
                <w:kern w:val="2"/>
              </w:rPr>
            </w:pPr>
            <w:r>
              <w:rPr>
                <w:rFonts w:ascii="Times New Roman" w:hAnsi="Times New Roman"/>
                <w:kern w:val="2"/>
              </w:rPr>
              <w:t>0.0037</w:t>
            </w:r>
          </w:p>
        </w:tc>
        <w:tc>
          <w:tcPr>
            <w:tcW w:w="447" w:type="pct"/>
            <w:vAlign w:val="center"/>
          </w:tcPr>
          <w:p>
            <w:pPr>
              <w:jc w:val="center"/>
              <w:rPr>
                <w:rFonts w:ascii="Times New Roman" w:hAnsi="Times New Roman"/>
                <w:kern w:val="2"/>
              </w:rPr>
            </w:pPr>
            <w:r>
              <w:rPr>
                <w:rFonts w:ascii="Times New Roman" w:hAnsi="Times New Roman"/>
                <w:kern w:val="2"/>
              </w:rPr>
              <w:t>0.0036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216" w:type="pct"/>
            <w:vAlign w:val="center"/>
          </w:tcPr>
          <w:p>
            <w:pPr>
              <w:jc w:val="center"/>
              <w:rPr>
                <w:rFonts w:ascii="Times New Roman" w:hAnsi="Times New Roman"/>
              </w:rPr>
            </w:pPr>
            <w:r>
              <w:rPr>
                <w:rFonts w:hint="eastAsia" w:ascii="Times New Roman" w:hAnsi="Times New Roman"/>
              </w:rPr>
              <w:t>7</w:t>
            </w:r>
          </w:p>
        </w:tc>
        <w:tc>
          <w:tcPr>
            <w:tcW w:w="814" w:type="pct"/>
            <w:vAlign w:val="center"/>
          </w:tcPr>
          <w:p>
            <w:pPr>
              <w:jc w:val="center"/>
              <w:rPr>
                <w:rFonts w:ascii="Times New Roman" w:hAnsi="Times New Roman"/>
                <w:kern w:val="2"/>
              </w:rPr>
            </w:pPr>
            <w:r>
              <w:t>镍</w:t>
            </w:r>
          </w:p>
        </w:tc>
        <w:tc>
          <w:tcPr>
            <w:tcW w:w="669" w:type="pct"/>
            <w:vAlign w:val="center"/>
          </w:tcPr>
          <w:p>
            <w:pPr>
              <w:jc w:val="center"/>
              <w:rPr>
                <w:rFonts w:ascii="Times New Roman" w:hAnsi="Times New Roman"/>
              </w:rPr>
            </w:pPr>
            <w:r>
              <w:rPr>
                <w:rFonts w:ascii="Times New Roman" w:hAnsi="Times New Roman"/>
              </w:rPr>
              <w:t>900</w:t>
            </w:r>
          </w:p>
        </w:tc>
        <w:tc>
          <w:tcPr>
            <w:tcW w:w="608" w:type="pct"/>
            <w:vAlign w:val="center"/>
          </w:tcPr>
          <w:p>
            <w:pPr>
              <w:jc w:val="center"/>
              <w:rPr>
                <w:rFonts w:ascii="Times New Roman" w:hAnsi="Times New Roman"/>
              </w:rPr>
            </w:pPr>
            <w:r>
              <w:rPr>
                <w:rFonts w:ascii="Times New Roman" w:hAnsi="Times New Roman"/>
              </w:rPr>
              <w:t>0.053</w:t>
            </w:r>
          </w:p>
        </w:tc>
        <w:tc>
          <w:tcPr>
            <w:tcW w:w="449" w:type="pct"/>
            <w:vAlign w:val="center"/>
          </w:tcPr>
          <w:p>
            <w:pPr>
              <w:jc w:val="center"/>
              <w:rPr>
                <w:rFonts w:ascii="Times New Roman" w:hAnsi="Times New Roman"/>
                <w:kern w:val="2"/>
              </w:rPr>
            </w:pPr>
            <w:r>
              <w:rPr>
                <w:rFonts w:hint="eastAsia" w:ascii="Times New Roman" w:hAnsi="Times New Roman"/>
                <w:kern w:val="2"/>
              </w:rPr>
              <w:t>0</w:t>
            </w:r>
            <w:r>
              <w:rPr>
                <w:rFonts w:ascii="Times New Roman" w:hAnsi="Times New Roman"/>
                <w:kern w:val="2"/>
              </w:rPr>
              <w:t>.053</w:t>
            </w:r>
          </w:p>
        </w:tc>
        <w:tc>
          <w:tcPr>
            <w:tcW w:w="449" w:type="pct"/>
            <w:vAlign w:val="center"/>
          </w:tcPr>
          <w:p>
            <w:pPr>
              <w:jc w:val="center"/>
              <w:rPr>
                <w:rFonts w:ascii="Times New Roman" w:hAnsi="Times New Roman"/>
                <w:kern w:val="2"/>
              </w:rPr>
            </w:pPr>
            <w:r>
              <w:rPr>
                <w:rFonts w:ascii="Times New Roman" w:hAnsi="Times New Roman"/>
                <w:kern w:val="2"/>
              </w:rPr>
              <w:t>0.05</w:t>
            </w:r>
          </w:p>
        </w:tc>
        <w:tc>
          <w:tcPr>
            <w:tcW w:w="450" w:type="pct"/>
            <w:vAlign w:val="center"/>
          </w:tcPr>
          <w:p>
            <w:pPr>
              <w:jc w:val="center"/>
              <w:rPr>
                <w:rFonts w:ascii="Times New Roman" w:hAnsi="Times New Roman"/>
                <w:kern w:val="2"/>
              </w:rPr>
            </w:pPr>
            <w:r>
              <w:rPr>
                <w:rFonts w:ascii="Times New Roman" w:hAnsi="Times New Roman"/>
                <w:kern w:val="2"/>
              </w:rPr>
              <w:t>0.046</w:t>
            </w:r>
          </w:p>
        </w:tc>
        <w:tc>
          <w:tcPr>
            <w:tcW w:w="448" w:type="pct"/>
            <w:vAlign w:val="center"/>
          </w:tcPr>
          <w:p>
            <w:pPr>
              <w:jc w:val="center"/>
              <w:rPr>
                <w:rFonts w:ascii="Times New Roman" w:hAnsi="Times New Roman"/>
                <w:kern w:val="2"/>
              </w:rPr>
            </w:pPr>
            <w:r>
              <w:rPr>
                <w:rFonts w:hint="eastAsia" w:ascii="Times New Roman" w:hAnsi="Times New Roman"/>
                <w:kern w:val="2"/>
              </w:rPr>
              <w:t>0</w:t>
            </w:r>
            <w:r>
              <w:rPr>
                <w:rFonts w:ascii="Times New Roman" w:hAnsi="Times New Roman"/>
                <w:kern w:val="2"/>
              </w:rPr>
              <w:t>.042</w:t>
            </w:r>
          </w:p>
        </w:tc>
        <w:tc>
          <w:tcPr>
            <w:tcW w:w="449" w:type="pct"/>
            <w:vAlign w:val="center"/>
          </w:tcPr>
          <w:p>
            <w:pPr>
              <w:jc w:val="center"/>
              <w:rPr>
                <w:rFonts w:ascii="Times New Roman" w:hAnsi="Times New Roman"/>
                <w:kern w:val="2"/>
              </w:rPr>
            </w:pPr>
            <w:r>
              <w:rPr>
                <w:rFonts w:ascii="Times New Roman" w:hAnsi="Times New Roman"/>
                <w:kern w:val="2"/>
              </w:rPr>
              <w:t>0.04</w:t>
            </w:r>
          </w:p>
        </w:tc>
        <w:tc>
          <w:tcPr>
            <w:tcW w:w="447" w:type="pct"/>
            <w:vAlign w:val="center"/>
          </w:tcPr>
          <w:p>
            <w:pPr>
              <w:jc w:val="center"/>
              <w:rPr>
                <w:rFonts w:ascii="Times New Roman" w:hAnsi="Times New Roman"/>
                <w:kern w:val="2"/>
              </w:rPr>
            </w:pPr>
            <w:r>
              <w:rPr>
                <w:rFonts w:hint="eastAsia" w:ascii="Times New Roman" w:hAnsi="Times New Roman"/>
                <w:kern w:val="2"/>
              </w:rPr>
              <w:t>0</w:t>
            </w:r>
            <w:r>
              <w:rPr>
                <w:rFonts w:ascii="Times New Roman" w:hAnsi="Times New Roman"/>
                <w:kern w:val="2"/>
              </w:rPr>
              <w:t>,04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216" w:type="pct"/>
            <w:vAlign w:val="center"/>
          </w:tcPr>
          <w:p>
            <w:pPr>
              <w:jc w:val="center"/>
              <w:rPr>
                <w:rFonts w:ascii="Times New Roman" w:hAnsi="Times New Roman"/>
              </w:rPr>
            </w:pPr>
            <w:r>
              <w:rPr>
                <w:rFonts w:hint="eastAsia" w:ascii="Times New Roman" w:hAnsi="Times New Roman"/>
              </w:rPr>
              <w:t>8</w:t>
            </w:r>
          </w:p>
        </w:tc>
        <w:tc>
          <w:tcPr>
            <w:tcW w:w="814" w:type="pct"/>
            <w:vAlign w:val="center"/>
          </w:tcPr>
          <w:p>
            <w:pPr>
              <w:jc w:val="center"/>
              <w:rPr>
                <w:rFonts w:ascii="Times New Roman" w:hAnsi="Times New Roman"/>
              </w:rPr>
            </w:pPr>
            <w:r>
              <w:t>四氯化碳（</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2.8</w:t>
            </w:r>
          </w:p>
        </w:tc>
        <w:tc>
          <w:tcPr>
            <w:tcW w:w="60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50" w:type="pct"/>
          </w:tcPr>
          <w:p>
            <w:pPr>
              <w:jc w:val="center"/>
              <w:rPr>
                <w:rFonts w:ascii="Times New Roman" w:hAnsi="Times New Roman"/>
                <w:kern w:val="2"/>
              </w:rPr>
            </w:pPr>
            <w:r>
              <w:rPr>
                <w:rFonts w:hint="eastAsia" w:ascii="Times New Roman" w:hAnsi="Times New Roman"/>
                <w:kern w:val="2"/>
              </w:rPr>
              <w:t>/</w:t>
            </w:r>
          </w:p>
        </w:tc>
        <w:tc>
          <w:tcPr>
            <w:tcW w:w="44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7" w:type="pct"/>
          </w:tcPr>
          <w:p>
            <w:pPr>
              <w:jc w:val="center"/>
              <w:rPr>
                <w:rFonts w:ascii="Times New Roman" w:hAnsi="Times New Roman"/>
                <w:kern w:val="2"/>
              </w:rPr>
            </w:pPr>
            <w:r>
              <w:rPr>
                <w:rFonts w:hint="eastAsia" w:ascii="Times New Roman" w:hAnsi="Times New Roman"/>
                <w:kern w:val="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57" w:hRule="atLeast"/>
          <w:jc w:val="center"/>
        </w:trPr>
        <w:tc>
          <w:tcPr>
            <w:tcW w:w="216" w:type="pct"/>
            <w:vAlign w:val="center"/>
          </w:tcPr>
          <w:p>
            <w:pPr>
              <w:jc w:val="center"/>
              <w:rPr>
                <w:rFonts w:ascii="Times New Roman" w:hAnsi="Times New Roman"/>
              </w:rPr>
            </w:pPr>
            <w:r>
              <w:rPr>
                <w:rFonts w:hint="eastAsia" w:ascii="Times New Roman" w:hAnsi="Times New Roman"/>
              </w:rPr>
              <w:t>9</w:t>
            </w:r>
          </w:p>
        </w:tc>
        <w:tc>
          <w:tcPr>
            <w:tcW w:w="814" w:type="pct"/>
            <w:vAlign w:val="center"/>
          </w:tcPr>
          <w:p>
            <w:pPr>
              <w:jc w:val="center"/>
              <w:rPr>
                <w:rFonts w:ascii="Times New Roman" w:hAnsi="Times New Roman"/>
              </w:rPr>
            </w:pPr>
            <w:r>
              <w:t>氯仿（</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0.9</w:t>
            </w:r>
          </w:p>
        </w:tc>
        <w:tc>
          <w:tcPr>
            <w:tcW w:w="60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50" w:type="pct"/>
          </w:tcPr>
          <w:p>
            <w:pPr>
              <w:jc w:val="center"/>
              <w:rPr>
                <w:rFonts w:ascii="Times New Roman" w:hAnsi="Times New Roman"/>
                <w:kern w:val="2"/>
              </w:rPr>
            </w:pPr>
            <w:r>
              <w:rPr>
                <w:rFonts w:hint="eastAsia" w:ascii="Times New Roman" w:hAnsi="Times New Roman"/>
                <w:kern w:val="2"/>
              </w:rPr>
              <w:t>/</w:t>
            </w:r>
          </w:p>
        </w:tc>
        <w:tc>
          <w:tcPr>
            <w:tcW w:w="44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7" w:type="pct"/>
          </w:tcPr>
          <w:p>
            <w:pPr>
              <w:jc w:val="center"/>
              <w:rPr>
                <w:rFonts w:ascii="Times New Roman" w:hAnsi="Times New Roman"/>
                <w:kern w:val="2"/>
              </w:rPr>
            </w:pPr>
            <w:r>
              <w:rPr>
                <w:rFonts w:hint="eastAsia" w:ascii="Times New Roman" w:hAnsi="Times New Roman"/>
                <w:kern w:val="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216" w:type="pct"/>
          </w:tcPr>
          <w:p>
            <w:pPr>
              <w:jc w:val="center"/>
              <w:rPr>
                <w:rFonts w:ascii="Times New Roman" w:hAnsi="Times New Roman"/>
              </w:rPr>
            </w:pPr>
            <w:r>
              <w:rPr>
                <w:rFonts w:hint="eastAsia" w:ascii="Times New Roman" w:hAnsi="Times New Roman"/>
              </w:rPr>
              <w:t>1</w:t>
            </w:r>
            <w:r>
              <w:rPr>
                <w:rFonts w:ascii="Times New Roman" w:hAnsi="Times New Roman"/>
              </w:rPr>
              <w:t>0</w:t>
            </w:r>
          </w:p>
        </w:tc>
        <w:tc>
          <w:tcPr>
            <w:tcW w:w="814" w:type="pct"/>
            <w:vAlign w:val="center"/>
          </w:tcPr>
          <w:p>
            <w:pPr>
              <w:jc w:val="center"/>
              <w:rPr>
                <w:rFonts w:ascii="Times New Roman" w:hAnsi="Times New Roman"/>
                <w:kern w:val="2"/>
              </w:rPr>
            </w:pPr>
            <w:r>
              <w:t>氯甲烷（</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37</w:t>
            </w:r>
          </w:p>
        </w:tc>
        <w:tc>
          <w:tcPr>
            <w:tcW w:w="60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50" w:type="pct"/>
          </w:tcPr>
          <w:p>
            <w:pPr>
              <w:jc w:val="center"/>
              <w:rPr>
                <w:rFonts w:ascii="Times New Roman" w:hAnsi="Times New Roman"/>
                <w:kern w:val="2"/>
              </w:rPr>
            </w:pPr>
            <w:r>
              <w:rPr>
                <w:rFonts w:hint="eastAsia" w:ascii="Times New Roman" w:hAnsi="Times New Roman"/>
                <w:kern w:val="2"/>
              </w:rPr>
              <w:t>/</w:t>
            </w:r>
          </w:p>
        </w:tc>
        <w:tc>
          <w:tcPr>
            <w:tcW w:w="44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7" w:type="pct"/>
          </w:tcPr>
          <w:p>
            <w:pPr>
              <w:jc w:val="center"/>
              <w:rPr>
                <w:rFonts w:ascii="Times New Roman" w:hAnsi="Times New Roman"/>
                <w:kern w:val="2"/>
              </w:rPr>
            </w:pPr>
            <w:r>
              <w:rPr>
                <w:rFonts w:hint="eastAsia" w:ascii="Times New Roman" w:hAnsi="Times New Roman"/>
                <w:kern w:val="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216" w:type="pct"/>
          </w:tcPr>
          <w:p>
            <w:pPr>
              <w:jc w:val="center"/>
              <w:rPr>
                <w:rFonts w:ascii="Times New Roman" w:hAnsi="Times New Roman"/>
              </w:rPr>
            </w:pPr>
            <w:r>
              <w:rPr>
                <w:rFonts w:hint="eastAsia" w:ascii="Times New Roman" w:hAnsi="Times New Roman"/>
              </w:rPr>
              <w:t>1</w:t>
            </w:r>
            <w:r>
              <w:rPr>
                <w:rFonts w:ascii="Times New Roman" w:hAnsi="Times New Roman"/>
              </w:rPr>
              <w:t>1</w:t>
            </w:r>
          </w:p>
        </w:tc>
        <w:tc>
          <w:tcPr>
            <w:tcW w:w="814" w:type="pct"/>
            <w:vAlign w:val="center"/>
          </w:tcPr>
          <w:p>
            <w:pPr>
              <w:jc w:val="center"/>
              <w:rPr>
                <w:rFonts w:ascii="Times New Roman" w:hAnsi="Times New Roman"/>
                <w:kern w:val="2"/>
              </w:rPr>
            </w:pPr>
            <w:r>
              <w:rPr>
                <w:rFonts w:ascii="Times New Roman" w:hAnsi="Times New Roman"/>
              </w:rPr>
              <w:t>1,1-</w:t>
            </w:r>
            <w:r>
              <w:t>二氯乙烷（</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9</w:t>
            </w:r>
          </w:p>
        </w:tc>
        <w:tc>
          <w:tcPr>
            <w:tcW w:w="60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50" w:type="pct"/>
          </w:tcPr>
          <w:p>
            <w:pPr>
              <w:jc w:val="center"/>
              <w:rPr>
                <w:rFonts w:ascii="Times New Roman" w:hAnsi="Times New Roman"/>
                <w:kern w:val="2"/>
              </w:rPr>
            </w:pPr>
            <w:r>
              <w:rPr>
                <w:rFonts w:hint="eastAsia" w:ascii="Times New Roman" w:hAnsi="Times New Roman"/>
                <w:kern w:val="2"/>
              </w:rPr>
              <w:t>/</w:t>
            </w:r>
          </w:p>
        </w:tc>
        <w:tc>
          <w:tcPr>
            <w:tcW w:w="44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7" w:type="pct"/>
          </w:tcPr>
          <w:p>
            <w:pPr>
              <w:jc w:val="center"/>
              <w:rPr>
                <w:rFonts w:ascii="Times New Roman" w:hAnsi="Times New Roman"/>
                <w:kern w:val="2"/>
              </w:rPr>
            </w:pPr>
            <w:r>
              <w:rPr>
                <w:rFonts w:hint="eastAsia" w:ascii="Times New Roman" w:hAnsi="Times New Roman"/>
                <w:kern w:val="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216" w:type="pct"/>
          </w:tcPr>
          <w:p>
            <w:pPr>
              <w:jc w:val="center"/>
              <w:rPr>
                <w:rFonts w:ascii="Times New Roman" w:hAnsi="Times New Roman"/>
              </w:rPr>
            </w:pPr>
            <w:r>
              <w:rPr>
                <w:rFonts w:hint="eastAsia" w:ascii="Times New Roman" w:hAnsi="Times New Roman"/>
              </w:rPr>
              <w:t>1</w:t>
            </w:r>
            <w:r>
              <w:rPr>
                <w:rFonts w:ascii="Times New Roman" w:hAnsi="Times New Roman"/>
              </w:rPr>
              <w:t>2</w:t>
            </w:r>
          </w:p>
        </w:tc>
        <w:tc>
          <w:tcPr>
            <w:tcW w:w="814" w:type="pct"/>
            <w:vAlign w:val="center"/>
          </w:tcPr>
          <w:p>
            <w:pPr>
              <w:jc w:val="center"/>
              <w:rPr>
                <w:rFonts w:ascii="Times New Roman" w:hAnsi="Times New Roman"/>
                <w:kern w:val="2"/>
              </w:rPr>
            </w:pPr>
            <w:r>
              <w:rPr>
                <w:rFonts w:ascii="Times New Roman" w:hAnsi="Times New Roman"/>
              </w:rPr>
              <w:t>1,2-</w:t>
            </w:r>
            <w:r>
              <w:t>二氯乙烷（</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5</w:t>
            </w:r>
          </w:p>
        </w:tc>
        <w:tc>
          <w:tcPr>
            <w:tcW w:w="60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50" w:type="pct"/>
          </w:tcPr>
          <w:p>
            <w:pPr>
              <w:jc w:val="center"/>
              <w:rPr>
                <w:rFonts w:ascii="Times New Roman" w:hAnsi="Times New Roman"/>
                <w:kern w:val="2"/>
              </w:rPr>
            </w:pPr>
            <w:r>
              <w:rPr>
                <w:rFonts w:hint="eastAsia" w:ascii="Times New Roman" w:hAnsi="Times New Roman"/>
                <w:kern w:val="2"/>
              </w:rPr>
              <w:t>/</w:t>
            </w:r>
          </w:p>
        </w:tc>
        <w:tc>
          <w:tcPr>
            <w:tcW w:w="44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7" w:type="pct"/>
          </w:tcPr>
          <w:p>
            <w:pPr>
              <w:jc w:val="center"/>
              <w:rPr>
                <w:rFonts w:ascii="Times New Roman" w:hAnsi="Times New Roman"/>
                <w:kern w:val="2"/>
              </w:rPr>
            </w:pPr>
            <w:r>
              <w:rPr>
                <w:rFonts w:hint="eastAsia" w:ascii="Times New Roman" w:hAnsi="Times New Roman"/>
                <w:kern w:val="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57" w:hRule="atLeast"/>
          <w:jc w:val="center"/>
        </w:trPr>
        <w:tc>
          <w:tcPr>
            <w:tcW w:w="216" w:type="pct"/>
          </w:tcPr>
          <w:p>
            <w:pPr>
              <w:jc w:val="center"/>
              <w:rPr>
                <w:rFonts w:ascii="Times New Roman" w:hAnsi="Times New Roman"/>
              </w:rPr>
            </w:pPr>
            <w:r>
              <w:rPr>
                <w:rFonts w:hint="eastAsia" w:ascii="Times New Roman" w:hAnsi="Times New Roman"/>
              </w:rPr>
              <w:t>1</w:t>
            </w:r>
            <w:r>
              <w:rPr>
                <w:rFonts w:ascii="Times New Roman" w:hAnsi="Times New Roman"/>
              </w:rPr>
              <w:t>3</w:t>
            </w:r>
          </w:p>
        </w:tc>
        <w:tc>
          <w:tcPr>
            <w:tcW w:w="814" w:type="pct"/>
            <w:vAlign w:val="center"/>
          </w:tcPr>
          <w:p>
            <w:pPr>
              <w:jc w:val="center"/>
              <w:rPr>
                <w:rFonts w:ascii="Times New Roman" w:hAnsi="Times New Roman"/>
                <w:kern w:val="2"/>
              </w:rPr>
            </w:pPr>
            <w:r>
              <w:rPr>
                <w:rFonts w:ascii="Times New Roman" w:hAnsi="Times New Roman"/>
              </w:rPr>
              <w:t>1,1-</w:t>
            </w:r>
            <w:r>
              <w:t>二氯乙烯（</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66</w:t>
            </w:r>
          </w:p>
        </w:tc>
        <w:tc>
          <w:tcPr>
            <w:tcW w:w="60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50" w:type="pct"/>
          </w:tcPr>
          <w:p>
            <w:pPr>
              <w:jc w:val="center"/>
              <w:rPr>
                <w:rFonts w:ascii="Times New Roman" w:hAnsi="Times New Roman"/>
                <w:kern w:val="2"/>
              </w:rPr>
            </w:pPr>
            <w:r>
              <w:rPr>
                <w:rFonts w:hint="eastAsia" w:ascii="Times New Roman" w:hAnsi="Times New Roman"/>
                <w:kern w:val="2"/>
              </w:rPr>
              <w:t>/</w:t>
            </w:r>
          </w:p>
        </w:tc>
        <w:tc>
          <w:tcPr>
            <w:tcW w:w="44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7" w:type="pct"/>
          </w:tcPr>
          <w:p>
            <w:pPr>
              <w:jc w:val="center"/>
              <w:rPr>
                <w:rFonts w:ascii="Times New Roman" w:hAnsi="Times New Roman"/>
                <w:kern w:val="2"/>
              </w:rPr>
            </w:pPr>
            <w:r>
              <w:rPr>
                <w:rFonts w:hint="eastAsia" w:ascii="Times New Roman" w:hAnsi="Times New Roman"/>
                <w:kern w:val="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57" w:hRule="atLeast"/>
          <w:jc w:val="center"/>
        </w:trPr>
        <w:tc>
          <w:tcPr>
            <w:tcW w:w="216" w:type="pct"/>
          </w:tcPr>
          <w:p>
            <w:pPr>
              <w:jc w:val="center"/>
              <w:rPr>
                <w:rFonts w:ascii="Times New Roman" w:hAnsi="Times New Roman"/>
              </w:rPr>
            </w:pPr>
            <w:r>
              <w:rPr>
                <w:rFonts w:hint="eastAsia" w:ascii="Times New Roman" w:hAnsi="Times New Roman"/>
              </w:rPr>
              <w:t>1</w:t>
            </w:r>
            <w:r>
              <w:rPr>
                <w:rFonts w:ascii="Times New Roman" w:hAnsi="Times New Roman"/>
              </w:rPr>
              <w:t>4</w:t>
            </w:r>
          </w:p>
        </w:tc>
        <w:tc>
          <w:tcPr>
            <w:tcW w:w="814" w:type="pct"/>
            <w:vAlign w:val="center"/>
          </w:tcPr>
          <w:p>
            <w:pPr>
              <w:jc w:val="center"/>
              <w:rPr>
                <w:rFonts w:ascii="Times New Roman" w:hAnsi="Times New Roman"/>
                <w:kern w:val="2"/>
              </w:rPr>
            </w:pPr>
            <w:r>
              <w:t>顺</w:t>
            </w:r>
            <w:r>
              <w:rPr>
                <w:rFonts w:ascii="Times New Roman" w:hAnsi="Times New Roman"/>
              </w:rPr>
              <w:t>-1,2-</w:t>
            </w:r>
            <w:r>
              <w:t>二氯乙烯（</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596</w:t>
            </w:r>
          </w:p>
        </w:tc>
        <w:tc>
          <w:tcPr>
            <w:tcW w:w="60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50" w:type="pct"/>
          </w:tcPr>
          <w:p>
            <w:pPr>
              <w:jc w:val="center"/>
              <w:rPr>
                <w:rFonts w:ascii="Times New Roman" w:hAnsi="Times New Roman"/>
                <w:kern w:val="2"/>
              </w:rPr>
            </w:pPr>
            <w:r>
              <w:rPr>
                <w:rFonts w:hint="eastAsia" w:ascii="Times New Roman" w:hAnsi="Times New Roman"/>
                <w:kern w:val="2"/>
              </w:rPr>
              <w:t>/</w:t>
            </w:r>
          </w:p>
        </w:tc>
        <w:tc>
          <w:tcPr>
            <w:tcW w:w="44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7" w:type="pct"/>
          </w:tcPr>
          <w:p>
            <w:pPr>
              <w:jc w:val="center"/>
              <w:rPr>
                <w:rFonts w:ascii="Times New Roman" w:hAnsi="Times New Roman"/>
                <w:kern w:val="2"/>
              </w:rPr>
            </w:pPr>
            <w:r>
              <w:rPr>
                <w:rFonts w:hint="eastAsia" w:ascii="Times New Roman" w:hAnsi="Times New Roman"/>
                <w:kern w:val="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57" w:hRule="atLeast"/>
          <w:jc w:val="center"/>
        </w:trPr>
        <w:tc>
          <w:tcPr>
            <w:tcW w:w="216" w:type="pct"/>
          </w:tcPr>
          <w:p>
            <w:pPr>
              <w:jc w:val="center"/>
              <w:rPr>
                <w:rFonts w:ascii="Times New Roman" w:hAnsi="Times New Roman"/>
              </w:rPr>
            </w:pPr>
            <w:r>
              <w:rPr>
                <w:rFonts w:hint="eastAsia" w:ascii="Times New Roman" w:hAnsi="Times New Roman"/>
              </w:rPr>
              <w:t>1</w:t>
            </w:r>
            <w:r>
              <w:rPr>
                <w:rFonts w:ascii="Times New Roman" w:hAnsi="Times New Roman"/>
              </w:rPr>
              <w:t>5</w:t>
            </w:r>
          </w:p>
        </w:tc>
        <w:tc>
          <w:tcPr>
            <w:tcW w:w="814" w:type="pct"/>
            <w:vAlign w:val="center"/>
          </w:tcPr>
          <w:p>
            <w:pPr>
              <w:jc w:val="center"/>
              <w:rPr>
                <w:rFonts w:ascii="Times New Roman" w:hAnsi="Times New Roman"/>
                <w:kern w:val="2"/>
              </w:rPr>
            </w:pPr>
            <w:r>
              <w:t>反</w:t>
            </w:r>
            <w:r>
              <w:rPr>
                <w:rFonts w:ascii="Times New Roman" w:hAnsi="Times New Roman"/>
              </w:rPr>
              <w:t>-1,2-</w:t>
            </w:r>
            <w:r>
              <w:t>二氯乙烯（</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54</w:t>
            </w:r>
          </w:p>
        </w:tc>
        <w:tc>
          <w:tcPr>
            <w:tcW w:w="60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50" w:type="pct"/>
          </w:tcPr>
          <w:p>
            <w:pPr>
              <w:jc w:val="center"/>
              <w:rPr>
                <w:rFonts w:ascii="Times New Roman" w:hAnsi="Times New Roman"/>
                <w:kern w:val="2"/>
              </w:rPr>
            </w:pPr>
            <w:r>
              <w:rPr>
                <w:rFonts w:hint="eastAsia" w:ascii="Times New Roman" w:hAnsi="Times New Roman"/>
                <w:kern w:val="2"/>
              </w:rPr>
              <w:t>/</w:t>
            </w:r>
          </w:p>
        </w:tc>
        <w:tc>
          <w:tcPr>
            <w:tcW w:w="44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7" w:type="pct"/>
          </w:tcPr>
          <w:p>
            <w:pPr>
              <w:jc w:val="center"/>
              <w:rPr>
                <w:rFonts w:ascii="Times New Roman" w:hAnsi="Times New Roman"/>
                <w:kern w:val="2"/>
              </w:rPr>
            </w:pPr>
            <w:r>
              <w:rPr>
                <w:rFonts w:hint="eastAsia" w:ascii="Times New Roman" w:hAnsi="Times New Roman"/>
                <w:kern w:val="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57" w:hRule="atLeast"/>
          <w:jc w:val="center"/>
        </w:trPr>
        <w:tc>
          <w:tcPr>
            <w:tcW w:w="216" w:type="pct"/>
          </w:tcPr>
          <w:p>
            <w:pPr>
              <w:jc w:val="center"/>
              <w:rPr>
                <w:rFonts w:ascii="Times New Roman" w:hAnsi="Times New Roman"/>
              </w:rPr>
            </w:pPr>
            <w:r>
              <w:rPr>
                <w:rFonts w:hint="eastAsia" w:ascii="Times New Roman" w:hAnsi="Times New Roman"/>
              </w:rPr>
              <w:t>1</w:t>
            </w:r>
            <w:r>
              <w:rPr>
                <w:rFonts w:ascii="Times New Roman" w:hAnsi="Times New Roman"/>
              </w:rPr>
              <w:t>6</w:t>
            </w:r>
          </w:p>
        </w:tc>
        <w:tc>
          <w:tcPr>
            <w:tcW w:w="814" w:type="pct"/>
            <w:vAlign w:val="center"/>
          </w:tcPr>
          <w:p>
            <w:pPr>
              <w:jc w:val="center"/>
              <w:rPr>
                <w:rFonts w:ascii="Times New Roman" w:hAnsi="Times New Roman"/>
                <w:kern w:val="2"/>
              </w:rPr>
            </w:pPr>
            <w:r>
              <w:t>二氯甲烷（</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616</w:t>
            </w:r>
          </w:p>
        </w:tc>
        <w:tc>
          <w:tcPr>
            <w:tcW w:w="60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50" w:type="pct"/>
          </w:tcPr>
          <w:p>
            <w:pPr>
              <w:jc w:val="center"/>
              <w:rPr>
                <w:rFonts w:ascii="Times New Roman" w:hAnsi="Times New Roman"/>
                <w:kern w:val="2"/>
              </w:rPr>
            </w:pPr>
            <w:r>
              <w:rPr>
                <w:rFonts w:hint="eastAsia" w:ascii="Times New Roman" w:hAnsi="Times New Roman"/>
                <w:kern w:val="2"/>
              </w:rPr>
              <w:t>/</w:t>
            </w:r>
          </w:p>
        </w:tc>
        <w:tc>
          <w:tcPr>
            <w:tcW w:w="44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7" w:type="pct"/>
          </w:tcPr>
          <w:p>
            <w:pPr>
              <w:jc w:val="center"/>
              <w:rPr>
                <w:rFonts w:ascii="Times New Roman" w:hAnsi="Times New Roman"/>
                <w:kern w:val="2"/>
              </w:rPr>
            </w:pPr>
            <w:r>
              <w:rPr>
                <w:rFonts w:hint="eastAsia" w:ascii="Times New Roman" w:hAnsi="Times New Roman"/>
                <w:kern w:val="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57" w:hRule="atLeast"/>
          <w:jc w:val="center"/>
        </w:trPr>
        <w:tc>
          <w:tcPr>
            <w:tcW w:w="216" w:type="pct"/>
          </w:tcPr>
          <w:p>
            <w:pPr>
              <w:jc w:val="center"/>
              <w:rPr>
                <w:rFonts w:ascii="Times New Roman" w:hAnsi="Times New Roman"/>
              </w:rPr>
            </w:pPr>
            <w:r>
              <w:rPr>
                <w:rFonts w:hint="eastAsia" w:ascii="Times New Roman" w:hAnsi="Times New Roman"/>
              </w:rPr>
              <w:t>1</w:t>
            </w:r>
            <w:r>
              <w:rPr>
                <w:rFonts w:ascii="Times New Roman" w:hAnsi="Times New Roman"/>
              </w:rPr>
              <w:t>7</w:t>
            </w:r>
          </w:p>
        </w:tc>
        <w:tc>
          <w:tcPr>
            <w:tcW w:w="814" w:type="pct"/>
            <w:vAlign w:val="center"/>
          </w:tcPr>
          <w:p>
            <w:pPr>
              <w:jc w:val="center"/>
              <w:rPr>
                <w:rFonts w:ascii="Times New Roman" w:hAnsi="Times New Roman"/>
              </w:rPr>
            </w:pPr>
            <w:r>
              <w:rPr>
                <w:rFonts w:ascii="Times New Roman" w:hAnsi="Times New Roman"/>
              </w:rPr>
              <w:t>1,2-</w:t>
            </w:r>
            <w:r>
              <w:t>二氯丙烷（</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5</w:t>
            </w:r>
          </w:p>
        </w:tc>
        <w:tc>
          <w:tcPr>
            <w:tcW w:w="60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50" w:type="pct"/>
          </w:tcPr>
          <w:p>
            <w:pPr>
              <w:jc w:val="center"/>
              <w:rPr>
                <w:rFonts w:ascii="Times New Roman" w:hAnsi="Times New Roman"/>
                <w:kern w:val="2"/>
              </w:rPr>
            </w:pPr>
            <w:r>
              <w:rPr>
                <w:rFonts w:hint="eastAsia" w:ascii="Times New Roman" w:hAnsi="Times New Roman"/>
                <w:kern w:val="2"/>
              </w:rPr>
              <w:t>/</w:t>
            </w:r>
          </w:p>
        </w:tc>
        <w:tc>
          <w:tcPr>
            <w:tcW w:w="44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7" w:type="pct"/>
          </w:tcPr>
          <w:p>
            <w:pPr>
              <w:jc w:val="center"/>
              <w:rPr>
                <w:rFonts w:ascii="Times New Roman" w:hAnsi="Times New Roman"/>
                <w:kern w:val="2"/>
              </w:rPr>
            </w:pPr>
            <w:r>
              <w:rPr>
                <w:rFonts w:hint="eastAsia" w:ascii="Times New Roman" w:hAnsi="Times New Roman"/>
                <w:kern w:val="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216" w:type="pct"/>
          </w:tcPr>
          <w:p>
            <w:pPr>
              <w:jc w:val="center"/>
              <w:rPr>
                <w:rFonts w:ascii="Times New Roman" w:hAnsi="Times New Roman"/>
              </w:rPr>
            </w:pPr>
            <w:r>
              <w:rPr>
                <w:rFonts w:hint="eastAsia" w:ascii="Times New Roman" w:hAnsi="Times New Roman"/>
              </w:rPr>
              <w:t>1</w:t>
            </w:r>
            <w:r>
              <w:rPr>
                <w:rFonts w:ascii="Times New Roman" w:hAnsi="Times New Roman"/>
              </w:rPr>
              <w:t>8</w:t>
            </w:r>
          </w:p>
        </w:tc>
        <w:tc>
          <w:tcPr>
            <w:tcW w:w="814" w:type="pct"/>
            <w:vAlign w:val="center"/>
          </w:tcPr>
          <w:p>
            <w:pPr>
              <w:jc w:val="center"/>
              <w:rPr>
                <w:rFonts w:ascii="Times New Roman" w:hAnsi="Times New Roman"/>
              </w:rPr>
            </w:pPr>
            <w:r>
              <w:rPr>
                <w:rFonts w:ascii="Times New Roman" w:hAnsi="Times New Roman"/>
              </w:rPr>
              <w:t>1,1,1,2-</w:t>
            </w:r>
            <w:r>
              <w:t>四氯乙烷（</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10</w:t>
            </w:r>
          </w:p>
        </w:tc>
        <w:tc>
          <w:tcPr>
            <w:tcW w:w="60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50" w:type="pct"/>
          </w:tcPr>
          <w:p>
            <w:pPr>
              <w:jc w:val="center"/>
              <w:rPr>
                <w:rFonts w:ascii="Times New Roman" w:hAnsi="Times New Roman"/>
                <w:kern w:val="2"/>
              </w:rPr>
            </w:pPr>
            <w:r>
              <w:rPr>
                <w:rFonts w:hint="eastAsia" w:ascii="Times New Roman" w:hAnsi="Times New Roman"/>
                <w:kern w:val="2"/>
              </w:rPr>
              <w:t>/</w:t>
            </w:r>
          </w:p>
        </w:tc>
        <w:tc>
          <w:tcPr>
            <w:tcW w:w="44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7" w:type="pct"/>
          </w:tcPr>
          <w:p>
            <w:pPr>
              <w:jc w:val="center"/>
              <w:rPr>
                <w:rFonts w:ascii="Times New Roman" w:hAnsi="Times New Roman"/>
                <w:kern w:val="2"/>
              </w:rPr>
            </w:pPr>
            <w:r>
              <w:rPr>
                <w:rFonts w:hint="eastAsia" w:ascii="Times New Roman" w:hAnsi="Times New Roman"/>
                <w:kern w:val="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216" w:type="pct"/>
          </w:tcPr>
          <w:p>
            <w:pPr>
              <w:jc w:val="center"/>
              <w:rPr>
                <w:rFonts w:ascii="Times New Roman" w:hAnsi="Times New Roman"/>
              </w:rPr>
            </w:pPr>
            <w:r>
              <w:rPr>
                <w:rFonts w:hint="eastAsia" w:ascii="Times New Roman" w:hAnsi="Times New Roman"/>
              </w:rPr>
              <w:t>1</w:t>
            </w:r>
            <w:r>
              <w:rPr>
                <w:rFonts w:ascii="Times New Roman" w:hAnsi="Times New Roman"/>
              </w:rPr>
              <w:t>9</w:t>
            </w:r>
          </w:p>
        </w:tc>
        <w:tc>
          <w:tcPr>
            <w:tcW w:w="814" w:type="pct"/>
            <w:vAlign w:val="center"/>
          </w:tcPr>
          <w:p>
            <w:pPr>
              <w:jc w:val="center"/>
              <w:rPr>
                <w:rFonts w:ascii="Times New Roman" w:hAnsi="Times New Roman"/>
              </w:rPr>
            </w:pPr>
            <w:r>
              <w:rPr>
                <w:rFonts w:ascii="Times New Roman" w:hAnsi="Times New Roman"/>
              </w:rPr>
              <w:t>1,1,2,2-</w:t>
            </w:r>
            <w:r>
              <w:t>四氯乙烷（</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6.8</w:t>
            </w:r>
          </w:p>
        </w:tc>
        <w:tc>
          <w:tcPr>
            <w:tcW w:w="60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50" w:type="pct"/>
          </w:tcPr>
          <w:p>
            <w:pPr>
              <w:jc w:val="center"/>
              <w:rPr>
                <w:rFonts w:ascii="Times New Roman" w:hAnsi="Times New Roman"/>
                <w:kern w:val="2"/>
              </w:rPr>
            </w:pPr>
            <w:r>
              <w:rPr>
                <w:rFonts w:hint="eastAsia" w:ascii="Times New Roman" w:hAnsi="Times New Roman"/>
                <w:kern w:val="2"/>
              </w:rPr>
              <w:t>/</w:t>
            </w:r>
          </w:p>
        </w:tc>
        <w:tc>
          <w:tcPr>
            <w:tcW w:w="44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7" w:type="pct"/>
          </w:tcPr>
          <w:p>
            <w:pPr>
              <w:jc w:val="center"/>
              <w:rPr>
                <w:rFonts w:ascii="Times New Roman" w:hAnsi="Times New Roman"/>
                <w:kern w:val="2"/>
              </w:rPr>
            </w:pPr>
            <w:r>
              <w:rPr>
                <w:rFonts w:hint="eastAsia" w:ascii="Times New Roman" w:hAnsi="Times New Roman"/>
                <w:kern w:val="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57" w:hRule="atLeast"/>
          <w:jc w:val="center"/>
        </w:trPr>
        <w:tc>
          <w:tcPr>
            <w:tcW w:w="216" w:type="pct"/>
          </w:tcPr>
          <w:p>
            <w:pPr>
              <w:jc w:val="center"/>
              <w:rPr>
                <w:rFonts w:ascii="Times New Roman" w:hAnsi="Times New Roman"/>
              </w:rPr>
            </w:pPr>
            <w:r>
              <w:rPr>
                <w:rFonts w:hint="eastAsia" w:ascii="Times New Roman" w:hAnsi="Times New Roman"/>
              </w:rPr>
              <w:t>2</w:t>
            </w:r>
            <w:r>
              <w:rPr>
                <w:rFonts w:ascii="Times New Roman" w:hAnsi="Times New Roman"/>
              </w:rPr>
              <w:t>0</w:t>
            </w:r>
          </w:p>
        </w:tc>
        <w:tc>
          <w:tcPr>
            <w:tcW w:w="814" w:type="pct"/>
            <w:vAlign w:val="center"/>
          </w:tcPr>
          <w:p>
            <w:pPr>
              <w:jc w:val="center"/>
              <w:rPr>
                <w:rFonts w:ascii="Times New Roman" w:hAnsi="Times New Roman"/>
                <w:kern w:val="2"/>
              </w:rPr>
            </w:pPr>
            <w:r>
              <w:t>四氯乙烯（</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53</w:t>
            </w:r>
          </w:p>
        </w:tc>
        <w:tc>
          <w:tcPr>
            <w:tcW w:w="60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50" w:type="pct"/>
          </w:tcPr>
          <w:p>
            <w:pPr>
              <w:jc w:val="center"/>
              <w:rPr>
                <w:rFonts w:ascii="Times New Roman" w:hAnsi="Times New Roman"/>
                <w:kern w:val="2"/>
              </w:rPr>
            </w:pPr>
            <w:r>
              <w:rPr>
                <w:rFonts w:hint="eastAsia" w:ascii="Times New Roman" w:hAnsi="Times New Roman"/>
                <w:kern w:val="2"/>
              </w:rPr>
              <w:t>/</w:t>
            </w:r>
          </w:p>
        </w:tc>
        <w:tc>
          <w:tcPr>
            <w:tcW w:w="44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7" w:type="pct"/>
          </w:tcPr>
          <w:p>
            <w:pPr>
              <w:jc w:val="center"/>
              <w:rPr>
                <w:rFonts w:ascii="Times New Roman" w:hAnsi="Times New Roman"/>
                <w:kern w:val="2"/>
              </w:rPr>
            </w:pPr>
            <w:r>
              <w:rPr>
                <w:rFonts w:hint="eastAsia" w:ascii="Times New Roman" w:hAnsi="Times New Roman"/>
                <w:kern w:val="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216" w:type="pct"/>
          </w:tcPr>
          <w:p>
            <w:pPr>
              <w:jc w:val="center"/>
              <w:rPr>
                <w:rFonts w:ascii="Times New Roman" w:hAnsi="Times New Roman"/>
              </w:rPr>
            </w:pPr>
            <w:r>
              <w:rPr>
                <w:rFonts w:hint="eastAsia" w:ascii="Times New Roman" w:hAnsi="Times New Roman"/>
              </w:rPr>
              <w:t>2</w:t>
            </w:r>
            <w:r>
              <w:rPr>
                <w:rFonts w:ascii="Times New Roman" w:hAnsi="Times New Roman"/>
              </w:rPr>
              <w:t>1</w:t>
            </w:r>
          </w:p>
        </w:tc>
        <w:tc>
          <w:tcPr>
            <w:tcW w:w="814" w:type="pct"/>
            <w:vAlign w:val="center"/>
          </w:tcPr>
          <w:p>
            <w:pPr>
              <w:jc w:val="center"/>
              <w:rPr>
                <w:rFonts w:ascii="Times New Roman" w:hAnsi="Times New Roman"/>
                <w:kern w:val="2"/>
              </w:rPr>
            </w:pPr>
            <w:r>
              <w:rPr>
                <w:rFonts w:ascii="Times New Roman" w:hAnsi="Times New Roman"/>
              </w:rPr>
              <w:t>1,1,1-</w:t>
            </w:r>
            <w:r>
              <w:t>三氯乙烷（</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840</w:t>
            </w:r>
          </w:p>
        </w:tc>
        <w:tc>
          <w:tcPr>
            <w:tcW w:w="60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50" w:type="pct"/>
          </w:tcPr>
          <w:p>
            <w:pPr>
              <w:jc w:val="center"/>
              <w:rPr>
                <w:rFonts w:ascii="Times New Roman" w:hAnsi="Times New Roman"/>
                <w:kern w:val="2"/>
              </w:rPr>
            </w:pPr>
            <w:r>
              <w:rPr>
                <w:rFonts w:hint="eastAsia" w:ascii="Times New Roman" w:hAnsi="Times New Roman"/>
                <w:kern w:val="2"/>
              </w:rPr>
              <w:t>/</w:t>
            </w:r>
          </w:p>
        </w:tc>
        <w:tc>
          <w:tcPr>
            <w:tcW w:w="44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7" w:type="pct"/>
          </w:tcPr>
          <w:p>
            <w:pPr>
              <w:jc w:val="center"/>
              <w:rPr>
                <w:rFonts w:ascii="Times New Roman" w:hAnsi="Times New Roman"/>
                <w:kern w:val="2"/>
              </w:rPr>
            </w:pPr>
            <w:r>
              <w:rPr>
                <w:rFonts w:hint="eastAsia" w:ascii="Times New Roman" w:hAnsi="Times New Roman"/>
                <w:kern w:val="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216" w:type="pct"/>
          </w:tcPr>
          <w:p>
            <w:pPr>
              <w:jc w:val="center"/>
              <w:rPr>
                <w:rFonts w:ascii="Times New Roman" w:hAnsi="Times New Roman"/>
              </w:rPr>
            </w:pPr>
            <w:r>
              <w:rPr>
                <w:rFonts w:hint="eastAsia" w:ascii="Times New Roman" w:hAnsi="Times New Roman"/>
              </w:rPr>
              <w:t>2</w:t>
            </w:r>
            <w:r>
              <w:rPr>
                <w:rFonts w:ascii="Times New Roman" w:hAnsi="Times New Roman"/>
              </w:rPr>
              <w:t>2</w:t>
            </w:r>
          </w:p>
        </w:tc>
        <w:tc>
          <w:tcPr>
            <w:tcW w:w="814" w:type="pct"/>
            <w:vAlign w:val="center"/>
          </w:tcPr>
          <w:p>
            <w:pPr>
              <w:jc w:val="center"/>
              <w:rPr>
                <w:rFonts w:ascii="Times New Roman" w:hAnsi="Times New Roman"/>
                <w:kern w:val="2"/>
              </w:rPr>
            </w:pPr>
            <w:r>
              <w:rPr>
                <w:rFonts w:ascii="Times New Roman" w:hAnsi="Times New Roman"/>
              </w:rPr>
              <w:t>1,1,2-</w:t>
            </w:r>
            <w:r>
              <w:t>三氯乙烷（</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2.8</w:t>
            </w:r>
          </w:p>
        </w:tc>
        <w:tc>
          <w:tcPr>
            <w:tcW w:w="60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50" w:type="pct"/>
          </w:tcPr>
          <w:p>
            <w:pPr>
              <w:jc w:val="center"/>
              <w:rPr>
                <w:rFonts w:ascii="Times New Roman" w:hAnsi="Times New Roman"/>
                <w:kern w:val="2"/>
              </w:rPr>
            </w:pPr>
            <w:r>
              <w:rPr>
                <w:rFonts w:hint="eastAsia" w:ascii="Times New Roman" w:hAnsi="Times New Roman"/>
                <w:kern w:val="2"/>
              </w:rPr>
              <w:t>/</w:t>
            </w:r>
          </w:p>
        </w:tc>
        <w:tc>
          <w:tcPr>
            <w:tcW w:w="44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7" w:type="pct"/>
          </w:tcPr>
          <w:p>
            <w:pPr>
              <w:jc w:val="center"/>
              <w:rPr>
                <w:rFonts w:ascii="Times New Roman" w:hAnsi="Times New Roman"/>
                <w:kern w:val="2"/>
              </w:rPr>
            </w:pPr>
            <w:r>
              <w:rPr>
                <w:rFonts w:hint="eastAsia" w:ascii="Times New Roman" w:hAnsi="Times New Roman"/>
                <w:kern w:val="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6" w:type="pct"/>
          </w:tcPr>
          <w:p>
            <w:pPr>
              <w:jc w:val="center"/>
              <w:rPr>
                <w:rFonts w:ascii="Times New Roman" w:hAnsi="Times New Roman"/>
              </w:rPr>
            </w:pPr>
            <w:r>
              <w:rPr>
                <w:rFonts w:hint="eastAsia" w:ascii="Times New Roman" w:hAnsi="Times New Roman"/>
              </w:rPr>
              <w:t>2</w:t>
            </w:r>
            <w:r>
              <w:rPr>
                <w:rFonts w:ascii="Times New Roman" w:hAnsi="Times New Roman"/>
              </w:rPr>
              <w:t>3</w:t>
            </w:r>
          </w:p>
        </w:tc>
        <w:tc>
          <w:tcPr>
            <w:tcW w:w="814" w:type="pct"/>
            <w:vAlign w:val="center"/>
          </w:tcPr>
          <w:p>
            <w:pPr>
              <w:jc w:val="center"/>
              <w:rPr>
                <w:rFonts w:ascii="Times New Roman" w:hAnsi="Times New Roman"/>
                <w:kern w:val="2"/>
              </w:rPr>
            </w:pPr>
            <w:r>
              <w:t>三氯乙烯（</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2.8</w:t>
            </w:r>
          </w:p>
        </w:tc>
        <w:tc>
          <w:tcPr>
            <w:tcW w:w="60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50" w:type="pct"/>
          </w:tcPr>
          <w:p>
            <w:pPr>
              <w:jc w:val="center"/>
              <w:rPr>
                <w:rFonts w:ascii="Times New Roman" w:hAnsi="Times New Roman"/>
                <w:kern w:val="2"/>
              </w:rPr>
            </w:pPr>
            <w:r>
              <w:rPr>
                <w:rFonts w:hint="eastAsia" w:ascii="Times New Roman" w:hAnsi="Times New Roman"/>
                <w:kern w:val="2"/>
              </w:rPr>
              <w:t>/</w:t>
            </w:r>
          </w:p>
        </w:tc>
        <w:tc>
          <w:tcPr>
            <w:tcW w:w="44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7" w:type="pct"/>
          </w:tcPr>
          <w:p>
            <w:pPr>
              <w:jc w:val="center"/>
              <w:rPr>
                <w:rFonts w:ascii="Times New Roman" w:hAnsi="Times New Roman"/>
                <w:kern w:val="2"/>
              </w:rPr>
            </w:pPr>
            <w:r>
              <w:rPr>
                <w:rFonts w:hint="eastAsia" w:ascii="Times New Roman" w:hAnsi="Times New Roman"/>
                <w:kern w:val="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6" w:type="pct"/>
          </w:tcPr>
          <w:p>
            <w:pPr>
              <w:jc w:val="center"/>
              <w:rPr>
                <w:rFonts w:ascii="Times New Roman" w:hAnsi="Times New Roman"/>
              </w:rPr>
            </w:pPr>
            <w:r>
              <w:rPr>
                <w:rFonts w:hint="eastAsia" w:ascii="Times New Roman" w:hAnsi="Times New Roman"/>
              </w:rPr>
              <w:t>2</w:t>
            </w:r>
            <w:r>
              <w:rPr>
                <w:rFonts w:ascii="Times New Roman" w:hAnsi="Times New Roman"/>
              </w:rPr>
              <w:t>4</w:t>
            </w:r>
          </w:p>
        </w:tc>
        <w:tc>
          <w:tcPr>
            <w:tcW w:w="814" w:type="pct"/>
            <w:vAlign w:val="center"/>
          </w:tcPr>
          <w:p>
            <w:pPr>
              <w:jc w:val="center"/>
              <w:rPr>
                <w:rFonts w:ascii="Times New Roman" w:hAnsi="Times New Roman"/>
                <w:kern w:val="2"/>
              </w:rPr>
            </w:pPr>
            <w:r>
              <w:rPr>
                <w:rFonts w:ascii="Times New Roman" w:hAnsi="Times New Roman"/>
              </w:rPr>
              <w:t>1,2,3-</w:t>
            </w:r>
            <w:r>
              <w:t>三氯丙烷（</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0.5</w:t>
            </w:r>
          </w:p>
        </w:tc>
        <w:tc>
          <w:tcPr>
            <w:tcW w:w="60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50" w:type="pct"/>
          </w:tcPr>
          <w:p>
            <w:pPr>
              <w:jc w:val="center"/>
              <w:rPr>
                <w:rFonts w:ascii="Times New Roman" w:hAnsi="Times New Roman"/>
                <w:kern w:val="2"/>
              </w:rPr>
            </w:pPr>
            <w:r>
              <w:rPr>
                <w:rFonts w:hint="eastAsia" w:ascii="Times New Roman" w:hAnsi="Times New Roman"/>
                <w:kern w:val="2"/>
              </w:rPr>
              <w:t>/</w:t>
            </w:r>
          </w:p>
        </w:tc>
        <w:tc>
          <w:tcPr>
            <w:tcW w:w="44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7" w:type="pct"/>
          </w:tcPr>
          <w:p>
            <w:pPr>
              <w:jc w:val="center"/>
              <w:rPr>
                <w:rFonts w:ascii="Times New Roman" w:hAnsi="Times New Roman"/>
                <w:kern w:val="2"/>
              </w:rPr>
            </w:pPr>
            <w:r>
              <w:rPr>
                <w:rFonts w:hint="eastAsia" w:ascii="Times New Roman" w:hAnsi="Times New Roman"/>
                <w:kern w:val="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6" w:type="pct"/>
          </w:tcPr>
          <w:p>
            <w:pPr>
              <w:jc w:val="center"/>
              <w:rPr>
                <w:rFonts w:ascii="Times New Roman" w:hAnsi="Times New Roman"/>
              </w:rPr>
            </w:pPr>
            <w:r>
              <w:rPr>
                <w:rFonts w:hint="eastAsia" w:ascii="Times New Roman" w:hAnsi="Times New Roman"/>
              </w:rPr>
              <w:t>2</w:t>
            </w:r>
            <w:r>
              <w:rPr>
                <w:rFonts w:ascii="Times New Roman" w:hAnsi="Times New Roman"/>
              </w:rPr>
              <w:t>5</w:t>
            </w:r>
          </w:p>
        </w:tc>
        <w:tc>
          <w:tcPr>
            <w:tcW w:w="814" w:type="pct"/>
            <w:vAlign w:val="center"/>
          </w:tcPr>
          <w:p>
            <w:pPr>
              <w:jc w:val="center"/>
              <w:rPr>
                <w:rFonts w:ascii="Times New Roman" w:hAnsi="Times New Roman"/>
                <w:kern w:val="2"/>
              </w:rPr>
            </w:pPr>
            <w:r>
              <w:t>氯乙烯（</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0.43</w:t>
            </w:r>
          </w:p>
        </w:tc>
        <w:tc>
          <w:tcPr>
            <w:tcW w:w="60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50" w:type="pct"/>
          </w:tcPr>
          <w:p>
            <w:pPr>
              <w:jc w:val="center"/>
              <w:rPr>
                <w:rFonts w:ascii="Times New Roman" w:hAnsi="Times New Roman"/>
                <w:kern w:val="2"/>
              </w:rPr>
            </w:pPr>
            <w:r>
              <w:rPr>
                <w:rFonts w:hint="eastAsia" w:ascii="Times New Roman" w:hAnsi="Times New Roman"/>
                <w:kern w:val="2"/>
              </w:rPr>
              <w:t>/</w:t>
            </w:r>
          </w:p>
        </w:tc>
        <w:tc>
          <w:tcPr>
            <w:tcW w:w="44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7" w:type="pct"/>
          </w:tcPr>
          <w:p>
            <w:pPr>
              <w:jc w:val="center"/>
              <w:rPr>
                <w:rFonts w:ascii="Times New Roman" w:hAnsi="Times New Roman"/>
                <w:kern w:val="2"/>
              </w:rPr>
            </w:pPr>
            <w:r>
              <w:rPr>
                <w:rFonts w:hint="eastAsia" w:ascii="Times New Roman" w:hAnsi="Times New Roman"/>
                <w:kern w:val="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6" w:type="pct"/>
          </w:tcPr>
          <w:p>
            <w:pPr>
              <w:jc w:val="center"/>
              <w:rPr>
                <w:rFonts w:ascii="Times New Roman" w:hAnsi="Times New Roman"/>
              </w:rPr>
            </w:pPr>
            <w:r>
              <w:rPr>
                <w:rFonts w:hint="eastAsia" w:ascii="Times New Roman" w:hAnsi="Times New Roman"/>
              </w:rPr>
              <w:t>2</w:t>
            </w:r>
            <w:r>
              <w:rPr>
                <w:rFonts w:ascii="Times New Roman" w:hAnsi="Times New Roman"/>
              </w:rPr>
              <w:t>6</w:t>
            </w:r>
          </w:p>
        </w:tc>
        <w:tc>
          <w:tcPr>
            <w:tcW w:w="814" w:type="pct"/>
            <w:vAlign w:val="center"/>
          </w:tcPr>
          <w:p>
            <w:pPr>
              <w:jc w:val="center"/>
              <w:rPr>
                <w:rFonts w:ascii="Times New Roman" w:hAnsi="Times New Roman"/>
                <w:kern w:val="2"/>
              </w:rPr>
            </w:pPr>
            <w:r>
              <w:t>苯（</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4</w:t>
            </w:r>
          </w:p>
        </w:tc>
        <w:tc>
          <w:tcPr>
            <w:tcW w:w="60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50" w:type="pct"/>
          </w:tcPr>
          <w:p>
            <w:pPr>
              <w:jc w:val="center"/>
              <w:rPr>
                <w:rFonts w:ascii="Times New Roman" w:hAnsi="Times New Roman"/>
                <w:kern w:val="2"/>
              </w:rPr>
            </w:pPr>
            <w:r>
              <w:rPr>
                <w:rFonts w:hint="eastAsia" w:ascii="Times New Roman" w:hAnsi="Times New Roman"/>
                <w:kern w:val="2"/>
              </w:rPr>
              <w:t>/</w:t>
            </w:r>
          </w:p>
        </w:tc>
        <w:tc>
          <w:tcPr>
            <w:tcW w:w="44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7" w:type="pct"/>
          </w:tcPr>
          <w:p>
            <w:pPr>
              <w:jc w:val="center"/>
              <w:rPr>
                <w:rFonts w:ascii="Times New Roman" w:hAnsi="Times New Roman"/>
                <w:kern w:val="2"/>
              </w:rPr>
            </w:pPr>
            <w:r>
              <w:rPr>
                <w:rFonts w:hint="eastAsia" w:ascii="Times New Roman" w:hAnsi="Times New Roman"/>
                <w:kern w:val="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6" w:type="pct"/>
          </w:tcPr>
          <w:p>
            <w:pPr>
              <w:jc w:val="center"/>
              <w:rPr>
                <w:rFonts w:ascii="Times New Roman" w:hAnsi="Times New Roman"/>
              </w:rPr>
            </w:pPr>
            <w:r>
              <w:rPr>
                <w:rFonts w:hint="eastAsia" w:ascii="Times New Roman" w:hAnsi="Times New Roman"/>
              </w:rPr>
              <w:t>2</w:t>
            </w:r>
            <w:r>
              <w:rPr>
                <w:rFonts w:ascii="Times New Roman" w:hAnsi="Times New Roman"/>
              </w:rPr>
              <w:t>7</w:t>
            </w:r>
          </w:p>
        </w:tc>
        <w:tc>
          <w:tcPr>
            <w:tcW w:w="814" w:type="pct"/>
            <w:vAlign w:val="center"/>
          </w:tcPr>
          <w:p>
            <w:pPr>
              <w:jc w:val="center"/>
              <w:rPr>
                <w:rFonts w:ascii="Times New Roman" w:hAnsi="Times New Roman"/>
                <w:kern w:val="2"/>
              </w:rPr>
            </w:pPr>
            <w:r>
              <w:t>氯苯（</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270</w:t>
            </w:r>
          </w:p>
        </w:tc>
        <w:tc>
          <w:tcPr>
            <w:tcW w:w="60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50" w:type="pct"/>
          </w:tcPr>
          <w:p>
            <w:pPr>
              <w:jc w:val="center"/>
              <w:rPr>
                <w:rFonts w:ascii="Times New Roman" w:hAnsi="Times New Roman"/>
                <w:kern w:val="2"/>
              </w:rPr>
            </w:pPr>
            <w:r>
              <w:rPr>
                <w:rFonts w:hint="eastAsia" w:ascii="Times New Roman" w:hAnsi="Times New Roman"/>
                <w:kern w:val="2"/>
              </w:rPr>
              <w:t>/</w:t>
            </w:r>
          </w:p>
        </w:tc>
        <w:tc>
          <w:tcPr>
            <w:tcW w:w="44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7" w:type="pct"/>
          </w:tcPr>
          <w:p>
            <w:pPr>
              <w:jc w:val="center"/>
              <w:rPr>
                <w:rFonts w:ascii="Times New Roman" w:hAnsi="Times New Roman"/>
                <w:kern w:val="2"/>
              </w:rPr>
            </w:pPr>
            <w:r>
              <w:rPr>
                <w:rFonts w:hint="eastAsia" w:ascii="Times New Roman" w:hAnsi="Times New Roman"/>
                <w:kern w:val="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6" w:type="pct"/>
          </w:tcPr>
          <w:p>
            <w:pPr>
              <w:jc w:val="center"/>
              <w:rPr>
                <w:rFonts w:ascii="Times New Roman" w:hAnsi="Times New Roman"/>
              </w:rPr>
            </w:pPr>
            <w:r>
              <w:rPr>
                <w:rFonts w:hint="eastAsia" w:ascii="Times New Roman" w:hAnsi="Times New Roman"/>
              </w:rPr>
              <w:t>2</w:t>
            </w:r>
            <w:r>
              <w:rPr>
                <w:rFonts w:ascii="Times New Roman" w:hAnsi="Times New Roman"/>
              </w:rPr>
              <w:t>8</w:t>
            </w:r>
          </w:p>
        </w:tc>
        <w:tc>
          <w:tcPr>
            <w:tcW w:w="814" w:type="pct"/>
            <w:vAlign w:val="center"/>
          </w:tcPr>
          <w:p>
            <w:pPr>
              <w:jc w:val="center"/>
              <w:rPr>
                <w:rFonts w:ascii="Times New Roman" w:hAnsi="Times New Roman"/>
                <w:kern w:val="2"/>
              </w:rPr>
            </w:pPr>
            <w:r>
              <w:rPr>
                <w:rFonts w:ascii="Times New Roman" w:hAnsi="Times New Roman"/>
              </w:rPr>
              <w:t>1,2-</w:t>
            </w:r>
            <w:r>
              <w:t>二氯苯（</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560</w:t>
            </w:r>
          </w:p>
        </w:tc>
        <w:tc>
          <w:tcPr>
            <w:tcW w:w="60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50" w:type="pct"/>
          </w:tcPr>
          <w:p>
            <w:pPr>
              <w:jc w:val="center"/>
              <w:rPr>
                <w:rFonts w:ascii="Times New Roman" w:hAnsi="Times New Roman"/>
                <w:kern w:val="2"/>
              </w:rPr>
            </w:pPr>
            <w:r>
              <w:rPr>
                <w:rFonts w:hint="eastAsia" w:ascii="Times New Roman" w:hAnsi="Times New Roman"/>
                <w:kern w:val="2"/>
              </w:rPr>
              <w:t>/</w:t>
            </w:r>
          </w:p>
        </w:tc>
        <w:tc>
          <w:tcPr>
            <w:tcW w:w="44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7" w:type="pct"/>
          </w:tcPr>
          <w:p>
            <w:pPr>
              <w:jc w:val="center"/>
              <w:rPr>
                <w:rFonts w:ascii="Times New Roman" w:hAnsi="Times New Roman"/>
                <w:kern w:val="2"/>
              </w:rPr>
            </w:pPr>
            <w:r>
              <w:rPr>
                <w:rFonts w:hint="eastAsia" w:ascii="Times New Roman" w:hAnsi="Times New Roman"/>
                <w:kern w:val="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216" w:type="pct"/>
          </w:tcPr>
          <w:p>
            <w:pPr>
              <w:jc w:val="center"/>
              <w:rPr>
                <w:rFonts w:ascii="Times New Roman" w:hAnsi="Times New Roman"/>
              </w:rPr>
            </w:pPr>
            <w:r>
              <w:rPr>
                <w:rFonts w:hint="eastAsia" w:ascii="Times New Roman" w:hAnsi="Times New Roman"/>
              </w:rPr>
              <w:t>2</w:t>
            </w:r>
            <w:r>
              <w:rPr>
                <w:rFonts w:ascii="Times New Roman" w:hAnsi="Times New Roman"/>
              </w:rPr>
              <w:t>9</w:t>
            </w:r>
          </w:p>
        </w:tc>
        <w:tc>
          <w:tcPr>
            <w:tcW w:w="814" w:type="pct"/>
            <w:vAlign w:val="center"/>
          </w:tcPr>
          <w:p>
            <w:pPr>
              <w:jc w:val="center"/>
              <w:rPr>
                <w:rFonts w:ascii="Times New Roman" w:hAnsi="Times New Roman"/>
                <w:kern w:val="2"/>
              </w:rPr>
            </w:pPr>
            <w:r>
              <w:rPr>
                <w:rFonts w:ascii="Times New Roman" w:hAnsi="Times New Roman"/>
              </w:rPr>
              <w:t>1,4-</w:t>
            </w:r>
            <w:r>
              <w:t>二氯苯（</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20</w:t>
            </w:r>
          </w:p>
        </w:tc>
        <w:tc>
          <w:tcPr>
            <w:tcW w:w="60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50" w:type="pct"/>
          </w:tcPr>
          <w:p>
            <w:pPr>
              <w:jc w:val="center"/>
              <w:rPr>
                <w:rFonts w:ascii="Times New Roman" w:hAnsi="Times New Roman"/>
                <w:kern w:val="2"/>
              </w:rPr>
            </w:pPr>
            <w:r>
              <w:rPr>
                <w:rFonts w:hint="eastAsia" w:ascii="Times New Roman" w:hAnsi="Times New Roman"/>
                <w:kern w:val="2"/>
              </w:rPr>
              <w:t>/</w:t>
            </w:r>
          </w:p>
        </w:tc>
        <w:tc>
          <w:tcPr>
            <w:tcW w:w="44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7" w:type="pct"/>
          </w:tcPr>
          <w:p>
            <w:pPr>
              <w:jc w:val="center"/>
              <w:rPr>
                <w:rFonts w:ascii="Times New Roman" w:hAnsi="Times New Roman"/>
                <w:kern w:val="2"/>
              </w:rPr>
            </w:pPr>
            <w:r>
              <w:rPr>
                <w:rFonts w:hint="eastAsia" w:ascii="Times New Roman" w:hAnsi="Times New Roman"/>
                <w:kern w:val="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6" w:type="pct"/>
          </w:tcPr>
          <w:p>
            <w:pPr>
              <w:jc w:val="center"/>
              <w:rPr>
                <w:rFonts w:ascii="Times New Roman" w:hAnsi="Times New Roman"/>
              </w:rPr>
            </w:pPr>
            <w:r>
              <w:rPr>
                <w:rFonts w:hint="eastAsia" w:ascii="Times New Roman" w:hAnsi="Times New Roman"/>
              </w:rPr>
              <w:t>3</w:t>
            </w:r>
            <w:r>
              <w:rPr>
                <w:rFonts w:ascii="Times New Roman" w:hAnsi="Times New Roman"/>
              </w:rPr>
              <w:t>0</w:t>
            </w:r>
          </w:p>
        </w:tc>
        <w:tc>
          <w:tcPr>
            <w:tcW w:w="814" w:type="pct"/>
            <w:vAlign w:val="center"/>
          </w:tcPr>
          <w:p>
            <w:pPr>
              <w:jc w:val="center"/>
              <w:rPr>
                <w:rFonts w:ascii="Times New Roman" w:hAnsi="Times New Roman"/>
                <w:kern w:val="2"/>
              </w:rPr>
            </w:pPr>
            <w:r>
              <w:t>乙苯（</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28</w:t>
            </w:r>
          </w:p>
        </w:tc>
        <w:tc>
          <w:tcPr>
            <w:tcW w:w="60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50" w:type="pct"/>
          </w:tcPr>
          <w:p>
            <w:pPr>
              <w:jc w:val="center"/>
              <w:rPr>
                <w:rFonts w:ascii="Times New Roman" w:hAnsi="Times New Roman"/>
                <w:kern w:val="2"/>
              </w:rPr>
            </w:pPr>
            <w:r>
              <w:rPr>
                <w:rFonts w:hint="eastAsia" w:ascii="Times New Roman" w:hAnsi="Times New Roman"/>
                <w:kern w:val="2"/>
              </w:rPr>
              <w:t>/</w:t>
            </w:r>
          </w:p>
        </w:tc>
        <w:tc>
          <w:tcPr>
            <w:tcW w:w="44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7" w:type="pct"/>
          </w:tcPr>
          <w:p>
            <w:pPr>
              <w:jc w:val="center"/>
              <w:rPr>
                <w:rFonts w:ascii="Times New Roman" w:hAnsi="Times New Roman"/>
                <w:kern w:val="2"/>
              </w:rPr>
            </w:pPr>
            <w:r>
              <w:rPr>
                <w:rFonts w:hint="eastAsia" w:ascii="Times New Roman" w:hAnsi="Times New Roman"/>
                <w:kern w:val="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216" w:type="pct"/>
          </w:tcPr>
          <w:p>
            <w:pPr>
              <w:jc w:val="center"/>
              <w:rPr>
                <w:rFonts w:ascii="Times New Roman" w:hAnsi="Times New Roman"/>
              </w:rPr>
            </w:pPr>
            <w:r>
              <w:rPr>
                <w:rFonts w:hint="eastAsia" w:ascii="Times New Roman" w:hAnsi="Times New Roman"/>
              </w:rPr>
              <w:t>3</w:t>
            </w:r>
            <w:r>
              <w:rPr>
                <w:rFonts w:ascii="Times New Roman" w:hAnsi="Times New Roman"/>
              </w:rPr>
              <w:t>1</w:t>
            </w:r>
          </w:p>
        </w:tc>
        <w:tc>
          <w:tcPr>
            <w:tcW w:w="814" w:type="pct"/>
            <w:vAlign w:val="center"/>
          </w:tcPr>
          <w:p>
            <w:pPr>
              <w:jc w:val="center"/>
              <w:rPr>
                <w:rFonts w:ascii="Times New Roman" w:hAnsi="Times New Roman"/>
                <w:kern w:val="2"/>
              </w:rPr>
            </w:pPr>
            <w:r>
              <w:t>苯乙烯（</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1290</w:t>
            </w:r>
          </w:p>
        </w:tc>
        <w:tc>
          <w:tcPr>
            <w:tcW w:w="60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50" w:type="pct"/>
          </w:tcPr>
          <w:p>
            <w:pPr>
              <w:jc w:val="center"/>
              <w:rPr>
                <w:rFonts w:ascii="Times New Roman" w:hAnsi="Times New Roman"/>
                <w:kern w:val="2"/>
              </w:rPr>
            </w:pPr>
            <w:r>
              <w:rPr>
                <w:rFonts w:hint="eastAsia" w:ascii="Times New Roman" w:hAnsi="Times New Roman"/>
                <w:kern w:val="2"/>
              </w:rPr>
              <w:t>/</w:t>
            </w:r>
          </w:p>
        </w:tc>
        <w:tc>
          <w:tcPr>
            <w:tcW w:w="44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7" w:type="pct"/>
          </w:tcPr>
          <w:p>
            <w:pPr>
              <w:jc w:val="center"/>
              <w:rPr>
                <w:rFonts w:ascii="Times New Roman" w:hAnsi="Times New Roman"/>
                <w:kern w:val="2"/>
              </w:rPr>
            </w:pPr>
            <w:r>
              <w:rPr>
                <w:rFonts w:hint="eastAsia" w:ascii="Times New Roman" w:hAnsi="Times New Roman"/>
                <w:kern w:val="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6" w:type="pct"/>
          </w:tcPr>
          <w:p>
            <w:pPr>
              <w:jc w:val="center"/>
              <w:rPr>
                <w:rFonts w:ascii="Times New Roman" w:hAnsi="Times New Roman"/>
              </w:rPr>
            </w:pPr>
            <w:r>
              <w:rPr>
                <w:rFonts w:hint="eastAsia" w:ascii="Times New Roman" w:hAnsi="Times New Roman"/>
              </w:rPr>
              <w:t>3</w:t>
            </w:r>
            <w:r>
              <w:rPr>
                <w:rFonts w:ascii="Times New Roman" w:hAnsi="Times New Roman"/>
              </w:rPr>
              <w:t>2</w:t>
            </w:r>
          </w:p>
        </w:tc>
        <w:tc>
          <w:tcPr>
            <w:tcW w:w="814" w:type="pct"/>
            <w:vAlign w:val="center"/>
          </w:tcPr>
          <w:p>
            <w:pPr>
              <w:jc w:val="center"/>
              <w:rPr>
                <w:rFonts w:ascii="Times New Roman" w:hAnsi="Times New Roman"/>
                <w:kern w:val="2"/>
              </w:rPr>
            </w:pPr>
            <w:r>
              <w:t>甲苯（</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1200</w:t>
            </w:r>
          </w:p>
        </w:tc>
        <w:tc>
          <w:tcPr>
            <w:tcW w:w="60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50" w:type="pct"/>
          </w:tcPr>
          <w:p>
            <w:pPr>
              <w:jc w:val="center"/>
              <w:rPr>
                <w:rFonts w:ascii="Times New Roman" w:hAnsi="Times New Roman"/>
                <w:kern w:val="2"/>
              </w:rPr>
            </w:pPr>
            <w:r>
              <w:rPr>
                <w:rFonts w:hint="eastAsia" w:ascii="Times New Roman" w:hAnsi="Times New Roman"/>
                <w:kern w:val="2"/>
              </w:rPr>
              <w:t>/</w:t>
            </w:r>
          </w:p>
        </w:tc>
        <w:tc>
          <w:tcPr>
            <w:tcW w:w="44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7" w:type="pct"/>
          </w:tcPr>
          <w:p>
            <w:pPr>
              <w:jc w:val="center"/>
              <w:rPr>
                <w:rFonts w:ascii="Times New Roman" w:hAnsi="Times New Roman"/>
                <w:kern w:val="2"/>
              </w:rPr>
            </w:pPr>
            <w:r>
              <w:rPr>
                <w:rFonts w:hint="eastAsia" w:ascii="Times New Roman" w:hAnsi="Times New Roman"/>
                <w:kern w:val="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6" w:type="pct"/>
          </w:tcPr>
          <w:p>
            <w:pPr>
              <w:jc w:val="center"/>
              <w:rPr>
                <w:rFonts w:ascii="Times New Roman" w:hAnsi="Times New Roman"/>
              </w:rPr>
            </w:pPr>
            <w:r>
              <w:rPr>
                <w:rFonts w:hint="eastAsia" w:ascii="Times New Roman" w:hAnsi="Times New Roman"/>
              </w:rPr>
              <w:t>3</w:t>
            </w:r>
            <w:r>
              <w:rPr>
                <w:rFonts w:ascii="Times New Roman" w:hAnsi="Times New Roman"/>
              </w:rPr>
              <w:t>3</w:t>
            </w:r>
          </w:p>
        </w:tc>
        <w:tc>
          <w:tcPr>
            <w:tcW w:w="814" w:type="pct"/>
            <w:vAlign w:val="center"/>
          </w:tcPr>
          <w:p>
            <w:pPr>
              <w:jc w:val="center"/>
              <w:rPr>
                <w:rFonts w:ascii="Times New Roman" w:hAnsi="Times New Roman"/>
                <w:kern w:val="2"/>
              </w:rPr>
            </w:pPr>
            <w:r>
              <w:t>间二甲苯</w:t>
            </w:r>
            <w:r>
              <w:rPr>
                <w:rFonts w:ascii="Times New Roman" w:hAnsi="Times New Roman"/>
              </w:rPr>
              <w:t>+</w:t>
            </w:r>
            <w:r>
              <w:t>对二甲苯（</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570</w:t>
            </w:r>
          </w:p>
        </w:tc>
        <w:tc>
          <w:tcPr>
            <w:tcW w:w="60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50" w:type="pct"/>
          </w:tcPr>
          <w:p>
            <w:pPr>
              <w:jc w:val="center"/>
              <w:rPr>
                <w:rFonts w:ascii="Times New Roman" w:hAnsi="Times New Roman"/>
                <w:kern w:val="2"/>
              </w:rPr>
            </w:pPr>
            <w:r>
              <w:rPr>
                <w:rFonts w:hint="eastAsia" w:ascii="Times New Roman" w:hAnsi="Times New Roman"/>
                <w:kern w:val="2"/>
              </w:rPr>
              <w:t>/</w:t>
            </w:r>
          </w:p>
        </w:tc>
        <w:tc>
          <w:tcPr>
            <w:tcW w:w="44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7" w:type="pct"/>
          </w:tcPr>
          <w:p>
            <w:pPr>
              <w:jc w:val="center"/>
              <w:rPr>
                <w:rFonts w:ascii="Times New Roman" w:hAnsi="Times New Roman"/>
                <w:kern w:val="2"/>
              </w:rPr>
            </w:pPr>
            <w:r>
              <w:rPr>
                <w:rFonts w:hint="eastAsia" w:ascii="Times New Roman" w:hAnsi="Times New Roman"/>
                <w:kern w:val="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6" w:type="pct"/>
          </w:tcPr>
          <w:p>
            <w:pPr>
              <w:jc w:val="center"/>
              <w:rPr>
                <w:rFonts w:ascii="Times New Roman" w:hAnsi="Times New Roman"/>
              </w:rPr>
            </w:pPr>
            <w:r>
              <w:rPr>
                <w:rFonts w:hint="eastAsia" w:ascii="Times New Roman" w:hAnsi="Times New Roman"/>
              </w:rPr>
              <w:t>3</w:t>
            </w:r>
            <w:r>
              <w:rPr>
                <w:rFonts w:ascii="Times New Roman" w:hAnsi="Times New Roman"/>
              </w:rPr>
              <w:t>4</w:t>
            </w:r>
          </w:p>
        </w:tc>
        <w:tc>
          <w:tcPr>
            <w:tcW w:w="814" w:type="pct"/>
            <w:vAlign w:val="center"/>
          </w:tcPr>
          <w:p>
            <w:pPr>
              <w:jc w:val="center"/>
              <w:rPr>
                <w:rFonts w:ascii="Times New Roman" w:hAnsi="Times New Roman"/>
                <w:kern w:val="2"/>
              </w:rPr>
            </w:pPr>
            <w:r>
              <w:t>邻二甲苯（</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640</w:t>
            </w:r>
          </w:p>
        </w:tc>
        <w:tc>
          <w:tcPr>
            <w:tcW w:w="60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50" w:type="pct"/>
          </w:tcPr>
          <w:p>
            <w:pPr>
              <w:jc w:val="center"/>
              <w:rPr>
                <w:rFonts w:ascii="Times New Roman" w:hAnsi="Times New Roman"/>
                <w:kern w:val="2"/>
              </w:rPr>
            </w:pPr>
            <w:r>
              <w:rPr>
                <w:rFonts w:hint="eastAsia" w:ascii="Times New Roman" w:hAnsi="Times New Roman"/>
                <w:kern w:val="2"/>
              </w:rPr>
              <w:t>/</w:t>
            </w:r>
          </w:p>
        </w:tc>
        <w:tc>
          <w:tcPr>
            <w:tcW w:w="44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7" w:type="pct"/>
          </w:tcPr>
          <w:p>
            <w:pPr>
              <w:jc w:val="center"/>
              <w:rPr>
                <w:rFonts w:ascii="Times New Roman" w:hAnsi="Times New Roman"/>
                <w:kern w:val="2"/>
              </w:rPr>
            </w:pPr>
            <w:r>
              <w:rPr>
                <w:rFonts w:hint="eastAsia" w:ascii="Times New Roman" w:hAnsi="Times New Roman"/>
                <w:kern w:val="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216" w:type="pct"/>
          </w:tcPr>
          <w:p>
            <w:pPr>
              <w:jc w:val="center"/>
              <w:rPr>
                <w:rFonts w:ascii="Times New Roman" w:hAnsi="Times New Roman"/>
              </w:rPr>
            </w:pPr>
            <w:r>
              <w:rPr>
                <w:rFonts w:hint="eastAsia" w:ascii="Times New Roman" w:hAnsi="Times New Roman"/>
              </w:rPr>
              <w:t>3</w:t>
            </w:r>
            <w:r>
              <w:rPr>
                <w:rFonts w:ascii="Times New Roman" w:hAnsi="Times New Roman"/>
              </w:rPr>
              <w:t>5</w:t>
            </w:r>
          </w:p>
        </w:tc>
        <w:tc>
          <w:tcPr>
            <w:tcW w:w="814" w:type="pct"/>
            <w:vAlign w:val="center"/>
          </w:tcPr>
          <w:p>
            <w:pPr>
              <w:jc w:val="center"/>
              <w:rPr>
                <w:rFonts w:ascii="Times New Roman" w:hAnsi="Times New Roman"/>
                <w:kern w:val="2"/>
              </w:rPr>
            </w:pPr>
            <w:r>
              <w:t>硝基苯（</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76</w:t>
            </w:r>
          </w:p>
        </w:tc>
        <w:tc>
          <w:tcPr>
            <w:tcW w:w="60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50" w:type="pct"/>
          </w:tcPr>
          <w:p>
            <w:pPr>
              <w:jc w:val="center"/>
              <w:rPr>
                <w:rFonts w:ascii="Times New Roman" w:hAnsi="Times New Roman"/>
                <w:kern w:val="2"/>
              </w:rPr>
            </w:pPr>
            <w:r>
              <w:rPr>
                <w:rFonts w:hint="eastAsia" w:ascii="Times New Roman" w:hAnsi="Times New Roman"/>
                <w:kern w:val="2"/>
              </w:rPr>
              <w:t>/</w:t>
            </w:r>
          </w:p>
        </w:tc>
        <w:tc>
          <w:tcPr>
            <w:tcW w:w="44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7" w:type="pct"/>
          </w:tcPr>
          <w:p>
            <w:pPr>
              <w:jc w:val="center"/>
              <w:rPr>
                <w:rFonts w:ascii="Times New Roman" w:hAnsi="Times New Roman"/>
                <w:kern w:val="2"/>
              </w:rPr>
            </w:pPr>
            <w:r>
              <w:rPr>
                <w:rFonts w:hint="eastAsia" w:ascii="Times New Roman" w:hAnsi="Times New Roman"/>
                <w:kern w:val="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6" w:type="pct"/>
          </w:tcPr>
          <w:p>
            <w:pPr>
              <w:jc w:val="center"/>
              <w:rPr>
                <w:rFonts w:ascii="Times New Roman" w:hAnsi="Times New Roman"/>
              </w:rPr>
            </w:pPr>
            <w:r>
              <w:rPr>
                <w:rFonts w:hint="eastAsia" w:ascii="Times New Roman" w:hAnsi="Times New Roman"/>
              </w:rPr>
              <w:t>3</w:t>
            </w:r>
            <w:r>
              <w:rPr>
                <w:rFonts w:ascii="Times New Roman" w:hAnsi="Times New Roman"/>
              </w:rPr>
              <w:t>6</w:t>
            </w:r>
          </w:p>
        </w:tc>
        <w:tc>
          <w:tcPr>
            <w:tcW w:w="814" w:type="pct"/>
            <w:vAlign w:val="center"/>
          </w:tcPr>
          <w:p>
            <w:pPr>
              <w:jc w:val="center"/>
              <w:rPr>
                <w:rFonts w:ascii="Times New Roman" w:hAnsi="Times New Roman"/>
                <w:kern w:val="2"/>
              </w:rPr>
            </w:pPr>
            <w:r>
              <w:t>苯胺</w:t>
            </w:r>
            <w:r>
              <w:rPr>
                <w:rFonts w:hint="eastAsia" w:ascii="Times New Roman" w:hAnsi="Times New Roman"/>
              </w:rPr>
              <w:t>*</w:t>
            </w:r>
            <w:r>
              <w:t>（</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260</w:t>
            </w:r>
          </w:p>
        </w:tc>
        <w:tc>
          <w:tcPr>
            <w:tcW w:w="60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50" w:type="pct"/>
          </w:tcPr>
          <w:p>
            <w:pPr>
              <w:jc w:val="center"/>
              <w:rPr>
                <w:rFonts w:ascii="Times New Roman" w:hAnsi="Times New Roman"/>
                <w:kern w:val="2"/>
              </w:rPr>
            </w:pPr>
            <w:r>
              <w:rPr>
                <w:rFonts w:hint="eastAsia" w:ascii="Times New Roman" w:hAnsi="Times New Roman"/>
                <w:kern w:val="2"/>
              </w:rPr>
              <w:t>/</w:t>
            </w:r>
          </w:p>
        </w:tc>
        <w:tc>
          <w:tcPr>
            <w:tcW w:w="44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7" w:type="pct"/>
          </w:tcPr>
          <w:p>
            <w:pPr>
              <w:jc w:val="center"/>
              <w:rPr>
                <w:rFonts w:ascii="Times New Roman" w:hAnsi="Times New Roman"/>
                <w:kern w:val="2"/>
              </w:rPr>
            </w:pPr>
            <w:r>
              <w:rPr>
                <w:rFonts w:hint="eastAsia" w:ascii="Times New Roman" w:hAnsi="Times New Roman"/>
                <w:kern w:val="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216" w:type="pct"/>
          </w:tcPr>
          <w:p>
            <w:pPr>
              <w:jc w:val="center"/>
              <w:rPr>
                <w:rFonts w:ascii="Times New Roman" w:hAnsi="Times New Roman"/>
              </w:rPr>
            </w:pPr>
            <w:r>
              <w:rPr>
                <w:rFonts w:hint="eastAsia" w:ascii="Times New Roman" w:hAnsi="Times New Roman"/>
              </w:rPr>
              <w:t>3</w:t>
            </w:r>
            <w:r>
              <w:rPr>
                <w:rFonts w:ascii="Times New Roman" w:hAnsi="Times New Roman"/>
              </w:rPr>
              <w:t>7</w:t>
            </w:r>
          </w:p>
        </w:tc>
        <w:tc>
          <w:tcPr>
            <w:tcW w:w="814" w:type="pct"/>
            <w:vAlign w:val="center"/>
          </w:tcPr>
          <w:p>
            <w:pPr>
              <w:jc w:val="center"/>
              <w:rPr>
                <w:rFonts w:ascii="Times New Roman" w:hAnsi="Times New Roman"/>
                <w:kern w:val="2"/>
              </w:rPr>
            </w:pPr>
            <w:r>
              <w:rPr>
                <w:rFonts w:ascii="Times New Roman" w:hAnsi="Times New Roman"/>
              </w:rPr>
              <w:t>2-</w:t>
            </w:r>
            <w:r>
              <w:t>氯酚（</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2256</w:t>
            </w:r>
          </w:p>
        </w:tc>
        <w:tc>
          <w:tcPr>
            <w:tcW w:w="60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50" w:type="pct"/>
          </w:tcPr>
          <w:p>
            <w:pPr>
              <w:jc w:val="center"/>
              <w:rPr>
                <w:rFonts w:ascii="Times New Roman" w:hAnsi="Times New Roman"/>
                <w:kern w:val="2"/>
              </w:rPr>
            </w:pPr>
            <w:r>
              <w:rPr>
                <w:rFonts w:hint="eastAsia" w:ascii="Times New Roman" w:hAnsi="Times New Roman"/>
                <w:kern w:val="2"/>
              </w:rPr>
              <w:t>/</w:t>
            </w:r>
          </w:p>
        </w:tc>
        <w:tc>
          <w:tcPr>
            <w:tcW w:w="44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7" w:type="pct"/>
          </w:tcPr>
          <w:p>
            <w:pPr>
              <w:jc w:val="center"/>
              <w:rPr>
                <w:rFonts w:ascii="Times New Roman" w:hAnsi="Times New Roman"/>
                <w:kern w:val="2"/>
              </w:rPr>
            </w:pPr>
            <w:r>
              <w:rPr>
                <w:rFonts w:hint="eastAsia" w:ascii="Times New Roman" w:hAnsi="Times New Roman"/>
                <w:kern w:val="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216" w:type="pct"/>
          </w:tcPr>
          <w:p>
            <w:pPr>
              <w:jc w:val="center"/>
              <w:rPr>
                <w:rFonts w:ascii="Times New Roman" w:hAnsi="Times New Roman"/>
              </w:rPr>
            </w:pPr>
            <w:r>
              <w:rPr>
                <w:rFonts w:hint="eastAsia" w:ascii="Times New Roman" w:hAnsi="Times New Roman"/>
              </w:rPr>
              <w:t>3</w:t>
            </w:r>
            <w:r>
              <w:rPr>
                <w:rFonts w:ascii="Times New Roman" w:hAnsi="Times New Roman"/>
              </w:rPr>
              <w:t>8</w:t>
            </w:r>
          </w:p>
        </w:tc>
        <w:tc>
          <w:tcPr>
            <w:tcW w:w="814" w:type="pct"/>
            <w:vAlign w:val="center"/>
          </w:tcPr>
          <w:p>
            <w:pPr>
              <w:jc w:val="center"/>
              <w:rPr>
                <w:rFonts w:ascii="Times New Roman" w:hAnsi="Times New Roman"/>
                <w:kern w:val="2"/>
              </w:rPr>
            </w:pPr>
            <w:r>
              <w:t>苯并</w:t>
            </w:r>
            <w:r>
              <w:rPr>
                <w:rFonts w:ascii="Times New Roman" w:hAnsi="Times New Roman"/>
              </w:rPr>
              <w:t>[a]</w:t>
            </w:r>
            <w:r>
              <w:t>蒽（</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15</w:t>
            </w:r>
          </w:p>
        </w:tc>
        <w:tc>
          <w:tcPr>
            <w:tcW w:w="60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50" w:type="pct"/>
          </w:tcPr>
          <w:p>
            <w:pPr>
              <w:jc w:val="center"/>
              <w:rPr>
                <w:rFonts w:ascii="Times New Roman" w:hAnsi="Times New Roman"/>
                <w:kern w:val="2"/>
              </w:rPr>
            </w:pPr>
            <w:r>
              <w:rPr>
                <w:rFonts w:hint="eastAsia" w:ascii="Times New Roman" w:hAnsi="Times New Roman"/>
                <w:kern w:val="2"/>
              </w:rPr>
              <w:t>/</w:t>
            </w:r>
          </w:p>
        </w:tc>
        <w:tc>
          <w:tcPr>
            <w:tcW w:w="44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7" w:type="pct"/>
          </w:tcPr>
          <w:p>
            <w:pPr>
              <w:jc w:val="center"/>
              <w:rPr>
                <w:rFonts w:ascii="Times New Roman" w:hAnsi="Times New Roman"/>
                <w:kern w:val="2"/>
              </w:rPr>
            </w:pPr>
            <w:r>
              <w:rPr>
                <w:rFonts w:hint="eastAsia" w:ascii="Times New Roman" w:hAnsi="Times New Roman"/>
                <w:kern w:val="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6" w:type="pct"/>
          </w:tcPr>
          <w:p>
            <w:pPr>
              <w:jc w:val="center"/>
              <w:rPr>
                <w:rFonts w:ascii="Times New Roman" w:hAnsi="Times New Roman"/>
              </w:rPr>
            </w:pPr>
            <w:r>
              <w:rPr>
                <w:rFonts w:hint="eastAsia" w:ascii="Times New Roman" w:hAnsi="Times New Roman"/>
              </w:rPr>
              <w:t>3</w:t>
            </w:r>
            <w:r>
              <w:rPr>
                <w:rFonts w:ascii="Times New Roman" w:hAnsi="Times New Roman"/>
              </w:rPr>
              <w:t>9</w:t>
            </w:r>
          </w:p>
        </w:tc>
        <w:tc>
          <w:tcPr>
            <w:tcW w:w="814" w:type="pct"/>
            <w:vAlign w:val="center"/>
          </w:tcPr>
          <w:p>
            <w:pPr>
              <w:jc w:val="center"/>
              <w:rPr>
                <w:rFonts w:ascii="Times New Roman" w:hAnsi="Times New Roman"/>
                <w:kern w:val="2"/>
              </w:rPr>
            </w:pPr>
            <w:r>
              <w:t>苯并</w:t>
            </w:r>
            <w:r>
              <w:rPr>
                <w:rFonts w:ascii="Times New Roman" w:hAnsi="Times New Roman"/>
              </w:rPr>
              <w:t>[a]</w:t>
            </w:r>
            <w:r>
              <w:t>芘（</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1.5</w:t>
            </w:r>
          </w:p>
        </w:tc>
        <w:tc>
          <w:tcPr>
            <w:tcW w:w="60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50" w:type="pct"/>
          </w:tcPr>
          <w:p>
            <w:pPr>
              <w:jc w:val="center"/>
              <w:rPr>
                <w:rFonts w:ascii="Times New Roman" w:hAnsi="Times New Roman"/>
                <w:kern w:val="2"/>
              </w:rPr>
            </w:pPr>
            <w:r>
              <w:rPr>
                <w:rFonts w:hint="eastAsia" w:ascii="Times New Roman" w:hAnsi="Times New Roman"/>
                <w:kern w:val="2"/>
              </w:rPr>
              <w:t>/</w:t>
            </w:r>
          </w:p>
        </w:tc>
        <w:tc>
          <w:tcPr>
            <w:tcW w:w="44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7" w:type="pct"/>
          </w:tcPr>
          <w:p>
            <w:pPr>
              <w:jc w:val="center"/>
              <w:rPr>
                <w:rFonts w:ascii="Times New Roman" w:hAnsi="Times New Roman"/>
                <w:kern w:val="2"/>
              </w:rPr>
            </w:pPr>
            <w:r>
              <w:rPr>
                <w:rFonts w:hint="eastAsia" w:ascii="Times New Roman" w:hAnsi="Times New Roman"/>
                <w:kern w:val="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6" w:type="pct"/>
          </w:tcPr>
          <w:p>
            <w:pPr>
              <w:jc w:val="center"/>
              <w:rPr>
                <w:rFonts w:ascii="Times New Roman" w:hAnsi="Times New Roman"/>
              </w:rPr>
            </w:pPr>
            <w:r>
              <w:rPr>
                <w:rFonts w:hint="eastAsia" w:ascii="Times New Roman" w:hAnsi="Times New Roman"/>
              </w:rPr>
              <w:t>4</w:t>
            </w:r>
            <w:r>
              <w:rPr>
                <w:rFonts w:ascii="Times New Roman" w:hAnsi="Times New Roman"/>
              </w:rPr>
              <w:t>0</w:t>
            </w:r>
          </w:p>
        </w:tc>
        <w:tc>
          <w:tcPr>
            <w:tcW w:w="814" w:type="pct"/>
            <w:vAlign w:val="center"/>
          </w:tcPr>
          <w:p>
            <w:pPr>
              <w:jc w:val="center"/>
              <w:rPr>
                <w:rFonts w:ascii="Times New Roman" w:hAnsi="Times New Roman"/>
                <w:kern w:val="2"/>
              </w:rPr>
            </w:pPr>
            <w:r>
              <w:t>苯并</w:t>
            </w:r>
            <w:r>
              <w:rPr>
                <w:rFonts w:ascii="Times New Roman" w:hAnsi="Times New Roman"/>
              </w:rPr>
              <w:t>[b]</w:t>
            </w:r>
            <w:r>
              <w:t>荧蒽（</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15</w:t>
            </w:r>
          </w:p>
        </w:tc>
        <w:tc>
          <w:tcPr>
            <w:tcW w:w="60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50" w:type="pct"/>
          </w:tcPr>
          <w:p>
            <w:pPr>
              <w:jc w:val="center"/>
              <w:rPr>
                <w:rFonts w:ascii="Times New Roman" w:hAnsi="Times New Roman"/>
                <w:kern w:val="2"/>
              </w:rPr>
            </w:pPr>
            <w:r>
              <w:rPr>
                <w:rFonts w:hint="eastAsia" w:ascii="Times New Roman" w:hAnsi="Times New Roman"/>
                <w:kern w:val="2"/>
              </w:rPr>
              <w:t>/</w:t>
            </w:r>
          </w:p>
        </w:tc>
        <w:tc>
          <w:tcPr>
            <w:tcW w:w="44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7" w:type="pct"/>
          </w:tcPr>
          <w:p>
            <w:pPr>
              <w:jc w:val="center"/>
              <w:rPr>
                <w:rFonts w:ascii="Times New Roman" w:hAnsi="Times New Roman"/>
                <w:kern w:val="2"/>
              </w:rPr>
            </w:pPr>
            <w:r>
              <w:rPr>
                <w:rFonts w:hint="eastAsia" w:ascii="Times New Roman" w:hAnsi="Times New Roman"/>
                <w:kern w:val="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216" w:type="pct"/>
          </w:tcPr>
          <w:p>
            <w:pPr>
              <w:jc w:val="center"/>
              <w:rPr>
                <w:rFonts w:ascii="Times New Roman" w:hAnsi="Times New Roman"/>
              </w:rPr>
            </w:pPr>
            <w:r>
              <w:rPr>
                <w:rFonts w:hint="eastAsia" w:ascii="Times New Roman" w:hAnsi="Times New Roman"/>
              </w:rPr>
              <w:t>4</w:t>
            </w:r>
            <w:r>
              <w:rPr>
                <w:rFonts w:ascii="Times New Roman" w:hAnsi="Times New Roman"/>
              </w:rPr>
              <w:t>1</w:t>
            </w:r>
          </w:p>
        </w:tc>
        <w:tc>
          <w:tcPr>
            <w:tcW w:w="814" w:type="pct"/>
            <w:vAlign w:val="center"/>
          </w:tcPr>
          <w:p>
            <w:pPr>
              <w:jc w:val="center"/>
              <w:rPr>
                <w:rFonts w:ascii="Times New Roman" w:hAnsi="Times New Roman"/>
                <w:kern w:val="2"/>
              </w:rPr>
            </w:pPr>
            <w:r>
              <w:t>苯并</w:t>
            </w:r>
            <w:r>
              <w:rPr>
                <w:rFonts w:ascii="Times New Roman" w:hAnsi="Times New Roman"/>
              </w:rPr>
              <w:t>[k]</w:t>
            </w:r>
            <w:r>
              <w:t>荧蒽（</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151</w:t>
            </w:r>
          </w:p>
        </w:tc>
        <w:tc>
          <w:tcPr>
            <w:tcW w:w="60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50" w:type="pct"/>
          </w:tcPr>
          <w:p>
            <w:pPr>
              <w:jc w:val="center"/>
              <w:rPr>
                <w:rFonts w:ascii="Times New Roman" w:hAnsi="Times New Roman"/>
                <w:kern w:val="2"/>
              </w:rPr>
            </w:pPr>
            <w:r>
              <w:rPr>
                <w:rFonts w:hint="eastAsia" w:ascii="Times New Roman" w:hAnsi="Times New Roman"/>
                <w:kern w:val="2"/>
              </w:rPr>
              <w:t>/</w:t>
            </w:r>
          </w:p>
        </w:tc>
        <w:tc>
          <w:tcPr>
            <w:tcW w:w="44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7" w:type="pct"/>
          </w:tcPr>
          <w:p>
            <w:pPr>
              <w:jc w:val="center"/>
              <w:rPr>
                <w:rFonts w:ascii="Times New Roman" w:hAnsi="Times New Roman"/>
                <w:kern w:val="2"/>
              </w:rPr>
            </w:pPr>
            <w:r>
              <w:rPr>
                <w:rFonts w:hint="eastAsia" w:ascii="Times New Roman" w:hAnsi="Times New Roman"/>
                <w:kern w:val="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216" w:type="pct"/>
          </w:tcPr>
          <w:p>
            <w:pPr>
              <w:jc w:val="center"/>
              <w:rPr>
                <w:rFonts w:ascii="Times New Roman" w:hAnsi="Times New Roman"/>
              </w:rPr>
            </w:pPr>
            <w:r>
              <w:rPr>
                <w:rFonts w:hint="eastAsia" w:ascii="Times New Roman" w:hAnsi="Times New Roman"/>
              </w:rPr>
              <w:t>4</w:t>
            </w:r>
            <w:r>
              <w:rPr>
                <w:rFonts w:ascii="Times New Roman" w:hAnsi="Times New Roman"/>
              </w:rPr>
              <w:t>2</w:t>
            </w:r>
          </w:p>
        </w:tc>
        <w:tc>
          <w:tcPr>
            <w:tcW w:w="814" w:type="pct"/>
            <w:vAlign w:val="center"/>
          </w:tcPr>
          <w:p>
            <w:pPr>
              <w:jc w:val="center"/>
              <w:rPr>
                <w:rFonts w:ascii="Times New Roman" w:hAnsi="Times New Roman"/>
                <w:kern w:val="2"/>
              </w:rPr>
            </w:pPr>
            <w:r>
              <w:t>䓛（</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1293</w:t>
            </w:r>
          </w:p>
        </w:tc>
        <w:tc>
          <w:tcPr>
            <w:tcW w:w="60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50" w:type="pct"/>
          </w:tcPr>
          <w:p>
            <w:pPr>
              <w:jc w:val="center"/>
              <w:rPr>
                <w:rFonts w:ascii="Times New Roman" w:hAnsi="Times New Roman"/>
                <w:kern w:val="2"/>
              </w:rPr>
            </w:pPr>
            <w:r>
              <w:rPr>
                <w:rFonts w:hint="eastAsia" w:ascii="Times New Roman" w:hAnsi="Times New Roman"/>
                <w:kern w:val="2"/>
              </w:rPr>
              <w:t>/</w:t>
            </w:r>
          </w:p>
        </w:tc>
        <w:tc>
          <w:tcPr>
            <w:tcW w:w="44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7" w:type="pct"/>
          </w:tcPr>
          <w:p>
            <w:pPr>
              <w:jc w:val="center"/>
              <w:rPr>
                <w:rFonts w:ascii="Times New Roman" w:hAnsi="Times New Roman"/>
                <w:kern w:val="2"/>
              </w:rPr>
            </w:pPr>
            <w:r>
              <w:rPr>
                <w:rFonts w:hint="eastAsia" w:ascii="Times New Roman" w:hAnsi="Times New Roman"/>
                <w:kern w:val="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6" w:type="pct"/>
          </w:tcPr>
          <w:p>
            <w:pPr>
              <w:jc w:val="center"/>
              <w:rPr>
                <w:rFonts w:ascii="Times New Roman" w:hAnsi="Times New Roman"/>
              </w:rPr>
            </w:pPr>
            <w:r>
              <w:rPr>
                <w:rFonts w:hint="eastAsia" w:ascii="Times New Roman" w:hAnsi="Times New Roman"/>
              </w:rPr>
              <w:t>4</w:t>
            </w:r>
            <w:r>
              <w:rPr>
                <w:rFonts w:ascii="Times New Roman" w:hAnsi="Times New Roman"/>
              </w:rPr>
              <w:t>3</w:t>
            </w:r>
          </w:p>
        </w:tc>
        <w:tc>
          <w:tcPr>
            <w:tcW w:w="814" w:type="pct"/>
            <w:vAlign w:val="center"/>
          </w:tcPr>
          <w:p>
            <w:pPr>
              <w:jc w:val="center"/>
              <w:rPr>
                <w:rFonts w:ascii="Times New Roman" w:hAnsi="Times New Roman"/>
                <w:kern w:val="2"/>
              </w:rPr>
            </w:pPr>
            <w:r>
              <w:t>二苯并</w:t>
            </w:r>
            <w:r>
              <w:rPr>
                <w:rFonts w:ascii="Times New Roman" w:hAnsi="Times New Roman"/>
              </w:rPr>
              <w:t>[a,h]</w:t>
            </w:r>
            <w:r>
              <w:t>蒽（</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1.5</w:t>
            </w:r>
          </w:p>
        </w:tc>
        <w:tc>
          <w:tcPr>
            <w:tcW w:w="60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50" w:type="pct"/>
          </w:tcPr>
          <w:p>
            <w:pPr>
              <w:jc w:val="center"/>
              <w:rPr>
                <w:rFonts w:ascii="Times New Roman" w:hAnsi="Times New Roman"/>
                <w:kern w:val="2"/>
              </w:rPr>
            </w:pPr>
            <w:r>
              <w:rPr>
                <w:rFonts w:hint="eastAsia" w:ascii="Times New Roman" w:hAnsi="Times New Roman"/>
                <w:kern w:val="2"/>
              </w:rPr>
              <w:t>/</w:t>
            </w:r>
          </w:p>
        </w:tc>
        <w:tc>
          <w:tcPr>
            <w:tcW w:w="44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7" w:type="pct"/>
          </w:tcPr>
          <w:p>
            <w:pPr>
              <w:jc w:val="center"/>
              <w:rPr>
                <w:rFonts w:ascii="Times New Roman" w:hAnsi="Times New Roman"/>
                <w:kern w:val="2"/>
              </w:rPr>
            </w:pPr>
            <w:r>
              <w:rPr>
                <w:rFonts w:hint="eastAsia" w:ascii="Times New Roman" w:hAnsi="Times New Roman"/>
                <w:kern w:val="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6" w:type="pct"/>
          </w:tcPr>
          <w:p>
            <w:pPr>
              <w:jc w:val="center"/>
              <w:rPr>
                <w:rFonts w:ascii="Times New Roman" w:hAnsi="Times New Roman"/>
              </w:rPr>
            </w:pPr>
            <w:r>
              <w:rPr>
                <w:rFonts w:hint="eastAsia" w:ascii="Times New Roman" w:hAnsi="Times New Roman"/>
              </w:rPr>
              <w:t>4</w:t>
            </w:r>
            <w:r>
              <w:rPr>
                <w:rFonts w:ascii="Times New Roman" w:hAnsi="Times New Roman"/>
              </w:rPr>
              <w:t>4</w:t>
            </w:r>
          </w:p>
        </w:tc>
        <w:tc>
          <w:tcPr>
            <w:tcW w:w="814" w:type="pct"/>
            <w:vAlign w:val="center"/>
          </w:tcPr>
          <w:p>
            <w:pPr>
              <w:jc w:val="center"/>
              <w:rPr>
                <w:rFonts w:ascii="Times New Roman" w:hAnsi="Times New Roman"/>
                <w:kern w:val="2"/>
              </w:rPr>
            </w:pPr>
            <w:r>
              <w:t>茚并</w:t>
            </w:r>
            <w:r>
              <w:rPr>
                <w:rFonts w:ascii="Times New Roman" w:hAnsi="Times New Roman"/>
              </w:rPr>
              <w:t>[1,2,3-cd]</w:t>
            </w:r>
            <w:r>
              <w:t>芘（</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15</w:t>
            </w:r>
          </w:p>
        </w:tc>
        <w:tc>
          <w:tcPr>
            <w:tcW w:w="60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50" w:type="pct"/>
          </w:tcPr>
          <w:p>
            <w:pPr>
              <w:jc w:val="center"/>
              <w:rPr>
                <w:rFonts w:ascii="Times New Roman" w:hAnsi="Times New Roman"/>
                <w:kern w:val="2"/>
              </w:rPr>
            </w:pPr>
            <w:r>
              <w:rPr>
                <w:rFonts w:hint="eastAsia" w:ascii="Times New Roman" w:hAnsi="Times New Roman"/>
                <w:kern w:val="2"/>
              </w:rPr>
              <w:t>/</w:t>
            </w:r>
          </w:p>
        </w:tc>
        <w:tc>
          <w:tcPr>
            <w:tcW w:w="44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7" w:type="pct"/>
          </w:tcPr>
          <w:p>
            <w:pPr>
              <w:jc w:val="center"/>
              <w:rPr>
                <w:rFonts w:ascii="Times New Roman" w:hAnsi="Times New Roman"/>
                <w:kern w:val="2"/>
              </w:rPr>
            </w:pPr>
            <w:r>
              <w:rPr>
                <w:rFonts w:hint="eastAsia" w:ascii="Times New Roman" w:hAnsi="Times New Roman"/>
                <w:kern w:val="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216" w:type="pct"/>
          </w:tcPr>
          <w:p>
            <w:pPr>
              <w:jc w:val="center"/>
              <w:rPr>
                <w:rFonts w:ascii="Times New Roman" w:hAnsi="Times New Roman"/>
              </w:rPr>
            </w:pPr>
            <w:r>
              <w:rPr>
                <w:rFonts w:hint="eastAsia" w:ascii="Times New Roman" w:hAnsi="Times New Roman"/>
              </w:rPr>
              <w:t>4</w:t>
            </w:r>
            <w:r>
              <w:rPr>
                <w:rFonts w:ascii="Times New Roman" w:hAnsi="Times New Roman"/>
              </w:rPr>
              <w:t>5</w:t>
            </w:r>
          </w:p>
        </w:tc>
        <w:tc>
          <w:tcPr>
            <w:tcW w:w="814" w:type="pct"/>
            <w:vAlign w:val="center"/>
          </w:tcPr>
          <w:p>
            <w:pPr>
              <w:jc w:val="center"/>
              <w:rPr>
                <w:rFonts w:ascii="Times New Roman" w:hAnsi="Times New Roman"/>
                <w:kern w:val="2"/>
              </w:rPr>
            </w:pPr>
            <w:r>
              <w:t>萘（</w:t>
            </w:r>
            <w:r>
              <w:rPr>
                <w:rFonts w:ascii="Times New Roman" w:hAnsi="Times New Roman"/>
              </w:rPr>
              <w:t>μg/kg</w:t>
            </w:r>
            <w:r>
              <w:t>）</w:t>
            </w:r>
          </w:p>
        </w:tc>
        <w:tc>
          <w:tcPr>
            <w:tcW w:w="669" w:type="pct"/>
            <w:vAlign w:val="center"/>
          </w:tcPr>
          <w:p>
            <w:pPr>
              <w:jc w:val="center"/>
              <w:rPr>
                <w:rFonts w:ascii="Times New Roman" w:hAnsi="Times New Roman"/>
                <w:kern w:val="2"/>
              </w:rPr>
            </w:pPr>
            <w:r>
              <w:rPr>
                <w:rFonts w:ascii="Times New Roman" w:hAnsi="Times New Roman"/>
              </w:rPr>
              <w:t>70</w:t>
            </w:r>
          </w:p>
        </w:tc>
        <w:tc>
          <w:tcPr>
            <w:tcW w:w="60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50" w:type="pct"/>
          </w:tcPr>
          <w:p>
            <w:pPr>
              <w:jc w:val="center"/>
              <w:rPr>
                <w:rFonts w:ascii="Times New Roman" w:hAnsi="Times New Roman"/>
                <w:kern w:val="2"/>
              </w:rPr>
            </w:pPr>
            <w:r>
              <w:rPr>
                <w:rFonts w:hint="eastAsia" w:ascii="Times New Roman" w:hAnsi="Times New Roman"/>
                <w:kern w:val="2"/>
              </w:rPr>
              <w:t>/</w:t>
            </w:r>
          </w:p>
        </w:tc>
        <w:tc>
          <w:tcPr>
            <w:tcW w:w="448" w:type="pct"/>
          </w:tcPr>
          <w:p>
            <w:pPr>
              <w:jc w:val="center"/>
              <w:rPr>
                <w:rFonts w:ascii="Times New Roman" w:hAnsi="Times New Roman"/>
                <w:kern w:val="2"/>
              </w:rPr>
            </w:pPr>
            <w:r>
              <w:rPr>
                <w:rFonts w:hint="eastAsia" w:ascii="Times New Roman" w:hAnsi="Times New Roman"/>
                <w:kern w:val="2"/>
              </w:rPr>
              <w:t>/</w:t>
            </w:r>
          </w:p>
        </w:tc>
        <w:tc>
          <w:tcPr>
            <w:tcW w:w="449" w:type="pct"/>
          </w:tcPr>
          <w:p>
            <w:pPr>
              <w:jc w:val="center"/>
              <w:rPr>
                <w:rFonts w:ascii="Times New Roman" w:hAnsi="Times New Roman"/>
                <w:kern w:val="2"/>
              </w:rPr>
            </w:pPr>
            <w:r>
              <w:rPr>
                <w:rFonts w:hint="eastAsia" w:ascii="Times New Roman" w:hAnsi="Times New Roman"/>
                <w:kern w:val="2"/>
              </w:rPr>
              <w:t>/</w:t>
            </w:r>
          </w:p>
        </w:tc>
        <w:tc>
          <w:tcPr>
            <w:tcW w:w="447" w:type="pct"/>
          </w:tcPr>
          <w:p>
            <w:pPr>
              <w:jc w:val="center"/>
              <w:rPr>
                <w:rFonts w:ascii="Times New Roman" w:hAnsi="Times New Roman"/>
                <w:kern w:val="2"/>
              </w:rPr>
            </w:pPr>
            <w:r>
              <w:rPr>
                <w:rFonts w:hint="eastAsia" w:ascii="Times New Roman" w:hAnsi="Times New Roman"/>
                <w:kern w:val="2"/>
              </w:rPr>
              <w:t>/</w:t>
            </w:r>
          </w:p>
        </w:tc>
      </w:tr>
    </w:tbl>
    <w:p>
      <w:pPr>
        <w:spacing w:line="480" w:lineRule="exact"/>
        <w:jc w:val="center"/>
        <w:rPr>
          <w:rFonts w:ascii="Times New Roman" w:hAnsi="Times New Roman"/>
          <w:b/>
          <w:bCs/>
        </w:rPr>
      </w:pPr>
      <w:r>
        <w:rPr>
          <w:rFonts w:ascii="Times New Roman" w:hAnsi="Times New Roman"/>
          <w:b/>
          <w:bCs/>
        </w:rPr>
        <w:t>续表4.2-23 土壤环境现状监测评价结果（标准指数）</w:t>
      </w:r>
    </w:p>
    <w:tbl>
      <w:tblPr>
        <w:tblStyle w:val="7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56"/>
        <w:gridCol w:w="2178"/>
        <w:gridCol w:w="2889"/>
        <w:gridCol w:w="1481"/>
        <w:gridCol w:w="1885"/>
        <w:gridCol w:w="1548"/>
        <w:gridCol w:w="292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207" w:type="pct"/>
            <w:vMerge w:val="restart"/>
            <w:vAlign w:val="center"/>
          </w:tcPr>
          <w:p>
            <w:pPr>
              <w:rPr>
                <w:rFonts w:ascii="Times New Roman" w:hAnsi="Times New Roman"/>
              </w:rPr>
            </w:pPr>
            <w:r>
              <w:rPr>
                <w:rFonts w:ascii="Times New Roman" w:hAnsi="Times New Roman"/>
              </w:rPr>
              <w:t>序号</w:t>
            </w:r>
          </w:p>
        </w:tc>
        <w:tc>
          <w:tcPr>
            <w:tcW w:w="809" w:type="pct"/>
            <w:vMerge w:val="restart"/>
            <w:vAlign w:val="center"/>
          </w:tcPr>
          <w:p>
            <w:pPr>
              <w:jc w:val="center"/>
              <w:rPr>
                <w:rFonts w:ascii="Times New Roman" w:hAnsi="Times New Roman"/>
                <w:kern w:val="2"/>
              </w:rPr>
            </w:pPr>
            <w:r>
              <w:rPr>
                <w:rFonts w:ascii="Times New Roman" w:hAnsi="Times New Roman"/>
                <w:kern w:val="2"/>
              </w:rPr>
              <w:t>检测项目</w:t>
            </w:r>
          </w:p>
        </w:tc>
        <w:tc>
          <w:tcPr>
            <w:tcW w:w="1073" w:type="pct"/>
            <w:vMerge w:val="restart"/>
            <w:vAlign w:val="center"/>
          </w:tcPr>
          <w:p>
            <w:pPr>
              <w:rPr>
                <w:rFonts w:ascii="Times New Roman" w:hAnsi="Times New Roman"/>
                <w:kern w:val="2"/>
              </w:rPr>
            </w:pPr>
            <w:r>
              <w:rPr>
                <w:rFonts w:ascii="Times New Roman" w:hAnsi="Times New Roman"/>
                <w:bCs/>
                <w:szCs w:val="32"/>
              </w:rPr>
              <w:t>《土壤环境质量建设用地土壤污染风险管控标准》（试行）（GB36600-2018）中第二类用地筛选值标准</w:t>
            </w:r>
          </w:p>
        </w:tc>
        <w:tc>
          <w:tcPr>
            <w:tcW w:w="2911" w:type="pct"/>
            <w:gridSpan w:val="4"/>
            <w:vAlign w:val="center"/>
          </w:tcPr>
          <w:p>
            <w:pPr>
              <w:jc w:val="center"/>
              <w:rPr>
                <w:rFonts w:ascii="Times New Roman" w:hAnsi="Times New Roman"/>
                <w:kern w:val="2"/>
              </w:rPr>
            </w:pPr>
            <w:r>
              <w:rPr>
                <w:rFonts w:ascii="Times New Roman" w:hAnsi="Times New Roman"/>
                <w:kern w:val="2"/>
              </w:rPr>
              <w:t>标准指数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207" w:type="pct"/>
            <w:vMerge w:val="continue"/>
            <w:vAlign w:val="center"/>
          </w:tcPr>
          <w:p>
            <w:pPr>
              <w:rPr>
                <w:rFonts w:ascii="Times New Roman" w:hAnsi="Times New Roman"/>
              </w:rPr>
            </w:pPr>
          </w:p>
        </w:tc>
        <w:tc>
          <w:tcPr>
            <w:tcW w:w="809" w:type="pct"/>
            <w:vMerge w:val="continue"/>
            <w:vAlign w:val="center"/>
          </w:tcPr>
          <w:p>
            <w:pPr>
              <w:rPr>
                <w:rFonts w:ascii="Times New Roman" w:hAnsi="Times New Roman"/>
                <w:kern w:val="2"/>
              </w:rPr>
            </w:pPr>
          </w:p>
        </w:tc>
        <w:tc>
          <w:tcPr>
            <w:tcW w:w="1073" w:type="pct"/>
            <w:vMerge w:val="continue"/>
            <w:vAlign w:val="center"/>
          </w:tcPr>
          <w:p>
            <w:pPr>
              <w:rPr>
                <w:rFonts w:ascii="Times New Roman" w:hAnsi="Times New Roman"/>
                <w:kern w:val="2"/>
              </w:rPr>
            </w:pPr>
          </w:p>
        </w:tc>
        <w:tc>
          <w:tcPr>
            <w:tcW w:w="1825" w:type="pct"/>
            <w:gridSpan w:val="3"/>
            <w:vAlign w:val="center"/>
          </w:tcPr>
          <w:p>
            <w:pPr>
              <w:jc w:val="center"/>
              <w:rPr>
                <w:rFonts w:ascii="Times New Roman" w:hAnsi="Times New Roman"/>
                <w:lang w:bidi="ar"/>
              </w:rPr>
            </w:pPr>
            <w:r>
              <w:rPr>
                <w:rFonts w:ascii="Times New Roman" w:hAnsi="Times New Roman"/>
                <w:kern w:val="2"/>
              </w:rPr>
              <w:t>车库附近T4 4</w:t>
            </w:r>
            <w:r>
              <w:rPr>
                <w:rFonts w:ascii="Times New Roman" w:hAnsi="Times New Roman"/>
                <w:kern w:val="2"/>
              </w:rPr>
              <w:sym w:font="Wingdings" w:char="00A8"/>
            </w:r>
          </w:p>
        </w:tc>
        <w:tc>
          <w:tcPr>
            <w:tcW w:w="1086" w:type="pct"/>
            <w:vAlign w:val="center"/>
          </w:tcPr>
          <w:p>
            <w:pPr>
              <w:jc w:val="center"/>
              <w:rPr>
                <w:rFonts w:ascii="Times New Roman" w:hAnsi="Times New Roman"/>
                <w:lang w:bidi="ar"/>
              </w:rPr>
            </w:pPr>
            <w:r>
              <w:rPr>
                <w:rFonts w:ascii="Times New Roman" w:hAnsi="Times New Roman"/>
                <w:kern w:val="2"/>
              </w:rPr>
              <w:t>项目厂址下风向T6 6</w:t>
            </w:r>
            <w:r>
              <w:rPr>
                <w:rFonts w:ascii="Times New Roman" w:hAnsi="Times New Roman"/>
                <w:kern w:val="2"/>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207" w:type="pct"/>
            <w:vMerge w:val="continue"/>
            <w:vAlign w:val="center"/>
          </w:tcPr>
          <w:p>
            <w:pPr>
              <w:rPr>
                <w:rFonts w:ascii="Times New Roman" w:hAnsi="Times New Roman"/>
              </w:rPr>
            </w:pPr>
          </w:p>
        </w:tc>
        <w:tc>
          <w:tcPr>
            <w:tcW w:w="809" w:type="pct"/>
            <w:vMerge w:val="continue"/>
            <w:vAlign w:val="center"/>
          </w:tcPr>
          <w:p>
            <w:pPr>
              <w:rPr>
                <w:rFonts w:ascii="Times New Roman" w:hAnsi="Times New Roman"/>
                <w:kern w:val="2"/>
              </w:rPr>
            </w:pPr>
          </w:p>
        </w:tc>
        <w:tc>
          <w:tcPr>
            <w:tcW w:w="1073" w:type="pct"/>
            <w:vMerge w:val="continue"/>
            <w:vAlign w:val="center"/>
          </w:tcPr>
          <w:p>
            <w:pPr>
              <w:rPr>
                <w:rFonts w:ascii="Times New Roman" w:hAnsi="Times New Roman"/>
                <w:kern w:val="2"/>
              </w:rPr>
            </w:pPr>
          </w:p>
        </w:tc>
        <w:tc>
          <w:tcPr>
            <w:tcW w:w="550" w:type="pct"/>
            <w:vAlign w:val="center"/>
          </w:tcPr>
          <w:p>
            <w:pPr>
              <w:jc w:val="center"/>
              <w:rPr>
                <w:rFonts w:ascii="Times New Roman" w:hAnsi="Times New Roman"/>
                <w:kern w:val="2"/>
              </w:rPr>
            </w:pPr>
            <w:r>
              <w:rPr>
                <w:rFonts w:ascii="Times New Roman" w:hAnsi="Times New Roman"/>
                <w:kern w:val="2"/>
              </w:rPr>
              <w:t>0~0.5m</w:t>
            </w:r>
          </w:p>
        </w:tc>
        <w:tc>
          <w:tcPr>
            <w:tcW w:w="700" w:type="pct"/>
            <w:vAlign w:val="center"/>
          </w:tcPr>
          <w:p>
            <w:pPr>
              <w:jc w:val="center"/>
              <w:rPr>
                <w:rFonts w:ascii="Times New Roman" w:hAnsi="Times New Roman"/>
                <w:kern w:val="2"/>
              </w:rPr>
            </w:pPr>
            <w:r>
              <w:rPr>
                <w:rFonts w:ascii="Times New Roman" w:hAnsi="Times New Roman"/>
                <w:kern w:val="2"/>
              </w:rPr>
              <w:t>0.5~1.5m</w:t>
            </w:r>
          </w:p>
        </w:tc>
        <w:tc>
          <w:tcPr>
            <w:tcW w:w="575" w:type="pct"/>
            <w:vAlign w:val="center"/>
          </w:tcPr>
          <w:p>
            <w:pPr>
              <w:jc w:val="center"/>
              <w:rPr>
                <w:rFonts w:ascii="Times New Roman" w:hAnsi="Times New Roman"/>
                <w:kern w:val="2"/>
              </w:rPr>
            </w:pPr>
            <w:r>
              <w:rPr>
                <w:rFonts w:ascii="Times New Roman" w:hAnsi="Times New Roman"/>
                <w:kern w:val="2"/>
              </w:rPr>
              <w:t>1.5~3.0m</w:t>
            </w:r>
          </w:p>
        </w:tc>
        <w:tc>
          <w:tcPr>
            <w:tcW w:w="1086" w:type="pct"/>
            <w:vAlign w:val="center"/>
          </w:tcPr>
          <w:p>
            <w:pPr>
              <w:jc w:val="center"/>
              <w:rPr>
                <w:rFonts w:ascii="Times New Roman" w:hAnsi="Times New Roman"/>
                <w:kern w:val="2"/>
              </w:rPr>
            </w:pPr>
            <w:r>
              <w:rPr>
                <w:rFonts w:ascii="Times New Roman" w:hAnsi="Times New Roman"/>
                <w:kern w:val="2"/>
              </w:rPr>
              <w:t>0~0.2m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blHeader/>
          <w:jc w:val="center"/>
        </w:trPr>
        <w:tc>
          <w:tcPr>
            <w:tcW w:w="207" w:type="pct"/>
            <w:vAlign w:val="center"/>
          </w:tcPr>
          <w:p>
            <w:pPr>
              <w:jc w:val="center"/>
              <w:rPr>
                <w:rFonts w:ascii="Times New Roman" w:hAnsi="Times New Roman"/>
              </w:rPr>
            </w:pPr>
            <w:r>
              <w:rPr>
                <w:rFonts w:hint="eastAsia" w:ascii="Times New Roman" w:hAnsi="Times New Roman"/>
              </w:rPr>
              <w:t>1</w:t>
            </w:r>
          </w:p>
        </w:tc>
        <w:tc>
          <w:tcPr>
            <w:tcW w:w="809" w:type="pct"/>
            <w:vAlign w:val="center"/>
          </w:tcPr>
          <w:p>
            <w:pPr>
              <w:jc w:val="center"/>
              <w:rPr>
                <w:rFonts w:ascii="Times New Roman" w:hAnsi="Times New Roman"/>
                <w:kern w:val="2"/>
              </w:rPr>
            </w:pPr>
            <w:r>
              <w:rPr>
                <w:rFonts w:ascii="Times New Roman" w:hAnsi="Times New Roman"/>
                <w:lang w:bidi="ar"/>
              </w:rPr>
              <w:t>pH（无量纲）</w:t>
            </w:r>
          </w:p>
        </w:tc>
        <w:tc>
          <w:tcPr>
            <w:tcW w:w="1073" w:type="pct"/>
            <w:vAlign w:val="center"/>
          </w:tcPr>
          <w:p>
            <w:pPr>
              <w:jc w:val="center"/>
              <w:rPr>
                <w:rFonts w:ascii="Times New Roman" w:hAnsi="Times New Roman"/>
                <w:kern w:val="2"/>
              </w:rPr>
            </w:pPr>
            <w:r>
              <w:rPr>
                <w:rFonts w:ascii="Times New Roman" w:hAnsi="Times New Roman"/>
                <w:kern w:val="2"/>
              </w:rPr>
              <w:t>/</w:t>
            </w:r>
          </w:p>
        </w:tc>
        <w:tc>
          <w:tcPr>
            <w:tcW w:w="550" w:type="pct"/>
            <w:vAlign w:val="center"/>
          </w:tcPr>
          <w:p>
            <w:pPr>
              <w:jc w:val="center"/>
              <w:rPr>
                <w:rFonts w:ascii="Times New Roman" w:hAnsi="Times New Roman"/>
                <w:kern w:val="2"/>
              </w:rPr>
            </w:pPr>
            <w:r>
              <w:rPr>
                <w:rFonts w:ascii="Times New Roman" w:hAnsi="Times New Roman"/>
                <w:kern w:val="2"/>
              </w:rPr>
              <w:t>/</w:t>
            </w:r>
          </w:p>
        </w:tc>
        <w:tc>
          <w:tcPr>
            <w:tcW w:w="700" w:type="pct"/>
            <w:vAlign w:val="center"/>
          </w:tcPr>
          <w:p>
            <w:pPr>
              <w:jc w:val="center"/>
              <w:rPr>
                <w:rFonts w:ascii="Times New Roman" w:hAnsi="Times New Roman"/>
                <w:kern w:val="2"/>
              </w:rPr>
            </w:pPr>
            <w:r>
              <w:rPr>
                <w:rFonts w:ascii="Times New Roman" w:hAnsi="Times New Roman"/>
                <w:kern w:val="2"/>
              </w:rPr>
              <w:t>/</w:t>
            </w:r>
          </w:p>
        </w:tc>
        <w:tc>
          <w:tcPr>
            <w:tcW w:w="575" w:type="pct"/>
            <w:vAlign w:val="center"/>
          </w:tcPr>
          <w:p>
            <w:pPr>
              <w:jc w:val="center"/>
              <w:rPr>
                <w:rFonts w:ascii="Times New Roman" w:hAnsi="Times New Roman"/>
                <w:kern w:val="2"/>
              </w:rPr>
            </w:pPr>
            <w:r>
              <w:rPr>
                <w:rFonts w:ascii="Times New Roman" w:hAnsi="Times New Roman"/>
                <w:kern w:val="2"/>
              </w:rPr>
              <w:t>/</w:t>
            </w:r>
          </w:p>
        </w:tc>
        <w:tc>
          <w:tcPr>
            <w:tcW w:w="1086" w:type="pct"/>
            <w:vAlign w:val="center"/>
          </w:tcPr>
          <w:p>
            <w:pPr>
              <w:jc w:val="center"/>
              <w:rPr>
                <w:rFonts w:ascii="Times New Roman" w:hAnsi="Times New Roman"/>
                <w:kern w:val="2"/>
              </w:rPr>
            </w:pPr>
            <w:r>
              <w:rPr>
                <w:rFonts w:ascii="Times New Roman" w:hAnsi="Times New Roman"/>
                <w:kern w:val="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blHeader/>
          <w:jc w:val="center"/>
        </w:trPr>
        <w:tc>
          <w:tcPr>
            <w:tcW w:w="207" w:type="pct"/>
            <w:vAlign w:val="center"/>
          </w:tcPr>
          <w:p>
            <w:pPr>
              <w:jc w:val="center"/>
              <w:rPr>
                <w:rFonts w:ascii="Times New Roman" w:hAnsi="Times New Roman"/>
              </w:rPr>
            </w:pPr>
            <w:r>
              <w:rPr>
                <w:rFonts w:hint="eastAsia" w:ascii="Times New Roman" w:hAnsi="Times New Roman"/>
              </w:rPr>
              <w:t>2</w:t>
            </w:r>
          </w:p>
        </w:tc>
        <w:tc>
          <w:tcPr>
            <w:tcW w:w="809" w:type="pct"/>
            <w:vAlign w:val="center"/>
          </w:tcPr>
          <w:p>
            <w:pPr>
              <w:widowControl/>
              <w:jc w:val="center"/>
              <w:textAlignment w:val="center"/>
              <w:rPr>
                <w:rFonts w:ascii="Times New Roman" w:hAnsi="Times New Roman"/>
                <w:kern w:val="2"/>
              </w:rPr>
            </w:pPr>
            <w:r>
              <w:rPr>
                <w:rFonts w:ascii="Times New Roman" w:hAnsi="Times New Roman"/>
                <w:lang w:bidi="ar"/>
              </w:rPr>
              <w:t>砷</w:t>
            </w:r>
          </w:p>
        </w:tc>
        <w:tc>
          <w:tcPr>
            <w:tcW w:w="1073" w:type="pct"/>
            <w:vAlign w:val="center"/>
          </w:tcPr>
          <w:p>
            <w:pPr>
              <w:widowControl/>
              <w:jc w:val="center"/>
              <w:textAlignment w:val="center"/>
              <w:rPr>
                <w:rFonts w:ascii="Times New Roman" w:hAnsi="Times New Roman"/>
                <w:kern w:val="2"/>
              </w:rPr>
            </w:pPr>
            <w:r>
              <w:rPr>
                <w:rFonts w:ascii="Times New Roman" w:hAnsi="Times New Roman"/>
              </w:rPr>
              <w:t>60</w:t>
            </w:r>
          </w:p>
        </w:tc>
        <w:tc>
          <w:tcPr>
            <w:tcW w:w="550" w:type="pct"/>
            <w:vAlign w:val="center"/>
          </w:tcPr>
          <w:p>
            <w:pPr>
              <w:widowControl/>
              <w:jc w:val="center"/>
              <w:textAlignment w:val="center"/>
              <w:rPr>
                <w:rFonts w:ascii="Times New Roman" w:hAnsi="Times New Roman"/>
                <w:kern w:val="2"/>
              </w:rPr>
            </w:pPr>
            <w:r>
              <w:rPr>
                <w:rFonts w:ascii="Times New Roman" w:hAnsi="Times New Roman"/>
                <w:kern w:val="2"/>
              </w:rPr>
              <w:t>0.12</w:t>
            </w:r>
          </w:p>
        </w:tc>
        <w:tc>
          <w:tcPr>
            <w:tcW w:w="700" w:type="pct"/>
            <w:vAlign w:val="center"/>
          </w:tcPr>
          <w:p>
            <w:pPr>
              <w:widowControl/>
              <w:jc w:val="center"/>
              <w:textAlignment w:val="center"/>
              <w:rPr>
                <w:rFonts w:ascii="Times New Roman" w:hAnsi="Times New Roman"/>
                <w:kern w:val="2"/>
              </w:rPr>
            </w:pPr>
            <w:r>
              <w:rPr>
                <w:rFonts w:ascii="Times New Roman" w:hAnsi="Times New Roman"/>
                <w:kern w:val="2"/>
              </w:rPr>
              <w:t>0.12</w:t>
            </w:r>
          </w:p>
        </w:tc>
        <w:tc>
          <w:tcPr>
            <w:tcW w:w="575" w:type="pct"/>
            <w:vAlign w:val="center"/>
          </w:tcPr>
          <w:p>
            <w:pPr>
              <w:widowControl/>
              <w:jc w:val="center"/>
              <w:textAlignment w:val="center"/>
              <w:rPr>
                <w:rFonts w:ascii="Times New Roman" w:hAnsi="Times New Roman"/>
                <w:kern w:val="2"/>
              </w:rPr>
            </w:pPr>
            <w:r>
              <w:rPr>
                <w:rFonts w:ascii="Times New Roman" w:hAnsi="Times New Roman"/>
                <w:kern w:val="2"/>
              </w:rPr>
              <w:t>0..12</w:t>
            </w:r>
          </w:p>
        </w:tc>
        <w:tc>
          <w:tcPr>
            <w:tcW w:w="1086" w:type="pct"/>
            <w:vAlign w:val="center"/>
          </w:tcPr>
          <w:p>
            <w:pPr>
              <w:widowControl/>
              <w:jc w:val="center"/>
              <w:textAlignment w:val="center"/>
              <w:rPr>
                <w:rFonts w:ascii="Times New Roman" w:hAnsi="Times New Roman"/>
                <w:kern w:val="2"/>
              </w:rPr>
            </w:pPr>
            <w:r>
              <w:rPr>
                <w:rFonts w:ascii="Times New Roman" w:hAnsi="Times New Roman"/>
                <w:kern w:val="2"/>
              </w:rPr>
              <w:t>0.052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tblHeader/>
          <w:jc w:val="center"/>
        </w:trPr>
        <w:tc>
          <w:tcPr>
            <w:tcW w:w="207" w:type="pct"/>
            <w:vAlign w:val="center"/>
          </w:tcPr>
          <w:p>
            <w:pPr>
              <w:jc w:val="center"/>
              <w:rPr>
                <w:rFonts w:ascii="Times New Roman" w:hAnsi="Times New Roman"/>
              </w:rPr>
            </w:pPr>
            <w:r>
              <w:rPr>
                <w:rFonts w:hint="eastAsia" w:ascii="Times New Roman" w:hAnsi="Times New Roman"/>
              </w:rPr>
              <w:t>3</w:t>
            </w:r>
          </w:p>
        </w:tc>
        <w:tc>
          <w:tcPr>
            <w:tcW w:w="809" w:type="pct"/>
            <w:vAlign w:val="center"/>
          </w:tcPr>
          <w:p>
            <w:pPr>
              <w:widowControl/>
              <w:jc w:val="center"/>
              <w:textAlignment w:val="center"/>
              <w:rPr>
                <w:rFonts w:ascii="Times New Roman" w:hAnsi="Times New Roman"/>
                <w:kern w:val="2"/>
              </w:rPr>
            </w:pPr>
            <w:r>
              <w:rPr>
                <w:rFonts w:ascii="Times New Roman" w:hAnsi="Times New Roman"/>
                <w:lang w:bidi="ar"/>
              </w:rPr>
              <w:t>镉</w:t>
            </w:r>
          </w:p>
        </w:tc>
        <w:tc>
          <w:tcPr>
            <w:tcW w:w="1073" w:type="pct"/>
            <w:vAlign w:val="center"/>
          </w:tcPr>
          <w:p>
            <w:pPr>
              <w:widowControl/>
              <w:jc w:val="center"/>
              <w:textAlignment w:val="center"/>
              <w:rPr>
                <w:rFonts w:ascii="Times New Roman" w:hAnsi="Times New Roman"/>
                <w:kern w:val="2"/>
              </w:rPr>
            </w:pPr>
            <w:r>
              <w:rPr>
                <w:rFonts w:ascii="Times New Roman" w:hAnsi="Times New Roman"/>
              </w:rPr>
              <w:t>65</w:t>
            </w:r>
          </w:p>
        </w:tc>
        <w:tc>
          <w:tcPr>
            <w:tcW w:w="550" w:type="pct"/>
            <w:vAlign w:val="center"/>
          </w:tcPr>
          <w:p>
            <w:pPr>
              <w:widowControl/>
              <w:jc w:val="center"/>
              <w:textAlignment w:val="center"/>
              <w:rPr>
                <w:rFonts w:ascii="Times New Roman" w:hAnsi="Times New Roman"/>
                <w:kern w:val="2"/>
              </w:rPr>
            </w:pPr>
            <w:r>
              <w:rPr>
                <w:rFonts w:ascii="Times New Roman" w:hAnsi="Times New Roman"/>
                <w:kern w:val="2"/>
              </w:rPr>
              <w:t>0.19</w:t>
            </w:r>
          </w:p>
        </w:tc>
        <w:tc>
          <w:tcPr>
            <w:tcW w:w="700" w:type="pct"/>
            <w:vAlign w:val="center"/>
          </w:tcPr>
          <w:p>
            <w:pPr>
              <w:widowControl/>
              <w:jc w:val="center"/>
              <w:textAlignment w:val="center"/>
              <w:rPr>
                <w:rFonts w:ascii="Times New Roman" w:hAnsi="Times New Roman"/>
                <w:kern w:val="2"/>
              </w:rPr>
            </w:pPr>
            <w:r>
              <w:rPr>
                <w:rFonts w:ascii="Times New Roman" w:hAnsi="Times New Roman"/>
                <w:kern w:val="2"/>
              </w:rPr>
              <w:t>0.16</w:t>
            </w:r>
          </w:p>
        </w:tc>
        <w:tc>
          <w:tcPr>
            <w:tcW w:w="575" w:type="pct"/>
            <w:vAlign w:val="center"/>
          </w:tcPr>
          <w:p>
            <w:pPr>
              <w:widowControl/>
              <w:jc w:val="center"/>
              <w:textAlignment w:val="center"/>
              <w:rPr>
                <w:rFonts w:ascii="Times New Roman" w:hAnsi="Times New Roman"/>
                <w:kern w:val="2"/>
              </w:rPr>
            </w:pPr>
            <w:r>
              <w:rPr>
                <w:rFonts w:ascii="Times New Roman" w:hAnsi="Times New Roman"/>
                <w:kern w:val="2"/>
              </w:rPr>
              <w:t>0.12</w:t>
            </w:r>
          </w:p>
        </w:tc>
        <w:tc>
          <w:tcPr>
            <w:tcW w:w="1086" w:type="pct"/>
            <w:vAlign w:val="center"/>
          </w:tcPr>
          <w:p>
            <w:pPr>
              <w:widowControl/>
              <w:jc w:val="center"/>
              <w:textAlignment w:val="center"/>
              <w:rPr>
                <w:rFonts w:ascii="Times New Roman" w:hAnsi="Times New Roman"/>
                <w:kern w:val="2"/>
              </w:rPr>
            </w:pPr>
            <w:r>
              <w:rPr>
                <w:rFonts w:ascii="Times New Roman" w:hAnsi="Times New Roman"/>
                <w:kern w:val="2"/>
              </w:rPr>
              <w:t>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207" w:type="pct"/>
            <w:vAlign w:val="center"/>
          </w:tcPr>
          <w:p>
            <w:pPr>
              <w:jc w:val="center"/>
              <w:rPr>
                <w:rFonts w:ascii="Times New Roman" w:hAnsi="Times New Roman"/>
              </w:rPr>
            </w:pPr>
            <w:r>
              <w:rPr>
                <w:rFonts w:hint="eastAsia" w:ascii="Times New Roman" w:hAnsi="Times New Roman"/>
              </w:rPr>
              <w:t>4</w:t>
            </w:r>
          </w:p>
        </w:tc>
        <w:tc>
          <w:tcPr>
            <w:tcW w:w="809" w:type="pct"/>
            <w:vAlign w:val="center"/>
          </w:tcPr>
          <w:p>
            <w:pPr>
              <w:widowControl/>
              <w:jc w:val="center"/>
              <w:textAlignment w:val="center"/>
              <w:rPr>
                <w:rFonts w:ascii="Times New Roman" w:hAnsi="Times New Roman"/>
                <w:kern w:val="2"/>
              </w:rPr>
            </w:pPr>
            <w:r>
              <w:rPr>
                <w:rFonts w:ascii="Times New Roman" w:hAnsi="Times New Roman"/>
                <w:lang w:bidi="ar"/>
              </w:rPr>
              <w:t>六价铬</w:t>
            </w:r>
          </w:p>
        </w:tc>
        <w:tc>
          <w:tcPr>
            <w:tcW w:w="1073" w:type="pct"/>
            <w:vAlign w:val="center"/>
          </w:tcPr>
          <w:p>
            <w:pPr>
              <w:widowControl/>
              <w:jc w:val="center"/>
              <w:textAlignment w:val="center"/>
              <w:rPr>
                <w:rFonts w:ascii="Times New Roman" w:hAnsi="Times New Roman"/>
                <w:kern w:val="2"/>
              </w:rPr>
            </w:pPr>
            <w:r>
              <w:rPr>
                <w:rFonts w:ascii="Times New Roman" w:hAnsi="Times New Roman"/>
              </w:rPr>
              <w:t>5.7</w:t>
            </w:r>
          </w:p>
        </w:tc>
        <w:tc>
          <w:tcPr>
            <w:tcW w:w="550" w:type="pct"/>
            <w:vAlign w:val="center"/>
          </w:tcPr>
          <w:p>
            <w:pPr>
              <w:widowControl/>
              <w:jc w:val="center"/>
              <w:textAlignment w:val="center"/>
              <w:rPr>
                <w:rFonts w:ascii="Times New Roman" w:hAnsi="Times New Roman"/>
                <w:kern w:val="2"/>
              </w:rPr>
            </w:pPr>
            <w:r>
              <w:rPr>
                <w:rFonts w:ascii="Times New Roman" w:hAnsi="Times New Roman"/>
                <w:kern w:val="2"/>
              </w:rPr>
              <w:t>/</w:t>
            </w:r>
          </w:p>
        </w:tc>
        <w:tc>
          <w:tcPr>
            <w:tcW w:w="700" w:type="pct"/>
            <w:vAlign w:val="center"/>
          </w:tcPr>
          <w:p>
            <w:pPr>
              <w:widowControl/>
              <w:jc w:val="center"/>
              <w:textAlignment w:val="center"/>
              <w:rPr>
                <w:rFonts w:ascii="Times New Roman" w:hAnsi="Times New Roman"/>
                <w:kern w:val="2"/>
              </w:rPr>
            </w:pPr>
            <w:r>
              <w:rPr>
                <w:rFonts w:ascii="Times New Roman" w:hAnsi="Times New Roman"/>
                <w:kern w:val="2"/>
              </w:rPr>
              <w:t>/</w:t>
            </w:r>
          </w:p>
        </w:tc>
        <w:tc>
          <w:tcPr>
            <w:tcW w:w="575" w:type="pct"/>
            <w:vAlign w:val="center"/>
          </w:tcPr>
          <w:p>
            <w:pPr>
              <w:widowControl/>
              <w:jc w:val="center"/>
              <w:textAlignment w:val="center"/>
              <w:rPr>
                <w:rFonts w:ascii="Times New Roman" w:hAnsi="Times New Roman"/>
                <w:kern w:val="2"/>
              </w:rPr>
            </w:pPr>
            <w:r>
              <w:rPr>
                <w:rFonts w:ascii="Times New Roman" w:hAnsi="Times New Roman"/>
                <w:kern w:val="2"/>
              </w:rPr>
              <w:t>/</w:t>
            </w:r>
          </w:p>
        </w:tc>
        <w:tc>
          <w:tcPr>
            <w:tcW w:w="1086" w:type="pct"/>
            <w:vAlign w:val="center"/>
          </w:tcPr>
          <w:p>
            <w:pPr>
              <w:widowControl/>
              <w:jc w:val="center"/>
              <w:textAlignment w:val="center"/>
              <w:rPr>
                <w:rFonts w:ascii="Times New Roman" w:hAnsi="Times New Roman"/>
                <w:kern w:val="2"/>
              </w:rPr>
            </w:pPr>
            <w:r>
              <w:rPr>
                <w:rFonts w:ascii="Times New Roman" w:hAnsi="Times New Roman"/>
                <w:kern w:val="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207" w:type="pct"/>
            <w:vAlign w:val="center"/>
          </w:tcPr>
          <w:p>
            <w:pPr>
              <w:jc w:val="center"/>
              <w:rPr>
                <w:rFonts w:ascii="Times New Roman" w:hAnsi="Times New Roman"/>
              </w:rPr>
            </w:pPr>
            <w:r>
              <w:rPr>
                <w:rFonts w:hint="eastAsia" w:ascii="Times New Roman" w:hAnsi="Times New Roman"/>
              </w:rPr>
              <w:t>5</w:t>
            </w:r>
          </w:p>
        </w:tc>
        <w:tc>
          <w:tcPr>
            <w:tcW w:w="809" w:type="pct"/>
            <w:vAlign w:val="center"/>
          </w:tcPr>
          <w:p>
            <w:pPr>
              <w:widowControl/>
              <w:jc w:val="center"/>
              <w:textAlignment w:val="center"/>
              <w:rPr>
                <w:rFonts w:ascii="Times New Roman" w:hAnsi="Times New Roman"/>
                <w:kern w:val="2"/>
              </w:rPr>
            </w:pPr>
            <w:r>
              <w:rPr>
                <w:rFonts w:ascii="Times New Roman" w:hAnsi="Times New Roman"/>
                <w:lang w:bidi="ar"/>
              </w:rPr>
              <w:t>铜</w:t>
            </w:r>
          </w:p>
        </w:tc>
        <w:tc>
          <w:tcPr>
            <w:tcW w:w="1073" w:type="pct"/>
            <w:vAlign w:val="center"/>
          </w:tcPr>
          <w:p>
            <w:pPr>
              <w:widowControl/>
              <w:jc w:val="center"/>
              <w:textAlignment w:val="center"/>
              <w:rPr>
                <w:rFonts w:ascii="Times New Roman" w:hAnsi="Times New Roman"/>
                <w:kern w:val="2"/>
              </w:rPr>
            </w:pPr>
            <w:r>
              <w:rPr>
                <w:rFonts w:ascii="Times New Roman" w:hAnsi="Times New Roman"/>
              </w:rPr>
              <w:t>18000</w:t>
            </w:r>
          </w:p>
        </w:tc>
        <w:tc>
          <w:tcPr>
            <w:tcW w:w="550" w:type="pct"/>
            <w:vAlign w:val="center"/>
          </w:tcPr>
          <w:p>
            <w:pPr>
              <w:widowControl/>
              <w:jc w:val="center"/>
              <w:textAlignment w:val="center"/>
              <w:rPr>
                <w:rFonts w:ascii="Times New Roman" w:hAnsi="Times New Roman"/>
                <w:kern w:val="2"/>
              </w:rPr>
            </w:pPr>
            <w:r>
              <w:rPr>
                <w:rFonts w:ascii="Times New Roman" w:hAnsi="Times New Roman"/>
                <w:kern w:val="2"/>
              </w:rPr>
              <w:t>0.014</w:t>
            </w:r>
          </w:p>
        </w:tc>
        <w:tc>
          <w:tcPr>
            <w:tcW w:w="700" w:type="pct"/>
            <w:vAlign w:val="center"/>
          </w:tcPr>
          <w:p>
            <w:pPr>
              <w:widowControl/>
              <w:jc w:val="center"/>
              <w:textAlignment w:val="center"/>
              <w:rPr>
                <w:rFonts w:ascii="Times New Roman" w:hAnsi="Times New Roman"/>
                <w:kern w:val="2"/>
              </w:rPr>
            </w:pPr>
            <w:r>
              <w:rPr>
                <w:rFonts w:ascii="Times New Roman" w:hAnsi="Times New Roman"/>
                <w:kern w:val="2"/>
              </w:rPr>
              <w:t>0.0013</w:t>
            </w:r>
          </w:p>
        </w:tc>
        <w:tc>
          <w:tcPr>
            <w:tcW w:w="575" w:type="pct"/>
            <w:vAlign w:val="center"/>
          </w:tcPr>
          <w:p>
            <w:pPr>
              <w:widowControl/>
              <w:jc w:val="center"/>
              <w:textAlignment w:val="center"/>
              <w:rPr>
                <w:rFonts w:ascii="Times New Roman" w:hAnsi="Times New Roman"/>
                <w:kern w:val="2"/>
              </w:rPr>
            </w:pPr>
            <w:r>
              <w:rPr>
                <w:rFonts w:ascii="Times New Roman" w:hAnsi="Times New Roman"/>
                <w:kern w:val="2"/>
              </w:rPr>
              <w:t>0.0013</w:t>
            </w:r>
          </w:p>
        </w:tc>
        <w:tc>
          <w:tcPr>
            <w:tcW w:w="1086" w:type="pct"/>
            <w:vAlign w:val="center"/>
          </w:tcPr>
          <w:p>
            <w:pPr>
              <w:widowControl/>
              <w:jc w:val="center"/>
              <w:textAlignment w:val="center"/>
              <w:rPr>
                <w:rFonts w:ascii="Times New Roman" w:hAnsi="Times New Roman"/>
                <w:kern w:val="2"/>
              </w:rPr>
            </w:pPr>
            <w:r>
              <w:rPr>
                <w:rFonts w:ascii="Times New Roman" w:hAnsi="Times New Roman"/>
                <w:kern w:val="2"/>
              </w:rPr>
              <w:t>0.0011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207" w:type="pct"/>
            <w:vAlign w:val="center"/>
          </w:tcPr>
          <w:p>
            <w:pPr>
              <w:jc w:val="center"/>
              <w:rPr>
                <w:rFonts w:ascii="Times New Roman" w:hAnsi="Times New Roman"/>
              </w:rPr>
            </w:pPr>
            <w:r>
              <w:rPr>
                <w:rFonts w:hint="eastAsia" w:ascii="Times New Roman" w:hAnsi="Times New Roman"/>
              </w:rPr>
              <w:t>6</w:t>
            </w:r>
          </w:p>
        </w:tc>
        <w:tc>
          <w:tcPr>
            <w:tcW w:w="809" w:type="pct"/>
            <w:vAlign w:val="center"/>
          </w:tcPr>
          <w:p>
            <w:pPr>
              <w:widowControl/>
              <w:jc w:val="center"/>
              <w:textAlignment w:val="center"/>
              <w:rPr>
                <w:rFonts w:ascii="Times New Roman" w:hAnsi="Times New Roman"/>
                <w:kern w:val="2"/>
              </w:rPr>
            </w:pPr>
            <w:r>
              <w:rPr>
                <w:rFonts w:ascii="Times New Roman" w:hAnsi="Times New Roman"/>
                <w:lang w:bidi="ar"/>
              </w:rPr>
              <w:t>铅</w:t>
            </w:r>
          </w:p>
        </w:tc>
        <w:tc>
          <w:tcPr>
            <w:tcW w:w="1073" w:type="pct"/>
            <w:vAlign w:val="center"/>
          </w:tcPr>
          <w:p>
            <w:pPr>
              <w:widowControl/>
              <w:jc w:val="center"/>
              <w:textAlignment w:val="center"/>
              <w:rPr>
                <w:rFonts w:ascii="Times New Roman" w:hAnsi="Times New Roman"/>
                <w:kern w:val="2"/>
              </w:rPr>
            </w:pPr>
            <w:r>
              <w:rPr>
                <w:rFonts w:ascii="Times New Roman" w:hAnsi="Times New Roman"/>
              </w:rPr>
              <w:t>800</w:t>
            </w:r>
          </w:p>
        </w:tc>
        <w:tc>
          <w:tcPr>
            <w:tcW w:w="550" w:type="pct"/>
            <w:vAlign w:val="center"/>
          </w:tcPr>
          <w:p>
            <w:pPr>
              <w:widowControl/>
              <w:jc w:val="center"/>
              <w:textAlignment w:val="center"/>
              <w:rPr>
                <w:rFonts w:ascii="Times New Roman" w:hAnsi="Times New Roman"/>
                <w:kern w:val="2"/>
              </w:rPr>
            </w:pPr>
            <w:r>
              <w:rPr>
                <w:rFonts w:ascii="Times New Roman" w:hAnsi="Times New Roman"/>
                <w:kern w:val="2"/>
              </w:rPr>
              <w:t>0.024</w:t>
            </w:r>
          </w:p>
        </w:tc>
        <w:tc>
          <w:tcPr>
            <w:tcW w:w="700" w:type="pct"/>
            <w:vAlign w:val="center"/>
          </w:tcPr>
          <w:p>
            <w:pPr>
              <w:widowControl/>
              <w:jc w:val="center"/>
              <w:textAlignment w:val="center"/>
              <w:rPr>
                <w:rFonts w:ascii="Times New Roman" w:hAnsi="Times New Roman"/>
                <w:kern w:val="2"/>
              </w:rPr>
            </w:pPr>
            <w:r>
              <w:rPr>
                <w:rFonts w:ascii="Times New Roman" w:hAnsi="Times New Roman"/>
                <w:kern w:val="2"/>
              </w:rPr>
              <w:t>0.023</w:t>
            </w:r>
          </w:p>
        </w:tc>
        <w:tc>
          <w:tcPr>
            <w:tcW w:w="575" w:type="pct"/>
            <w:vAlign w:val="center"/>
          </w:tcPr>
          <w:p>
            <w:pPr>
              <w:widowControl/>
              <w:jc w:val="center"/>
              <w:textAlignment w:val="center"/>
              <w:rPr>
                <w:rFonts w:ascii="Times New Roman" w:hAnsi="Times New Roman"/>
                <w:kern w:val="2"/>
              </w:rPr>
            </w:pPr>
            <w:r>
              <w:rPr>
                <w:rFonts w:ascii="Times New Roman" w:hAnsi="Times New Roman"/>
                <w:kern w:val="2"/>
              </w:rPr>
              <w:t>0.021</w:t>
            </w:r>
          </w:p>
        </w:tc>
        <w:tc>
          <w:tcPr>
            <w:tcW w:w="1086" w:type="pct"/>
            <w:vAlign w:val="center"/>
          </w:tcPr>
          <w:p>
            <w:pPr>
              <w:widowControl/>
              <w:jc w:val="center"/>
              <w:textAlignment w:val="center"/>
              <w:rPr>
                <w:rFonts w:ascii="Times New Roman" w:hAnsi="Times New Roman"/>
                <w:kern w:val="2"/>
              </w:rPr>
            </w:pPr>
            <w:r>
              <w:rPr>
                <w:rFonts w:ascii="Times New Roman" w:hAnsi="Times New Roman"/>
                <w:kern w:val="2"/>
              </w:rPr>
              <w:t>0.028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207" w:type="pct"/>
            <w:vAlign w:val="center"/>
          </w:tcPr>
          <w:p>
            <w:pPr>
              <w:jc w:val="center"/>
              <w:rPr>
                <w:rFonts w:ascii="Times New Roman" w:hAnsi="Times New Roman"/>
              </w:rPr>
            </w:pPr>
            <w:r>
              <w:rPr>
                <w:rFonts w:hint="eastAsia" w:ascii="Times New Roman" w:hAnsi="Times New Roman"/>
              </w:rPr>
              <w:t>7</w:t>
            </w:r>
          </w:p>
        </w:tc>
        <w:tc>
          <w:tcPr>
            <w:tcW w:w="809" w:type="pct"/>
            <w:vAlign w:val="center"/>
          </w:tcPr>
          <w:p>
            <w:pPr>
              <w:widowControl/>
              <w:jc w:val="center"/>
              <w:textAlignment w:val="center"/>
              <w:rPr>
                <w:rFonts w:ascii="Times New Roman" w:hAnsi="Times New Roman"/>
                <w:kern w:val="2"/>
              </w:rPr>
            </w:pPr>
            <w:r>
              <w:rPr>
                <w:rFonts w:ascii="Times New Roman" w:hAnsi="Times New Roman"/>
                <w:lang w:bidi="ar"/>
              </w:rPr>
              <w:t>汞</w:t>
            </w:r>
          </w:p>
        </w:tc>
        <w:tc>
          <w:tcPr>
            <w:tcW w:w="1073" w:type="pct"/>
            <w:vAlign w:val="center"/>
          </w:tcPr>
          <w:p>
            <w:pPr>
              <w:widowControl/>
              <w:jc w:val="center"/>
              <w:textAlignment w:val="center"/>
              <w:rPr>
                <w:rFonts w:ascii="Times New Roman" w:hAnsi="Times New Roman"/>
                <w:kern w:val="2"/>
              </w:rPr>
            </w:pPr>
            <w:r>
              <w:rPr>
                <w:rFonts w:ascii="Times New Roman" w:hAnsi="Times New Roman"/>
              </w:rPr>
              <w:t>38</w:t>
            </w:r>
          </w:p>
        </w:tc>
        <w:tc>
          <w:tcPr>
            <w:tcW w:w="550" w:type="pct"/>
            <w:vAlign w:val="center"/>
          </w:tcPr>
          <w:p>
            <w:pPr>
              <w:widowControl/>
              <w:jc w:val="center"/>
              <w:textAlignment w:val="center"/>
              <w:rPr>
                <w:rFonts w:ascii="Times New Roman" w:hAnsi="Times New Roman"/>
                <w:kern w:val="2"/>
              </w:rPr>
            </w:pPr>
            <w:r>
              <w:rPr>
                <w:rFonts w:ascii="Times New Roman" w:hAnsi="Times New Roman"/>
                <w:kern w:val="2"/>
              </w:rPr>
              <w:t>0.0041</w:t>
            </w:r>
          </w:p>
        </w:tc>
        <w:tc>
          <w:tcPr>
            <w:tcW w:w="700" w:type="pct"/>
            <w:vAlign w:val="center"/>
          </w:tcPr>
          <w:p>
            <w:pPr>
              <w:widowControl/>
              <w:jc w:val="center"/>
              <w:textAlignment w:val="center"/>
              <w:rPr>
                <w:rFonts w:ascii="Times New Roman" w:hAnsi="Times New Roman"/>
                <w:kern w:val="2"/>
              </w:rPr>
            </w:pPr>
            <w:r>
              <w:rPr>
                <w:rFonts w:ascii="Times New Roman" w:hAnsi="Times New Roman"/>
                <w:kern w:val="2"/>
              </w:rPr>
              <w:t>0.0038</w:t>
            </w:r>
          </w:p>
        </w:tc>
        <w:tc>
          <w:tcPr>
            <w:tcW w:w="575" w:type="pct"/>
            <w:vAlign w:val="center"/>
          </w:tcPr>
          <w:p>
            <w:pPr>
              <w:widowControl/>
              <w:jc w:val="center"/>
              <w:textAlignment w:val="center"/>
              <w:rPr>
                <w:rFonts w:ascii="Times New Roman" w:hAnsi="Times New Roman"/>
                <w:kern w:val="2"/>
              </w:rPr>
            </w:pPr>
            <w:r>
              <w:rPr>
                <w:rFonts w:ascii="Times New Roman" w:hAnsi="Times New Roman"/>
                <w:kern w:val="2"/>
              </w:rPr>
              <w:t>0.0035</w:t>
            </w:r>
          </w:p>
        </w:tc>
        <w:tc>
          <w:tcPr>
            <w:tcW w:w="1086" w:type="pct"/>
            <w:vAlign w:val="center"/>
          </w:tcPr>
          <w:p>
            <w:pPr>
              <w:widowControl/>
              <w:jc w:val="center"/>
              <w:textAlignment w:val="center"/>
              <w:rPr>
                <w:rFonts w:ascii="Times New Roman" w:hAnsi="Times New Roman"/>
                <w:kern w:val="2"/>
              </w:rPr>
            </w:pPr>
            <w:r>
              <w:rPr>
                <w:rFonts w:ascii="Times New Roman" w:hAnsi="Times New Roman"/>
                <w:kern w:val="2"/>
              </w:rPr>
              <w:t>0.0029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207" w:type="pct"/>
            <w:vAlign w:val="center"/>
          </w:tcPr>
          <w:p>
            <w:pPr>
              <w:jc w:val="center"/>
              <w:rPr>
                <w:rFonts w:ascii="Times New Roman" w:hAnsi="Times New Roman"/>
              </w:rPr>
            </w:pPr>
            <w:r>
              <w:rPr>
                <w:rFonts w:hint="eastAsia" w:ascii="Times New Roman" w:hAnsi="Times New Roman"/>
              </w:rPr>
              <w:t>8</w:t>
            </w:r>
          </w:p>
        </w:tc>
        <w:tc>
          <w:tcPr>
            <w:tcW w:w="809" w:type="pct"/>
            <w:vAlign w:val="center"/>
          </w:tcPr>
          <w:p>
            <w:pPr>
              <w:widowControl/>
              <w:jc w:val="center"/>
              <w:textAlignment w:val="center"/>
              <w:rPr>
                <w:rFonts w:ascii="Times New Roman" w:hAnsi="Times New Roman"/>
                <w:kern w:val="2"/>
              </w:rPr>
            </w:pPr>
            <w:r>
              <w:rPr>
                <w:rFonts w:ascii="Times New Roman" w:hAnsi="Times New Roman"/>
                <w:lang w:bidi="ar"/>
              </w:rPr>
              <w:t>镍</w:t>
            </w:r>
          </w:p>
        </w:tc>
        <w:tc>
          <w:tcPr>
            <w:tcW w:w="1073" w:type="pct"/>
            <w:vAlign w:val="center"/>
          </w:tcPr>
          <w:p>
            <w:pPr>
              <w:widowControl/>
              <w:jc w:val="center"/>
              <w:textAlignment w:val="center"/>
              <w:rPr>
                <w:rFonts w:ascii="Times New Roman" w:hAnsi="Times New Roman"/>
                <w:kern w:val="2"/>
              </w:rPr>
            </w:pPr>
            <w:r>
              <w:rPr>
                <w:rFonts w:ascii="Times New Roman" w:hAnsi="Times New Roman"/>
              </w:rPr>
              <w:t>900</w:t>
            </w:r>
          </w:p>
        </w:tc>
        <w:tc>
          <w:tcPr>
            <w:tcW w:w="550" w:type="pct"/>
            <w:vAlign w:val="center"/>
          </w:tcPr>
          <w:p>
            <w:pPr>
              <w:widowControl/>
              <w:jc w:val="center"/>
              <w:textAlignment w:val="center"/>
              <w:rPr>
                <w:rFonts w:ascii="Times New Roman" w:hAnsi="Times New Roman"/>
                <w:kern w:val="2"/>
              </w:rPr>
            </w:pPr>
            <w:r>
              <w:rPr>
                <w:rFonts w:ascii="Times New Roman" w:hAnsi="Times New Roman"/>
                <w:kern w:val="2"/>
              </w:rPr>
              <w:t>0.057</w:t>
            </w:r>
          </w:p>
        </w:tc>
        <w:tc>
          <w:tcPr>
            <w:tcW w:w="700" w:type="pct"/>
            <w:vAlign w:val="center"/>
          </w:tcPr>
          <w:p>
            <w:pPr>
              <w:widowControl/>
              <w:jc w:val="center"/>
              <w:textAlignment w:val="center"/>
              <w:rPr>
                <w:rFonts w:ascii="Times New Roman" w:hAnsi="Times New Roman"/>
                <w:kern w:val="2"/>
              </w:rPr>
            </w:pPr>
            <w:r>
              <w:rPr>
                <w:rFonts w:ascii="Times New Roman" w:hAnsi="Times New Roman"/>
                <w:kern w:val="2"/>
              </w:rPr>
              <w:t>0.053</w:t>
            </w:r>
          </w:p>
        </w:tc>
        <w:tc>
          <w:tcPr>
            <w:tcW w:w="575" w:type="pct"/>
            <w:vAlign w:val="center"/>
          </w:tcPr>
          <w:p>
            <w:pPr>
              <w:widowControl/>
              <w:jc w:val="center"/>
              <w:textAlignment w:val="center"/>
              <w:rPr>
                <w:rFonts w:ascii="Times New Roman" w:hAnsi="Times New Roman"/>
                <w:kern w:val="2"/>
              </w:rPr>
            </w:pPr>
            <w:r>
              <w:rPr>
                <w:rFonts w:ascii="Times New Roman" w:hAnsi="Times New Roman"/>
                <w:kern w:val="2"/>
              </w:rPr>
              <w:t>0.05</w:t>
            </w:r>
          </w:p>
        </w:tc>
        <w:tc>
          <w:tcPr>
            <w:tcW w:w="1086" w:type="pct"/>
            <w:vAlign w:val="center"/>
          </w:tcPr>
          <w:p>
            <w:pPr>
              <w:widowControl/>
              <w:jc w:val="center"/>
              <w:textAlignment w:val="center"/>
              <w:rPr>
                <w:rFonts w:ascii="Times New Roman" w:hAnsi="Times New Roman"/>
                <w:kern w:val="2"/>
              </w:rPr>
            </w:pPr>
            <w:r>
              <w:rPr>
                <w:rFonts w:ascii="Times New Roman" w:hAnsi="Times New Roman"/>
                <w:kern w:val="2"/>
              </w:rPr>
              <w:t>0.048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blHeader/>
          <w:jc w:val="center"/>
        </w:trPr>
        <w:tc>
          <w:tcPr>
            <w:tcW w:w="207" w:type="pct"/>
            <w:vAlign w:val="center"/>
          </w:tcPr>
          <w:p>
            <w:pPr>
              <w:jc w:val="center"/>
              <w:rPr>
                <w:rFonts w:ascii="Times New Roman" w:hAnsi="Times New Roman"/>
              </w:rPr>
            </w:pPr>
            <w:r>
              <w:rPr>
                <w:rFonts w:hint="eastAsia" w:ascii="Times New Roman" w:hAnsi="Times New Roman"/>
              </w:rPr>
              <w:t>9</w:t>
            </w:r>
          </w:p>
        </w:tc>
        <w:tc>
          <w:tcPr>
            <w:tcW w:w="809" w:type="pct"/>
            <w:vAlign w:val="center"/>
          </w:tcPr>
          <w:p>
            <w:pPr>
              <w:widowControl/>
              <w:jc w:val="center"/>
              <w:textAlignment w:val="center"/>
              <w:rPr>
                <w:rFonts w:ascii="Times New Roman" w:hAnsi="Times New Roman"/>
                <w:kern w:val="2"/>
              </w:rPr>
            </w:pPr>
            <w:r>
              <w:rPr>
                <w:rFonts w:ascii="Times New Roman" w:hAnsi="Times New Roman"/>
                <w:lang w:bidi="ar"/>
              </w:rPr>
              <w:t>锌</w:t>
            </w:r>
          </w:p>
        </w:tc>
        <w:tc>
          <w:tcPr>
            <w:tcW w:w="1073" w:type="pct"/>
            <w:vAlign w:val="center"/>
          </w:tcPr>
          <w:p>
            <w:pPr>
              <w:widowControl/>
              <w:jc w:val="center"/>
              <w:textAlignment w:val="center"/>
              <w:rPr>
                <w:rFonts w:ascii="Times New Roman" w:hAnsi="Times New Roman"/>
                <w:kern w:val="2"/>
              </w:rPr>
            </w:pPr>
            <w:r>
              <w:rPr>
                <w:rFonts w:ascii="Times New Roman" w:hAnsi="Times New Roman"/>
                <w:kern w:val="2"/>
              </w:rPr>
              <w:t>/</w:t>
            </w:r>
          </w:p>
        </w:tc>
        <w:tc>
          <w:tcPr>
            <w:tcW w:w="550" w:type="pct"/>
            <w:vAlign w:val="center"/>
          </w:tcPr>
          <w:p>
            <w:pPr>
              <w:widowControl/>
              <w:jc w:val="center"/>
              <w:textAlignment w:val="center"/>
              <w:rPr>
                <w:rFonts w:ascii="Times New Roman" w:hAnsi="Times New Roman"/>
                <w:kern w:val="2"/>
              </w:rPr>
            </w:pPr>
            <w:r>
              <w:rPr>
                <w:rFonts w:ascii="Times New Roman" w:hAnsi="Times New Roman"/>
                <w:kern w:val="2"/>
              </w:rPr>
              <w:t>/</w:t>
            </w:r>
          </w:p>
        </w:tc>
        <w:tc>
          <w:tcPr>
            <w:tcW w:w="700" w:type="pct"/>
            <w:vAlign w:val="center"/>
          </w:tcPr>
          <w:p>
            <w:pPr>
              <w:widowControl/>
              <w:jc w:val="center"/>
              <w:textAlignment w:val="center"/>
              <w:rPr>
                <w:rFonts w:ascii="Times New Roman" w:hAnsi="Times New Roman"/>
                <w:kern w:val="2"/>
              </w:rPr>
            </w:pPr>
            <w:r>
              <w:rPr>
                <w:rFonts w:ascii="Times New Roman" w:hAnsi="Times New Roman"/>
                <w:kern w:val="2"/>
              </w:rPr>
              <w:t>/</w:t>
            </w:r>
          </w:p>
        </w:tc>
        <w:tc>
          <w:tcPr>
            <w:tcW w:w="575" w:type="pct"/>
            <w:vAlign w:val="center"/>
          </w:tcPr>
          <w:p>
            <w:pPr>
              <w:widowControl/>
              <w:jc w:val="center"/>
              <w:textAlignment w:val="center"/>
              <w:rPr>
                <w:rFonts w:ascii="Times New Roman" w:hAnsi="Times New Roman"/>
                <w:kern w:val="2"/>
              </w:rPr>
            </w:pPr>
            <w:r>
              <w:rPr>
                <w:rFonts w:ascii="Times New Roman" w:hAnsi="Times New Roman"/>
                <w:kern w:val="2"/>
              </w:rPr>
              <w:t>/</w:t>
            </w:r>
          </w:p>
        </w:tc>
        <w:tc>
          <w:tcPr>
            <w:tcW w:w="1086" w:type="pct"/>
            <w:vAlign w:val="center"/>
          </w:tcPr>
          <w:p>
            <w:pPr>
              <w:widowControl/>
              <w:jc w:val="center"/>
              <w:textAlignment w:val="center"/>
              <w:rPr>
                <w:rFonts w:ascii="Times New Roman" w:hAnsi="Times New Roman"/>
                <w:kern w:val="2"/>
              </w:rPr>
            </w:pPr>
            <w:r>
              <w:rPr>
                <w:rFonts w:ascii="Times New Roman" w:hAnsi="Times New Roman"/>
                <w:kern w:val="2"/>
              </w:rPr>
              <w:t>/</w:t>
            </w:r>
          </w:p>
        </w:tc>
      </w:tr>
    </w:tbl>
    <w:p>
      <w:pPr>
        <w:spacing w:line="480" w:lineRule="exact"/>
        <w:jc w:val="center"/>
        <w:rPr>
          <w:rFonts w:ascii="Times New Roman" w:hAnsi="Times New Roman"/>
          <w:b/>
          <w:bCs/>
        </w:rPr>
      </w:pPr>
      <w:r>
        <w:rPr>
          <w:rFonts w:ascii="Times New Roman" w:hAnsi="Times New Roman"/>
          <w:b/>
          <w:bCs/>
        </w:rPr>
        <w:t>续表4.2-23 土壤环境现状监测评价结果（标准指数）</w:t>
      </w:r>
    </w:p>
    <w:tbl>
      <w:tblPr>
        <w:tblStyle w:val="7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795"/>
        <w:gridCol w:w="1750"/>
        <w:gridCol w:w="5177"/>
        <w:gridCol w:w="373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38" w:type="pct"/>
            <w:vMerge w:val="restart"/>
            <w:vAlign w:val="center"/>
          </w:tcPr>
          <w:p>
            <w:pPr>
              <w:jc w:val="center"/>
              <w:rPr>
                <w:rFonts w:ascii="Times New Roman" w:hAnsi="Times New Roman"/>
                <w:b/>
                <w:bCs/>
              </w:rPr>
            </w:pPr>
            <w:r>
              <w:rPr>
                <w:rFonts w:ascii="Times New Roman" w:hAnsi="Times New Roman"/>
                <w:b/>
                <w:bCs/>
              </w:rPr>
              <w:t>监测因子</w:t>
            </w:r>
          </w:p>
        </w:tc>
        <w:tc>
          <w:tcPr>
            <w:tcW w:w="650" w:type="pct"/>
            <w:vMerge w:val="restart"/>
            <w:vAlign w:val="center"/>
          </w:tcPr>
          <w:p>
            <w:pPr>
              <w:jc w:val="center"/>
              <w:rPr>
                <w:rFonts w:ascii="Times New Roman" w:hAnsi="Times New Roman"/>
                <w:b/>
                <w:bCs/>
              </w:rPr>
            </w:pPr>
            <w:r>
              <w:rPr>
                <w:rFonts w:ascii="Times New Roman" w:hAnsi="Times New Roman"/>
                <w:b/>
                <w:bCs/>
              </w:rPr>
              <w:t>单位</w:t>
            </w:r>
          </w:p>
        </w:tc>
        <w:tc>
          <w:tcPr>
            <w:tcW w:w="1923" w:type="pct"/>
            <w:vMerge w:val="restart"/>
          </w:tcPr>
          <w:p>
            <w:pPr>
              <w:jc w:val="center"/>
              <w:rPr>
                <w:rFonts w:ascii="Times New Roman" w:hAnsi="Times New Roman"/>
                <w:kern w:val="2"/>
              </w:rPr>
            </w:pPr>
            <w:r>
              <w:rPr>
                <w:rFonts w:hint="eastAsia" w:ascii="Times New Roman" w:hAnsi="Times New Roman"/>
                <w:kern w:val="2"/>
              </w:rPr>
              <w:t>《土壤环境质量建设用地土壤污染风险管控标准》（试行）（</w:t>
            </w:r>
            <w:r>
              <w:rPr>
                <w:rFonts w:ascii="Times New Roman" w:hAnsi="Times New Roman"/>
                <w:kern w:val="2"/>
              </w:rPr>
              <w:t>GB36600-2018）中第二类用地筛选值标准（mg/kg）</w:t>
            </w:r>
          </w:p>
          <w:p>
            <w:pPr>
              <w:jc w:val="center"/>
              <w:rPr>
                <w:rFonts w:ascii="Times New Roman" w:hAnsi="Times New Roman"/>
                <w:kern w:val="2"/>
              </w:rPr>
            </w:pPr>
          </w:p>
        </w:tc>
        <w:tc>
          <w:tcPr>
            <w:tcW w:w="1389" w:type="pct"/>
            <w:vAlign w:val="center"/>
          </w:tcPr>
          <w:p>
            <w:pPr>
              <w:jc w:val="center"/>
              <w:rPr>
                <w:rFonts w:ascii="Times New Roman" w:hAnsi="Times New Roman"/>
                <w:b/>
                <w:bCs/>
              </w:rPr>
            </w:pPr>
            <w:r>
              <w:rPr>
                <w:rFonts w:ascii="Times New Roman" w:hAnsi="Times New Roman"/>
                <w:b/>
                <w:bCs/>
              </w:rPr>
              <w:t>0~0.2m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38" w:type="pct"/>
            <w:vMerge w:val="continue"/>
            <w:vAlign w:val="center"/>
          </w:tcPr>
          <w:p>
            <w:pPr>
              <w:jc w:val="center"/>
              <w:rPr>
                <w:rFonts w:ascii="Times New Roman" w:hAnsi="Times New Roman"/>
                <w:b/>
                <w:bCs/>
              </w:rPr>
            </w:pPr>
          </w:p>
        </w:tc>
        <w:tc>
          <w:tcPr>
            <w:tcW w:w="650" w:type="pct"/>
            <w:vMerge w:val="continue"/>
            <w:vAlign w:val="center"/>
          </w:tcPr>
          <w:p>
            <w:pPr>
              <w:jc w:val="center"/>
              <w:rPr>
                <w:rFonts w:ascii="Times New Roman" w:hAnsi="Times New Roman"/>
                <w:b/>
                <w:bCs/>
              </w:rPr>
            </w:pPr>
          </w:p>
        </w:tc>
        <w:tc>
          <w:tcPr>
            <w:tcW w:w="1923" w:type="pct"/>
            <w:vMerge w:val="continue"/>
          </w:tcPr>
          <w:p>
            <w:pPr>
              <w:jc w:val="center"/>
              <w:rPr>
                <w:rFonts w:ascii="Times New Roman" w:hAnsi="Times New Roman"/>
                <w:kern w:val="2"/>
              </w:rPr>
            </w:pPr>
          </w:p>
        </w:tc>
        <w:tc>
          <w:tcPr>
            <w:tcW w:w="1389" w:type="pct"/>
            <w:vAlign w:val="center"/>
          </w:tcPr>
          <w:p>
            <w:pPr>
              <w:jc w:val="center"/>
              <w:rPr>
                <w:rFonts w:ascii="Times New Roman" w:hAnsi="Times New Roman"/>
                <w:b/>
                <w:bCs/>
              </w:rPr>
            </w:pPr>
            <w:r>
              <w:rPr>
                <w:rFonts w:ascii="Times New Roman" w:hAnsi="Times New Roman"/>
                <w:b/>
                <w:bCs/>
              </w:rPr>
              <w:t>T5厂址下风向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38" w:type="pct"/>
            <w:vAlign w:val="center"/>
          </w:tcPr>
          <w:p>
            <w:pPr>
              <w:jc w:val="center"/>
              <w:rPr>
                <w:rFonts w:ascii="Times New Roman" w:hAnsi="Times New Roman"/>
                <w:bCs/>
              </w:rPr>
            </w:pPr>
            <w:r>
              <w:rPr>
                <w:rFonts w:ascii="Times New Roman" w:hAnsi="Times New Roman"/>
                <w:bCs/>
              </w:rPr>
              <w:t>pH</w:t>
            </w:r>
          </w:p>
        </w:tc>
        <w:tc>
          <w:tcPr>
            <w:tcW w:w="650" w:type="pct"/>
            <w:vAlign w:val="center"/>
          </w:tcPr>
          <w:p>
            <w:pPr>
              <w:jc w:val="center"/>
              <w:rPr>
                <w:rFonts w:ascii="Times New Roman" w:hAnsi="Times New Roman"/>
              </w:rPr>
            </w:pPr>
            <w:r>
              <w:rPr>
                <w:rFonts w:ascii="Times New Roman" w:hAnsi="Times New Roman"/>
              </w:rPr>
              <w:t>无量纲</w:t>
            </w:r>
          </w:p>
        </w:tc>
        <w:tc>
          <w:tcPr>
            <w:tcW w:w="1923" w:type="pct"/>
          </w:tcPr>
          <w:p>
            <w:pPr>
              <w:jc w:val="center"/>
              <w:rPr>
                <w:rFonts w:ascii="Times New Roman" w:hAnsi="Times New Roman"/>
                <w:kern w:val="2"/>
              </w:rPr>
            </w:pPr>
            <w:r>
              <w:rPr>
                <w:rFonts w:ascii="Times New Roman" w:hAnsi="Times New Roman"/>
                <w:kern w:val="2"/>
              </w:rPr>
              <w:t>/</w:t>
            </w:r>
          </w:p>
        </w:tc>
        <w:tc>
          <w:tcPr>
            <w:tcW w:w="1389" w:type="pct"/>
            <w:vAlign w:val="center"/>
          </w:tcPr>
          <w:p>
            <w:pPr>
              <w:jc w:val="center"/>
              <w:rPr>
                <w:rFonts w:ascii="Times New Roman" w:hAnsi="Times New Roman"/>
              </w:rPr>
            </w:pPr>
            <w:r>
              <w:rPr>
                <w:rFonts w:hint="eastAsia" w:ascii="Times New Roman" w:hAnsi="Times New Roma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38" w:type="pct"/>
            <w:vAlign w:val="center"/>
          </w:tcPr>
          <w:p>
            <w:pPr>
              <w:jc w:val="center"/>
              <w:rPr>
                <w:rFonts w:ascii="Times New Roman" w:hAnsi="Times New Roman"/>
              </w:rPr>
            </w:pPr>
            <w:r>
              <w:rPr>
                <w:rFonts w:ascii="Times New Roman" w:hAnsi="Times New Roman"/>
                <w:bCs/>
              </w:rPr>
              <w:t>砷</w:t>
            </w:r>
          </w:p>
        </w:tc>
        <w:tc>
          <w:tcPr>
            <w:tcW w:w="650" w:type="pct"/>
            <w:vAlign w:val="center"/>
          </w:tcPr>
          <w:p>
            <w:pPr>
              <w:jc w:val="center"/>
              <w:rPr>
                <w:rFonts w:ascii="Times New Roman" w:hAnsi="Times New Roman"/>
              </w:rPr>
            </w:pPr>
            <w:r>
              <w:rPr>
                <w:rFonts w:ascii="Times New Roman" w:hAnsi="Times New Roman"/>
              </w:rPr>
              <w:t>mg/kg</w:t>
            </w:r>
          </w:p>
        </w:tc>
        <w:tc>
          <w:tcPr>
            <w:tcW w:w="1923" w:type="pct"/>
          </w:tcPr>
          <w:p>
            <w:pPr>
              <w:jc w:val="center"/>
              <w:rPr>
                <w:rFonts w:ascii="Times New Roman" w:hAnsi="Times New Roman"/>
                <w:kern w:val="2"/>
              </w:rPr>
            </w:pPr>
            <w:r>
              <w:rPr>
                <w:rFonts w:ascii="Times New Roman" w:hAnsi="Times New Roman"/>
                <w:kern w:val="2"/>
              </w:rPr>
              <w:t>60</w:t>
            </w:r>
          </w:p>
        </w:tc>
        <w:tc>
          <w:tcPr>
            <w:tcW w:w="1389" w:type="pct"/>
            <w:vAlign w:val="center"/>
          </w:tcPr>
          <w:p>
            <w:pPr>
              <w:jc w:val="center"/>
              <w:rPr>
                <w:rFonts w:ascii="Times New Roman" w:hAnsi="Times New Roman"/>
              </w:rPr>
            </w:pPr>
            <w:r>
              <w:rPr>
                <w:rFonts w:ascii="Times New Roman" w:hAnsi="Times New Roman"/>
                <w:kern w:val="2"/>
              </w:rPr>
              <w:t>0.0023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038" w:type="pct"/>
            <w:vAlign w:val="center"/>
          </w:tcPr>
          <w:p>
            <w:pPr>
              <w:jc w:val="center"/>
              <w:rPr>
                <w:rFonts w:ascii="Times New Roman" w:hAnsi="Times New Roman"/>
              </w:rPr>
            </w:pPr>
            <w:r>
              <w:rPr>
                <w:rFonts w:ascii="Times New Roman" w:hAnsi="Times New Roman"/>
                <w:bCs/>
              </w:rPr>
              <w:t>镉</w:t>
            </w:r>
          </w:p>
        </w:tc>
        <w:tc>
          <w:tcPr>
            <w:tcW w:w="650" w:type="pct"/>
            <w:vAlign w:val="center"/>
          </w:tcPr>
          <w:p>
            <w:pPr>
              <w:jc w:val="center"/>
              <w:rPr>
                <w:rFonts w:ascii="Times New Roman" w:hAnsi="Times New Roman"/>
              </w:rPr>
            </w:pPr>
            <w:r>
              <w:rPr>
                <w:rFonts w:ascii="Times New Roman" w:hAnsi="Times New Roman"/>
              </w:rPr>
              <w:t>mg/kg</w:t>
            </w:r>
          </w:p>
        </w:tc>
        <w:tc>
          <w:tcPr>
            <w:tcW w:w="1923" w:type="pct"/>
          </w:tcPr>
          <w:p>
            <w:pPr>
              <w:jc w:val="center"/>
              <w:rPr>
                <w:rFonts w:ascii="Times New Roman" w:hAnsi="Times New Roman"/>
                <w:kern w:val="2"/>
              </w:rPr>
            </w:pPr>
            <w:r>
              <w:rPr>
                <w:rFonts w:ascii="Times New Roman" w:hAnsi="Times New Roman"/>
                <w:kern w:val="2"/>
              </w:rPr>
              <w:t>65</w:t>
            </w:r>
          </w:p>
        </w:tc>
        <w:tc>
          <w:tcPr>
            <w:tcW w:w="1389" w:type="pct"/>
            <w:vAlign w:val="center"/>
          </w:tcPr>
          <w:p>
            <w:pPr>
              <w:jc w:val="center"/>
              <w:rPr>
                <w:rFonts w:ascii="Times New Roman" w:hAnsi="Times New Roman"/>
              </w:rPr>
            </w:pPr>
            <w:r>
              <w:rPr>
                <w:rFonts w:ascii="Times New Roman" w:hAnsi="Times New Roman"/>
                <w:kern w:val="2"/>
              </w:rPr>
              <w:t>0.00051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038" w:type="pct"/>
            <w:vAlign w:val="center"/>
          </w:tcPr>
          <w:p>
            <w:pPr>
              <w:jc w:val="center"/>
              <w:rPr>
                <w:rFonts w:ascii="Times New Roman" w:hAnsi="Times New Roman"/>
              </w:rPr>
            </w:pPr>
            <w:r>
              <w:rPr>
                <w:rFonts w:ascii="Times New Roman" w:hAnsi="Times New Roman"/>
                <w:bCs/>
              </w:rPr>
              <w:t>铬（六价）</w:t>
            </w:r>
          </w:p>
        </w:tc>
        <w:tc>
          <w:tcPr>
            <w:tcW w:w="650" w:type="pct"/>
            <w:vAlign w:val="center"/>
          </w:tcPr>
          <w:p>
            <w:pPr>
              <w:jc w:val="center"/>
              <w:rPr>
                <w:rFonts w:ascii="Times New Roman" w:hAnsi="Times New Roman"/>
              </w:rPr>
            </w:pPr>
            <w:r>
              <w:rPr>
                <w:rFonts w:ascii="Times New Roman" w:hAnsi="Times New Roman"/>
              </w:rPr>
              <w:t>mg/kg</w:t>
            </w:r>
          </w:p>
        </w:tc>
        <w:tc>
          <w:tcPr>
            <w:tcW w:w="1923" w:type="pct"/>
          </w:tcPr>
          <w:p>
            <w:pPr>
              <w:jc w:val="center"/>
              <w:rPr>
                <w:rFonts w:ascii="Times New Roman" w:hAnsi="Times New Roman"/>
                <w:kern w:val="2"/>
              </w:rPr>
            </w:pPr>
            <w:r>
              <w:rPr>
                <w:rFonts w:ascii="Times New Roman" w:hAnsi="Times New Roman"/>
                <w:kern w:val="2"/>
              </w:rPr>
              <w:t>5.7</w:t>
            </w:r>
          </w:p>
        </w:tc>
        <w:tc>
          <w:tcPr>
            <w:tcW w:w="1389" w:type="pct"/>
            <w:vAlign w:val="center"/>
          </w:tcPr>
          <w:p>
            <w:pPr>
              <w:jc w:val="center"/>
              <w:rPr>
                <w:rFonts w:ascii="Times New Roman" w:hAnsi="Times New Roman"/>
              </w:rPr>
            </w:pPr>
            <w:r>
              <w:rPr>
                <w:rFonts w:ascii="Times New Roman" w:hAnsi="Times New Roman"/>
                <w:kern w:val="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38" w:type="pct"/>
            <w:vAlign w:val="center"/>
          </w:tcPr>
          <w:p>
            <w:pPr>
              <w:jc w:val="center"/>
              <w:rPr>
                <w:rFonts w:ascii="Times New Roman" w:hAnsi="Times New Roman"/>
              </w:rPr>
            </w:pPr>
            <w:r>
              <w:rPr>
                <w:rFonts w:ascii="Times New Roman" w:hAnsi="Times New Roman"/>
                <w:bCs/>
              </w:rPr>
              <w:t>铜</w:t>
            </w:r>
          </w:p>
        </w:tc>
        <w:tc>
          <w:tcPr>
            <w:tcW w:w="650" w:type="pct"/>
            <w:vAlign w:val="center"/>
          </w:tcPr>
          <w:p>
            <w:pPr>
              <w:jc w:val="center"/>
              <w:rPr>
                <w:rFonts w:ascii="Times New Roman" w:hAnsi="Times New Roman"/>
              </w:rPr>
            </w:pPr>
            <w:r>
              <w:rPr>
                <w:rFonts w:ascii="Times New Roman" w:hAnsi="Times New Roman"/>
              </w:rPr>
              <w:t>mg/kg</w:t>
            </w:r>
          </w:p>
        </w:tc>
        <w:tc>
          <w:tcPr>
            <w:tcW w:w="1923" w:type="pct"/>
          </w:tcPr>
          <w:p>
            <w:pPr>
              <w:jc w:val="center"/>
              <w:rPr>
                <w:rFonts w:ascii="Times New Roman" w:hAnsi="Times New Roman"/>
                <w:kern w:val="2"/>
              </w:rPr>
            </w:pPr>
            <w:r>
              <w:rPr>
                <w:rFonts w:ascii="Times New Roman" w:hAnsi="Times New Roman"/>
                <w:kern w:val="2"/>
              </w:rPr>
              <w:t>18000</w:t>
            </w:r>
          </w:p>
        </w:tc>
        <w:tc>
          <w:tcPr>
            <w:tcW w:w="1389" w:type="pct"/>
            <w:vAlign w:val="center"/>
          </w:tcPr>
          <w:p>
            <w:pPr>
              <w:jc w:val="center"/>
              <w:rPr>
                <w:rFonts w:ascii="Times New Roman" w:hAnsi="Times New Roman"/>
              </w:rPr>
            </w:pPr>
            <w:r>
              <w:rPr>
                <w:rFonts w:ascii="Times New Roman" w:hAnsi="Times New Roman"/>
                <w:kern w:val="2"/>
              </w:rPr>
              <w:t>0.000011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38" w:type="pct"/>
            <w:vAlign w:val="center"/>
          </w:tcPr>
          <w:p>
            <w:pPr>
              <w:jc w:val="center"/>
              <w:rPr>
                <w:rFonts w:ascii="Times New Roman" w:hAnsi="Times New Roman"/>
              </w:rPr>
            </w:pPr>
            <w:r>
              <w:rPr>
                <w:rFonts w:ascii="Times New Roman" w:hAnsi="Times New Roman"/>
                <w:bCs/>
              </w:rPr>
              <w:t>铅</w:t>
            </w:r>
          </w:p>
        </w:tc>
        <w:tc>
          <w:tcPr>
            <w:tcW w:w="650" w:type="pct"/>
            <w:vAlign w:val="center"/>
          </w:tcPr>
          <w:p>
            <w:pPr>
              <w:jc w:val="center"/>
              <w:rPr>
                <w:rFonts w:ascii="Times New Roman" w:hAnsi="Times New Roman"/>
              </w:rPr>
            </w:pPr>
            <w:r>
              <w:rPr>
                <w:rFonts w:ascii="Times New Roman" w:hAnsi="Times New Roman"/>
              </w:rPr>
              <w:t>mg/kg</w:t>
            </w:r>
          </w:p>
        </w:tc>
        <w:tc>
          <w:tcPr>
            <w:tcW w:w="1923" w:type="pct"/>
          </w:tcPr>
          <w:p>
            <w:pPr>
              <w:jc w:val="center"/>
              <w:rPr>
                <w:rFonts w:ascii="Times New Roman" w:hAnsi="Times New Roman"/>
                <w:kern w:val="2"/>
              </w:rPr>
            </w:pPr>
            <w:r>
              <w:rPr>
                <w:rFonts w:ascii="Times New Roman" w:hAnsi="Times New Roman"/>
                <w:kern w:val="2"/>
              </w:rPr>
              <w:t>800</w:t>
            </w:r>
          </w:p>
        </w:tc>
        <w:tc>
          <w:tcPr>
            <w:tcW w:w="1389" w:type="pct"/>
            <w:vAlign w:val="center"/>
          </w:tcPr>
          <w:p>
            <w:pPr>
              <w:jc w:val="center"/>
              <w:rPr>
                <w:rFonts w:ascii="Times New Roman" w:hAnsi="Times New Roman"/>
              </w:rPr>
            </w:pPr>
            <w:r>
              <w:rPr>
                <w:rFonts w:ascii="Times New Roman" w:hAnsi="Times New Roman"/>
                <w:kern w:val="2"/>
              </w:rPr>
              <w:t>0.000275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38" w:type="pct"/>
            <w:vAlign w:val="center"/>
          </w:tcPr>
          <w:p>
            <w:pPr>
              <w:jc w:val="center"/>
              <w:rPr>
                <w:rFonts w:ascii="Times New Roman" w:hAnsi="Times New Roman"/>
              </w:rPr>
            </w:pPr>
            <w:r>
              <w:rPr>
                <w:rFonts w:ascii="Times New Roman" w:hAnsi="Times New Roman"/>
                <w:bCs/>
              </w:rPr>
              <w:t>汞</w:t>
            </w:r>
          </w:p>
        </w:tc>
        <w:tc>
          <w:tcPr>
            <w:tcW w:w="650" w:type="pct"/>
            <w:vAlign w:val="center"/>
          </w:tcPr>
          <w:p>
            <w:pPr>
              <w:jc w:val="center"/>
              <w:rPr>
                <w:rFonts w:ascii="Times New Roman" w:hAnsi="Times New Roman"/>
              </w:rPr>
            </w:pPr>
            <w:r>
              <w:rPr>
                <w:rFonts w:ascii="Times New Roman" w:hAnsi="Times New Roman"/>
              </w:rPr>
              <w:t>mg/kg</w:t>
            </w:r>
          </w:p>
        </w:tc>
        <w:tc>
          <w:tcPr>
            <w:tcW w:w="1923" w:type="pct"/>
          </w:tcPr>
          <w:p>
            <w:pPr>
              <w:jc w:val="center"/>
              <w:rPr>
                <w:rFonts w:ascii="Times New Roman" w:hAnsi="Times New Roman"/>
                <w:kern w:val="2"/>
              </w:rPr>
            </w:pPr>
            <w:r>
              <w:rPr>
                <w:rFonts w:ascii="Times New Roman" w:hAnsi="Times New Roman"/>
                <w:kern w:val="2"/>
              </w:rPr>
              <w:t>38</w:t>
            </w:r>
          </w:p>
        </w:tc>
        <w:tc>
          <w:tcPr>
            <w:tcW w:w="1389" w:type="pct"/>
            <w:vAlign w:val="center"/>
          </w:tcPr>
          <w:p>
            <w:pPr>
              <w:jc w:val="center"/>
              <w:rPr>
                <w:rFonts w:ascii="Times New Roman" w:hAnsi="Times New Roman"/>
              </w:rPr>
            </w:pPr>
            <w:r>
              <w:rPr>
                <w:rFonts w:ascii="Times New Roman" w:hAnsi="Times New Roman"/>
                <w:kern w:val="2"/>
              </w:rPr>
              <w:t>0.0015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38" w:type="pct"/>
            <w:vAlign w:val="center"/>
          </w:tcPr>
          <w:p>
            <w:pPr>
              <w:jc w:val="center"/>
              <w:rPr>
                <w:rFonts w:ascii="Times New Roman" w:hAnsi="Times New Roman"/>
              </w:rPr>
            </w:pPr>
            <w:r>
              <w:rPr>
                <w:rFonts w:ascii="Times New Roman" w:hAnsi="Times New Roman"/>
                <w:bCs/>
              </w:rPr>
              <w:t>镍</w:t>
            </w:r>
          </w:p>
        </w:tc>
        <w:tc>
          <w:tcPr>
            <w:tcW w:w="650" w:type="pct"/>
            <w:vAlign w:val="center"/>
          </w:tcPr>
          <w:p>
            <w:pPr>
              <w:jc w:val="center"/>
              <w:rPr>
                <w:rFonts w:ascii="Times New Roman" w:hAnsi="Times New Roman"/>
              </w:rPr>
            </w:pPr>
            <w:r>
              <w:rPr>
                <w:rFonts w:ascii="Times New Roman" w:hAnsi="Times New Roman"/>
              </w:rPr>
              <w:t>mg/kg</w:t>
            </w:r>
          </w:p>
        </w:tc>
        <w:tc>
          <w:tcPr>
            <w:tcW w:w="1923" w:type="pct"/>
          </w:tcPr>
          <w:p>
            <w:pPr>
              <w:jc w:val="center"/>
              <w:rPr>
                <w:rFonts w:ascii="Times New Roman" w:hAnsi="Times New Roman"/>
                <w:kern w:val="2"/>
              </w:rPr>
            </w:pPr>
            <w:r>
              <w:rPr>
                <w:rFonts w:ascii="Times New Roman" w:hAnsi="Times New Roman"/>
                <w:kern w:val="2"/>
              </w:rPr>
              <w:t>900</w:t>
            </w:r>
          </w:p>
        </w:tc>
        <w:tc>
          <w:tcPr>
            <w:tcW w:w="1389" w:type="pct"/>
            <w:vAlign w:val="center"/>
          </w:tcPr>
          <w:p>
            <w:pPr>
              <w:jc w:val="center"/>
              <w:rPr>
                <w:rFonts w:ascii="Times New Roman" w:hAnsi="Times New Roman"/>
              </w:rPr>
            </w:pPr>
            <w:r>
              <w:rPr>
                <w:rFonts w:ascii="Times New Roman" w:hAnsi="Times New Roman"/>
                <w:kern w:val="2"/>
              </w:rPr>
              <w:t>0.00044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38" w:type="pct"/>
            <w:vAlign w:val="center"/>
          </w:tcPr>
          <w:p>
            <w:pPr>
              <w:jc w:val="center"/>
              <w:rPr>
                <w:rFonts w:ascii="Times New Roman" w:hAnsi="Times New Roman"/>
                <w:bCs/>
              </w:rPr>
            </w:pPr>
            <w:r>
              <w:rPr>
                <w:rFonts w:ascii="Times New Roman" w:hAnsi="Times New Roman"/>
                <w:bCs/>
              </w:rPr>
              <w:t>锌</w:t>
            </w:r>
          </w:p>
        </w:tc>
        <w:tc>
          <w:tcPr>
            <w:tcW w:w="650" w:type="pct"/>
            <w:vAlign w:val="center"/>
          </w:tcPr>
          <w:p>
            <w:pPr>
              <w:jc w:val="center"/>
              <w:rPr>
                <w:rFonts w:ascii="Times New Roman" w:hAnsi="Times New Roman"/>
              </w:rPr>
            </w:pPr>
            <w:r>
              <w:rPr>
                <w:rFonts w:ascii="Times New Roman" w:hAnsi="Times New Roman"/>
              </w:rPr>
              <w:t>mg/kg</w:t>
            </w:r>
          </w:p>
        </w:tc>
        <w:tc>
          <w:tcPr>
            <w:tcW w:w="1923" w:type="pct"/>
          </w:tcPr>
          <w:p>
            <w:pPr>
              <w:jc w:val="center"/>
              <w:rPr>
                <w:rFonts w:ascii="Times New Roman" w:hAnsi="Times New Roman"/>
                <w:kern w:val="2"/>
              </w:rPr>
            </w:pPr>
            <w:r>
              <w:rPr>
                <w:rFonts w:ascii="Times New Roman" w:hAnsi="Times New Roman"/>
                <w:kern w:val="2"/>
              </w:rPr>
              <w:t>/</w:t>
            </w:r>
          </w:p>
        </w:tc>
        <w:tc>
          <w:tcPr>
            <w:tcW w:w="1389" w:type="pct"/>
            <w:vAlign w:val="center"/>
          </w:tcPr>
          <w:p>
            <w:pPr>
              <w:jc w:val="center"/>
              <w:rPr>
                <w:rFonts w:ascii="Times New Roman" w:hAnsi="Times New Roman"/>
              </w:rPr>
            </w:pPr>
            <w:r>
              <w:rPr>
                <w:rFonts w:hint="eastAsia" w:ascii="Times New Roman" w:hAnsi="Times New Roman"/>
              </w:rPr>
              <w:t>/</w:t>
            </w:r>
          </w:p>
        </w:tc>
      </w:tr>
    </w:tbl>
    <w:p>
      <w:pPr>
        <w:spacing w:line="480" w:lineRule="exact"/>
        <w:ind w:firstLine="480" w:firstLineChars="200"/>
        <w:rPr>
          <w:rFonts w:ascii="Times New Roman" w:hAnsi="Times New Roman"/>
          <w:sz w:val="24"/>
        </w:rPr>
      </w:pPr>
    </w:p>
    <w:p>
      <w:pPr>
        <w:spacing w:line="480" w:lineRule="exact"/>
        <w:ind w:firstLine="480" w:firstLineChars="200"/>
        <w:rPr>
          <w:rFonts w:ascii="Times New Roman" w:hAnsi="Times New Roman"/>
          <w:sz w:val="24"/>
        </w:rPr>
        <w:sectPr>
          <w:pgSz w:w="16839" w:h="11907" w:orient="landscape"/>
          <w:pgMar w:top="1440" w:right="1797" w:bottom="1440" w:left="1797" w:header="851" w:footer="850" w:gutter="0"/>
          <w:cols w:space="720" w:num="1"/>
          <w:docGrid w:linePitch="312" w:charSpace="0"/>
        </w:sectPr>
      </w:pPr>
    </w:p>
    <w:p>
      <w:pPr>
        <w:pStyle w:val="3"/>
        <w:spacing w:before="120" w:beforeLines="50" w:after="120" w:afterLines="50" w:line="480" w:lineRule="exact"/>
        <w:ind w:left="-11"/>
        <w:rPr>
          <w:rFonts w:ascii="Times New Roman" w:hAnsi="Times New Roman" w:eastAsia="黑体"/>
          <w:sz w:val="30"/>
          <w:szCs w:val="30"/>
        </w:rPr>
      </w:pPr>
      <w:bookmarkStart w:id="944" w:name="_Toc116379713"/>
      <w:bookmarkStart w:id="945" w:name="_Toc31700"/>
      <w:r>
        <w:rPr>
          <w:rFonts w:ascii="Times New Roman" w:hAnsi="Times New Roman" w:eastAsia="黑体"/>
          <w:sz w:val="30"/>
          <w:szCs w:val="30"/>
        </w:rPr>
        <w:t>区域污染源调查</w:t>
      </w:r>
      <w:bookmarkEnd w:id="944"/>
      <w:bookmarkEnd w:id="945"/>
    </w:p>
    <w:p>
      <w:pPr>
        <w:spacing w:line="480" w:lineRule="exact"/>
        <w:ind w:firstLine="480" w:firstLineChars="200"/>
        <w:rPr>
          <w:rFonts w:ascii="Times New Roman" w:hAnsi="Times New Roman"/>
          <w:sz w:val="24"/>
        </w:rPr>
      </w:pPr>
      <w:r>
        <w:rPr>
          <w:rFonts w:ascii="Times New Roman" w:hAnsi="Times New Roman"/>
          <w:sz w:val="24"/>
        </w:rPr>
        <w:t>本项目所在区域的主要污染源为双鸭山市生活垃圾焚烧发电厂。企业主要污染源情况见表4.3-1。</w:t>
      </w:r>
    </w:p>
    <w:p>
      <w:pPr>
        <w:spacing w:line="480" w:lineRule="exact"/>
        <w:ind w:firstLine="480" w:firstLineChars="200"/>
        <w:rPr>
          <w:rFonts w:ascii="Times New Roman" w:hAnsi="Times New Roman"/>
          <w:sz w:val="24"/>
        </w:rPr>
      </w:pPr>
      <w:r>
        <w:rPr>
          <w:rFonts w:hint="eastAsia" w:ascii="Times New Roman" w:hAnsi="Times New Roman"/>
          <w:sz w:val="24"/>
        </w:rPr>
        <w:t>环境保护目标调查：根据2</w:t>
      </w:r>
      <w:r>
        <w:rPr>
          <w:rFonts w:ascii="Times New Roman" w:hAnsi="Times New Roman"/>
          <w:sz w:val="24"/>
        </w:rPr>
        <w:t>.6.2</w:t>
      </w:r>
      <w:r>
        <w:rPr>
          <w:rFonts w:hint="eastAsia" w:ascii="Times New Roman" w:hAnsi="Times New Roman"/>
          <w:sz w:val="24"/>
        </w:rPr>
        <w:t>中对环境保护目标的调查可知，</w:t>
      </w:r>
      <w:r>
        <w:rPr>
          <w:rFonts w:ascii="Times New Roman" w:hAnsi="Times New Roman"/>
          <w:sz w:val="24"/>
        </w:rPr>
        <w:t>本项目</w:t>
      </w:r>
      <w:r>
        <w:rPr>
          <w:rFonts w:hint="eastAsia" w:ascii="Times New Roman" w:hAnsi="Times New Roman"/>
          <w:sz w:val="24"/>
        </w:rPr>
        <w:t>位于</w:t>
      </w:r>
      <w:r>
        <w:rPr>
          <w:rFonts w:ascii="Times New Roman" w:hAnsi="Times New Roman"/>
          <w:sz w:val="24"/>
        </w:rPr>
        <w:t>双鸭山市四方台梨花盖子沟垃圾处理场院内。评价区范围内村屯主要为</w:t>
      </w:r>
      <w:r>
        <w:rPr>
          <w:rFonts w:hint="eastAsia" w:ascii="Times New Roman" w:hAnsi="Times New Roman"/>
          <w:sz w:val="24"/>
        </w:rPr>
        <w:t>红星五队</w:t>
      </w:r>
      <w:r>
        <w:rPr>
          <w:rFonts w:ascii="Times New Roman" w:hAnsi="Times New Roman"/>
          <w:sz w:val="24"/>
        </w:rPr>
        <w:t>、四新村和小北沟，评价区范围内分布有</w:t>
      </w:r>
      <w:r>
        <w:rPr>
          <w:rFonts w:hint="eastAsia" w:ascii="Times New Roman" w:hAnsi="Times New Roman"/>
          <w:sz w:val="24"/>
        </w:rPr>
        <w:t>2眼</w:t>
      </w:r>
      <w:r>
        <w:rPr>
          <w:rFonts w:ascii="Times New Roman" w:hAnsi="Times New Roman"/>
          <w:sz w:val="24"/>
        </w:rPr>
        <w:t>分散式饮用水水源井</w:t>
      </w:r>
      <w:r>
        <w:rPr>
          <w:rFonts w:hint="eastAsia" w:ascii="Times New Roman" w:hAnsi="Times New Roman"/>
          <w:sz w:val="24"/>
        </w:rPr>
        <w:t>。具体见表2</w:t>
      </w:r>
      <w:r>
        <w:rPr>
          <w:rFonts w:ascii="Times New Roman" w:hAnsi="Times New Roman"/>
          <w:sz w:val="24"/>
        </w:rPr>
        <w:t>.6</w:t>
      </w:r>
      <w:r>
        <w:rPr>
          <w:rFonts w:hint="eastAsia" w:ascii="Times New Roman" w:hAnsi="Times New Roman"/>
          <w:sz w:val="24"/>
        </w:rPr>
        <w:t>-</w:t>
      </w:r>
      <w:r>
        <w:rPr>
          <w:rFonts w:ascii="Times New Roman" w:hAnsi="Times New Roman"/>
          <w:sz w:val="24"/>
        </w:rPr>
        <w:t>2</w:t>
      </w:r>
      <w:r>
        <w:rPr>
          <w:rFonts w:hint="eastAsia" w:ascii="Times New Roman" w:hAnsi="Times New Roman"/>
          <w:sz w:val="24"/>
        </w:rPr>
        <w:t>。</w:t>
      </w:r>
    </w:p>
    <w:p>
      <w:pPr>
        <w:spacing w:line="480" w:lineRule="exact"/>
        <w:jc w:val="center"/>
        <w:rPr>
          <w:rFonts w:ascii="Times New Roman" w:hAnsi="Times New Roman"/>
          <w:b/>
          <w:bCs/>
        </w:rPr>
      </w:pPr>
      <w:r>
        <w:rPr>
          <w:rFonts w:ascii="Times New Roman" w:hAnsi="Times New Roman"/>
          <w:b/>
          <w:bCs/>
        </w:rPr>
        <w:t>表4.3-1 区域污染源调查情况</w:t>
      </w:r>
    </w:p>
    <w:tbl>
      <w:tblPr>
        <w:tblStyle w:val="7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89"/>
        <w:gridCol w:w="1292"/>
        <w:gridCol w:w="2074"/>
        <w:gridCol w:w="1745"/>
        <w:gridCol w:w="213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56" w:type="dxa"/>
            <w:vAlign w:val="center"/>
          </w:tcPr>
          <w:p>
            <w:pPr>
              <w:spacing w:line="280" w:lineRule="exact"/>
              <w:rPr>
                <w:rFonts w:ascii="Times New Roman" w:hAnsi="Times New Roman"/>
                <w:b/>
              </w:rPr>
            </w:pPr>
            <w:r>
              <w:rPr>
                <w:rFonts w:ascii="Times New Roman" w:hAnsi="Times New Roman"/>
                <w:b/>
              </w:rPr>
              <w:t>项目名称</w:t>
            </w:r>
          </w:p>
        </w:tc>
        <w:tc>
          <w:tcPr>
            <w:tcW w:w="1259" w:type="dxa"/>
            <w:vAlign w:val="center"/>
          </w:tcPr>
          <w:p>
            <w:pPr>
              <w:spacing w:line="280" w:lineRule="exact"/>
              <w:rPr>
                <w:rFonts w:ascii="Times New Roman" w:hAnsi="Times New Roman"/>
                <w:b/>
              </w:rPr>
            </w:pPr>
            <w:r>
              <w:rPr>
                <w:rFonts w:ascii="Times New Roman" w:hAnsi="Times New Roman"/>
                <w:b/>
              </w:rPr>
              <w:t>企业名称</w:t>
            </w:r>
          </w:p>
        </w:tc>
        <w:tc>
          <w:tcPr>
            <w:tcW w:w="2021" w:type="dxa"/>
            <w:vAlign w:val="center"/>
          </w:tcPr>
          <w:p>
            <w:pPr>
              <w:spacing w:line="280" w:lineRule="exact"/>
              <w:rPr>
                <w:rFonts w:ascii="Times New Roman" w:hAnsi="Times New Roman"/>
                <w:b/>
              </w:rPr>
            </w:pPr>
            <w:r>
              <w:rPr>
                <w:rFonts w:ascii="Times New Roman" w:hAnsi="Times New Roman"/>
                <w:b/>
              </w:rPr>
              <w:t>建设内容</w:t>
            </w:r>
          </w:p>
        </w:tc>
        <w:tc>
          <w:tcPr>
            <w:tcW w:w="1701" w:type="dxa"/>
            <w:vAlign w:val="center"/>
          </w:tcPr>
          <w:p>
            <w:pPr>
              <w:spacing w:line="280" w:lineRule="exact"/>
              <w:rPr>
                <w:rFonts w:ascii="Times New Roman" w:hAnsi="Times New Roman"/>
                <w:b/>
              </w:rPr>
            </w:pPr>
            <w:r>
              <w:rPr>
                <w:rFonts w:ascii="Times New Roman" w:hAnsi="Times New Roman"/>
                <w:b/>
              </w:rPr>
              <w:t>主要污染因子</w:t>
            </w:r>
          </w:p>
        </w:tc>
        <w:tc>
          <w:tcPr>
            <w:tcW w:w="2076" w:type="dxa"/>
            <w:vAlign w:val="center"/>
          </w:tcPr>
          <w:p>
            <w:pPr>
              <w:spacing w:line="280" w:lineRule="exact"/>
              <w:rPr>
                <w:rFonts w:ascii="Times New Roman" w:hAnsi="Times New Roman"/>
                <w:b/>
              </w:rPr>
            </w:pPr>
            <w:r>
              <w:rPr>
                <w:rFonts w:ascii="Times New Roman" w:hAnsi="Times New Roman"/>
                <w:b/>
              </w:rPr>
              <w:t>环保手续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56" w:type="dxa"/>
            <w:vAlign w:val="center"/>
          </w:tcPr>
          <w:p>
            <w:pPr>
              <w:spacing w:line="280" w:lineRule="exact"/>
              <w:rPr>
                <w:rFonts w:ascii="Times New Roman" w:hAnsi="Times New Roman"/>
              </w:rPr>
            </w:pPr>
            <w:r>
              <w:rPr>
                <w:rFonts w:ascii="Times New Roman" w:hAnsi="Times New Roman"/>
              </w:rPr>
              <w:t>双鸭山市生活垃圾焚烧发电厂</w:t>
            </w:r>
          </w:p>
        </w:tc>
        <w:tc>
          <w:tcPr>
            <w:tcW w:w="1259" w:type="dxa"/>
            <w:vAlign w:val="center"/>
          </w:tcPr>
          <w:p>
            <w:pPr>
              <w:spacing w:line="280" w:lineRule="exact"/>
              <w:rPr>
                <w:rFonts w:ascii="Times New Roman" w:hAnsi="Times New Roman"/>
              </w:rPr>
            </w:pPr>
            <w:r>
              <w:rPr>
                <w:rFonts w:ascii="Times New Roman" w:hAnsi="Times New Roman"/>
              </w:rPr>
              <w:t>双鸭山伟明环保能源有限公司</w:t>
            </w:r>
          </w:p>
        </w:tc>
        <w:tc>
          <w:tcPr>
            <w:tcW w:w="2021" w:type="dxa"/>
            <w:vAlign w:val="center"/>
          </w:tcPr>
          <w:p>
            <w:pPr>
              <w:spacing w:line="280" w:lineRule="exact"/>
              <w:rPr>
                <w:rFonts w:ascii="Times New Roman" w:hAnsi="Times New Roman"/>
              </w:rPr>
            </w:pPr>
            <w:r>
              <w:rPr>
                <w:rFonts w:ascii="Times New Roman" w:hAnsi="Times New Roman"/>
              </w:rPr>
              <w:t>建设2×450t/d机械炉排焚烧炉、1台20MW凝汽式汽轮发电机组，配套建设2台余热锅炉、1条飞灰固化线（5t/h）、1根80m高的两筒集束烟囱、2台通风冷却塔、1座2000m</w:t>
            </w:r>
            <w:r>
              <w:rPr>
                <w:rFonts w:ascii="Times New Roman" w:hAnsi="Times New Roman"/>
                <w:vertAlign w:val="superscript"/>
              </w:rPr>
              <w:t>3</w:t>
            </w:r>
            <w:r>
              <w:rPr>
                <w:rFonts w:ascii="Times New Roman" w:hAnsi="Times New Roman"/>
              </w:rPr>
              <w:t>消防水池、1座110KV升压站、2个50m</w:t>
            </w:r>
            <w:r>
              <w:rPr>
                <w:rFonts w:ascii="Times New Roman" w:hAnsi="Times New Roman"/>
                <w:vertAlign w:val="superscript"/>
              </w:rPr>
              <w:t>3</w:t>
            </w:r>
            <w:r>
              <w:rPr>
                <w:rFonts w:ascii="Times New Roman" w:hAnsi="Times New Roman"/>
              </w:rPr>
              <w:t>油罐、1个30m</w:t>
            </w:r>
            <w:r>
              <w:rPr>
                <w:rFonts w:ascii="Times New Roman" w:hAnsi="Times New Roman"/>
                <w:vertAlign w:val="superscript"/>
              </w:rPr>
              <w:t>3</w:t>
            </w:r>
            <w:r>
              <w:rPr>
                <w:rFonts w:ascii="Times New Roman" w:hAnsi="Times New Roman"/>
              </w:rPr>
              <w:t>尿素储存罐、1座70m</w:t>
            </w:r>
            <w:r>
              <w:rPr>
                <w:rFonts w:ascii="Times New Roman" w:hAnsi="Times New Roman"/>
                <w:vertAlign w:val="superscript"/>
              </w:rPr>
              <w:t>3</w:t>
            </w:r>
            <w:r>
              <w:rPr>
                <w:rFonts w:ascii="Times New Roman" w:hAnsi="Times New Roman"/>
              </w:rPr>
              <w:t>石灰仓、1座15m</w:t>
            </w:r>
            <w:r>
              <w:rPr>
                <w:rFonts w:ascii="Times New Roman" w:hAnsi="Times New Roman"/>
                <w:vertAlign w:val="superscript"/>
              </w:rPr>
              <w:t>3</w:t>
            </w:r>
            <w:r>
              <w:rPr>
                <w:rFonts w:ascii="Times New Roman" w:hAnsi="Times New Roman"/>
              </w:rPr>
              <w:t>活性炭储仓、1座357m</w:t>
            </w:r>
            <w:r>
              <w:rPr>
                <w:rFonts w:ascii="Times New Roman" w:hAnsi="Times New Roman"/>
                <w:vertAlign w:val="superscript"/>
              </w:rPr>
              <w:t>3</w:t>
            </w:r>
            <w:r>
              <w:rPr>
                <w:rFonts w:ascii="Times New Roman" w:hAnsi="Times New Roman"/>
              </w:rPr>
              <w:t>渣坑、2座150m</w:t>
            </w:r>
            <w:r>
              <w:rPr>
                <w:rFonts w:ascii="Times New Roman" w:hAnsi="Times New Roman"/>
                <w:vertAlign w:val="superscript"/>
              </w:rPr>
              <w:t>3</w:t>
            </w:r>
            <w:r>
              <w:rPr>
                <w:rFonts w:ascii="Times New Roman" w:hAnsi="Times New Roman"/>
              </w:rPr>
              <w:t>灰仓、1座520m</w:t>
            </w:r>
            <w:r>
              <w:rPr>
                <w:rFonts w:ascii="Times New Roman" w:hAnsi="Times New Roman"/>
                <w:vertAlign w:val="superscript"/>
              </w:rPr>
              <w:t>2</w:t>
            </w:r>
            <w:r>
              <w:rPr>
                <w:rFonts w:ascii="Times New Roman" w:hAnsi="Times New Roman"/>
              </w:rPr>
              <w:t>危废暂存间、1座500m</w:t>
            </w:r>
            <w:r>
              <w:rPr>
                <w:rFonts w:ascii="Times New Roman" w:hAnsi="Times New Roman"/>
                <w:vertAlign w:val="superscript"/>
              </w:rPr>
              <w:t>3</w:t>
            </w:r>
            <w:r>
              <w:rPr>
                <w:rFonts w:ascii="Times New Roman" w:hAnsi="Times New Roman"/>
              </w:rPr>
              <w:t>回用水池、1座400m</w:t>
            </w:r>
            <w:r>
              <w:rPr>
                <w:rFonts w:ascii="Times New Roman" w:hAnsi="Times New Roman"/>
                <w:vertAlign w:val="superscript"/>
              </w:rPr>
              <w:t>3</w:t>
            </w:r>
            <w:r>
              <w:rPr>
                <w:rFonts w:ascii="Times New Roman" w:hAnsi="Times New Roman"/>
              </w:rPr>
              <w:t>/d污水处理站（采用调节池+UASB反应器+二级硝化反硝化+外置式MBR+NF纳滤膜+RO反渗透膜工艺）、1套水泥固化搅拌装置、1台固化成型机、1座1000m</w:t>
            </w:r>
            <w:r>
              <w:rPr>
                <w:rFonts w:ascii="Times New Roman" w:hAnsi="Times New Roman"/>
                <w:vertAlign w:val="superscript"/>
              </w:rPr>
              <w:t>3</w:t>
            </w:r>
            <w:r>
              <w:rPr>
                <w:rFonts w:ascii="Times New Roman" w:hAnsi="Times New Roman"/>
              </w:rPr>
              <w:t>事故池、1座400m</w:t>
            </w:r>
            <w:r>
              <w:rPr>
                <w:rFonts w:ascii="Times New Roman" w:hAnsi="Times New Roman"/>
                <w:vertAlign w:val="superscript"/>
              </w:rPr>
              <w:t>3</w:t>
            </w:r>
            <w:r>
              <w:rPr>
                <w:rFonts w:ascii="Times New Roman" w:hAnsi="Times New Roman"/>
              </w:rPr>
              <w:t>事故池、1座16.8m</w:t>
            </w:r>
            <w:r>
              <w:rPr>
                <w:rFonts w:ascii="Times New Roman" w:hAnsi="Times New Roman"/>
                <w:vertAlign w:val="superscript"/>
              </w:rPr>
              <w:t>3</w:t>
            </w:r>
            <w:r>
              <w:rPr>
                <w:rFonts w:ascii="Times New Roman" w:hAnsi="Times New Roman"/>
              </w:rPr>
              <w:t>变压器储油池、3个地下水监控井、综合楼、化验室、空压站、垃圾卸料平台、垃圾贮坑、渗滤液收集池、烟气净化系统、臭气处理系统、地下水防渗工程等。</w:t>
            </w:r>
          </w:p>
        </w:tc>
        <w:tc>
          <w:tcPr>
            <w:tcW w:w="1701" w:type="dxa"/>
            <w:vAlign w:val="center"/>
          </w:tcPr>
          <w:p>
            <w:pPr>
              <w:spacing w:line="280" w:lineRule="exact"/>
              <w:rPr>
                <w:rFonts w:ascii="Times New Roman" w:hAnsi="Times New Roman"/>
              </w:rPr>
            </w:pPr>
            <w:r>
              <w:rPr>
                <w:rFonts w:ascii="Times New Roman" w:hAnsi="Times New Roman"/>
              </w:rPr>
              <w:t>烟尘、一氧化碳、氮氧化物、二氧化硫、氯化氢、汞、镉、铅、二噁英、硫化氢、氨、臭气浓度、飞灰、废变压器油、废布袋、污水处理设施废过滤膜、废机油、化验废液、炉渣、污水处理污泥、焚烧废金属、除臭装置产生的废活性炭</w:t>
            </w:r>
          </w:p>
        </w:tc>
        <w:tc>
          <w:tcPr>
            <w:tcW w:w="2076" w:type="dxa"/>
            <w:vAlign w:val="center"/>
          </w:tcPr>
          <w:p>
            <w:pPr>
              <w:spacing w:line="280" w:lineRule="exact"/>
              <w:rPr>
                <w:rFonts w:ascii="Times New Roman" w:hAnsi="Times New Roman"/>
              </w:rPr>
            </w:pPr>
            <w:r>
              <w:rPr>
                <w:rFonts w:ascii="Times New Roman" w:hAnsi="Times New Roman"/>
              </w:rPr>
              <w:t>《关于双鸭山市生活垃圾焚烧发电项目环境影响报告书的批复》（黑环审[2019]43号）</w:t>
            </w:r>
          </w:p>
        </w:tc>
      </w:tr>
    </w:tbl>
    <w:p>
      <w:pPr>
        <w:pStyle w:val="2"/>
        <w:numPr>
          <w:ilvl w:val="0"/>
          <w:numId w:val="2"/>
        </w:numPr>
        <w:ind w:left="0"/>
        <w:jc w:val="both"/>
        <w:rPr>
          <w:color w:val="auto"/>
        </w:rPr>
      </w:pPr>
      <w:bookmarkStart w:id="946" w:name="_Toc148520842"/>
      <w:bookmarkStart w:id="947" w:name="_Toc180727035"/>
      <w:bookmarkStart w:id="948" w:name="_Toc161395570"/>
      <w:bookmarkStart w:id="949" w:name="_Toc150833835"/>
      <w:bookmarkStart w:id="950" w:name="_Toc116379714"/>
      <w:bookmarkStart w:id="951" w:name="_Toc144511789"/>
      <w:bookmarkStart w:id="952" w:name="_Toc143898890"/>
      <w:r>
        <w:rPr>
          <w:color w:val="auto"/>
        </w:rPr>
        <w:t>环境影响</w:t>
      </w:r>
      <w:bookmarkEnd w:id="946"/>
      <w:bookmarkEnd w:id="947"/>
      <w:bookmarkEnd w:id="948"/>
      <w:bookmarkEnd w:id="949"/>
      <w:r>
        <w:rPr>
          <w:color w:val="auto"/>
        </w:rPr>
        <w:t>预测与评价</w:t>
      </w:r>
      <w:bookmarkEnd w:id="950"/>
    </w:p>
    <w:p>
      <w:pPr>
        <w:pStyle w:val="3"/>
        <w:spacing w:before="120" w:beforeLines="50" w:after="120" w:afterLines="50" w:line="480" w:lineRule="exact"/>
        <w:ind w:left="-11"/>
        <w:rPr>
          <w:rFonts w:ascii="Times New Roman" w:hAnsi="Times New Roman" w:eastAsia="黑体"/>
          <w:sz w:val="30"/>
          <w:szCs w:val="30"/>
        </w:rPr>
      </w:pPr>
      <w:bookmarkStart w:id="953" w:name="_Toc116379715"/>
      <w:r>
        <w:rPr>
          <w:rFonts w:ascii="Times New Roman" w:hAnsi="Times New Roman" w:eastAsia="黑体"/>
          <w:sz w:val="30"/>
          <w:szCs w:val="30"/>
        </w:rPr>
        <w:t>施工期环境影响预测与评价</w:t>
      </w:r>
      <w:bookmarkEnd w:id="953"/>
    </w:p>
    <w:p>
      <w:pPr>
        <w:adjustRightInd w:val="0"/>
        <w:snapToGrid w:val="0"/>
        <w:spacing w:line="480" w:lineRule="exact"/>
        <w:ind w:firstLine="480" w:firstLineChars="200"/>
        <w:rPr>
          <w:rFonts w:ascii="Times New Roman" w:hAnsi="Times New Roman"/>
          <w:sz w:val="24"/>
        </w:rPr>
      </w:pPr>
      <w:r>
        <w:rPr>
          <w:rFonts w:ascii="Times New Roman" w:hAnsi="Times New Roman"/>
          <w:sz w:val="24"/>
        </w:rPr>
        <w:t>本项目在施工期间将会对周围环境产生一定的影响，伴随着施工结束，施工期对外界环境的影响也将消失。施工期间，对周围环境的影响是暂时的。</w:t>
      </w:r>
    </w:p>
    <w:p>
      <w:pPr>
        <w:pStyle w:val="4"/>
        <w:spacing w:before="120" w:beforeLines="50" w:after="120" w:afterLines="50" w:line="480" w:lineRule="exact"/>
        <w:rPr>
          <w:rFonts w:ascii="Times New Roman" w:hAnsi="Times New Roman" w:eastAsia="黑体"/>
          <w:bCs/>
          <w:sz w:val="28"/>
          <w:szCs w:val="28"/>
        </w:rPr>
      </w:pPr>
      <w:bookmarkStart w:id="954" w:name="_Toc497228853"/>
      <w:bookmarkStart w:id="955" w:name="_Toc464036808"/>
      <w:bookmarkStart w:id="956" w:name="_Toc9843828"/>
      <w:bookmarkStart w:id="957" w:name="_Toc458063899"/>
      <w:bookmarkStart w:id="958" w:name="_Toc530655987"/>
      <w:bookmarkStart w:id="959" w:name="_Toc482020684"/>
      <w:bookmarkStart w:id="960" w:name="_Toc480190521"/>
      <w:bookmarkStart w:id="961" w:name="_Toc416966949"/>
      <w:bookmarkStart w:id="962" w:name="_Toc406772069"/>
      <w:bookmarkStart w:id="963" w:name="_Toc534537653"/>
      <w:bookmarkStart w:id="964" w:name="_Toc480983902"/>
      <w:bookmarkStart w:id="965" w:name="_Toc407350299"/>
      <w:bookmarkStart w:id="966" w:name="_Toc466271458"/>
      <w:bookmarkStart w:id="967" w:name="_Toc409529990"/>
      <w:bookmarkStart w:id="968" w:name="_Toc486970405"/>
      <w:bookmarkStart w:id="969" w:name="_Toc406572527"/>
      <w:bookmarkStart w:id="970" w:name="_Toc535168939"/>
      <w:bookmarkStart w:id="971" w:name="_Toc487111523"/>
      <w:bookmarkStart w:id="972" w:name="_Toc453709006"/>
      <w:bookmarkStart w:id="973" w:name="_Toc532556635"/>
      <w:bookmarkStart w:id="974" w:name="_Toc535348493"/>
      <w:bookmarkStart w:id="975" w:name="_Toc527205753"/>
      <w:bookmarkStart w:id="976" w:name="_Toc9476"/>
      <w:bookmarkStart w:id="977" w:name="_Toc10772"/>
      <w:bookmarkStart w:id="978" w:name="_Toc27134319"/>
      <w:bookmarkStart w:id="979" w:name="_Toc18924"/>
      <w:bookmarkStart w:id="980" w:name="_Toc14662"/>
      <w:bookmarkStart w:id="981" w:name="_Toc23207"/>
      <w:bookmarkStart w:id="982" w:name="_Toc26188046"/>
      <w:r>
        <w:rPr>
          <w:rFonts w:ascii="Times New Roman" w:hAnsi="Times New Roman" w:eastAsia="黑体"/>
          <w:bCs/>
          <w:sz w:val="28"/>
          <w:szCs w:val="28"/>
        </w:rPr>
        <w:t>施工期水环境影响</w:t>
      </w:r>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r>
        <w:rPr>
          <w:rFonts w:ascii="Times New Roman" w:hAnsi="Times New Roman" w:eastAsia="黑体"/>
          <w:bCs/>
          <w:sz w:val="28"/>
          <w:szCs w:val="28"/>
        </w:rPr>
        <w:t>评价</w:t>
      </w:r>
      <w:bookmarkEnd w:id="976"/>
      <w:bookmarkEnd w:id="977"/>
      <w:bookmarkEnd w:id="978"/>
      <w:bookmarkEnd w:id="979"/>
      <w:bookmarkEnd w:id="980"/>
      <w:bookmarkEnd w:id="981"/>
      <w:bookmarkEnd w:id="982"/>
    </w:p>
    <w:p>
      <w:pPr>
        <w:spacing w:line="480" w:lineRule="exact"/>
        <w:ind w:firstLine="480" w:firstLineChars="200"/>
        <w:rPr>
          <w:rFonts w:ascii="Times New Roman" w:hAnsi="Times New Roman"/>
          <w:sz w:val="24"/>
          <w:szCs w:val="24"/>
        </w:rPr>
      </w:pPr>
      <w:r>
        <w:rPr>
          <w:rFonts w:ascii="Times New Roman" w:hAnsi="Times New Roman"/>
          <w:sz w:val="24"/>
        </w:rPr>
        <w:t>本项目施工期废水主要为施工人员的生活污水，</w:t>
      </w:r>
      <w:r>
        <w:rPr>
          <w:rFonts w:ascii="Times New Roman" w:hAnsi="Times New Roman"/>
          <w:sz w:val="24"/>
          <w:szCs w:val="24"/>
        </w:rPr>
        <w:t>施工期人数30人，用水量以每人每天80L计，日用水量2.4m</w:t>
      </w:r>
      <w:r>
        <w:rPr>
          <w:rFonts w:ascii="Times New Roman" w:hAnsi="Times New Roman"/>
          <w:sz w:val="24"/>
          <w:szCs w:val="24"/>
          <w:vertAlign w:val="superscript"/>
        </w:rPr>
        <w:t>3</w:t>
      </w:r>
      <w:r>
        <w:rPr>
          <w:rFonts w:ascii="Times New Roman" w:hAnsi="Times New Roman"/>
          <w:sz w:val="24"/>
          <w:szCs w:val="24"/>
        </w:rPr>
        <w:t>，排水量以用水量的80%计算，每天排污量为1.92m</w:t>
      </w:r>
      <w:r>
        <w:rPr>
          <w:rFonts w:ascii="Times New Roman" w:hAnsi="Times New Roman"/>
          <w:sz w:val="24"/>
          <w:szCs w:val="24"/>
          <w:vertAlign w:val="superscript"/>
        </w:rPr>
        <w:t>3</w:t>
      </w:r>
      <w:r>
        <w:rPr>
          <w:rFonts w:ascii="Times New Roman" w:hAnsi="Times New Roman"/>
          <w:sz w:val="24"/>
          <w:szCs w:val="24"/>
        </w:rPr>
        <w:t>，施工期以30天计，施工期总生活污水57.6m</w:t>
      </w:r>
      <w:r>
        <w:rPr>
          <w:rFonts w:ascii="Times New Roman" w:hAnsi="Times New Roman"/>
          <w:sz w:val="24"/>
          <w:szCs w:val="24"/>
          <w:vertAlign w:val="superscript"/>
        </w:rPr>
        <w:t>3</w:t>
      </w:r>
      <w:r>
        <w:rPr>
          <w:rFonts w:ascii="Times New Roman" w:hAnsi="Times New Roman"/>
          <w:sz w:val="24"/>
          <w:szCs w:val="24"/>
        </w:rPr>
        <w:t>。施工人员生活污水排入现有防渗化粪池后</w:t>
      </w:r>
      <w:r>
        <w:rPr>
          <w:rFonts w:hint="eastAsia" w:ascii="Times New Roman" w:hAnsi="Times New Roman"/>
          <w:sz w:val="24"/>
          <w:szCs w:val="24"/>
        </w:rPr>
        <w:t>通过罐车运至双鸭山市污水处理厂处理达标后排放</w:t>
      </w:r>
      <w:r>
        <w:rPr>
          <w:rFonts w:ascii="Times New Roman" w:hAnsi="Times New Roman"/>
          <w:sz w:val="24"/>
          <w:szCs w:val="24"/>
        </w:rPr>
        <w:t>。施工期生活污水中各污染物排放量及浓度估算见下表5.1-1。</w:t>
      </w:r>
    </w:p>
    <w:p>
      <w:pPr>
        <w:pStyle w:val="140"/>
        <w:autoSpaceDE w:val="0"/>
        <w:autoSpaceDN w:val="0"/>
        <w:spacing w:line="480" w:lineRule="exact"/>
        <w:jc w:val="center"/>
        <w:textAlignment w:val="bottom"/>
        <w:rPr>
          <w:b/>
          <w:sz w:val="21"/>
          <w:szCs w:val="21"/>
        </w:rPr>
      </w:pPr>
      <w:r>
        <w:rPr>
          <w:b/>
          <w:sz w:val="21"/>
          <w:szCs w:val="21"/>
        </w:rPr>
        <w:t>表5.1-1 施工期生活污水污染物的产生排放情况</w:t>
      </w:r>
    </w:p>
    <w:tbl>
      <w:tblPr>
        <w:tblStyle w:val="77"/>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384"/>
        <w:gridCol w:w="1986"/>
        <w:gridCol w:w="1416"/>
        <w:gridCol w:w="1276"/>
        <w:gridCol w:w="1276"/>
        <w:gridCol w:w="119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384" w:type="dxa"/>
            <w:tcBorders>
              <w:top w:val="single" w:color="auto" w:sz="12" w:space="0"/>
              <w:left w:val="nil"/>
              <w:bottom w:val="single" w:color="auto" w:sz="6" w:space="0"/>
              <w:right w:val="single" w:color="auto" w:sz="6" w:space="0"/>
            </w:tcBorders>
            <w:vAlign w:val="center"/>
          </w:tcPr>
          <w:p>
            <w:pPr>
              <w:widowControl/>
              <w:spacing w:line="280" w:lineRule="exact"/>
              <w:jc w:val="center"/>
              <w:rPr>
                <w:rFonts w:ascii="Times New Roman" w:hAnsi="Times New Roman"/>
                <w:b/>
                <w:kern w:val="2"/>
              </w:rPr>
            </w:pPr>
            <w:r>
              <w:rPr>
                <w:rFonts w:ascii="Times New Roman" w:hAnsi="Times New Roman"/>
                <w:b/>
                <w:kern w:val="2"/>
              </w:rPr>
              <w:t>废水量（t）</w:t>
            </w:r>
          </w:p>
        </w:tc>
        <w:tc>
          <w:tcPr>
            <w:tcW w:w="1986" w:type="dxa"/>
            <w:tcBorders>
              <w:top w:val="single" w:color="auto" w:sz="12" w:space="0"/>
              <w:left w:val="single" w:color="auto" w:sz="6" w:space="0"/>
              <w:bottom w:val="single" w:color="auto" w:sz="6" w:space="0"/>
              <w:right w:val="single" w:color="auto" w:sz="6" w:space="0"/>
            </w:tcBorders>
            <w:vAlign w:val="center"/>
          </w:tcPr>
          <w:p>
            <w:pPr>
              <w:widowControl/>
              <w:spacing w:line="280" w:lineRule="exact"/>
              <w:jc w:val="center"/>
              <w:rPr>
                <w:rFonts w:ascii="Times New Roman" w:hAnsi="Times New Roman"/>
                <w:b/>
                <w:kern w:val="2"/>
              </w:rPr>
            </w:pPr>
            <w:r>
              <w:rPr>
                <w:rFonts w:ascii="Times New Roman" w:hAnsi="Times New Roman"/>
                <w:b/>
                <w:kern w:val="2"/>
              </w:rPr>
              <w:t>水质</w:t>
            </w:r>
          </w:p>
        </w:tc>
        <w:tc>
          <w:tcPr>
            <w:tcW w:w="1416" w:type="dxa"/>
            <w:tcBorders>
              <w:top w:val="single" w:color="auto" w:sz="12" w:space="0"/>
              <w:left w:val="single" w:color="auto" w:sz="6" w:space="0"/>
              <w:bottom w:val="single" w:color="auto" w:sz="6" w:space="0"/>
              <w:right w:val="single" w:color="auto" w:sz="6" w:space="0"/>
            </w:tcBorders>
            <w:vAlign w:val="center"/>
          </w:tcPr>
          <w:p>
            <w:pPr>
              <w:widowControl/>
              <w:spacing w:line="280" w:lineRule="exact"/>
              <w:jc w:val="center"/>
              <w:rPr>
                <w:rFonts w:ascii="Times New Roman" w:hAnsi="Times New Roman"/>
                <w:b/>
                <w:kern w:val="2"/>
              </w:rPr>
            </w:pPr>
            <w:r>
              <w:rPr>
                <w:rFonts w:ascii="Times New Roman" w:hAnsi="Times New Roman"/>
                <w:b/>
                <w:kern w:val="2"/>
              </w:rPr>
              <w:t>COD</w:t>
            </w:r>
          </w:p>
        </w:tc>
        <w:tc>
          <w:tcPr>
            <w:tcW w:w="1276" w:type="dxa"/>
            <w:tcBorders>
              <w:top w:val="single" w:color="auto" w:sz="12" w:space="0"/>
              <w:left w:val="single" w:color="auto" w:sz="6" w:space="0"/>
              <w:bottom w:val="single" w:color="auto" w:sz="6" w:space="0"/>
              <w:right w:val="single" w:color="auto" w:sz="6" w:space="0"/>
            </w:tcBorders>
            <w:vAlign w:val="center"/>
          </w:tcPr>
          <w:p>
            <w:pPr>
              <w:widowControl/>
              <w:spacing w:line="280" w:lineRule="exact"/>
              <w:jc w:val="center"/>
              <w:rPr>
                <w:rFonts w:ascii="Times New Roman" w:hAnsi="Times New Roman"/>
                <w:b/>
                <w:kern w:val="2"/>
              </w:rPr>
            </w:pPr>
            <w:r>
              <w:rPr>
                <w:rFonts w:ascii="Times New Roman" w:hAnsi="Times New Roman"/>
                <w:b/>
                <w:kern w:val="2"/>
              </w:rPr>
              <w:t>BOD</w:t>
            </w:r>
            <w:r>
              <w:rPr>
                <w:rFonts w:ascii="Times New Roman" w:hAnsi="Times New Roman"/>
                <w:b/>
                <w:kern w:val="2"/>
                <w:vertAlign w:val="subscript"/>
              </w:rPr>
              <w:t>5</w:t>
            </w:r>
          </w:p>
        </w:tc>
        <w:tc>
          <w:tcPr>
            <w:tcW w:w="1276" w:type="dxa"/>
            <w:tcBorders>
              <w:top w:val="single" w:color="auto" w:sz="12" w:space="0"/>
              <w:left w:val="single" w:color="auto" w:sz="6" w:space="0"/>
              <w:bottom w:val="single" w:color="auto" w:sz="6" w:space="0"/>
              <w:right w:val="single" w:color="auto" w:sz="6" w:space="0"/>
            </w:tcBorders>
            <w:vAlign w:val="center"/>
          </w:tcPr>
          <w:p>
            <w:pPr>
              <w:widowControl/>
              <w:spacing w:line="280" w:lineRule="exact"/>
              <w:jc w:val="center"/>
              <w:rPr>
                <w:rFonts w:ascii="Times New Roman" w:hAnsi="Times New Roman"/>
                <w:b/>
                <w:kern w:val="2"/>
              </w:rPr>
            </w:pPr>
            <w:r>
              <w:rPr>
                <w:rFonts w:ascii="Times New Roman" w:hAnsi="Times New Roman"/>
                <w:b/>
                <w:kern w:val="2"/>
              </w:rPr>
              <w:t>SS</w:t>
            </w:r>
          </w:p>
        </w:tc>
        <w:tc>
          <w:tcPr>
            <w:tcW w:w="1191" w:type="dxa"/>
            <w:tcBorders>
              <w:top w:val="single" w:color="auto" w:sz="12" w:space="0"/>
              <w:left w:val="single" w:color="auto" w:sz="6" w:space="0"/>
              <w:bottom w:val="single" w:color="auto" w:sz="6" w:space="0"/>
              <w:right w:val="nil"/>
            </w:tcBorders>
          </w:tcPr>
          <w:p>
            <w:pPr>
              <w:widowControl/>
              <w:spacing w:line="280" w:lineRule="exact"/>
              <w:jc w:val="center"/>
              <w:rPr>
                <w:rFonts w:ascii="Times New Roman" w:hAnsi="Times New Roman"/>
                <w:b/>
                <w:kern w:val="2"/>
              </w:rPr>
            </w:pPr>
            <w:r>
              <w:rPr>
                <w:rFonts w:ascii="Times New Roman" w:hAnsi="Times New Roman"/>
                <w:b/>
                <w:kern w:val="2"/>
              </w:rPr>
              <w:t>NH</w:t>
            </w:r>
            <w:r>
              <w:rPr>
                <w:rFonts w:ascii="Times New Roman" w:hAnsi="Times New Roman"/>
                <w:b/>
                <w:kern w:val="2"/>
                <w:vertAlign w:val="subscript"/>
              </w:rPr>
              <w:t>3</w:t>
            </w:r>
            <w:r>
              <w:rPr>
                <w:rFonts w:ascii="Times New Roman" w:hAnsi="Times New Roman"/>
                <w:b/>
                <w:kern w:val="2"/>
              </w:rPr>
              <w:t>-N</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0" w:hRule="atLeast"/>
          <w:jc w:val="center"/>
        </w:trPr>
        <w:tc>
          <w:tcPr>
            <w:tcW w:w="1384" w:type="dxa"/>
            <w:vMerge w:val="restart"/>
            <w:tcBorders>
              <w:top w:val="single" w:color="auto" w:sz="6" w:space="0"/>
              <w:left w:val="nil"/>
              <w:bottom w:val="single" w:color="auto" w:sz="12" w:space="0"/>
              <w:right w:val="single" w:color="auto" w:sz="6" w:space="0"/>
            </w:tcBorders>
            <w:vAlign w:val="center"/>
          </w:tcPr>
          <w:p>
            <w:pPr>
              <w:widowControl/>
              <w:spacing w:line="280" w:lineRule="exact"/>
              <w:jc w:val="center"/>
              <w:rPr>
                <w:rFonts w:ascii="Times New Roman" w:hAnsi="Times New Roman"/>
                <w:kern w:val="2"/>
              </w:rPr>
            </w:pPr>
            <w:r>
              <w:rPr>
                <w:rFonts w:ascii="Times New Roman" w:hAnsi="Times New Roman"/>
              </w:rPr>
              <w:t>57.6</w:t>
            </w:r>
          </w:p>
        </w:tc>
        <w:tc>
          <w:tcPr>
            <w:tcW w:w="1986" w:type="dxa"/>
            <w:tcBorders>
              <w:top w:val="single" w:color="auto" w:sz="6" w:space="0"/>
              <w:left w:val="single" w:color="auto" w:sz="6" w:space="0"/>
              <w:bottom w:val="single" w:color="auto" w:sz="6" w:space="0"/>
              <w:right w:val="single" w:color="auto" w:sz="6" w:space="0"/>
            </w:tcBorders>
            <w:vAlign w:val="center"/>
          </w:tcPr>
          <w:p>
            <w:pPr>
              <w:widowControl/>
              <w:spacing w:line="280" w:lineRule="exact"/>
              <w:jc w:val="center"/>
              <w:rPr>
                <w:rFonts w:ascii="Times New Roman" w:hAnsi="Times New Roman"/>
                <w:kern w:val="2"/>
              </w:rPr>
            </w:pPr>
            <w:r>
              <w:rPr>
                <w:rFonts w:ascii="Times New Roman" w:hAnsi="Times New Roman"/>
              </w:rPr>
              <w:t>产生浓度（mg/L）</w:t>
            </w:r>
          </w:p>
        </w:tc>
        <w:tc>
          <w:tcPr>
            <w:tcW w:w="1416" w:type="dxa"/>
            <w:tcBorders>
              <w:top w:val="single" w:color="auto" w:sz="6" w:space="0"/>
              <w:left w:val="single" w:color="auto" w:sz="6" w:space="0"/>
              <w:bottom w:val="single" w:color="auto" w:sz="6" w:space="0"/>
              <w:right w:val="single" w:color="auto" w:sz="6" w:space="0"/>
            </w:tcBorders>
            <w:vAlign w:val="center"/>
          </w:tcPr>
          <w:p>
            <w:pPr>
              <w:widowControl/>
              <w:spacing w:line="280" w:lineRule="exact"/>
              <w:jc w:val="center"/>
              <w:rPr>
                <w:rFonts w:ascii="Times New Roman" w:hAnsi="Times New Roman"/>
                <w:kern w:val="2"/>
              </w:rPr>
            </w:pPr>
            <w:r>
              <w:rPr>
                <w:rFonts w:ascii="Times New Roman" w:hAnsi="Times New Roman"/>
              </w:rPr>
              <w:t>300</w:t>
            </w:r>
          </w:p>
        </w:tc>
        <w:tc>
          <w:tcPr>
            <w:tcW w:w="1276" w:type="dxa"/>
            <w:tcBorders>
              <w:top w:val="single" w:color="auto" w:sz="6" w:space="0"/>
              <w:left w:val="single" w:color="auto" w:sz="6" w:space="0"/>
              <w:bottom w:val="single" w:color="auto" w:sz="6" w:space="0"/>
              <w:right w:val="single" w:color="auto" w:sz="6" w:space="0"/>
            </w:tcBorders>
            <w:vAlign w:val="center"/>
          </w:tcPr>
          <w:p>
            <w:pPr>
              <w:widowControl/>
              <w:spacing w:line="280" w:lineRule="exact"/>
              <w:jc w:val="center"/>
              <w:rPr>
                <w:rFonts w:ascii="Times New Roman" w:hAnsi="Times New Roman"/>
                <w:kern w:val="2"/>
              </w:rPr>
            </w:pPr>
            <w:r>
              <w:rPr>
                <w:rFonts w:ascii="Times New Roman" w:hAnsi="Times New Roman"/>
              </w:rPr>
              <w:t>200</w:t>
            </w:r>
          </w:p>
        </w:tc>
        <w:tc>
          <w:tcPr>
            <w:tcW w:w="1276" w:type="dxa"/>
            <w:tcBorders>
              <w:top w:val="single" w:color="auto" w:sz="6" w:space="0"/>
              <w:left w:val="single" w:color="auto" w:sz="6" w:space="0"/>
              <w:bottom w:val="single" w:color="auto" w:sz="6" w:space="0"/>
              <w:right w:val="single" w:color="auto" w:sz="6" w:space="0"/>
            </w:tcBorders>
            <w:vAlign w:val="center"/>
          </w:tcPr>
          <w:p>
            <w:pPr>
              <w:widowControl/>
              <w:spacing w:line="280" w:lineRule="exact"/>
              <w:jc w:val="center"/>
              <w:rPr>
                <w:rFonts w:ascii="Times New Roman" w:hAnsi="Times New Roman"/>
                <w:kern w:val="2"/>
              </w:rPr>
            </w:pPr>
            <w:r>
              <w:rPr>
                <w:rFonts w:ascii="Times New Roman" w:hAnsi="Times New Roman"/>
              </w:rPr>
              <w:t>200</w:t>
            </w:r>
          </w:p>
        </w:tc>
        <w:tc>
          <w:tcPr>
            <w:tcW w:w="1191" w:type="dxa"/>
            <w:tcBorders>
              <w:top w:val="single" w:color="auto" w:sz="6" w:space="0"/>
              <w:left w:val="single" w:color="auto" w:sz="6" w:space="0"/>
              <w:bottom w:val="single" w:color="auto" w:sz="6" w:space="0"/>
              <w:right w:val="nil"/>
            </w:tcBorders>
          </w:tcPr>
          <w:p>
            <w:pPr>
              <w:widowControl/>
              <w:spacing w:line="280" w:lineRule="exact"/>
              <w:jc w:val="center"/>
              <w:rPr>
                <w:rFonts w:ascii="Times New Roman" w:hAnsi="Times New Roman"/>
                <w:kern w:val="2"/>
              </w:rPr>
            </w:pPr>
            <w:r>
              <w:rPr>
                <w:rFonts w:ascii="Times New Roman" w:hAnsi="Times New Roman"/>
              </w:rPr>
              <w:t>30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384" w:type="dxa"/>
            <w:vMerge w:val="continue"/>
            <w:tcBorders>
              <w:top w:val="single" w:color="auto" w:sz="6" w:space="0"/>
              <w:left w:val="nil"/>
              <w:bottom w:val="single" w:color="auto" w:sz="12" w:space="0"/>
              <w:right w:val="single" w:color="auto" w:sz="6" w:space="0"/>
            </w:tcBorders>
            <w:vAlign w:val="center"/>
          </w:tcPr>
          <w:p>
            <w:pPr>
              <w:widowControl/>
              <w:spacing w:line="280" w:lineRule="exact"/>
              <w:jc w:val="center"/>
              <w:rPr>
                <w:rFonts w:ascii="Times New Roman" w:hAnsi="Times New Roman"/>
                <w:kern w:val="2"/>
              </w:rPr>
            </w:pPr>
          </w:p>
        </w:tc>
        <w:tc>
          <w:tcPr>
            <w:tcW w:w="1986" w:type="dxa"/>
            <w:tcBorders>
              <w:top w:val="single" w:color="auto" w:sz="6" w:space="0"/>
              <w:left w:val="single" w:color="auto" w:sz="6" w:space="0"/>
              <w:bottom w:val="single" w:color="auto" w:sz="12" w:space="0"/>
              <w:right w:val="single" w:color="auto" w:sz="6" w:space="0"/>
            </w:tcBorders>
            <w:vAlign w:val="center"/>
          </w:tcPr>
          <w:p>
            <w:pPr>
              <w:widowControl/>
              <w:spacing w:line="280" w:lineRule="exact"/>
              <w:jc w:val="center"/>
              <w:rPr>
                <w:rFonts w:ascii="Times New Roman" w:hAnsi="Times New Roman"/>
                <w:kern w:val="2"/>
              </w:rPr>
            </w:pPr>
            <w:r>
              <w:rPr>
                <w:rFonts w:ascii="Times New Roman" w:hAnsi="Times New Roman"/>
              </w:rPr>
              <w:t>产生量（t）</w:t>
            </w:r>
          </w:p>
        </w:tc>
        <w:tc>
          <w:tcPr>
            <w:tcW w:w="1416" w:type="dxa"/>
            <w:tcBorders>
              <w:top w:val="single" w:color="auto" w:sz="6" w:space="0"/>
              <w:left w:val="single" w:color="auto" w:sz="6" w:space="0"/>
              <w:bottom w:val="single" w:color="auto" w:sz="12" w:space="0"/>
              <w:right w:val="single" w:color="auto" w:sz="6" w:space="0"/>
            </w:tcBorders>
            <w:vAlign w:val="center"/>
          </w:tcPr>
          <w:p>
            <w:pPr>
              <w:widowControl/>
              <w:spacing w:line="280" w:lineRule="exact"/>
              <w:jc w:val="center"/>
              <w:rPr>
                <w:rFonts w:ascii="Times New Roman" w:hAnsi="Times New Roman"/>
              </w:rPr>
            </w:pPr>
            <w:r>
              <w:rPr>
                <w:rFonts w:ascii="Times New Roman" w:hAnsi="Times New Roman"/>
              </w:rPr>
              <w:t>0.017</w:t>
            </w:r>
          </w:p>
        </w:tc>
        <w:tc>
          <w:tcPr>
            <w:tcW w:w="1276" w:type="dxa"/>
            <w:tcBorders>
              <w:top w:val="single" w:color="auto" w:sz="6" w:space="0"/>
              <w:left w:val="single" w:color="auto" w:sz="6" w:space="0"/>
              <w:bottom w:val="single" w:color="auto" w:sz="12" w:space="0"/>
              <w:right w:val="single" w:color="auto" w:sz="6" w:space="0"/>
            </w:tcBorders>
            <w:vAlign w:val="center"/>
          </w:tcPr>
          <w:p>
            <w:pPr>
              <w:widowControl/>
              <w:spacing w:line="280" w:lineRule="exact"/>
              <w:jc w:val="center"/>
              <w:rPr>
                <w:rFonts w:ascii="Times New Roman" w:hAnsi="Times New Roman"/>
              </w:rPr>
            </w:pPr>
            <w:r>
              <w:rPr>
                <w:rFonts w:ascii="Times New Roman" w:hAnsi="Times New Roman"/>
              </w:rPr>
              <w:t>0.011</w:t>
            </w:r>
          </w:p>
        </w:tc>
        <w:tc>
          <w:tcPr>
            <w:tcW w:w="1276" w:type="dxa"/>
            <w:tcBorders>
              <w:top w:val="single" w:color="auto" w:sz="6" w:space="0"/>
              <w:left w:val="single" w:color="auto" w:sz="6" w:space="0"/>
              <w:bottom w:val="single" w:color="auto" w:sz="12" w:space="0"/>
              <w:right w:val="single" w:color="auto" w:sz="6" w:space="0"/>
            </w:tcBorders>
            <w:vAlign w:val="center"/>
          </w:tcPr>
          <w:p>
            <w:pPr>
              <w:widowControl/>
              <w:spacing w:line="280" w:lineRule="exact"/>
              <w:jc w:val="center"/>
              <w:rPr>
                <w:rFonts w:ascii="Times New Roman" w:hAnsi="Times New Roman"/>
              </w:rPr>
            </w:pPr>
            <w:r>
              <w:rPr>
                <w:rFonts w:ascii="Times New Roman" w:hAnsi="Times New Roman"/>
              </w:rPr>
              <w:t>0.011</w:t>
            </w:r>
          </w:p>
        </w:tc>
        <w:tc>
          <w:tcPr>
            <w:tcW w:w="1191" w:type="dxa"/>
            <w:tcBorders>
              <w:top w:val="single" w:color="auto" w:sz="6" w:space="0"/>
              <w:left w:val="single" w:color="auto" w:sz="6" w:space="0"/>
              <w:bottom w:val="single" w:color="auto" w:sz="12" w:space="0"/>
              <w:right w:val="nil"/>
            </w:tcBorders>
          </w:tcPr>
          <w:p>
            <w:pPr>
              <w:widowControl/>
              <w:spacing w:line="280" w:lineRule="exact"/>
              <w:jc w:val="center"/>
              <w:rPr>
                <w:rFonts w:ascii="Times New Roman" w:hAnsi="Times New Roman"/>
              </w:rPr>
            </w:pPr>
            <w:r>
              <w:rPr>
                <w:rFonts w:ascii="Times New Roman" w:hAnsi="Times New Roman"/>
              </w:rPr>
              <w:t>0.002</w:t>
            </w:r>
          </w:p>
        </w:tc>
      </w:tr>
    </w:tbl>
    <w:p>
      <w:pPr>
        <w:pStyle w:val="4"/>
        <w:spacing w:line="480" w:lineRule="exact"/>
        <w:rPr>
          <w:rFonts w:ascii="Times New Roman" w:hAnsi="Times New Roman" w:eastAsia="黑体"/>
          <w:bCs/>
          <w:sz w:val="28"/>
          <w:szCs w:val="28"/>
        </w:rPr>
      </w:pPr>
      <w:bookmarkStart w:id="983" w:name="_Toc482020685"/>
      <w:bookmarkStart w:id="984" w:name="_Toc464036809"/>
      <w:bookmarkStart w:id="985" w:name="_Toc407350300"/>
      <w:bookmarkStart w:id="986" w:name="_Toc480983903"/>
      <w:bookmarkStart w:id="987" w:name="_Toc534537654"/>
      <w:bookmarkStart w:id="988" w:name="_Toc486970406"/>
      <w:bookmarkStart w:id="989" w:name="_Toc409529991"/>
      <w:bookmarkStart w:id="990" w:name="_Toc530655988"/>
      <w:bookmarkStart w:id="991" w:name="_Toc453709007"/>
      <w:bookmarkStart w:id="992" w:name="_Toc497228854"/>
      <w:bookmarkStart w:id="993" w:name="_Toc480190522"/>
      <w:bookmarkStart w:id="994" w:name="_Toc416966950"/>
      <w:bookmarkStart w:id="995" w:name="_Toc532556636"/>
      <w:bookmarkStart w:id="996" w:name="_Toc9843829"/>
      <w:bookmarkStart w:id="997" w:name="_Toc527205754"/>
      <w:bookmarkStart w:id="998" w:name="_Toc466271459"/>
      <w:bookmarkStart w:id="999" w:name="_Toc406772070"/>
      <w:bookmarkStart w:id="1000" w:name="_Toc535168940"/>
      <w:bookmarkStart w:id="1001" w:name="_Toc487111524"/>
      <w:bookmarkStart w:id="1002" w:name="_Toc535348494"/>
      <w:bookmarkStart w:id="1003" w:name="_Toc458063900"/>
      <w:bookmarkStart w:id="1004" w:name="_Toc406572528"/>
      <w:bookmarkStart w:id="1005" w:name="_Toc8954"/>
      <w:bookmarkStart w:id="1006" w:name="_Toc27993"/>
      <w:bookmarkStart w:id="1007" w:name="_Toc26188047"/>
      <w:bookmarkStart w:id="1008" w:name="_Toc27134320"/>
      <w:bookmarkStart w:id="1009" w:name="_Toc28629"/>
      <w:bookmarkStart w:id="1010" w:name="_Toc3069"/>
      <w:bookmarkStart w:id="1011" w:name="_Toc14773"/>
      <w:r>
        <w:rPr>
          <w:rFonts w:ascii="Times New Roman" w:hAnsi="Times New Roman" w:eastAsia="黑体"/>
          <w:bCs/>
          <w:sz w:val="28"/>
          <w:szCs w:val="28"/>
        </w:rPr>
        <w:t>施工期环境空气影响</w:t>
      </w:r>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r>
        <w:rPr>
          <w:rFonts w:ascii="Times New Roman" w:hAnsi="Times New Roman" w:eastAsia="黑体"/>
          <w:bCs/>
          <w:sz w:val="28"/>
          <w:szCs w:val="28"/>
        </w:rPr>
        <w:t>评价</w:t>
      </w:r>
      <w:bookmarkEnd w:id="1005"/>
      <w:bookmarkEnd w:id="1006"/>
      <w:bookmarkEnd w:id="1007"/>
      <w:bookmarkEnd w:id="1008"/>
      <w:bookmarkEnd w:id="1009"/>
      <w:bookmarkEnd w:id="1010"/>
      <w:bookmarkEnd w:id="1011"/>
    </w:p>
    <w:p>
      <w:pPr>
        <w:widowControl/>
        <w:snapToGrid w:val="0"/>
        <w:spacing w:line="480" w:lineRule="exact"/>
        <w:ind w:firstLine="480" w:firstLineChars="200"/>
        <w:rPr>
          <w:rFonts w:ascii="Times New Roman" w:hAnsi="Times New Roman"/>
          <w:sz w:val="24"/>
          <w:szCs w:val="24"/>
        </w:rPr>
      </w:pPr>
      <w:r>
        <w:rPr>
          <w:rFonts w:ascii="Times New Roman" w:hAnsi="Times New Roman"/>
          <w:sz w:val="24"/>
          <w:szCs w:val="24"/>
        </w:rPr>
        <w:t>本项目施工期废气主要包括运输车辆产生的尾气和扬尘、设备安装产生的废气。据有关调查显示，施工工地的扬尘主要是由运输车辆的行驶产生，约占扬尘总量的60%。</w:t>
      </w:r>
    </w:p>
    <w:p>
      <w:pPr>
        <w:widowControl/>
        <w:spacing w:line="480" w:lineRule="exact"/>
        <w:ind w:firstLine="480" w:firstLineChars="200"/>
        <w:rPr>
          <w:rFonts w:ascii="Times New Roman" w:hAnsi="Times New Roman"/>
          <w:sz w:val="24"/>
          <w:szCs w:val="24"/>
        </w:rPr>
      </w:pPr>
      <w:r>
        <w:rPr>
          <w:rFonts w:ascii="Times New Roman" w:hAnsi="Times New Roman"/>
          <w:sz w:val="24"/>
          <w:szCs w:val="24"/>
        </w:rPr>
        <w:t>本环评要求施工时应遵照建设部门的有关施工规范，限制车辆行驶速度及保持路面的清洁，同时在施工期应及时对建筑材料运输车辆经过的道路路面以及运输车辆表面进行清理，加强管理不使建筑材料敞开堆放，且避免在大风干燥天气条件下进行施工。同时要求项目实施单位加强施工车辆运行管理与维护保养，施工阶段在汽车行驶路面和施工场地洒水降尘，当施工场地洒水频率为4~5次/d时，扬尘造成的TSP污染距离可缩小到20~50m范围内。在严格采取上述有效防护措施，施工过程产生的扬尘能够满足《大气污染物综合排放标准》（GB16297-1996）无组织排放相关限值。</w:t>
      </w:r>
    </w:p>
    <w:p>
      <w:pPr>
        <w:pStyle w:val="4"/>
        <w:spacing w:before="120" w:beforeLines="50" w:after="120" w:afterLines="50" w:line="480" w:lineRule="exact"/>
        <w:rPr>
          <w:rFonts w:ascii="Times New Roman" w:hAnsi="Times New Roman" w:eastAsia="黑体"/>
          <w:bCs/>
          <w:sz w:val="28"/>
          <w:szCs w:val="28"/>
        </w:rPr>
      </w:pPr>
      <w:bookmarkStart w:id="1012" w:name="_Toc453709008"/>
      <w:bookmarkStart w:id="1013" w:name="_Toc9843830"/>
      <w:bookmarkStart w:id="1014" w:name="_Toc497228855"/>
      <w:bookmarkStart w:id="1015" w:name="_Toc482020686"/>
      <w:bookmarkStart w:id="1016" w:name="_Toc530655989"/>
      <w:bookmarkStart w:id="1017" w:name="_Toc407350301"/>
      <w:bookmarkStart w:id="1018" w:name="_Toc406572529"/>
      <w:bookmarkStart w:id="1019" w:name="_Toc406772071"/>
      <w:bookmarkStart w:id="1020" w:name="_Toc535348495"/>
      <w:bookmarkStart w:id="1021" w:name="_Toc480983904"/>
      <w:bookmarkStart w:id="1022" w:name="_Toc480190523"/>
      <w:bookmarkStart w:id="1023" w:name="_Toc532556637"/>
      <w:bookmarkStart w:id="1024" w:name="_Toc458063901"/>
      <w:bookmarkStart w:id="1025" w:name="_Toc534537655"/>
      <w:bookmarkStart w:id="1026" w:name="_Toc464036810"/>
      <w:bookmarkStart w:id="1027" w:name="_Toc487111525"/>
      <w:bookmarkStart w:id="1028" w:name="_Toc527205755"/>
      <w:bookmarkStart w:id="1029" w:name="_Toc466271460"/>
      <w:bookmarkStart w:id="1030" w:name="_Toc535168941"/>
      <w:bookmarkStart w:id="1031" w:name="_Toc416966951"/>
      <w:bookmarkStart w:id="1032" w:name="_Toc486970407"/>
      <w:bookmarkStart w:id="1033" w:name="_Toc409529992"/>
      <w:bookmarkStart w:id="1034" w:name="_Toc8616"/>
      <w:bookmarkStart w:id="1035" w:name="_Toc26188048"/>
      <w:bookmarkStart w:id="1036" w:name="_Toc32489"/>
      <w:bookmarkStart w:id="1037" w:name="_Toc1845"/>
      <w:bookmarkStart w:id="1038" w:name="_Toc27134321"/>
      <w:bookmarkStart w:id="1039" w:name="_Toc18860"/>
      <w:bookmarkStart w:id="1040" w:name="_Toc19687"/>
      <w:r>
        <w:rPr>
          <w:rFonts w:ascii="Times New Roman" w:hAnsi="Times New Roman" w:eastAsia="黑体"/>
          <w:bCs/>
          <w:sz w:val="28"/>
          <w:szCs w:val="28"/>
        </w:rPr>
        <w:t>施工期声环境影响</w:t>
      </w:r>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r>
        <w:rPr>
          <w:rFonts w:ascii="Times New Roman" w:hAnsi="Times New Roman" w:eastAsia="黑体"/>
          <w:bCs/>
          <w:sz w:val="28"/>
          <w:szCs w:val="28"/>
        </w:rPr>
        <w:t>评价</w:t>
      </w:r>
      <w:bookmarkEnd w:id="1034"/>
      <w:bookmarkEnd w:id="1035"/>
      <w:bookmarkEnd w:id="1036"/>
      <w:bookmarkEnd w:id="1037"/>
      <w:bookmarkEnd w:id="1038"/>
      <w:bookmarkEnd w:id="1039"/>
      <w:bookmarkEnd w:id="1040"/>
    </w:p>
    <w:p>
      <w:pPr>
        <w:spacing w:line="480" w:lineRule="exact"/>
        <w:ind w:firstLine="480" w:firstLineChars="200"/>
        <w:rPr>
          <w:rFonts w:ascii="Times New Roman" w:hAnsi="Times New Roman"/>
          <w:sz w:val="24"/>
          <w:szCs w:val="24"/>
        </w:rPr>
      </w:pPr>
      <w:r>
        <w:rPr>
          <w:rFonts w:ascii="Times New Roman" w:hAnsi="Times New Roman"/>
          <w:sz w:val="24"/>
          <w:szCs w:val="24"/>
        </w:rPr>
        <w:t>本项目施工期噪声主要来源于施工机械噪声和运输车辆噪声。施工期噪声具有阶段性、临时性和不固定性的特征，不同的施工设备产生的机械噪声声级各不相同。本项目施工期主要噪声源如下表5.1-2。</w:t>
      </w:r>
    </w:p>
    <w:p>
      <w:pPr>
        <w:autoSpaceDE w:val="0"/>
        <w:autoSpaceDN w:val="0"/>
        <w:adjustRightInd w:val="0"/>
        <w:snapToGrid w:val="0"/>
        <w:spacing w:line="480" w:lineRule="exact"/>
        <w:jc w:val="center"/>
        <w:textAlignment w:val="bottom"/>
        <w:rPr>
          <w:rFonts w:ascii="Times New Roman" w:hAnsi="Times New Roman"/>
          <w:b/>
          <w:snapToGrid w:val="0"/>
        </w:rPr>
      </w:pPr>
      <w:r>
        <w:rPr>
          <w:rFonts w:ascii="Times New Roman" w:hAnsi="Times New Roman"/>
          <w:b/>
          <w:snapToGrid w:val="0"/>
        </w:rPr>
        <w:t>表5.1-2 施工期噪声源情况</w:t>
      </w:r>
    </w:p>
    <w:tbl>
      <w:tblPr>
        <w:tblStyle w:val="77"/>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630"/>
        <w:gridCol w:w="2866"/>
        <w:gridCol w:w="303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629" w:type="dxa"/>
            <w:vAlign w:val="center"/>
          </w:tcPr>
          <w:p>
            <w:pPr>
              <w:widowControl/>
              <w:spacing w:line="280" w:lineRule="exact"/>
              <w:jc w:val="center"/>
              <w:rPr>
                <w:rFonts w:ascii="Times New Roman" w:hAnsi="Times New Roman"/>
                <w:b/>
              </w:rPr>
            </w:pPr>
            <w:r>
              <w:rPr>
                <w:rFonts w:ascii="Times New Roman" w:hAnsi="Times New Roman"/>
                <w:b/>
              </w:rPr>
              <w:t>设备名称</w:t>
            </w:r>
          </w:p>
        </w:tc>
        <w:tc>
          <w:tcPr>
            <w:tcW w:w="2866" w:type="dxa"/>
            <w:vAlign w:val="center"/>
          </w:tcPr>
          <w:p>
            <w:pPr>
              <w:widowControl/>
              <w:spacing w:line="280" w:lineRule="exact"/>
              <w:jc w:val="center"/>
              <w:rPr>
                <w:rFonts w:ascii="Times New Roman" w:hAnsi="Times New Roman"/>
                <w:b/>
              </w:rPr>
            </w:pPr>
            <w:r>
              <w:rPr>
                <w:rFonts w:ascii="Times New Roman" w:hAnsi="Times New Roman"/>
                <w:b/>
              </w:rPr>
              <w:t>测点距离</w:t>
            </w:r>
          </w:p>
        </w:tc>
        <w:tc>
          <w:tcPr>
            <w:tcW w:w="3034" w:type="dxa"/>
            <w:vAlign w:val="center"/>
          </w:tcPr>
          <w:p>
            <w:pPr>
              <w:widowControl/>
              <w:spacing w:line="280" w:lineRule="exact"/>
              <w:jc w:val="center"/>
              <w:rPr>
                <w:rFonts w:ascii="Times New Roman" w:hAnsi="Times New Roman"/>
                <w:b/>
              </w:rPr>
            </w:pPr>
            <w:r>
              <w:rPr>
                <w:rFonts w:ascii="Times New Roman" w:hAnsi="Times New Roman"/>
                <w:b/>
              </w:rPr>
              <w:t>声级值dB(A)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629" w:type="dxa"/>
            <w:vAlign w:val="center"/>
          </w:tcPr>
          <w:p>
            <w:pPr>
              <w:jc w:val="center"/>
              <w:rPr>
                <w:rFonts w:ascii="Times New Roman" w:hAnsi="Times New Roman"/>
              </w:rPr>
            </w:pPr>
            <w:r>
              <w:rPr>
                <w:rFonts w:ascii="Times New Roman" w:hAnsi="Times New Roman"/>
              </w:rPr>
              <w:t>电钻</w:t>
            </w:r>
          </w:p>
        </w:tc>
        <w:tc>
          <w:tcPr>
            <w:tcW w:w="2866" w:type="dxa"/>
            <w:vAlign w:val="center"/>
          </w:tcPr>
          <w:p>
            <w:pPr>
              <w:widowControl/>
              <w:spacing w:line="280" w:lineRule="exact"/>
              <w:jc w:val="center"/>
              <w:rPr>
                <w:rFonts w:ascii="Times New Roman" w:hAnsi="Times New Roman"/>
              </w:rPr>
            </w:pPr>
            <w:r>
              <w:rPr>
                <w:rFonts w:ascii="Times New Roman" w:hAnsi="Times New Roman"/>
              </w:rPr>
              <w:t>5m</w:t>
            </w:r>
          </w:p>
        </w:tc>
        <w:tc>
          <w:tcPr>
            <w:tcW w:w="3034" w:type="dxa"/>
            <w:vAlign w:val="center"/>
          </w:tcPr>
          <w:p>
            <w:pPr>
              <w:widowControl/>
              <w:spacing w:line="280" w:lineRule="exact"/>
              <w:jc w:val="center"/>
              <w:rPr>
                <w:rFonts w:ascii="Times New Roman" w:hAnsi="Times New Roman"/>
              </w:rPr>
            </w:pPr>
            <w:r>
              <w:rPr>
                <w:rFonts w:ascii="Times New Roman" w:hAnsi="Times New Roman"/>
              </w:rPr>
              <w:t>85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629" w:type="dxa"/>
            <w:vAlign w:val="center"/>
          </w:tcPr>
          <w:p>
            <w:pPr>
              <w:jc w:val="center"/>
              <w:rPr>
                <w:rFonts w:ascii="Times New Roman" w:hAnsi="Times New Roman"/>
              </w:rPr>
            </w:pPr>
            <w:r>
              <w:rPr>
                <w:rFonts w:ascii="Times New Roman" w:hAnsi="Times New Roman"/>
              </w:rPr>
              <w:t>电锤</w:t>
            </w:r>
          </w:p>
        </w:tc>
        <w:tc>
          <w:tcPr>
            <w:tcW w:w="2866" w:type="dxa"/>
          </w:tcPr>
          <w:p>
            <w:pPr>
              <w:spacing w:line="280" w:lineRule="exact"/>
              <w:jc w:val="center"/>
              <w:rPr>
                <w:rFonts w:ascii="Times New Roman" w:hAnsi="Times New Roman"/>
              </w:rPr>
            </w:pPr>
            <w:r>
              <w:rPr>
                <w:rFonts w:ascii="Times New Roman" w:hAnsi="Times New Roman"/>
              </w:rPr>
              <w:t>5m</w:t>
            </w:r>
          </w:p>
        </w:tc>
        <w:tc>
          <w:tcPr>
            <w:tcW w:w="3034" w:type="dxa"/>
            <w:vAlign w:val="center"/>
          </w:tcPr>
          <w:p>
            <w:pPr>
              <w:widowControl/>
              <w:spacing w:line="280" w:lineRule="exact"/>
              <w:jc w:val="center"/>
              <w:rPr>
                <w:rFonts w:ascii="Times New Roman" w:hAnsi="Times New Roman"/>
              </w:rPr>
            </w:pPr>
            <w:r>
              <w:rPr>
                <w:rFonts w:ascii="Times New Roman" w:hAnsi="Times New Roman"/>
              </w:rPr>
              <w:t>90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629" w:type="dxa"/>
            <w:vAlign w:val="center"/>
          </w:tcPr>
          <w:p>
            <w:pPr>
              <w:jc w:val="center"/>
              <w:rPr>
                <w:rFonts w:ascii="Times New Roman" w:hAnsi="Times New Roman"/>
              </w:rPr>
            </w:pPr>
            <w:r>
              <w:rPr>
                <w:rFonts w:ascii="Times New Roman" w:hAnsi="Times New Roman"/>
              </w:rPr>
              <w:t>手工钻</w:t>
            </w:r>
          </w:p>
        </w:tc>
        <w:tc>
          <w:tcPr>
            <w:tcW w:w="2866" w:type="dxa"/>
          </w:tcPr>
          <w:p>
            <w:pPr>
              <w:spacing w:line="280" w:lineRule="exact"/>
              <w:jc w:val="center"/>
              <w:rPr>
                <w:rFonts w:ascii="Times New Roman" w:hAnsi="Times New Roman"/>
              </w:rPr>
            </w:pPr>
            <w:r>
              <w:rPr>
                <w:rFonts w:ascii="Times New Roman" w:hAnsi="Times New Roman"/>
              </w:rPr>
              <w:t>5m</w:t>
            </w:r>
          </w:p>
        </w:tc>
        <w:tc>
          <w:tcPr>
            <w:tcW w:w="3034" w:type="dxa"/>
            <w:vAlign w:val="center"/>
          </w:tcPr>
          <w:p>
            <w:pPr>
              <w:widowControl/>
              <w:spacing w:line="280" w:lineRule="exact"/>
              <w:jc w:val="center"/>
              <w:rPr>
                <w:rFonts w:ascii="Times New Roman" w:hAnsi="Times New Roman"/>
              </w:rPr>
            </w:pPr>
            <w:r>
              <w:rPr>
                <w:rFonts w:ascii="Times New Roman" w:hAnsi="Times New Roman"/>
              </w:rPr>
              <w:t>95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629" w:type="dxa"/>
            <w:vAlign w:val="center"/>
          </w:tcPr>
          <w:p>
            <w:pPr>
              <w:jc w:val="center"/>
              <w:rPr>
                <w:rFonts w:ascii="Times New Roman" w:hAnsi="Times New Roman"/>
              </w:rPr>
            </w:pPr>
            <w:r>
              <w:rPr>
                <w:rFonts w:ascii="Times New Roman" w:hAnsi="Times New Roman"/>
              </w:rPr>
              <w:t>风镐</w:t>
            </w:r>
          </w:p>
        </w:tc>
        <w:tc>
          <w:tcPr>
            <w:tcW w:w="2866" w:type="dxa"/>
          </w:tcPr>
          <w:p>
            <w:pPr>
              <w:spacing w:line="280" w:lineRule="exact"/>
              <w:jc w:val="center"/>
              <w:rPr>
                <w:rFonts w:ascii="Times New Roman" w:hAnsi="Times New Roman"/>
              </w:rPr>
            </w:pPr>
            <w:r>
              <w:rPr>
                <w:rFonts w:ascii="Times New Roman" w:hAnsi="Times New Roman"/>
              </w:rPr>
              <w:t>5m</w:t>
            </w:r>
          </w:p>
        </w:tc>
        <w:tc>
          <w:tcPr>
            <w:tcW w:w="3034" w:type="dxa"/>
            <w:vAlign w:val="center"/>
          </w:tcPr>
          <w:p>
            <w:pPr>
              <w:widowControl/>
              <w:spacing w:line="280" w:lineRule="exact"/>
              <w:jc w:val="center"/>
              <w:rPr>
                <w:rFonts w:ascii="Times New Roman" w:hAnsi="Times New Roman"/>
              </w:rPr>
            </w:pPr>
            <w:r>
              <w:rPr>
                <w:rFonts w:ascii="Times New Roman" w:hAnsi="Times New Roman"/>
              </w:rPr>
              <w:t>85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629" w:type="dxa"/>
            <w:vAlign w:val="center"/>
          </w:tcPr>
          <w:p>
            <w:pPr>
              <w:jc w:val="center"/>
              <w:rPr>
                <w:rFonts w:ascii="Times New Roman" w:hAnsi="Times New Roman"/>
              </w:rPr>
            </w:pPr>
            <w:r>
              <w:rPr>
                <w:rFonts w:ascii="Times New Roman" w:hAnsi="Times New Roman"/>
              </w:rPr>
              <w:t>切割机</w:t>
            </w:r>
          </w:p>
        </w:tc>
        <w:tc>
          <w:tcPr>
            <w:tcW w:w="2866" w:type="dxa"/>
          </w:tcPr>
          <w:p>
            <w:pPr>
              <w:spacing w:line="280" w:lineRule="exact"/>
              <w:jc w:val="center"/>
              <w:rPr>
                <w:rFonts w:ascii="Times New Roman" w:hAnsi="Times New Roman"/>
              </w:rPr>
            </w:pPr>
            <w:r>
              <w:rPr>
                <w:rFonts w:ascii="Times New Roman" w:hAnsi="Times New Roman"/>
              </w:rPr>
              <w:t>5m</w:t>
            </w:r>
          </w:p>
        </w:tc>
        <w:tc>
          <w:tcPr>
            <w:tcW w:w="3034" w:type="dxa"/>
            <w:vAlign w:val="center"/>
          </w:tcPr>
          <w:p>
            <w:pPr>
              <w:widowControl/>
              <w:spacing w:line="280" w:lineRule="exact"/>
              <w:jc w:val="center"/>
              <w:rPr>
                <w:rFonts w:ascii="Times New Roman" w:hAnsi="Times New Roman"/>
              </w:rPr>
            </w:pPr>
            <w:r>
              <w:rPr>
                <w:rFonts w:ascii="Times New Roman" w:hAnsi="Times New Roman"/>
              </w:rPr>
              <w:t>90</w:t>
            </w:r>
          </w:p>
        </w:tc>
      </w:tr>
    </w:tbl>
    <w:p>
      <w:pPr>
        <w:spacing w:line="480" w:lineRule="exact"/>
        <w:ind w:firstLine="480" w:firstLineChars="200"/>
        <w:rPr>
          <w:rFonts w:ascii="Times New Roman" w:hAnsi="Times New Roman"/>
          <w:sz w:val="24"/>
          <w:szCs w:val="24"/>
        </w:rPr>
      </w:pPr>
      <w:r>
        <w:rPr>
          <w:rFonts w:ascii="Times New Roman" w:hAnsi="Times New Roman"/>
          <w:sz w:val="24"/>
          <w:szCs w:val="24"/>
        </w:rPr>
        <w:t>施工过程中使用的施工机械所产生的噪声主要属于中低频噪声，因此在预测其影响时可只考虑其扩散衰减，即预测模型可选用：</w:t>
      </w:r>
    </w:p>
    <w:p>
      <w:pPr>
        <w:pStyle w:val="19"/>
        <w:ind w:firstLine="0"/>
        <w:rPr>
          <w:rFonts w:ascii="Times New Roman" w:hAnsi="Times New Roman"/>
          <w:sz w:val="24"/>
          <w:szCs w:val="24"/>
          <w:lang w:val="fr-FR"/>
        </w:rPr>
      </w:pPr>
      <w:r>
        <w:rPr>
          <w:rFonts w:ascii="Times New Roman" w:hAnsi="Times New Roman"/>
        </w:rPr>
        <w:drawing>
          <wp:inline distT="0" distB="0" distL="114300" distR="114300">
            <wp:extent cx="1845310" cy="311785"/>
            <wp:effectExtent l="0" t="0" r="2540" b="2540"/>
            <wp:docPr id="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
                    <pic:cNvPicPr>
                      <a:picLocks noChangeAspect="1"/>
                    </pic:cNvPicPr>
                  </pic:nvPicPr>
                  <pic:blipFill>
                    <a:blip r:embed="rId49"/>
                    <a:stretch>
                      <a:fillRect/>
                    </a:stretch>
                  </pic:blipFill>
                  <pic:spPr>
                    <a:xfrm>
                      <a:off x="0" y="0"/>
                      <a:ext cx="1845310" cy="311785"/>
                    </a:xfrm>
                    <a:prstGeom prst="rect">
                      <a:avLst/>
                    </a:prstGeom>
                    <a:noFill/>
                    <a:ln>
                      <a:noFill/>
                    </a:ln>
                  </pic:spPr>
                </pic:pic>
              </a:graphicData>
            </a:graphic>
          </wp:inline>
        </w:drawing>
      </w:r>
    </w:p>
    <w:p>
      <w:pPr>
        <w:spacing w:line="480" w:lineRule="exact"/>
        <w:ind w:firstLine="480" w:firstLineChars="200"/>
        <w:rPr>
          <w:rFonts w:ascii="Times New Roman" w:hAnsi="Times New Roman"/>
          <w:sz w:val="24"/>
          <w:szCs w:val="24"/>
          <w:lang w:val="fr-FR"/>
        </w:rPr>
      </w:pPr>
      <w:r>
        <w:rPr>
          <w:rFonts w:ascii="Times New Roman" w:hAnsi="Times New Roman"/>
          <w:sz w:val="24"/>
          <w:szCs w:val="24"/>
        </w:rPr>
        <w:t>式中</w:t>
      </w:r>
      <w:r>
        <w:rPr>
          <w:rFonts w:ascii="Times New Roman" w:hAnsi="Times New Roman"/>
          <w:sz w:val="24"/>
          <w:szCs w:val="24"/>
          <w:lang w:val="fr-FR"/>
        </w:rPr>
        <w:t>：L1</w:t>
      </w:r>
      <w:r>
        <w:rPr>
          <w:rFonts w:ascii="Times New Roman" w:hAnsi="Times New Roman"/>
          <w:sz w:val="24"/>
          <w:szCs w:val="24"/>
        </w:rPr>
        <w:t>、</w:t>
      </w:r>
      <w:r>
        <w:rPr>
          <w:rFonts w:ascii="Times New Roman" w:hAnsi="Times New Roman"/>
          <w:sz w:val="24"/>
          <w:szCs w:val="24"/>
          <w:lang w:val="fr-FR"/>
        </w:rPr>
        <w:t>L2</w:t>
      </w:r>
      <w:r>
        <w:rPr>
          <w:rFonts w:ascii="Times New Roman" w:hAnsi="Times New Roman"/>
          <w:sz w:val="24"/>
          <w:szCs w:val="24"/>
        </w:rPr>
        <w:t>分别为距声源γ</w:t>
      </w:r>
      <w:r>
        <w:rPr>
          <w:rFonts w:ascii="Times New Roman" w:hAnsi="Times New Roman"/>
          <w:sz w:val="24"/>
          <w:szCs w:val="24"/>
          <w:lang w:val="fr-FR"/>
        </w:rPr>
        <w:t>1</w:t>
      </w:r>
      <w:r>
        <w:rPr>
          <w:rFonts w:ascii="Times New Roman" w:hAnsi="Times New Roman"/>
          <w:sz w:val="24"/>
          <w:szCs w:val="24"/>
        </w:rPr>
        <w:t>、γ</w:t>
      </w:r>
      <w:r>
        <w:rPr>
          <w:rFonts w:ascii="Times New Roman" w:hAnsi="Times New Roman"/>
          <w:sz w:val="24"/>
          <w:szCs w:val="24"/>
          <w:lang w:val="fr-FR"/>
        </w:rPr>
        <w:t>2</w:t>
      </w:r>
      <w:r>
        <w:rPr>
          <w:rFonts w:ascii="Times New Roman" w:hAnsi="Times New Roman"/>
          <w:sz w:val="24"/>
          <w:szCs w:val="24"/>
        </w:rPr>
        <w:t>处的等效</w:t>
      </w:r>
      <w:r>
        <w:rPr>
          <w:rFonts w:ascii="Times New Roman" w:hAnsi="Times New Roman"/>
          <w:sz w:val="24"/>
          <w:szCs w:val="24"/>
          <w:lang w:val="fr-FR"/>
        </w:rPr>
        <w:t>A</w:t>
      </w:r>
      <w:r>
        <w:rPr>
          <w:rFonts w:ascii="Times New Roman" w:hAnsi="Times New Roman"/>
          <w:sz w:val="24"/>
          <w:szCs w:val="24"/>
        </w:rPr>
        <w:t>声级</w:t>
      </w:r>
      <w:r>
        <w:rPr>
          <w:rFonts w:ascii="Times New Roman" w:hAnsi="Times New Roman"/>
          <w:sz w:val="24"/>
          <w:szCs w:val="24"/>
          <w:lang w:val="fr-FR"/>
        </w:rPr>
        <w:t>，dB（A）；</w:t>
      </w:r>
    </w:p>
    <w:p>
      <w:pPr>
        <w:spacing w:line="480" w:lineRule="exact"/>
        <w:ind w:firstLine="1200" w:firstLineChars="500"/>
        <w:rPr>
          <w:rFonts w:ascii="Times New Roman" w:hAnsi="Times New Roman"/>
          <w:sz w:val="24"/>
          <w:szCs w:val="24"/>
        </w:rPr>
      </w:pPr>
      <w:r>
        <w:rPr>
          <w:rFonts w:ascii="Times New Roman" w:hAnsi="Times New Roman"/>
          <w:sz w:val="24"/>
          <w:szCs w:val="24"/>
        </w:rPr>
        <w:t>γ1、γ2为接受点距声源的距离，m。</w:t>
      </w:r>
    </w:p>
    <w:p>
      <w:pPr>
        <w:spacing w:line="480" w:lineRule="exact"/>
        <w:ind w:firstLine="480" w:firstLineChars="200"/>
        <w:rPr>
          <w:rFonts w:ascii="Times New Roman" w:hAnsi="Times New Roman"/>
          <w:sz w:val="24"/>
          <w:szCs w:val="24"/>
        </w:rPr>
      </w:pPr>
      <w:r>
        <w:rPr>
          <w:rFonts w:ascii="Times New Roman" w:hAnsi="Times New Roman"/>
          <w:sz w:val="24"/>
          <w:szCs w:val="24"/>
        </w:rPr>
        <w:t>工程施工噪声随距离衰减后的情况如表5.1-3所示。</w:t>
      </w:r>
    </w:p>
    <w:p>
      <w:pPr>
        <w:adjustRightInd w:val="0"/>
        <w:snapToGrid w:val="0"/>
        <w:spacing w:line="480" w:lineRule="exact"/>
        <w:ind w:firstLine="480" w:firstLineChars="200"/>
        <w:rPr>
          <w:rFonts w:ascii="Times New Roman" w:hAnsi="Times New Roman"/>
          <w:sz w:val="24"/>
          <w:szCs w:val="24"/>
        </w:rPr>
      </w:pPr>
      <w:r>
        <w:rPr>
          <w:rFonts w:ascii="Times New Roman" w:hAnsi="Times New Roman"/>
          <w:sz w:val="24"/>
          <w:szCs w:val="24"/>
        </w:rPr>
        <w:t>由表5.1-3可知，白天施工机械超标范围一般在噪声设备周围100m以内，由于项目周边100m无敏感目标。在严格控制夜间施工不使用噪声设备的前提下，本项目施工期间产生的噪声不会对周围环境造成明显影响，其施工噪声可满足《建筑施工场界环境噪声排放标准》（GB12523-2011）标准要求，对区域声环境不会产生显著性不良影响。</w:t>
      </w:r>
    </w:p>
    <w:p>
      <w:pPr>
        <w:spacing w:line="480" w:lineRule="exact"/>
        <w:jc w:val="center"/>
        <w:rPr>
          <w:rFonts w:ascii="Times New Roman" w:hAnsi="Times New Roman"/>
          <w:b/>
          <w:bCs/>
        </w:rPr>
      </w:pPr>
      <w:r>
        <w:rPr>
          <w:rFonts w:ascii="Times New Roman" w:hAnsi="Times New Roman"/>
          <w:b/>
          <w:bCs/>
        </w:rPr>
        <w:t>表5.1-3 施工噪声值随距离衰减值单位</w:t>
      </w:r>
    </w:p>
    <w:tbl>
      <w:tblPr>
        <w:tblStyle w:val="7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29"/>
        <w:gridCol w:w="880"/>
        <w:gridCol w:w="852"/>
        <w:gridCol w:w="992"/>
        <w:gridCol w:w="909"/>
        <w:gridCol w:w="934"/>
        <w:gridCol w:w="992"/>
        <w:gridCol w:w="992"/>
        <w:gridCol w:w="105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29" w:type="dxa"/>
            <w:vMerge w:val="restart"/>
            <w:tcBorders>
              <w:top w:val="single" w:color="auto" w:sz="12" w:space="0"/>
              <w:left w:val="nil"/>
              <w:bottom w:val="single" w:color="auto" w:sz="4" w:space="0"/>
              <w:right w:val="single" w:color="auto" w:sz="4" w:space="0"/>
            </w:tcBorders>
            <w:vAlign w:val="center"/>
          </w:tcPr>
          <w:p>
            <w:pPr>
              <w:widowControl/>
              <w:spacing w:line="280" w:lineRule="exact"/>
              <w:jc w:val="center"/>
              <w:rPr>
                <w:rFonts w:ascii="Times New Roman" w:hAnsi="Times New Roman"/>
                <w:b/>
                <w:szCs w:val="24"/>
              </w:rPr>
            </w:pPr>
            <w:r>
              <w:rPr>
                <w:rFonts w:ascii="Times New Roman" w:hAnsi="Times New Roman"/>
                <w:b/>
                <w:szCs w:val="24"/>
              </w:rPr>
              <w:t>设备</w:t>
            </w:r>
          </w:p>
          <w:p>
            <w:pPr>
              <w:widowControl/>
              <w:spacing w:line="280" w:lineRule="exact"/>
              <w:jc w:val="center"/>
              <w:rPr>
                <w:rFonts w:ascii="Times New Roman" w:hAnsi="Times New Roman"/>
                <w:b/>
              </w:rPr>
            </w:pPr>
            <w:r>
              <w:rPr>
                <w:rFonts w:ascii="Times New Roman" w:hAnsi="Times New Roman"/>
                <w:b/>
                <w:szCs w:val="24"/>
              </w:rPr>
              <w:t>名称</w:t>
            </w:r>
          </w:p>
        </w:tc>
        <w:tc>
          <w:tcPr>
            <w:tcW w:w="7600" w:type="dxa"/>
            <w:gridSpan w:val="8"/>
            <w:tcBorders>
              <w:top w:val="single" w:color="auto" w:sz="12" w:space="0"/>
              <w:left w:val="single" w:color="auto" w:sz="4" w:space="0"/>
              <w:bottom w:val="single" w:color="auto" w:sz="4" w:space="0"/>
              <w:right w:val="nil"/>
            </w:tcBorders>
            <w:vAlign w:val="center"/>
          </w:tcPr>
          <w:p>
            <w:pPr>
              <w:adjustRightInd w:val="0"/>
              <w:snapToGrid w:val="0"/>
              <w:spacing w:line="280" w:lineRule="exact"/>
              <w:jc w:val="center"/>
              <w:rPr>
                <w:rFonts w:ascii="Times New Roman" w:hAnsi="Times New Roman"/>
                <w:b/>
                <w:szCs w:val="24"/>
              </w:rPr>
            </w:pPr>
            <w:r>
              <w:rPr>
                <w:rFonts w:ascii="Times New Roman" w:hAnsi="Times New Roman"/>
                <w:b/>
                <w:szCs w:val="24"/>
              </w:rPr>
              <w:t>距离声源不同处的噪声值（dB(A)）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29" w:type="dxa"/>
            <w:vMerge w:val="continue"/>
            <w:tcBorders>
              <w:top w:val="single" w:color="auto" w:sz="12" w:space="0"/>
              <w:left w:val="nil"/>
              <w:bottom w:val="single" w:color="auto" w:sz="4" w:space="0"/>
              <w:right w:val="single" w:color="auto" w:sz="4" w:space="0"/>
            </w:tcBorders>
            <w:vAlign w:val="center"/>
          </w:tcPr>
          <w:p>
            <w:pPr>
              <w:widowControl/>
              <w:spacing w:line="280" w:lineRule="exact"/>
              <w:jc w:val="center"/>
              <w:rPr>
                <w:rFonts w:ascii="Times New Roman" w:hAnsi="Times New Roman"/>
                <w:b/>
              </w:rPr>
            </w:pPr>
          </w:p>
        </w:tc>
        <w:tc>
          <w:tcPr>
            <w:tcW w:w="880" w:type="dxa"/>
            <w:tcBorders>
              <w:top w:val="single" w:color="auto" w:sz="4" w:space="0"/>
              <w:left w:val="single" w:color="auto" w:sz="4" w:space="0"/>
              <w:bottom w:val="single" w:color="auto" w:sz="4" w:space="0"/>
              <w:right w:val="single" w:color="auto" w:sz="4" w:space="0"/>
            </w:tcBorders>
            <w:vAlign w:val="center"/>
          </w:tcPr>
          <w:p>
            <w:pPr>
              <w:widowControl/>
              <w:spacing w:line="280" w:lineRule="exact"/>
              <w:jc w:val="center"/>
              <w:rPr>
                <w:rFonts w:ascii="Times New Roman" w:hAnsi="Times New Roman"/>
                <w:b/>
              </w:rPr>
            </w:pPr>
            <w:r>
              <w:rPr>
                <w:rFonts w:ascii="Times New Roman" w:hAnsi="Times New Roman"/>
                <w:b/>
                <w:szCs w:val="24"/>
              </w:rPr>
              <w:t>5m</w:t>
            </w:r>
          </w:p>
        </w:tc>
        <w:tc>
          <w:tcPr>
            <w:tcW w:w="851" w:type="dxa"/>
            <w:tcBorders>
              <w:top w:val="single" w:color="auto" w:sz="4" w:space="0"/>
              <w:left w:val="single" w:color="auto" w:sz="4" w:space="0"/>
              <w:bottom w:val="single" w:color="auto" w:sz="4" w:space="0"/>
              <w:right w:val="single" w:color="auto" w:sz="4" w:space="0"/>
            </w:tcBorders>
            <w:vAlign w:val="center"/>
          </w:tcPr>
          <w:p>
            <w:pPr>
              <w:widowControl/>
              <w:spacing w:line="280" w:lineRule="exact"/>
              <w:jc w:val="center"/>
              <w:rPr>
                <w:rFonts w:ascii="Times New Roman" w:hAnsi="Times New Roman"/>
                <w:b/>
              </w:rPr>
            </w:pPr>
            <w:r>
              <w:rPr>
                <w:rFonts w:ascii="Times New Roman" w:hAnsi="Times New Roman"/>
                <w:b/>
                <w:szCs w:val="24"/>
              </w:rPr>
              <w:t>10m</w:t>
            </w:r>
          </w:p>
        </w:tc>
        <w:tc>
          <w:tcPr>
            <w:tcW w:w="992" w:type="dxa"/>
            <w:tcBorders>
              <w:top w:val="single" w:color="auto" w:sz="4" w:space="0"/>
              <w:left w:val="single" w:color="auto" w:sz="4" w:space="0"/>
              <w:bottom w:val="single" w:color="auto" w:sz="4" w:space="0"/>
              <w:right w:val="single" w:color="auto" w:sz="4" w:space="0"/>
            </w:tcBorders>
            <w:vAlign w:val="center"/>
          </w:tcPr>
          <w:p>
            <w:pPr>
              <w:widowControl/>
              <w:spacing w:line="280" w:lineRule="exact"/>
              <w:jc w:val="center"/>
              <w:rPr>
                <w:rFonts w:ascii="Times New Roman" w:hAnsi="Times New Roman"/>
                <w:b/>
              </w:rPr>
            </w:pPr>
            <w:r>
              <w:rPr>
                <w:rFonts w:ascii="Times New Roman" w:hAnsi="Times New Roman"/>
                <w:b/>
                <w:szCs w:val="24"/>
              </w:rPr>
              <w:t>20m</w:t>
            </w:r>
          </w:p>
        </w:tc>
        <w:tc>
          <w:tcPr>
            <w:tcW w:w="909" w:type="dxa"/>
            <w:tcBorders>
              <w:top w:val="single" w:color="auto" w:sz="4" w:space="0"/>
              <w:left w:val="single" w:color="auto" w:sz="4" w:space="0"/>
              <w:bottom w:val="single" w:color="auto" w:sz="4" w:space="0"/>
              <w:right w:val="single" w:color="auto" w:sz="4" w:space="0"/>
            </w:tcBorders>
            <w:vAlign w:val="center"/>
          </w:tcPr>
          <w:p>
            <w:pPr>
              <w:widowControl/>
              <w:spacing w:line="280" w:lineRule="exact"/>
              <w:jc w:val="center"/>
              <w:rPr>
                <w:rFonts w:ascii="Times New Roman" w:hAnsi="Times New Roman"/>
                <w:b/>
              </w:rPr>
            </w:pPr>
            <w:r>
              <w:rPr>
                <w:rFonts w:ascii="Times New Roman" w:hAnsi="Times New Roman"/>
                <w:b/>
                <w:szCs w:val="24"/>
              </w:rPr>
              <w:t>50m</w:t>
            </w:r>
          </w:p>
        </w:tc>
        <w:tc>
          <w:tcPr>
            <w:tcW w:w="934" w:type="dxa"/>
            <w:tcBorders>
              <w:top w:val="single" w:color="auto" w:sz="4" w:space="0"/>
              <w:left w:val="single" w:color="auto" w:sz="4" w:space="0"/>
              <w:bottom w:val="single" w:color="auto" w:sz="4" w:space="0"/>
              <w:right w:val="single" w:color="auto" w:sz="4" w:space="0"/>
            </w:tcBorders>
            <w:vAlign w:val="center"/>
          </w:tcPr>
          <w:p>
            <w:pPr>
              <w:widowControl/>
              <w:spacing w:line="280" w:lineRule="exact"/>
              <w:jc w:val="center"/>
              <w:rPr>
                <w:rFonts w:ascii="Times New Roman" w:hAnsi="Times New Roman"/>
                <w:b/>
              </w:rPr>
            </w:pPr>
            <w:r>
              <w:rPr>
                <w:rFonts w:ascii="Times New Roman" w:hAnsi="Times New Roman"/>
                <w:b/>
                <w:szCs w:val="24"/>
              </w:rPr>
              <w:t>100m</w:t>
            </w:r>
          </w:p>
        </w:tc>
        <w:tc>
          <w:tcPr>
            <w:tcW w:w="992" w:type="dxa"/>
            <w:tcBorders>
              <w:top w:val="single" w:color="auto" w:sz="4" w:space="0"/>
              <w:left w:val="single" w:color="auto" w:sz="4" w:space="0"/>
              <w:bottom w:val="single" w:color="auto" w:sz="4" w:space="0"/>
              <w:right w:val="single" w:color="auto" w:sz="4" w:space="0"/>
            </w:tcBorders>
            <w:vAlign w:val="center"/>
          </w:tcPr>
          <w:p>
            <w:pPr>
              <w:widowControl/>
              <w:spacing w:line="280" w:lineRule="exact"/>
              <w:jc w:val="center"/>
              <w:rPr>
                <w:rFonts w:ascii="Times New Roman" w:hAnsi="Times New Roman"/>
                <w:b/>
              </w:rPr>
            </w:pPr>
            <w:r>
              <w:rPr>
                <w:rFonts w:ascii="Times New Roman" w:hAnsi="Times New Roman"/>
                <w:b/>
                <w:szCs w:val="24"/>
              </w:rPr>
              <w:t>150m</w:t>
            </w:r>
          </w:p>
        </w:tc>
        <w:tc>
          <w:tcPr>
            <w:tcW w:w="992" w:type="dxa"/>
            <w:tcBorders>
              <w:top w:val="single" w:color="auto" w:sz="4" w:space="0"/>
              <w:left w:val="single" w:color="auto" w:sz="4" w:space="0"/>
              <w:bottom w:val="single" w:color="auto" w:sz="4" w:space="0"/>
              <w:right w:val="nil"/>
            </w:tcBorders>
            <w:vAlign w:val="center"/>
          </w:tcPr>
          <w:p>
            <w:pPr>
              <w:spacing w:line="280" w:lineRule="exact"/>
              <w:jc w:val="center"/>
              <w:rPr>
                <w:rFonts w:ascii="Times New Roman" w:hAnsi="Times New Roman"/>
                <w:b/>
              </w:rPr>
            </w:pPr>
            <w:r>
              <w:rPr>
                <w:rFonts w:ascii="Times New Roman" w:hAnsi="Times New Roman"/>
                <w:b/>
                <w:szCs w:val="24"/>
              </w:rPr>
              <w:t>200m</w:t>
            </w:r>
          </w:p>
        </w:tc>
        <w:tc>
          <w:tcPr>
            <w:tcW w:w="1050" w:type="dxa"/>
            <w:tcBorders>
              <w:top w:val="single" w:color="auto" w:sz="4" w:space="0"/>
              <w:left w:val="single" w:color="auto" w:sz="4" w:space="0"/>
              <w:bottom w:val="single" w:color="auto" w:sz="4" w:space="0"/>
              <w:right w:val="nil"/>
            </w:tcBorders>
            <w:vAlign w:val="center"/>
          </w:tcPr>
          <w:p>
            <w:pPr>
              <w:spacing w:line="280" w:lineRule="exact"/>
              <w:jc w:val="center"/>
              <w:rPr>
                <w:rFonts w:ascii="Times New Roman" w:hAnsi="Times New Roman"/>
                <w:b/>
                <w:szCs w:val="24"/>
              </w:rPr>
            </w:pPr>
            <w:r>
              <w:rPr>
                <w:rFonts w:ascii="Times New Roman" w:hAnsi="Times New Roman"/>
                <w:b/>
                <w:szCs w:val="24"/>
              </w:rPr>
              <w:t>300m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29" w:type="dxa"/>
            <w:tcBorders>
              <w:top w:val="single" w:color="auto" w:sz="4" w:space="0"/>
              <w:left w:val="nil"/>
              <w:bottom w:val="single" w:color="auto" w:sz="4" w:space="0"/>
              <w:right w:val="single" w:color="auto" w:sz="4" w:space="0"/>
            </w:tcBorders>
            <w:vAlign w:val="center"/>
          </w:tcPr>
          <w:p>
            <w:pPr>
              <w:jc w:val="center"/>
              <w:rPr>
                <w:rFonts w:ascii="Times New Roman" w:hAnsi="Times New Roman"/>
              </w:rPr>
            </w:pPr>
            <w:r>
              <w:rPr>
                <w:rFonts w:ascii="Times New Roman" w:hAnsi="Times New Roman"/>
              </w:rPr>
              <w:t>电钻</w:t>
            </w:r>
          </w:p>
        </w:tc>
        <w:tc>
          <w:tcPr>
            <w:tcW w:w="880" w:type="dxa"/>
            <w:tcBorders>
              <w:top w:val="single" w:color="auto" w:sz="4" w:space="0"/>
              <w:left w:val="single" w:color="auto" w:sz="4" w:space="0"/>
              <w:bottom w:val="single" w:color="auto" w:sz="4" w:space="0"/>
              <w:right w:val="single" w:color="auto" w:sz="4" w:space="0"/>
            </w:tcBorders>
            <w:vAlign w:val="center"/>
          </w:tcPr>
          <w:p>
            <w:pPr>
              <w:widowControl/>
              <w:spacing w:line="280" w:lineRule="exact"/>
              <w:jc w:val="center"/>
              <w:rPr>
                <w:rFonts w:ascii="Times New Roman" w:hAnsi="Times New Roman"/>
              </w:rPr>
            </w:pPr>
            <w:r>
              <w:rPr>
                <w:rFonts w:ascii="Times New Roman" w:hAnsi="Times New Roman"/>
              </w:rPr>
              <w:t>85</w:t>
            </w:r>
          </w:p>
        </w:tc>
        <w:tc>
          <w:tcPr>
            <w:tcW w:w="851" w:type="dxa"/>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kern w:val="2"/>
              </w:rPr>
            </w:pPr>
            <w:r>
              <w:rPr>
                <w:rFonts w:ascii="Times New Roman" w:hAnsi="Times New Roman"/>
                <w:kern w:val="2"/>
                <w:szCs w:val="24"/>
              </w:rPr>
              <w:t>79</w:t>
            </w:r>
          </w:p>
        </w:tc>
        <w:tc>
          <w:tcPr>
            <w:tcW w:w="992" w:type="dxa"/>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kern w:val="2"/>
              </w:rPr>
            </w:pPr>
            <w:r>
              <w:rPr>
                <w:rFonts w:ascii="Times New Roman" w:hAnsi="Times New Roman"/>
                <w:kern w:val="2"/>
                <w:szCs w:val="24"/>
              </w:rPr>
              <w:t>73</w:t>
            </w:r>
          </w:p>
        </w:tc>
        <w:tc>
          <w:tcPr>
            <w:tcW w:w="909" w:type="dxa"/>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kern w:val="2"/>
              </w:rPr>
            </w:pPr>
            <w:r>
              <w:rPr>
                <w:rFonts w:ascii="Times New Roman" w:hAnsi="Times New Roman"/>
                <w:kern w:val="2"/>
                <w:szCs w:val="24"/>
              </w:rPr>
              <w:t>65</w:t>
            </w:r>
          </w:p>
        </w:tc>
        <w:tc>
          <w:tcPr>
            <w:tcW w:w="934" w:type="dxa"/>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kern w:val="2"/>
              </w:rPr>
            </w:pPr>
            <w:r>
              <w:rPr>
                <w:rFonts w:ascii="Times New Roman" w:hAnsi="Times New Roman"/>
                <w:kern w:val="2"/>
                <w:szCs w:val="24"/>
              </w:rPr>
              <w:t>59</w:t>
            </w:r>
          </w:p>
        </w:tc>
        <w:tc>
          <w:tcPr>
            <w:tcW w:w="992" w:type="dxa"/>
            <w:tcBorders>
              <w:top w:val="single" w:color="auto" w:sz="4" w:space="0"/>
              <w:left w:val="single" w:color="auto" w:sz="4" w:space="0"/>
              <w:bottom w:val="single" w:color="auto" w:sz="4" w:space="0"/>
              <w:right w:val="single" w:color="auto" w:sz="4" w:space="0"/>
            </w:tcBorders>
            <w:vAlign w:val="center"/>
          </w:tcPr>
          <w:p>
            <w:pPr>
              <w:widowControl/>
              <w:spacing w:line="280" w:lineRule="exact"/>
              <w:jc w:val="center"/>
              <w:rPr>
                <w:rFonts w:ascii="Times New Roman" w:hAnsi="Times New Roman"/>
              </w:rPr>
            </w:pPr>
            <w:r>
              <w:rPr>
                <w:rFonts w:ascii="Times New Roman" w:hAnsi="Times New Roman"/>
                <w:szCs w:val="24"/>
              </w:rPr>
              <w:t>55</w:t>
            </w:r>
          </w:p>
        </w:tc>
        <w:tc>
          <w:tcPr>
            <w:tcW w:w="992" w:type="dxa"/>
            <w:tcBorders>
              <w:top w:val="single" w:color="auto" w:sz="4" w:space="0"/>
              <w:left w:val="single" w:color="auto" w:sz="4" w:space="0"/>
              <w:bottom w:val="single" w:color="auto" w:sz="4" w:space="0"/>
              <w:right w:val="nil"/>
            </w:tcBorders>
            <w:vAlign w:val="center"/>
          </w:tcPr>
          <w:p>
            <w:pPr>
              <w:widowControl/>
              <w:spacing w:line="280" w:lineRule="exact"/>
              <w:jc w:val="center"/>
              <w:rPr>
                <w:rFonts w:ascii="Times New Roman" w:hAnsi="Times New Roman"/>
              </w:rPr>
            </w:pPr>
            <w:r>
              <w:rPr>
                <w:rFonts w:ascii="Times New Roman" w:hAnsi="Times New Roman"/>
                <w:szCs w:val="24"/>
              </w:rPr>
              <w:t>53</w:t>
            </w:r>
          </w:p>
        </w:tc>
        <w:tc>
          <w:tcPr>
            <w:tcW w:w="1050" w:type="dxa"/>
            <w:tcBorders>
              <w:top w:val="single" w:color="auto" w:sz="4" w:space="0"/>
              <w:left w:val="single" w:color="auto" w:sz="4" w:space="0"/>
              <w:bottom w:val="single" w:color="auto" w:sz="4" w:space="0"/>
              <w:right w:val="nil"/>
            </w:tcBorders>
            <w:vAlign w:val="center"/>
          </w:tcPr>
          <w:p>
            <w:pPr>
              <w:widowControl/>
              <w:spacing w:line="280" w:lineRule="exact"/>
              <w:jc w:val="center"/>
              <w:rPr>
                <w:rFonts w:ascii="Times New Roman" w:hAnsi="Times New Roman"/>
                <w:szCs w:val="24"/>
              </w:rPr>
            </w:pPr>
            <w:r>
              <w:rPr>
                <w:rFonts w:ascii="Times New Roman" w:hAnsi="Times New Roman"/>
                <w:szCs w:val="24"/>
              </w:rPr>
              <w:t>49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29" w:type="dxa"/>
            <w:tcBorders>
              <w:top w:val="single" w:color="auto" w:sz="4" w:space="0"/>
              <w:left w:val="nil"/>
              <w:bottom w:val="single" w:color="auto" w:sz="4" w:space="0"/>
              <w:right w:val="single" w:color="auto" w:sz="4" w:space="0"/>
            </w:tcBorders>
            <w:vAlign w:val="center"/>
          </w:tcPr>
          <w:p>
            <w:pPr>
              <w:jc w:val="center"/>
              <w:rPr>
                <w:rFonts w:ascii="Times New Roman" w:hAnsi="Times New Roman"/>
              </w:rPr>
            </w:pPr>
            <w:r>
              <w:rPr>
                <w:rFonts w:ascii="Times New Roman" w:hAnsi="Times New Roman"/>
              </w:rPr>
              <w:t>电锤</w:t>
            </w:r>
          </w:p>
        </w:tc>
        <w:tc>
          <w:tcPr>
            <w:tcW w:w="880" w:type="dxa"/>
            <w:tcBorders>
              <w:top w:val="single" w:color="auto" w:sz="4" w:space="0"/>
              <w:left w:val="single" w:color="auto" w:sz="4" w:space="0"/>
              <w:bottom w:val="single" w:color="auto" w:sz="4" w:space="0"/>
              <w:right w:val="single" w:color="auto" w:sz="4" w:space="0"/>
            </w:tcBorders>
            <w:vAlign w:val="center"/>
          </w:tcPr>
          <w:p>
            <w:pPr>
              <w:widowControl/>
              <w:spacing w:line="280" w:lineRule="exact"/>
              <w:jc w:val="center"/>
              <w:rPr>
                <w:rFonts w:ascii="Times New Roman" w:hAnsi="Times New Roman"/>
              </w:rPr>
            </w:pPr>
            <w:r>
              <w:rPr>
                <w:rFonts w:ascii="Times New Roman" w:hAnsi="Times New Roman"/>
              </w:rPr>
              <w:t>90</w:t>
            </w:r>
          </w:p>
        </w:tc>
        <w:tc>
          <w:tcPr>
            <w:tcW w:w="851" w:type="dxa"/>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rPr>
            </w:pPr>
            <w:r>
              <w:rPr>
                <w:rFonts w:ascii="Times New Roman" w:hAnsi="Times New Roman"/>
              </w:rPr>
              <w:t>84</w:t>
            </w:r>
          </w:p>
        </w:tc>
        <w:tc>
          <w:tcPr>
            <w:tcW w:w="992" w:type="dxa"/>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rPr>
            </w:pPr>
            <w:r>
              <w:rPr>
                <w:rFonts w:ascii="Times New Roman" w:hAnsi="Times New Roman"/>
              </w:rPr>
              <w:t>78</w:t>
            </w:r>
          </w:p>
        </w:tc>
        <w:tc>
          <w:tcPr>
            <w:tcW w:w="909" w:type="dxa"/>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rPr>
            </w:pPr>
            <w:r>
              <w:rPr>
                <w:rFonts w:ascii="Times New Roman" w:hAnsi="Times New Roman"/>
              </w:rPr>
              <w:t>70</w:t>
            </w:r>
          </w:p>
        </w:tc>
        <w:tc>
          <w:tcPr>
            <w:tcW w:w="934" w:type="dxa"/>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rPr>
            </w:pPr>
            <w:r>
              <w:rPr>
                <w:rFonts w:ascii="Times New Roman" w:hAnsi="Times New Roman"/>
              </w:rPr>
              <w:t>64</w:t>
            </w:r>
          </w:p>
        </w:tc>
        <w:tc>
          <w:tcPr>
            <w:tcW w:w="992" w:type="dxa"/>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rPr>
            </w:pPr>
            <w:r>
              <w:rPr>
                <w:rFonts w:ascii="Times New Roman" w:hAnsi="Times New Roman"/>
              </w:rPr>
              <w:t>60</w:t>
            </w:r>
          </w:p>
        </w:tc>
        <w:tc>
          <w:tcPr>
            <w:tcW w:w="992" w:type="dxa"/>
            <w:tcBorders>
              <w:top w:val="single" w:color="auto" w:sz="4" w:space="0"/>
              <w:left w:val="single" w:color="auto" w:sz="4" w:space="0"/>
              <w:bottom w:val="single" w:color="auto" w:sz="4" w:space="0"/>
              <w:right w:val="nil"/>
            </w:tcBorders>
            <w:vAlign w:val="center"/>
          </w:tcPr>
          <w:p>
            <w:pPr>
              <w:spacing w:line="280" w:lineRule="exact"/>
              <w:jc w:val="center"/>
              <w:rPr>
                <w:rFonts w:ascii="Times New Roman" w:hAnsi="Times New Roman"/>
              </w:rPr>
            </w:pPr>
            <w:r>
              <w:rPr>
                <w:rFonts w:ascii="Times New Roman" w:hAnsi="Times New Roman"/>
              </w:rPr>
              <w:t>58</w:t>
            </w:r>
          </w:p>
        </w:tc>
        <w:tc>
          <w:tcPr>
            <w:tcW w:w="1050" w:type="dxa"/>
            <w:tcBorders>
              <w:top w:val="single" w:color="auto" w:sz="4" w:space="0"/>
              <w:left w:val="single" w:color="auto" w:sz="4" w:space="0"/>
              <w:bottom w:val="single" w:color="auto" w:sz="4" w:space="0"/>
              <w:right w:val="nil"/>
            </w:tcBorders>
            <w:vAlign w:val="center"/>
          </w:tcPr>
          <w:p>
            <w:pPr>
              <w:spacing w:line="280" w:lineRule="exact"/>
              <w:jc w:val="center"/>
              <w:rPr>
                <w:rFonts w:ascii="Times New Roman" w:hAnsi="Times New Roman"/>
              </w:rPr>
            </w:pPr>
            <w:r>
              <w:rPr>
                <w:rFonts w:ascii="Times New Roman" w:hAnsi="Times New Roman"/>
              </w:rPr>
              <w:t>54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29" w:type="dxa"/>
            <w:tcBorders>
              <w:top w:val="single" w:color="auto" w:sz="4" w:space="0"/>
              <w:left w:val="nil"/>
              <w:bottom w:val="single" w:color="auto" w:sz="4" w:space="0"/>
              <w:right w:val="single" w:color="auto" w:sz="4" w:space="0"/>
            </w:tcBorders>
            <w:vAlign w:val="center"/>
          </w:tcPr>
          <w:p>
            <w:pPr>
              <w:jc w:val="center"/>
              <w:rPr>
                <w:rFonts w:ascii="Times New Roman" w:hAnsi="Times New Roman"/>
              </w:rPr>
            </w:pPr>
            <w:r>
              <w:rPr>
                <w:rFonts w:ascii="Times New Roman" w:hAnsi="Times New Roman"/>
              </w:rPr>
              <w:t>手工钻</w:t>
            </w:r>
          </w:p>
        </w:tc>
        <w:tc>
          <w:tcPr>
            <w:tcW w:w="880" w:type="dxa"/>
            <w:tcBorders>
              <w:top w:val="single" w:color="auto" w:sz="4" w:space="0"/>
              <w:left w:val="single" w:color="auto" w:sz="4" w:space="0"/>
              <w:bottom w:val="single" w:color="auto" w:sz="4" w:space="0"/>
              <w:right w:val="single" w:color="auto" w:sz="4" w:space="0"/>
            </w:tcBorders>
            <w:vAlign w:val="center"/>
          </w:tcPr>
          <w:p>
            <w:pPr>
              <w:widowControl/>
              <w:spacing w:line="280" w:lineRule="exact"/>
              <w:jc w:val="center"/>
              <w:rPr>
                <w:rFonts w:ascii="Times New Roman" w:hAnsi="Times New Roman"/>
              </w:rPr>
            </w:pPr>
            <w:r>
              <w:rPr>
                <w:rFonts w:ascii="Times New Roman" w:hAnsi="Times New Roman"/>
              </w:rPr>
              <w:t>95</w:t>
            </w:r>
          </w:p>
        </w:tc>
        <w:tc>
          <w:tcPr>
            <w:tcW w:w="851" w:type="dxa"/>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kern w:val="2"/>
              </w:rPr>
            </w:pPr>
            <w:r>
              <w:rPr>
                <w:rFonts w:ascii="Times New Roman" w:hAnsi="Times New Roman"/>
                <w:kern w:val="2"/>
                <w:szCs w:val="24"/>
              </w:rPr>
              <w:t>89</w:t>
            </w:r>
          </w:p>
        </w:tc>
        <w:tc>
          <w:tcPr>
            <w:tcW w:w="992" w:type="dxa"/>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kern w:val="2"/>
              </w:rPr>
            </w:pPr>
            <w:r>
              <w:rPr>
                <w:rFonts w:ascii="Times New Roman" w:hAnsi="Times New Roman"/>
                <w:kern w:val="2"/>
                <w:szCs w:val="24"/>
              </w:rPr>
              <w:t>83</w:t>
            </w:r>
          </w:p>
        </w:tc>
        <w:tc>
          <w:tcPr>
            <w:tcW w:w="909" w:type="dxa"/>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kern w:val="2"/>
              </w:rPr>
            </w:pPr>
            <w:r>
              <w:rPr>
                <w:rFonts w:ascii="Times New Roman" w:hAnsi="Times New Roman"/>
                <w:kern w:val="2"/>
                <w:szCs w:val="24"/>
              </w:rPr>
              <w:t>75</w:t>
            </w:r>
          </w:p>
        </w:tc>
        <w:tc>
          <w:tcPr>
            <w:tcW w:w="934" w:type="dxa"/>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kern w:val="2"/>
              </w:rPr>
            </w:pPr>
            <w:r>
              <w:rPr>
                <w:rFonts w:ascii="Times New Roman" w:hAnsi="Times New Roman"/>
                <w:kern w:val="2"/>
                <w:szCs w:val="24"/>
              </w:rPr>
              <w:t>69</w:t>
            </w:r>
          </w:p>
        </w:tc>
        <w:tc>
          <w:tcPr>
            <w:tcW w:w="992" w:type="dxa"/>
            <w:tcBorders>
              <w:top w:val="single" w:color="auto" w:sz="4" w:space="0"/>
              <w:left w:val="single" w:color="auto" w:sz="4" w:space="0"/>
              <w:bottom w:val="single" w:color="auto" w:sz="4" w:space="0"/>
              <w:right w:val="single" w:color="auto" w:sz="4" w:space="0"/>
            </w:tcBorders>
            <w:vAlign w:val="center"/>
          </w:tcPr>
          <w:p>
            <w:pPr>
              <w:widowControl/>
              <w:spacing w:line="280" w:lineRule="exact"/>
              <w:jc w:val="center"/>
              <w:rPr>
                <w:rFonts w:ascii="Times New Roman" w:hAnsi="Times New Roman"/>
              </w:rPr>
            </w:pPr>
            <w:r>
              <w:rPr>
                <w:rFonts w:ascii="Times New Roman" w:hAnsi="Times New Roman"/>
                <w:szCs w:val="24"/>
              </w:rPr>
              <w:t>65</w:t>
            </w:r>
          </w:p>
        </w:tc>
        <w:tc>
          <w:tcPr>
            <w:tcW w:w="992" w:type="dxa"/>
            <w:tcBorders>
              <w:top w:val="single" w:color="auto" w:sz="4" w:space="0"/>
              <w:left w:val="single" w:color="auto" w:sz="4" w:space="0"/>
              <w:bottom w:val="single" w:color="auto" w:sz="4" w:space="0"/>
              <w:right w:val="nil"/>
            </w:tcBorders>
            <w:vAlign w:val="center"/>
          </w:tcPr>
          <w:p>
            <w:pPr>
              <w:widowControl/>
              <w:spacing w:line="280" w:lineRule="exact"/>
              <w:jc w:val="center"/>
              <w:rPr>
                <w:rFonts w:ascii="Times New Roman" w:hAnsi="Times New Roman"/>
              </w:rPr>
            </w:pPr>
            <w:r>
              <w:rPr>
                <w:rFonts w:ascii="Times New Roman" w:hAnsi="Times New Roman"/>
                <w:szCs w:val="24"/>
              </w:rPr>
              <w:t>63</w:t>
            </w:r>
          </w:p>
        </w:tc>
        <w:tc>
          <w:tcPr>
            <w:tcW w:w="1050" w:type="dxa"/>
            <w:tcBorders>
              <w:top w:val="single" w:color="auto" w:sz="4" w:space="0"/>
              <w:left w:val="single" w:color="auto" w:sz="4" w:space="0"/>
              <w:bottom w:val="single" w:color="auto" w:sz="4" w:space="0"/>
              <w:right w:val="nil"/>
            </w:tcBorders>
            <w:vAlign w:val="center"/>
          </w:tcPr>
          <w:p>
            <w:pPr>
              <w:widowControl/>
              <w:spacing w:line="280" w:lineRule="exact"/>
              <w:jc w:val="center"/>
              <w:rPr>
                <w:rFonts w:ascii="Times New Roman" w:hAnsi="Times New Roman"/>
                <w:szCs w:val="24"/>
              </w:rPr>
            </w:pPr>
            <w:r>
              <w:rPr>
                <w:rFonts w:ascii="Times New Roman" w:hAnsi="Times New Roman"/>
                <w:szCs w:val="24"/>
              </w:rPr>
              <w:t>59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29" w:type="dxa"/>
            <w:tcBorders>
              <w:top w:val="single" w:color="auto" w:sz="4" w:space="0"/>
              <w:left w:val="nil"/>
              <w:bottom w:val="single" w:color="auto" w:sz="4" w:space="0"/>
              <w:right w:val="single" w:color="auto" w:sz="4" w:space="0"/>
            </w:tcBorders>
            <w:vAlign w:val="center"/>
          </w:tcPr>
          <w:p>
            <w:pPr>
              <w:jc w:val="center"/>
              <w:rPr>
                <w:rFonts w:ascii="Times New Roman" w:hAnsi="Times New Roman"/>
              </w:rPr>
            </w:pPr>
            <w:r>
              <w:rPr>
                <w:rFonts w:ascii="Times New Roman" w:hAnsi="Times New Roman"/>
              </w:rPr>
              <w:t>风镐</w:t>
            </w:r>
          </w:p>
        </w:tc>
        <w:tc>
          <w:tcPr>
            <w:tcW w:w="880" w:type="dxa"/>
            <w:tcBorders>
              <w:top w:val="single" w:color="auto" w:sz="4" w:space="0"/>
              <w:left w:val="single" w:color="auto" w:sz="4" w:space="0"/>
              <w:bottom w:val="single" w:color="auto" w:sz="4" w:space="0"/>
              <w:right w:val="single" w:color="auto" w:sz="4" w:space="0"/>
            </w:tcBorders>
            <w:vAlign w:val="center"/>
          </w:tcPr>
          <w:p>
            <w:pPr>
              <w:widowControl/>
              <w:spacing w:line="280" w:lineRule="exact"/>
              <w:jc w:val="center"/>
              <w:rPr>
                <w:rFonts w:ascii="Times New Roman" w:hAnsi="Times New Roman"/>
              </w:rPr>
            </w:pPr>
            <w:r>
              <w:rPr>
                <w:rFonts w:ascii="Times New Roman" w:hAnsi="Times New Roman"/>
              </w:rPr>
              <w:t>85</w:t>
            </w:r>
          </w:p>
        </w:tc>
        <w:tc>
          <w:tcPr>
            <w:tcW w:w="851" w:type="dxa"/>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kern w:val="2"/>
              </w:rPr>
            </w:pPr>
            <w:r>
              <w:rPr>
                <w:rFonts w:ascii="Times New Roman" w:hAnsi="Times New Roman"/>
                <w:kern w:val="2"/>
                <w:szCs w:val="24"/>
              </w:rPr>
              <w:t>79</w:t>
            </w:r>
          </w:p>
        </w:tc>
        <w:tc>
          <w:tcPr>
            <w:tcW w:w="992" w:type="dxa"/>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kern w:val="2"/>
              </w:rPr>
            </w:pPr>
            <w:r>
              <w:rPr>
                <w:rFonts w:ascii="Times New Roman" w:hAnsi="Times New Roman"/>
                <w:kern w:val="2"/>
                <w:szCs w:val="24"/>
              </w:rPr>
              <w:t>73</w:t>
            </w:r>
          </w:p>
        </w:tc>
        <w:tc>
          <w:tcPr>
            <w:tcW w:w="909" w:type="dxa"/>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kern w:val="2"/>
              </w:rPr>
            </w:pPr>
            <w:r>
              <w:rPr>
                <w:rFonts w:ascii="Times New Roman" w:hAnsi="Times New Roman"/>
                <w:kern w:val="2"/>
                <w:szCs w:val="24"/>
              </w:rPr>
              <w:t>65</w:t>
            </w:r>
          </w:p>
        </w:tc>
        <w:tc>
          <w:tcPr>
            <w:tcW w:w="934" w:type="dxa"/>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kern w:val="2"/>
              </w:rPr>
            </w:pPr>
            <w:r>
              <w:rPr>
                <w:rFonts w:ascii="Times New Roman" w:hAnsi="Times New Roman"/>
                <w:kern w:val="2"/>
                <w:szCs w:val="24"/>
              </w:rPr>
              <w:t>59</w:t>
            </w:r>
          </w:p>
        </w:tc>
        <w:tc>
          <w:tcPr>
            <w:tcW w:w="992" w:type="dxa"/>
            <w:tcBorders>
              <w:top w:val="single" w:color="auto" w:sz="4" w:space="0"/>
              <w:left w:val="single" w:color="auto" w:sz="4" w:space="0"/>
              <w:bottom w:val="single" w:color="auto" w:sz="4" w:space="0"/>
              <w:right w:val="single" w:color="auto" w:sz="4" w:space="0"/>
            </w:tcBorders>
            <w:vAlign w:val="center"/>
          </w:tcPr>
          <w:p>
            <w:pPr>
              <w:widowControl/>
              <w:spacing w:line="280" w:lineRule="exact"/>
              <w:jc w:val="center"/>
              <w:rPr>
                <w:rFonts w:ascii="Times New Roman" w:hAnsi="Times New Roman"/>
              </w:rPr>
            </w:pPr>
            <w:r>
              <w:rPr>
                <w:rFonts w:ascii="Times New Roman" w:hAnsi="Times New Roman"/>
                <w:szCs w:val="24"/>
              </w:rPr>
              <w:t>55</w:t>
            </w:r>
          </w:p>
        </w:tc>
        <w:tc>
          <w:tcPr>
            <w:tcW w:w="992" w:type="dxa"/>
            <w:tcBorders>
              <w:top w:val="single" w:color="auto" w:sz="4" w:space="0"/>
              <w:left w:val="single" w:color="auto" w:sz="4" w:space="0"/>
              <w:bottom w:val="single" w:color="auto" w:sz="4" w:space="0"/>
              <w:right w:val="nil"/>
            </w:tcBorders>
            <w:vAlign w:val="center"/>
          </w:tcPr>
          <w:p>
            <w:pPr>
              <w:widowControl/>
              <w:spacing w:line="280" w:lineRule="exact"/>
              <w:jc w:val="center"/>
              <w:rPr>
                <w:rFonts w:ascii="Times New Roman" w:hAnsi="Times New Roman"/>
              </w:rPr>
            </w:pPr>
            <w:r>
              <w:rPr>
                <w:rFonts w:ascii="Times New Roman" w:hAnsi="Times New Roman"/>
                <w:szCs w:val="24"/>
              </w:rPr>
              <w:t>53</w:t>
            </w:r>
          </w:p>
        </w:tc>
        <w:tc>
          <w:tcPr>
            <w:tcW w:w="1050" w:type="dxa"/>
            <w:tcBorders>
              <w:top w:val="single" w:color="auto" w:sz="4" w:space="0"/>
              <w:left w:val="single" w:color="auto" w:sz="4" w:space="0"/>
              <w:bottom w:val="single" w:color="auto" w:sz="4" w:space="0"/>
              <w:right w:val="nil"/>
            </w:tcBorders>
            <w:vAlign w:val="center"/>
          </w:tcPr>
          <w:p>
            <w:pPr>
              <w:widowControl/>
              <w:spacing w:line="280" w:lineRule="exact"/>
              <w:jc w:val="center"/>
              <w:rPr>
                <w:rFonts w:ascii="Times New Roman" w:hAnsi="Times New Roman"/>
                <w:szCs w:val="24"/>
              </w:rPr>
            </w:pPr>
            <w:r>
              <w:rPr>
                <w:rFonts w:ascii="Times New Roman" w:hAnsi="Times New Roman"/>
                <w:szCs w:val="24"/>
              </w:rPr>
              <w:t>49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29" w:type="dxa"/>
            <w:tcBorders>
              <w:top w:val="single" w:color="auto" w:sz="4" w:space="0"/>
              <w:left w:val="nil"/>
              <w:bottom w:val="single" w:color="auto" w:sz="12" w:space="0"/>
              <w:right w:val="single" w:color="auto" w:sz="4" w:space="0"/>
            </w:tcBorders>
            <w:vAlign w:val="center"/>
          </w:tcPr>
          <w:p>
            <w:pPr>
              <w:jc w:val="center"/>
              <w:rPr>
                <w:rFonts w:ascii="Times New Roman" w:hAnsi="Times New Roman"/>
              </w:rPr>
            </w:pPr>
            <w:r>
              <w:rPr>
                <w:rFonts w:ascii="Times New Roman" w:hAnsi="Times New Roman"/>
              </w:rPr>
              <w:t>切割机</w:t>
            </w:r>
          </w:p>
        </w:tc>
        <w:tc>
          <w:tcPr>
            <w:tcW w:w="880" w:type="dxa"/>
            <w:tcBorders>
              <w:top w:val="single" w:color="auto" w:sz="4" w:space="0"/>
              <w:left w:val="single" w:color="auto" w:sz="4" w:space="0"/>
              <w:bottom w:val="single" w:color="auto" w:sz="12" w:space="0"/>
              <w:right w:val="single" w:color="auto" w:sz="4" w:space="0"/>
            </w:tcBorders>
            <w:vAlign w:val="center"/>
          </w:tcPr>
          <w:p>
            <w:pPr>
              <w:widowControl/>
              <w:spacing w:line="280" w:lineRule="exact"/>
              <w:jc w:val="center"/>
              <w:rPr>
                <w:rFonts w:ascii="Times New Roman" w:hAnsi="Times New Roman"/>
              </w:rPr>
            </w:pPr>
            <w:r>
              <w:rPr>
                <w:rFonts w:ascii="Times New Roman" w:hAnsi="Times New Roman"/>
              </w:rPr>
              <w:t>90</w:t>
            </w:r>
          </w:p>
        </w:tc>
        <w:tc>
          <w:tcPr>
            <w:tcW w:w="851" w:type="dxa"/>
            <w:tcBorders>
              <w:top w:val="single" w:color="auto" w:sz="4" w:space="0"/>
              <w:left w:val="single" w:color="auto" w:sz="4" w:space="0"/>
              <w:bottom w:val="single" w:color="auto" w:sz="12" w:space="0"/>
              <w:right w:val="single" w:color="auto" w:sz="4" w:space="0"/>
            </w:tcBorders>
            <w:vAlign w:val="center"/>
          </w:tcPr>
          <w:p>
            <w:pPr>
              <w:spacing w:line="280" w:lineRule="exact"/>
              <w:jc w:val="center"/>
              <w:rPr>
                <w:rFonts w:ascii="Times New Roman" w:hAnsi="Times New Roman"/>
              </w:rPr>
            </w:pPr>
            <w:r>
              <w:rPr>
                <w:rFonts w:ascii="Times New Roman" w:hAnsi="Times New Roman"/>
              </w:rPr>
              <w:t>84</w:t>
            </w:r>
          </w:p>
        </w:tc>
        <w:tc>
          <w:tcPr>
            <w:tcW w:w="992" w:type="dxa"/>
            <w:tcBorders>
              <w:top w:val="single" w:color="auto" w:sz="4" w:space="0"/>
              <w:left w:val="single" w:color="auto" w:sz="4" w:space="0"/>
              <w:bottom w:val="single" w:color="auto" w:sz="12" w:space="0"/>
              <w:right w:val="single" w:color="auto" w:sz="4" w:space="0"/>
            </w:tcBorders>
            <w:vAlign w:val="center"/>
          </w:tcPr>
          <w:p>
            <w:pPr>
              <w:spacing w:line="280" w:lineRule="exact"/>
              <w:jc w:val="center"/>
              <w:rPr>
                <w:rFonts w:ascii="Times New Roman" w:hAnsi="Times New Roman"/>
              </w:rPr>
            </w:pPr>
            <w:r>
              <w:rPr>
                <w:rFonts w:ascii="Times New Roman" w:hAnsi="Times New Roman"/>
              </w:rPr>
              <w:t>78</w:t>
            </w:r>
          </w:p>
        </w:tc>
        <w:tc>
          <w:tcPr>
            <w:tcW w:w="909" w:type="dxa"/>
            <w:tcBorders>
              <w:top w:val="single" w:color="auto" w:sz="4" w:space="0"/>
              <w:left w:val="single" w:color="auto" w:sz="4" w:space="0"/>
              <w:bottom w:val="single" w:color="auto" w:sz="12" w:space="0"/>
              <w:right w:val="single" w:color="auto" w:sz="4" w:space="0"/>
            </w:tcBorders>
            <w:vAlign w:val="center"/>
          </w:tcPr>
          <w:p>
            <w:pPr>
              <w:spacing w:line="280" w:lineRule="exact"/>
              <w:jc w:val="center"/>
              <w:rPr>
                <w:rFonts w:ascii="Times New Roman" w:hAnsi="Times New Roman"/>
              </w:rPr>
            </w:pPr>
            <w:r>
              <w:rPr>
                <w:rFonts w:ascii="Times New Roman" w:hAnsi="Times New Roman"/>
              </w:rPr>
              <w:t>70</w:t>
            </w:r>
          </w:p>
        </w:tc>
        <w:tc>
          <w:tcPr>
            <w:tcW w:w="934" w:type="dxa"/>
            <w:tcBorders>
              <w:top w:val="single" w:color="auto" w:sz="4" w:space="0"/>
              <w:left w:val="single" w:color="auto" w:sz="4" w:space="0"/>
              <w:bottom w:val="single" w:color="auto" w:sz="12" w:space="0"/>
              <w:right w:val="single" w:color="auto" w:sz="4" w:space="0"/>
            </w:tcBorders>
            <w:vAlign w:val="center"/>
          </w:tcPr>
          <w:p>
            <w:pPr>
              <w:spacing w:line="280" w:lineRule="exact"/>
              <w:jc w:val="center"/>
              <w:rPr>
                <w:rFonts w:ascii="Times New Roman" w:hAnsi="Times New Roman"/>
              </w:rPr>
            </w:pPr>
            <w:r>
              <w:rPr>
                <w:rFonts w:ascii="Times New Roman" w:hAnsi="Times New Roman"/>
              </w:rPr>
              <w:t>64</w:t>
            </w:r>
          </w:p>
        </w:tc>
        <w:tc>
          <w:tcPr>
            <w:tcW w:w="992" w:type="dxa"/>
            <w:tcBorders>
              <w:top w:val="single" w:color="auto" w:sz="4" w:space="0"/>
              <w:left w:val="single" w:color="auto" w:sz="4" w:space="0"/>
              <w:bottom w:val="single" w:color="auto" w:sz="12" w:space="0"/>
              <w:right w:val="single" w:color="auto" w:sz="4" w:space="0"/>
            </w:tcBorders>
            <w:vAlign w:val="center"/>
          </w:tcPr>
          <w:p>
            <w:pPr>
              <w:spacing w:line="280" w:lineRule="exact"/>
              <w:jc w:val="center"/>
              <w:rPr>
                <w:rFonts w:ascii="Times New Roman" w:hAnsi="Times New Roman"/>
              </w:rPr>
            </w:pPr>
            <w:r>
              <w:rPr>
                <w:rFonts w:ascii="Times New Roman" w:hAnsi="Times New Roman"/>
              </w:rPr>
              <w:t>60</w:t>
            </w:r>
          </w:p>
        </w:tc>
        <w:tc>
          <w:tcPr>
            <w:tcW w:w="992" w:type="dxa"/>
            <w:tcBorders>
              <w:top w:val="single" w:color="auto" w:sz="4" w:space="0"/>
              <w:left w:val="single" w:color="auto" w:sz="4" w:space="0"/>
              <w:bottom w:val="single" w:color="auto" w:sz="12" w:space="0"/>
              <w:right w:val="nil"/>
            </w:tcBorders>
            <w:vAlign w:val="center"/>
          </w:tcPr>
          <w:p>
            <w:pPr>
              <w:spacing w:line="280" w:lineRule="exact"/>
              <w:jc w:val="center"/>
              <w:rPr>
                <w:rFonts w:ascii="Times New Roman" w:hAnsi="Times New Roman"/>
              </w:rPr>
            </w:pPr>
            <w:r>
              <w:rPr>
                <w:rFonts w:ascii="Times New Roman" w:hAnsi="Times New Roman"/>
              </w:rPr>
              <w:t>58</w:t>
            </w:r>
          </w:p>
        </w:tc>
        <w:tc>
          <w:tcPr>
            <w:tcW w:w="1050" w:type="dxa"/>
            <w:tcBorders>
              <w:top w:val="single" w:color="auto" w:sz="4" w:space="0"/>
              <w:left w:val="single" w:color="auto" w:sz="4" w:space="0"/>
              <w:bottom w:val="single" w:color="auto" w:sz="12" w:space="0"/>
              <w:right w:val="nil"/>
            </w:tcBorders>
            <w:vAlign w:val="center"/>
          </w:tcPr>
          <w:p>
            <w:pPr>
              <w:spacing w:line="280" w:lineRule="exact"/>
              <w:jc w:val="center"/>
              <w:rPr>
                <w:rFonts w:ascii="Times New Roman" w:hAnsi="Times New Roman"/>
              </w:rPr>
            </w:pPr>
            <w:r>
              <w:rPr>
                <w:rFonts w:ascii="Times New Roman" w:hAnsi="Times New Roman"/>
              </w:rPr>
              <w:t>54</w:t>
            </w:r>
          </w:p>
        </w:tc>
      </w:tr>
    </w:tbl>
    <w:p>
      <w:pPr>
        <w:pStyle w:val="4"/>
        <w:spacing w:before="120" w:beforeLines="50" w:after="120" w:afterLines="50" w:line="480" w:lineRule="exact"/>
        <w:rPr>
          <w:rFonts w:ascii="Times New Roman" w:hAnsi="Times New Roman" w:eastAsia="黑体"/>
          <w:bCs/>
          <w:sz w:val="28"/>
          <w:szCs w:val="28"/>
        </w:rPr>
      </w:pPr>
      <w:bookmarkStart w:id="1041" w:name="_Toc9843831"/>
      <w:bookmarkStart w:id="1042" w:name="_Toc453709009"/>
      <w:bookmarkStart w:id="1043" w:name="_Toc530655990"/>
      <w:bookmarkStart w:id="1044" w:name="_Toc527205756"/>
      <w:bookmarkStart w:id="1045" w:name="_Toc535168942"/>
      <w:bookmarkStart w:id="1046" w:name="_Toc487111526"/>
      <w:bookmarkStart w:id="1047" w:name="_Toc416966952"/>
      <w:bookmarkStart w:id="1048" w:name="_Toc409529993"/>
      <w:bookmarkStart w:id="1049" w:name="_Toc532556638"/>
      <w:bookmarkStart w:id="1050" w:name="_Toc407350302"/>
      <w:bookmarkStart w:id="1051" w:name="_Toc480190524"/>
      <w:bookmarkStart w:id="1052" w:name="_Toc535348496"/>
      <w:bookmarkStart w:id="1053" w:name="_Toc534537656"/>
      <w:bookmarkStart w:id="1054" w:name="_Toc486970408"/>
      <w:bookmarkStart w:id="1055" w:name="_Toc466271461"/>
      <w:bookmarkStart w:id="1056" w:name="_Toc464036811"/>
      <w:bookmarkStart w:id="1057" w:name="_Toc458063902"/>
      <w:bookmarkStart w:id="1058" w:name="_Toc497228856"/>
      <w:bookmarkStart w:id="1059" w:name="_Toc406772072"/>
      <w:bookmarkStart w:id="1060" w:name="_Toc406572530"/>
      <w:bookmarkStart w:id="1061" w:name="_Toc480983905"/>
      <w:bookmarkStart w:id="1062" w:name="_Toc482020687"/>
      <w:bookmarkStart w:id="1063" w:name="_Toc26188049"/>
      <w:bookmarkStart w:id="1064" w:name="_Toc24428"/>
      <w:bookmarkStart w:id="1065" w:name="_Toc14196"/>
      <w:bookmarkStart w:id="1066" w:name="_Toc7999"/>
      <w:bookmarkStart w:id="1067" w:name="_Toc24699"/>
      <w:bookmarkStart w:id="1068" w:name="_Toc23627"/>
      <w:bookmarkStart w:id="1069" w:name="_Toc27134322"/>
      <w:r>
        <w:rPr>
          <w:rFonts w:ascii="Times New Roman" w:hAnsi="Times New Roman" w:eastAsia="黑体"/>
          <w:bCs/>
          <w:sz w:val="28"/>
          <w:szCs w:val="28"/>
        </w:rPr>
        <w:t>施工期固体废物环境影响</w:t>
      </w:r>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r>
        <w:rPr>
          <w:rFonts w:ascii="Times New Roman" w:hAnsi="Times New Roman" w:eastAsia="黑体"/>
          <w:bCs/>
          <w:sz w:val="28"/>
          <w:szCs w:val="28"/>
        </w:rPr>
        <w:t>评价</w:t>
      </w:r>
      <w:bookmarkEnd w:id="1063"/>
      <w:bookmarkEnd w:id="1064"/>
      <w:bookmarkEnd w:id="1065"/>
      <w:bookmarkEnd w:id="1066"/>
      <w:bookmarkEnd w:id="1067"/>
      <w:bookmarkEnd w:id="1068"/>
      <w:bookmarkEnd w:id="1069"/>
    </w:p>
    <w:p>
      <w:pPr>
        <w:spacing w:line="480" w:lineRule="exact"/>
        <w:ind w:firstLine="480" w:firstLineChars="200"/>
        <w:rPr>
          <w:rFonts w:ascii="Times New Roman" w:hAnsi="Times New Roman"/>
          <w:sz w:val="24"/>
          <w:szCs w:val="28"/>
        </w:rPr>
      </w:pPr>
      <w:r>
        <w:rPr>
          <w:rFonts w:ascii="Times New Roman" w:hAnsi="Times New Roman"/>
          <w:sz w:val="24"/>
          <w:szCs w:val="24"/>
        </w:rPr>
        <w:t>本项目施工期固体废物主要为施工人员产生的生活垃圾，施工期生活垃圾产生量为0.45t，</w:t>
      </w:r>
      <w:r>
        <w:rPr>
          <w:rFonts w:ascii="Times New Roman" w:hAnsi="Times New Roman"/>
          <w:sz w:val="24"/>
          <w:szCs w:val="28"/>
        </w:rPr>
        <w:t>生活垃圾集中收集，由市政环卫部门清运。</w:t>
      </w:r>
    </w:p>
    <w:p>
      <w:pPr>
        <w:pStyle w:val="4"/>
        <w:spacing w:before="120" w:beforeLines="50" w:after="120" w:afterLines="50" w:line="480" w:lineRule="exact"/>
        <w:rPr>
          <w:rFonts w:ascii="Times New Roman" w:hAnsi="Times New Roman" w:eastAsia="黑体"/>
          <w:bCs/>
          <w:sz w:val="28"/>
          <w:szCs w:val="28"/>
        </w:rPr>
      </w:pPr>
      <w:bookmarkStart w:id="1070" w:name="_Toc534537657"/>
      <w:bookmarkStart w:id="1071" w:name="_Toc9843832"/>
      <w:bookmarkStart w:id="1072" w:name="_Toc535348497"/>
      <w:bookmarkStart w:id="1073" w:name="_Toc535168943"/>
      <w:bookmarkStart w:id="1074" w:name="_Toc532556639"/>
      <w:bookmarkStart w:id="1075" w:name="_Toc7088"/>
      <w:bookmarkStart w:id="1076" w:name="_Toc13424"/>
      <w:bookmarkStart w:id="1077" w:name="_Toc26188050"/>
      <w:bookmarkStart w:id="1078" w:name="_Toc9852"/>
      <w:bookmarkStart w:id="1079" w:name="_Toc27134323"/>
      <w:bookmarkStart w:id="1080" w:name="_Toc32246"/>
      <w:bookmarkStart w:id="1081" w:name="_Toc3961"/>
      <w:r>
        <w:rPr>
          <w:rFonts w:ascii="Times New Roman" w:hAnsi="Times New Roman" w:eastAsia="黑体"/>
          <w:bCs/>
          <w:sz w:val="28"/>
          <w:szCs w:val="28"/>
        </w:rPr>
        <w:t>施工期生态环境影响</w:t>
      </w:r>
      <w:bookmarkEnd w:id="1070"/>
      <w:bookmarkEnd w:id="1071"/>
      <w:bookmarkEnd w:id="1072"/>
      <w:bookmarkEnd w:id="1073"/>
      <w:bookmarkEnd w:id="1074"/>
      <w:r>
        <w:rPr>
          <w:rFonts w:ascii="Times New Roman" w:hAnsi="Times New Roman" w:eastAsia="黑体"/>
          <w:bCs/>
          <w:sz w:val="28"/>
          <w:szCs w:val="28"/>
        </w:rPr>
        <w:t>评价</w:t>
      </w:r>
      <w:bookmarkEnd w:id="1075"/>
      <w:bookmarkEnd w:id="1076"/>
      <w:bookmarkEnd w:id="1077"/>
      <w:bookmarkEnd w:id="1078"/>
      <w:bookmarkEnd w:id="1079"/>
      <w:bookmarkEnd w:id="1080"/>
      <w:bookmarkEnd w:id="1081"/>
    </w:p>
    <w:p>
      <w:pPr>
        <w:pStyle w:val="272"/>
        <w:spacing w:line="500" w:lineRule="exact"/>
        <w:ind w:firstLine="480"/>
      </w:pPr>
      <w:r>
        <w:rPr>
          <w:kern w:val="2"/>
          <w:szCs w:val="20"/>
        </w:rPr>
        <w:t>本项目现有工程占地面积3093m</w:t>
      </w:r>
      <w:r>
        <w:rPr>
          <w:kern w:val="2"/>
          <w:szCs w:val="20"/>
          <w:vertAlign w:val="superscript"/>
        </w:rPr>
        <w:t>2</w:t>
      </w:r>
      <w:r>
        <w:rPr>
          <w:kern w:val="2"/>
          <w:szCs w:val="20"/>
        </w:rPr>
        <w:t>，本次改扩建不新增占地。</w:t>
      </w:r>
      <w:r>
        <w:t>项目区周围无自然保护区，无风景名胜区，也未发现珍稀保护动植物。项目工程量较少，污染物能够达标排放，因此对周边生态环境影响较小。</w:t>
      </w:r>
    </w:p>
    <w:p>
      <w:pPr>
        <w:pStyle w:val="4"/>
        <w:spacing w:before="120" w:beforeLines="50" w:after="120" w:afterLines="50" w:line="480" w:lineRule="exact"/>
        <w:rPr>
          <w:rFonts w:ascii="Times New Roman" w:hAnsi="Times New Roman" w:eastAsia="黑体"/>
          <w:bCs/>
          <w:sz w:val="28"/>
          <w:szCs w:val="28"/>
        </w:rPr>
      </w:pPr>
      <w:bookmarkStart w:id="1082" w:name="_Toc4702"/>
      <w:bookmarkStart w:id="1083" w:name="_Toc22091"/>
      <w:bookmarkStart w:id="1084" w:name="_Toc26188051"/>
      <w:bookmarkStart w:id="1085" w:name="_Toc9843833"/>
      <w:bookmarkStart w:id="1086" w:name="_Toc23936"/>
      <w:bookmarkStart w:id="1087" w:name="_Toc32"/>
      <w:bookmarkStart w:id="1088" w:name="_Toc27134324"/>
      <w:bookmarkStart w:id="1089" w:name="_Toc9000"/>
      <w:r>
        <w:rPr>
          <w:rFonts w:ascii="Times New Roman" w:hAnsi="Times New Roman" w:eastAsia="黑体"/>
          <w:bCs/>
          <w:sz w:val="28"/>
          <w:szCs w:val="28"/>
        </w:rPr>
        <w:t>施工期影响评价结论</w:t>
      </w:r>
      <w:bookmarkEnd w:id="1082"/>
      <w:bookmarkEnd w:id="1083"/>
      <w:bookmarkEnd w:id="1084"/>
      <w:bookmarkEnd w:id="1085"/>
      <w:bookmarkEnd w:id="1086"/>
      <w:bookmarkEnd w:id="1087"/>
      <w:bookmarkEnd w:id="1088"/>
      <w:bookmarkEnd w:id="1089"/>
    </w:p>
    <w:p>
      <w:pPr>
        <w:spacing w:line="480" w:lineRule="exact"/>
        <w:ind w:firstLine="480" w:firstLineChars="200"/>
        <w:rPr>
          <w:rFonts w:ascii="Times New Roman" w:hAnsi="Times New Roman"/>
          <w:sz w:val="24"/>
        </w:rPr>
      </w:pPr>
      <w:r>
        <w:rPr>
          <w:rFonts w:ascii="Times New Roman" w:hAnsi="Times New Roman"/>
          <w:sz w:val="24"/>
        </w:rPr>
        <w:t>（1）施工人员</w:t>
      </w:r>
      <w:r>
        <w:rPr>
          <w:rFonts w:ascii="Times New Roman" w:hAnsi="Times New Roman"/>
          <w:sz w:val="24"/>
          <w:szCs w:val="24"/>
        </w:rPr>
        <w:t>生活污水排入现有防渗化粪池后排入厂区内污水处理站处理达标后厂区回用，不外排</w:t>
      </w:r>
      <w:r>
        <w:rPr>
          <w:rFonts w:ascii="Times New Roman" w:hAnsi="Times New Roman"/>
          <w:sz w:val="24"/>
        </w:rPr>
        <w:t>。</w:t>
      </w:r>
    </w:p>
    <w:p>
      <w:pPr>
        <w:spacing w:line="480" w:lineRule="exact"/>
        <w:ind w:firstLine="480" w:firstLineChars="200"/>
        <w:rPr>
          <w:rFonts w:ascii="Times New Roman" w:hAnsi="Times New Roman"/>
          <w:sz w:val="24"/>
        </w:rPr>
      </w:pPr>
      <w:r>
        <w:rPr>
          <w:rFonts w:ascii="Times New Roman" w:hAnsi="Times New Roman"/>
          <w:sz w:val="24"/>
        </w:rPr>
        <w:t>（2）施工期对大气环境的污染是短期的，在施工建设期间对周边的不利影响较小，可以被环境所接受。</w:t>
      </w:r>
    </w:p>
    <w:p>
      <w:pPr>
        <w:spacing w:line="480" w:lineRule="exact"/>
        <w:ind w:firstLine="480" w:firstLineChars="200"/>
        <w:rPr>
          <w:rFonts w:ascii="Times New Roman" w:hAnsi="Times New Roman"/>
          <w:sz w:val="24"/>
        </w:rPr>
      </w:pPr>
      <w:r>
        <w:rPr>
          <w:rFonts w:ascii="Times New Roman" w:hAnsi="Times New Roman"/>
          <w:sz w:val="24"/>
        </w:rPr>
        <w:t>（3）施工期产生的噪声对周边环境影响较小。</w:t>
      </w:r>
    </w:p>
    <w:p>
      <w:pPr>
        <w:pStyle w:val="155"/>
        <w:ind w:firstLine="480"/>
      </w:pPr>
      <w:r>
        <w:t>（4）施工现场设置垃圾桶，生活垃圾集中收集，</w:t>
      </w:r>
      <w:r>
        <w:rPr>
          <w:szCs w:val="28"/>
        </w:rPr>
        <w:t>由市政环卫部门清运</w:t>
      </w:r>
      <w:r>
        <w:t>。</w:t>
      </w:r>
    </w:p>
    <w:p>
      <w:pPr>
        <w:spacing w:line="480" w:lineRule="exact"/>
        <w:ind w:firstLine="480" w:firstLineChars="200"/>
        <w:rPr>
          <w:rFonts w:ascii="Times New Roman" w:hAnsi="Times New Roman"/>
          <w:sz w:val="24"/>
        </w:rPr>
      </w:pPr>
      <w:r>
        <w:rPr>
          <w:rFonts w:ascii="Times New Roman" w:hAnsi="Times New Roman"/>
          <w:sz w:val="24"/>
        </w:rPr>
        <w:t>（5）施工期生态影响为暂时性，影响程度较小。</w:t>
      </w:r>
    </w:p>
    <w:p>
      <w:pPr>
        <w:pStyle w:val="3"/>
        <w:spacing w:before="120" w:beforeLines="50" w:after="120" w:afterLines="50" w:line="480" w:lineRule="exact"/>
        <w:ind w:left="-11"/>
        <w:rPr>
          <w:rFonts w:ascii="Times New Roman" w:hAnsi="Times New Roman" w:eastAsia="黑体"/>
          <w:sz w:val="30"/>
          <w:szCs w:val="30"/>
        </w:rPr>
      </w:pPr>
      <w:bookmarkStart w:id="1090" w:name="_Toc116379716"/>
      <w:r>
        <w:rPr>
          <w:rFonts w:ascii="Times New Roman" w:hAnsi="Times New Roman" w:eastAsia="黑体"/>
          <w:sz w:val="30"/>
          <w:szCs w:val="30"/>
        </w:rPr>
        <w:t>运营期环境影响预测与评价</w:t>
      </w:r>
      <w:bookmarkEnd w:id="1090"/>
    </w:p>
    <w:p>
      <w:pPr>
        <w:pStyle w:val="4"/>
        <w:spacing w:before="120" w:beforeLines="50" w:after="120" w:afterLines="50" w:line="480" w:lineRule="exact"/>
        <w:rPr>
          <w:rFonts w:ascii="Times New Roman" w:hAnsi="Times New Roman" w:eastAsia="黑体"/>
          <w:bCs/>
          <w:sz w:val="28"/>
          <w:szCs w:val="28"/>
        </w:rPr>
      </w:pPr>
      <w:bookmarkStart w:id="1091" w:name="_Toc497228859"/>
      <w:bookmarkStart w:id="1092" w:name="_Toc487111529"/>
      <w:bookmarkStart w:id="1093" w:name="_Toc480983908"/>
      <w:bookmarkStart w:id="1094" w:name="_Toc9843835"/>
      <w:bookmarkStart w:id="1095" w:name="_Toc534537659"/>
      <w:bookmarkStart w:id="1096" w:name="_Toc480190527"/>
      <w:bookmarkStart w:id="1097" w:name="_Toc535348499"/>
      <w:bookmarkStart w:id="1098" w:name="_Toc532556641"/>
      <w:bookmarkStart w:id="1099" w:name="_Toc482020690"/>
      <w:bookmarkStart w:id="1100" w:name="_Toc530655992"/>
      <w:bookmarkStart w:id="1101" w:name="_Toc535168945"/>
      <w:bookmarkStart w:id="1102" w:name="_Toc527205758"/>
      <w:bookmarkStart w:id="1103" w:name="_Toc486970411"/>
      <w:bookmarkStart w:id="1104" w:name="_Toc27134326"/>
      <w:bookmarkStart w:id="1105" w:name="_Toc14431"/>
      <w:bookmarkStart w:id="1106" w:name="_Toc23864"/>
      <w:bookmarkStart w:id="1107" w:name="_Toc5821"/>
      <w:bookmarkStart w:id="1108" w:name="_Toc26188053"/>
      <w:bookmarkStart w:id="1109" w:name="_Toc21268"/>
      <w:bookmarkStart w:id="1110" w:name="_Toc31661"/>
      <w:r>
        <w:rPr>
          <w:rFonts w:ascii="Times New Roman" w:hAnsi="Times New Roman" w:eastAsia="黑体"/>
          <w:bCs/>
          <w:sz w:val="28"/>
          <w:szCs w:val="28"/>
        </w:rPr>
        <w:t>运营期地表水环境影响</w:t>
      </w:r>
      <w:bookmarkEnd w:id="1091"/>
      <w:bookmarkEnd w:id="1092"/>
      <w:bookmarkEnd w:id="1093"/>
      <w:bookmarkEnd w:id="1094"/>
      <w:bookmarkEnd w:id="1095"/>
      <w:bookmarkEnd w:id="1096"/>
      <w:bookmarkEnd w:id="1097"/>
      <w:bookmarkEnd w:id="1098"/>
      <w:bookmarkEnd w:id="1099"/>
      <w:bookmarkEnd w:id="1100"/>
      <w:bookmarkEnd w:id="1101"/>
      <w:bookmarkEnd w:id="1102"/>
      <w:bookmarkEnd w:id="1103"/>
      <w:r>
        <w:rPr>
          <w:rFonts w:ascii="Times New Roman" w:hAnsi="Times New Roman" w:eastAsia="黑体"/>
          <w:bCs/>
          <w:sz w:val="28"/>
          <w:szCs w:val="28"/>
        </w:rPr>
        <w:t>评价</w:t>
      </w:r>
      <w:bookmarkEnd w:id="1104"/>
      <w:bookmarkEnd w:id="1105"/>
      <w:bookmarkEnd w:id="1106"/>
      <w:bookmarkEnd w:id="1107"/>
      <w:bookmarkEnd w:id="1108"/>
      <w:bookmarkEnd w:id="1109"/>
      <w:bookmarkEnd w:id="1110"/>
    </w:p>
    <w:p>
      <w:pPr>
        <w:spacing w:line="480" w:lineRule="exact"/>
        <w:ind w:firstLine="480" w:firstLineChars="200"/>
        <w:rPr>
          <w:rFonts w:ascii="Times New Roman" w:hAnsi="Times New Roman"/>
          <w:sz w:val="24"/>
          <w:szCs w:val="24"/>
        </w:rPr>
      </w:pPr>
      <w:r>
        <w:rPr>
          <w:rFonts w:ascii="Times New Roman" w:hAnsi="Times New Roman"/>
          <w:sz w:val="24"/>
          <w:szCs w:val="24"/>
        </w:rPr>
        <w:t>本项目改扩建工程排水包括转运车清洗消毒废水、周转箱清洗消毒废水、灭菌车清洗消毒废水、高温干热车间消毒用水。生本项目产废水经企业原有污水处理站（工艺流程：格栅→调节池→一体化污水处理设备(水解酸化池→接触氧化池 →二沉池 →MBR 池) →二氧化氯发生器→回用水池）处理后满足《城市污水再生利用城市杂用水水质》（GB/T18920-2002） 中“车辆冲洗标准”，厂内全部回用 （回用于车间地面消毒清洗用水、转运车消毒清洗用水和周转箱消毒清洗用水），不外排。</w:t>
      </w:r>
    </w:p>
    <w:p>
      <w:pPr>
        <w:spacing w:line="480" w:lineRule="exact"/>
        <w:ind w:firstLine="480" w:firstLineChars="200"/>
        <w:rPr>
          <w:rFonts w:ascii="Times New Roman" w:hAnsi="Times New Roman"/>
          <w:sz w:val="24"/>
          <w:szCs w:val="24"/>
        </w:rPr>
      </w:pPr>
      <w:r>
        <w:rPr>
          <w:rFonts w:hint="eastAsia" w:ascii="Times New Roman" w:hAnsi="Times New Roman"/>
          <w:sz w:val="24"/>
          <w:szCs w:val="24"/>
        </w:rPr>
        <w:t>（</w:t>
      </w:r>
      <w:r>
        <w:rPr>
          <w:rFonts w:ascii="Times New Roman" w:hAnsi="Times New Roman"/>
          <w:sz w:val="24"/>
          <w:szCs w:val="24"/>
        </w:rPr>
        <w:t>1）转运车清洗废水</w:t>
      </w:r>
    </w:p>
    <w:p>
      <w:pPr>
        <w:spacing w:line="480" w:lineRule="exact"/>
        <w:ind w:firstLine="480" w:firstLineChars="200"/>
        <w:rPr>
          <w:rFonts w:ascii="Times New Roman" w:hAnsi="Times New Roman"/>
          <w:sz w:val="24"/>
          <w:szCs w:val="24"/>
        </w:rPr>
      </w:pPr>
      <w:r>
        <w:rPr>
          <w:rFonts w:hint="eastAsia" w:ascii="Times New Roman" w:hAnsi="Times New Roman"/>
          <w:sz w:val="24"/>
          <w:szCs w:val="24"/>
        </w:rPr>
        <w:t>本项目转运车清洗消毒用水量为</w:t>
      </w:r>
      <w:r>
        <w:rPr>
          <w:rFonts w:ascii="Times New Roman" w:hAnsi="Times New Roman"/>
          <w:sz w:val="24"/>
          <w:szCs w:val="24"/>
        </w:rPr>
        <w:t>0.4t/d、146t/a，转运车清洗消毒废水排放量按用水量的80%计算，则项目转运车清洗消毒废水排放量为0.32t/d、116.8t/a。</w:t>
      </w:r>
    </w:p>
    <w:p>
      <w:pPr>
        <w:spacing w:line="480" w:lineRule="exact"/>
        <w:ind w:firstLine="480" w:firstLineChars="200"/>
        <w:rPr>
          <w:rFonts w:ascii="Times New Roman" w:hAnsi="Times New Roman"/>
          <w:sz w:val="24"/>
          <w:szCs w:val="24"/>
        </w:rPr>
      </w:pPr>
      <w:r>
        <w:rPr>
          <w:rFonts w:hint="eastAsia" w:ascii="Times New Roman" w:hAnsi="Times New Roman"/>
          <w:sz w:val="24"/>
          <w:szCs w:val="24"/>
        </w:rPr>
        <w:t>（</w:t>
      </w:r>
      <w:r>
        <w:rPr>
          <w:rFonts w:ascii="Times New Roman" w:hAnsi="Times New Roman"/>
          <w:sz w:val="24"/>
          <w:szCs w:val="24"/>
        </w:rPr>
        <w:t>2）周转箱清洗废水</w:t>
      </w:r>
    </w:p>
    <w:p>
      <w:pPr>
        <w:spacing w:line="480" w:lineRule="exact"/>
        <w:ind w:firstLine="480" w:firstLineChars="200"/>
        <w:rPr>
          <w:rFonts w:ascii="Times New Roman" w:hAnsi="Times New Roman"/>
          <w:sz w:val="24"/>
          <w:szCs w:val="24"/>
        </w:rPr>
      </w:pPr>
      <w:r>
        <w:rPr>
          <w:rFonts w:hint="eastAsia" w:ascii="Times New Roman" w:hAnsi="Times New Roman"/>
          <w:sz w:val="24"/>
          <w:szCs w:val="24"/>
        </w:rPr>
        <w:t>根据周转箱清洗消毒用水量为</w:t>
      </w:r>
      <w:r>
        <w:rPr>
          <w:rFonts w:ascii="Times New Roman" w:hAnsi="Times New Roman"/>
          <w:sz w:val="24"/>
          <w:szCs w:val="24"/>
        </w:rPr>
        <w:t>1.5t/d、547.5t/a，周转箱清洗消毒废水排放量按用水量的80%计算，则项目周转箱清洗消毒废水排放量为1.2t/d、438t/a。</w:t>
      </w:r>
    </w:p>
    <w:p>
      <w:pPr>
        <w:spacing w:line="480" w:lineRule="exact"/>
        <w:ind w:firstLine="480" w:firstLineChars="200"/>
        <w:rPr>
          <w:rFonts w:ascii="Times New Roman" w:hAnsi="Times New Roman"/>
          <w:sz w:val="24"/>
          <w:szCs w:val="24"/>
        </w:rPr>
      </w:pPr>
      <w:r>
        <w:rPr>
          <w:rFonts w:hint="eastAsia" w:ascii="Times New Roman" w:hAnsi="Times New Roman"/>
          <w:sz w:val="24"/>
          <w:szCs w:val="24"/>
        </w:rPr>
        <w:t>（</w:t>
      </w:r>
      <w:r>
        <w:rPr>
          <w:rFonts w:ascii="Times New Roman" w:hAnsi="Times New Roman"/>
          <w:sz w:val="24"/>
          <w:szCs w:val="24"/>
        </w:rPr>
        <w:t>3）车间地面清洗废水</w:t>
      </w:r>
    </w:p>
    <w:p>
      <w:pPr>
        <w:spacing w:line="480" w:lineRule="exact"/>
        <w:ind w:firstLine="480" w:firstLineChars="200"/>
        <w:rPr>
          <w:rFonts w:ascii="Times New Roman" w:hAnsi="Times New Roman"/>
          <w:sz w:val="24"/>
          <w:szCs w:val="24"/>
        </w:rPr>
      </w:pPr>
      <w:r>
        <w:rPr>
          <w:rFonts w:hint="eastAsia" w:ascii="Times New Roman" w:hAnsi="Times New Roman"/>
          <w:sz w:val="24"/>
          <w:szCs w:val="24"/>
        </w:rPr>
        <w:t>本项目车间地面清洗用水量为</w:t>
      </w:r>
      <w:r>
        <w:rPr>
          <w:rFonts w:ascii="Times New Roman" w:hAnsi="Times New Roman"/>
          <w:sz w:val="24"/>
          <w:szCs w:val="24"/>
        </w:rPr>
        <w:t xml:space="preserve"> 2.5t/d，912.5t/a。车间地面清洗废水排放量按用水量的80%计算，则项目车间地面清洗废水排放量为2t/d、730t/a。</w:t>
      </w:r>
    </w:p>
    <w:p>
      <w:pPr>
        <w:spacing w:line="480" w:lineRule="exact"/>
        <w:ind w:firstLine="480" w:firstLineChars="200"/>
        <w:rPr>
          <w:rFonts w:ascii="Times New Roman" w:hAnsi="Times New Roman"/>
          <w:sz w:val="24"/>
          <w:szCs w:val="24"/>
        </w:rPr>
      </w:pPr>
      <w:r>
        <w:rPr>
          <w:rFonts w:hint="eastAsia" w:ascii="Times New Roman" w:hAnsi="Times New Roman"/>
          <w:sz w:val="24"/>
          <w:szCs w:val="24"/>
        </w:rPr>
        <w:t>（</w:t>
      </w:r>
      <w:r>
        <w:rPr>
          <w:rFonts w:ascii="Times New Roman" w:hAnsi="Times New Roman"/>
          <w:sz w:val="24"/>
          <w:szCs w:val="24"/>
        </w:rPr>
        <w:t>4）消毒废水</w:t>
      </w:r>
    </w:p>
    <w:p>
      <w:pPr>
        <w:spacing w:line="480" w:lineRule="exact"/>
        <w:ind w:firstLine="480" w:firstLineChars="200"/>
        <w:rPr>
          <w:rFonts w:ascii="Times New Roman" w:hAnsi="Times New Roman"/>
          <w:sz w:val="24"/>
          <w:szCs w:val="24"/>
        </w:rPr>
      </w:pPr>
      <w:r>
        <w:rPr>
          <w:rFonts w:hint="eastAsia" w:ascii="Times New Roman" w:hAnsi="Times New Roman"/>
          <w:sz w:val="24"/>
          <w:szCs w:val="24"/>
        </w:rPr>
        <w:t>医疗废物高温干热处理设备投放消毒液用水量为</w:t>
      </w:r>
      <w:r>
        <w:rPr>
          <w:rFonts w:ascii="Times New Roman" w:hAnsi="Times New Roman"/>
          <w:sz w:val="24"/>
          <w:szCs w:val="24"/>
        </w:rPr>
        <w:t>4.425t/d （1615.13t/a），此部分用水不产生废水，全部在高温干热设备中以水蒸气的形式挥发。其余消毒废水排放量按80%计算，则消毒废水为4.46t/d（1627.9t/a），其中包括了车间消毒废水、转运车消毒废水和周转箱消毒废水。</w:t>
      </w:r>
    </w:p>
    <w:p>
      <w:pPr>
        <w:spacing w:line="480" w:lineRule="exact"/>
        <w:ind w:firstLine="480" w:firstLineChars="200"/>
        <w:rPr>
          <w:rFonts w:ascii="Times New Roman" w:hAnsi="Times New Roman"/>
          <w:sz w:val="24"/>
          <w:szCs w:val="24"/>
        </w:rPr>
      </w:pPr>
      <w:r>
        <w:rPr>
          <w:rFonts w:hint="eastAsia" w:ascii="Times New Roman" w:hAnsi="Times New Roman"/>
          <w:sz w:val="24"/>
          <w:szCs w:val="24"/>
        </w:rPr>
        <w:t>（</w:t>
      </w:r>
      <w:r>
        <w:rPr>
          <w:rFonts w:ascii="Times New Roman" w:hAnsi="Times New Roman"/>
          <w:sz w:val="24"/>
          <w:szCs w:val="24"/>
        </w:rPr>
        <w:t>5）医疗废物残液</w:t>
      </w:r>
    </w:p>
    <w:p>
      <w:pPr>
        <w:spacing w:line="480" w:lineRule="exact"/>
        <w:ind w:firstLine="480" w:firstLineChars="200"/>
        <w:rPr>
          <w:rFonts w:ascii="Times New Roman" w:hAnsi="Times New Roman"/>
          <w:sz w:val="24"/>
          <w:szCs w:val="24"/>
        </w:rPr>
      </w:pPr>
      <w:r>
        <w:rPr>
          <w:rFonts w:hint="eastAsia" w:ascii="Times New Roman" w:hAnsi="Times New Roman"/>
          <w:sz w:val="24"/>
          <w:szCs w:val="24"/>
        </w:rPr>
        <w:t>医疗废物带入水量为</w:t>
      </w:r>
      <w:r>
        <w:rPr>
          <w:rFonts w:ascii="Times New Roman" w:hAnsi="Times New Roman"/>
          <w:sz w:val="24"/>
          <w:szCs w:val="24"/>
        </w:rPr>
        <w:t>1t/d，根据建设单位已有经验类比，残液为其25%，残液量为0.25t/d。</w:t>
      </w:r>
    </w:p>
    <w:p>
      <w:pPr>
        <w:spacing w:line="480" w:lineRule="exact"/>
        <w:ind w:firstLine="480" w:firstLineChars="200"/>
        <w:rPr>
          <w:rFonts w:ascii="Times New Roman" w:hAnsi="Times New Roman"/>
          <w:b/>
        </w:rPr>
      </w:pPr>
      <w:r>
        <w:rPr>
          <w:rFonts w:ascii="Times New Roman" w:hAnsi="Times New Roman"/>
          <w:sz w:val="24"/>
        </w:rPr>
        <w:t>根据《环境影响评价技术导则 地表水环境》（HJ2.3-2018）中水污染影响型建设项目评价等级判定依据，本项目废水回用不外排，因此项目地表水环境影响评价等级为三级B。</w:t>
      </w:r>
    </w:p>
    <w:p>
      <w:pPr>
        <w:pStyle w:val="4"/>
        <w:spacing w:before="120" w:beforeLines="50" w:after="120" w:afterLines="50" w:line="480" w:lineRule="exact"/>
        <w:rPr>
          <w:rFonts w:ascii="Times New Roman" w:hAnsi="Times New Roman" w:eastAsia="黑体"/>
          <w:bCs/>
          <w:sz w:val="28"/>
          <w:szCs w:val="28"/>
        </w:rPr>
      </w:pPr>
      <w:bookmarkStart w:id="1111" w:name="_Toc9843836"/>
      <w:bookmarkStart w:id="1112" w:name="_Toc12310"/>
      <w:bookmarkStart w:id="1113" w:name="_Toc17992"/>
      <w:bookmarkStart w:id="1114" w:name="_Toc11149"/>
      <w:bookmarkStart w:id="1115" w:name="_Toc27134327"/>
      <w:bookmarkStart w:id="1116" w:name="_Toc26188054"/>
      <w:bookmarkStart w:id="1117" w:name="_Toc9530"/>
      <w:bookmarkStart w:id="1118" w:name="_Toc7420"/>
      <w:r>
        <w:rPr>
          <w:rFonts w:ascii="Times New Roman" w:hAnsi="Times New Roman" w:eastAsia="黑体"/>
          <w:bCs/>
          <w:sz w:val="28"/>
          <w:szCs w:val="28"/>
        </w:rPr>
        <w:t>运营期地下水环境影响</w:t>
      </w:r>
      <w:bookmarkEnd w:id="1111"/>
      <w:r>
        <w:rPr>
          <w:rFonts w:ascii="Times New Roman" w:hAnsi="Times New Roman" w:eastAsia="黑体"/>
          <w:bCs/>
          <w:sz w:val="28"/>
          <w:szCs w:val="28"/>
        </w:rPr>
        <w:t>评价</w:t>
      </w:r>
      <w:bookmarkEnd w:id="1112"/>
      <w:bookmarkEnd w:id="1113"/>
      <w:bookmarkEnd w:id="1114"/>
      <w:bookmarkEnd w:id="1115"/>
      <w:bookmarkEnd w:id="1116"/>
      <w:bookmarkEnd w:id="1117"/>
      <w:bookmarkEnd w:id="1118"/>
    </w:p>
    <w:p>
      <w:pPr>
        <w:pStyle w:val="155"/>
        <w:spacing w:line="480" w:lineRule="exact"/>
        <w:ind w:firstLine="480"/>
      </w:pPr>
      <w:r>
        <w:t>对地下水环境影响预测主要是针对项目建设期、生产运营期和服务期满三个时期，综合考虑本项目可能对地下水环境的影响，本项目建设期生活废水产生量较小，含有害物质较少，对地下水水质影响较小，服务期满之后停止生产不产生污染物，故预测分析主要针对在生产运营期地下水水质的污染问题。</w:t>
      </w:r>
    </w:p>
    <w:p>
      <w:pPr>
        <w:widowControl/>
        <w:spacing w:line="480" w:lineRule="exact"/>
        <w:outlineLvl w:val="3"/>
        <w:rPr>
          <w:rFonts w:ascii="Times New Roman" w:hAnsi="Times New Roman" w:eastAsia="黑体"/>
          <w:sz w:val="24"/>
        </w:rPr>
      </w:pPr>
      <w:r>
        <w:rPr>
          <w:rFonts w:ascii="Times New Roman" w:hAnsi="Times New Roman" w:eastAsia="黑体"/>
          <w:sz w:val="24"/>
        </w:rPr>
        <w:t>5.2.2.1.地下水环境影响条件概化</w:t>
      </w:r>
    </w:p>
    <w:p>
      <w:pPr>
        <w:pStyle w:val="155"/>
        <w:spacing w:line="480" w:lineRule="exact"/>
        <w:ind w:firstLine="480"/>
      </w:pPr>
      <w:r>
        <w:t>潜水含水层的上部主要接受大气降水补给，为水量交换边界。其下为岩石，形成相对不含水的隔水层，因其互层结构，仍将其概化为弱透水边界。本项目地下水评价范围西侧、南侧和东侧以分水岭为隔水边界。北侧为水量交换边界。</w:t>
      </w:r>
    </w:p>
    <w:p>
      <w:pPr>
        <w:widowControl/>
        <w:spacing w:line="480" w:lineRule="exact"/>
        <w:outlineLvl w:val="3"/>
        <w:rPr>
          <w:rFonts w:ascii="Times New Roman" w:hAnsi="Times New Roman" w:eastAsia="黑体"/>
          <w:sz w:val="24"/>
        </w:rPr>
      </w:pPr>
      <w:r>
        <w:rPr>
          <w:rFonts w:ascii="Times New Roman" w:hAnsi="Times New Roman" w:eastAsia="黑体"/>
          <w:sz w:val="24"/>
        </w:rPr>
        <w:t>5.2.2.2.正常工况</w:t>
      </w:r>
    </w:p>
    <w:p>
      <w:pPr>
        <w:pStyle w:val="155"/>
        <w:spacing w:line="480" w:lineRule="exact"/>
        <w:ind w:firstLine="480"/>
      </w:pPr>
      <w:r>
        <w:t>本项目依据《危险废物贮存污染控制标准》（GB18597-2001）及其修改单中地下水污染防渗措施，根据地下水导则9.4节“已依据相关规范设计地下水污染防渗措施的建设项目，不进行正常状况情景下的预测”。正常状况下，</w:t>
      </w:r>
      <w:r>
        <w:rPr>
          <w:szCs w:val="24"/>
        </w:rPr>
        <w:t>生活污水和生产废水不外排，</w:t>
      </w:r>
      <w:r>
        <w:t>建设项目对各类污染源场地及设施按照相关规范进行了严格的防渗措施，污染物从源头和末端均得到控制，阻隔了污染地下水的通道，在防渗措施下，项目污染物渗漏量甚微，不会对地下水环境造成影响。</w:t>
      </w:r>
    </w:p>
    <w:p>
      <w:pPr>
        <w:widowControl/>
        <w:spacing w:line="480" w:lineRule="exact"/>
        <w:outlineLvl w:val="3"/>
        <w:rPr>
          <w:rFonts w:ascii="Times New Roman" w:hAnsi="Times New Roman" w:eastAsia="黑体"/>
          <w:sz w:val="24"/>
        </w:rPr>
      </w:pPr>
      <w:r>
        <w:rPr>
          <w:rFonts w:ascii="Times New Roman" w:hAnsi="Times New Roman" w:eastAsia="黑体"/>
          <w:sz w:val="24"/>
        </w:rPr>
        <w:t>5.2.2.3.非正常工况</w:t>
      </w:r>
    </w:p>
    <w:p>
      <w:pPr>
        <w:pStyle w:val="155"/>
        <w:spacing w:line="480" w:lineRule="exact"/>
        <w:ind w:firstLine="480"/>
      </w:pPr>
      <w:r>
        <w:t>（1）非正常工况状态下对地下水环境影响预测</w:t>
      </w:r>
    </w:p>
    <w:p>
      <w:pPr>
        <w:pStyle w:val="155"/>
        <w:spacing w:line="480" w:lineRule="exact"/>
        <w:ind w:firstLine="480"/>
      </w:pPr>
      <w:r>
        <w:t>本次评价针对事故影响最严重，即</w:t>
      </w:r>
      <w:r>
        <w:rPr>
          <w:kern w:val="0"/>
          <w:szCs w:val="24"/>
        </w:rPr>
        <w:t>事故应急池</w:t>
      </w:r>
      <w:r>
        <w:t>泄漏对地下水产生的影响进行预测。</w:t>
      </w:r>
    </w:p>
    <w:p>
      <w:pPr>
        <w:pStyle w:val="155"/>
        <w:spacing w:line="480" w:lineRule="exact"/>
        <w:ind w:firstLine="480"/>
      </w:pPr>
      <w:r>
        <w:t>（2）</w:t>
      </w:r>
      <w:r>
        <w:rPr>
          <w:kern w:val="0"/>
          <w:szCs w:val="24"/>
        </w:rPr>
        <w:t>事故应急池</w:t>
      </w:r>
      <w:r>
        <w:t>泄漏对地下水环境影响预测与评价</w:t>
      </w:r>
    </w:p>
    <w:p>
      <w:pPr>
        <w:pStyle w:val="155"/>
        <w:spacing w:line="480" w:lineRule="exact"/>
        <w:ind w:firstLine="480"/>
      </w:pPr>
      <w:r>
        <w:rPr>
          <w:rFonts w:hint="eastAsia" w:ascii="宋体" w:hAnsi="宋体" w:cs="宋体"/>
        </w:rPr>
        <w:t>①</w:t>
      </w:r>
      <w:r>
        <w:t>预测原则</w:t>
      </w:r>
    </w:p>
    <w:p>
      <w:pPr>
        <w:pStyle w:val="155"/>
        <w:spacing w:line="480" w:lineRule="exact"/>
        <w:ind w:firstLine="480"/>
      </w:pPr>
      <w:r>
        <w:t>遵循保护优先、预防为主的原则，结合地下水污染防控措施的基础上，对工程设计方案可能引起的地下水环境影响进行预测。</w:t>
      </w:r>
    </w:p>
    <w:p>
      <w:pPr>
        <w:pStyle w:val="155"/>
        <w:spacing w:line="480" w:lineRule="exact"/>
        <w:ind w:firstLine="480"/>
      </w:pPr>
      <w:r>
        <w:rPr>
          <w:rFonts w:hint="eastAsia" w:ascii="宋体" w:hAnsi="宋体" w:cs="宋体"/>
        </w:rPr>
        <w:t>②</w:t>
      </w:r>
      <w:r>
        <w:t>预测范围</w:t>
      </w:r>
    </w:p>
    <w:p>
      <w:pPr>
        <w:pStyle w:val="155"/>
        <w:spacing w:line="480" w:lineRule="exact"/>
        <w:ind w:firstLine="480"/>
      </w:pPr>
      <w:r>
        <w:t>地下水环境影响预测范围与调查评价范围一致。</w:t>
      </w:r>
    </w:p>
    <w:p>
      <w:pPr>
        <w:pStyle w:val="155"/>
        <w:spacing w:line="480" w:lineRule="exact"/>
        <w:ind w:firstLine="480"/>
      </w:pPr>
      <w:r>
        <w:rPr>
          <w:rFonts w:hint="eastAsia" w:ascii="宋体" w:hAnsi="宋体" w:cs="宋体"/>
        </w:rPr>
        <w:t>③</w:t>
      </w:r>
      <w:r>
        <w:t>预测层位</w:t>
      </w:r>
    </w:p>
    <w:p>
      <w:pPr>
        <w:pStyle w:val="155"/>
        <w:spacing w:line="480" w:lineRule="exact"/>
        <w:ind w:firstLine="480"/>
      </w:pPr>
      <w:r>
        <w:t>本次评价预测层位为区域第一层潜水。</w:t>
      </w:r>
    </w:p>
    <w:p>
      <w:pPr>
        <w:pStyle w:val="155"/>
        <w:spacing w:line="480" w:lineRule="exact"/>
        <w:ind w:firstLine="480"/>
      </w:pPr>
      <w:r>
        <w:rPr>
          <w:rFonts w:hint="eastAsia" w:ascii="宋体" w:hAnsi="宋体" w:cs="宋体"/>
        </w:rPr>
        <w:t>④</w:t>
      </w:r>
      <w:r>
        <w:t>预测时段</w:t>
      </w:r>
    </w:p>
    <w:p>
      <w:pPr>
        <w:pStyle w:val="155"/>
        <w:spacing w:line="480" w:lineRule="exact"/>
        <w:ind w:firstLine="480"/>
      </w:pPr>
      <w:r>
        <w:t>根据《环境影响评价技术导则地下水》（HJ610-2016），地下水环境影响预测时段应选取可能产生地下水污染的关键时段，至少包括污染发生后100d、1000d，服务年限或能反映特征因子迁移规律的其他重要的时间节点。结合本项目特点，污染发生后100d、1000d能反映特征因子迁移规律的其它重点时间节点。重点预测对地下水评价范围内地下水的影响。</w:t>
      </w:r>
    </w:p>
    <w:p>
      <w:pPr>
        <w:pStyle w:val="155"/>
        <w:numPr>
          <w:ilvl w:val="0"/>
          <w:numId w:val="9"/>
        </w:numPr>
        <w:spacing w:line="480" w:lineRule="exact"/>
        <w:ind w:firstLineChars="0"/>
      </w:pPr>
      <w:r>
        <w:t>预测因子</w:t>
      </w:r>
    </w:p>
    <w:p>
      <w:pPr>
        <w:pStyle w:val="155"/>
        <w:spacing w:line="480" w:lineRule="exact"/>
        <w:ind w:firstLine="480"/>
      </w:pPr>
      <w:r>
        <w:t>根据本项目生产废水的污染物的分类及特征因子，按照重金属、持久性有机污染物和其他类别进行分类，并对每一类别中的各项因子采用标准指数法进行排序，分别取标准指数最大的因子作为预测因子。预测因子选取特征污染物COD、NH</w:t>
      </w:r>
      <w:r>
        <w:rPr>
          <w:vertAlign w:val="subscript"/>
        </w:rPr>
        <w:t>3</w:t>
      </w:r>
      <w:r>
        <w:t>-N。COD参照《</w:t>
      </w:r>
      <w:r>
        <w:rPr>
          <w:rFonts w:hint="eastAsia"/>
        </w:rPr>
        <w:t>地表水环境</w:t>
      </w:r>
      <w:r>
        <w:t>质量标准》（GB3838-2002）Ш类标准，NH</w:t>
      </w:r>
      <w:r>
        <w:rPr>
          <w:vertAlign w:val="subscript"/>
        </w:rPr>
        <w:t>3</w:t>
      </w:r>
      <w:r>
        <w:t>-N参照《地下水质量标准》（GB/T14848-2017）Ш类标准。拟采用污染物水质标准限值见表5.2-1。</w:t>
      </w:r>
    </w:p>
    <w:p>
      <w:pPr>
        <w:spacing w:line="480" w:lineRule="exact"/>
        <w:jc w:val="center"/>
        <w:rPr>
          <w:rFonts w:ascii="Times New Roman" w:hAnsi="Times New Roman"/>
          <w:b/>
          <w:snapToGrid w:val="0"/>
        </w:rPr>
      </w:pPr>
      <w:r>
        <w:rPr>
          <w:rFonts w:ascii="Times New Roman" w:hAnsi="Times New Roman"/>
          <w:b/>
          <w:snapToGrid w:val="0"/>
        </w:rPr>
        <w:t>表5.2-1 拟采用污染物水质标准限值</w:t>
      </w:r>
    </w:p>
    <w:tbl>
      <w:tblPr>
        <w:tblStyle w:val="7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64"/>
        <w:gridCol w:w="426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843" w:type="dxa"/>
            <w:tcBorders>
              <w:top w:val="single" w:color="auto" w:sz="12" w:space="0"/>
              <w:left w:val="nil"/>
              <w:bottom w:val="single" w:color="auto" w:sz="4" w:space="0"/>
              <w:right w:val="single" w:color="auto" w:sz="4" w:space="0"/>
            </w:tcBorders>
            <w:vAlign w:val="center"/>
          </w:tcPr>
          <w:p>
            <w:pPr>
              <w:widowControl/>
              <w:spacing w:line="280" w:lineRule="exact"/>
              <w:jc w:val="center"/>
              <w:rPr>
                <w:rFonts w:ascii="Times New Roman" w:hAnsi="Times New Roman"/>
                <w:b/>
                <w:bCs/>
                <w:kern w:val="2"/>
              </w:rPr>
            </w:pPr>
            <w:r>
              <w:rPr>
                <w:rFonts w:ascii="Times New Roman" w:hAnsi="Times New Roman"/>
                <w:b/>
                <w:bCs/>
                <w:kern w:val="2"/>
              </w:rPr>
              <w:t>模拟预测因子</w:t>
            </w:r>
          </w:p>
        </w:tc>
        <w:tc>
          <w:tcPr>
            <w:tcW w:w="2843" w:type="dxa"/>
            <w:tcBorders>
              <w:top w:val="single" w:color="auto" w:sz="12" w:space="0"/>
              <w:left w:val="single" w:color="auto" w:sz="4" w:space="0"/>
              <w:bottom w:val="single" w:color="auto" w:sz="4" w:space="0"/>
              <w:right w:val="nil"/>
            </w:tcBorders>
            <w:vAlign w:val="center"/>
          </w:tcPr>
          <w:p>
            <w:pPr>
              <w:widowControl/>
              <w:spacing w:line="280" w:lineRule="exact"/>
              <w:jc w:val="center"/>
              <w:rPr>
                <w:rFonts w:ascii="Times New Roman" w:hAnsi="Times New Roman"/>
                <w:b/>
                <w:bCs/>
                <w:kern w:val="2"/>
              </w:rPr>
            </w:pPr>
            <w:r>
              <w:rPr>
                <w:rFonts w:ascii="Times New Roman" w:hAnsi="Times New Roman"/>
                <w:b/>
                <w:bCs/>
                <w:kern w:val="2"/>
              </w:rPr>
              <w:t>标准限值（mg/L）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2" w:hRule="atLeast"/>
          <w:jc w:val="center"/>
        </w:trPr>
        <w:tc>
          <w:tcPr>
            <w:tcW w:w="2843" w:type="dxa"/>
            <w:tcBorders>
              <w:top w:val="single" w:color="auto" w:sz="4" w:space="0"/>
              <w:left w:val="nil"/>
              <w:bottom w:val="single" w:color="auto" w:sz="4" w:space="0"/>
              <w:right w:val="single" w:color="auto" w:sz="4" w:space="0"/>
            </w:tcBorders>
            <w:vAlign w:val="center"/>
          </w:tcPr>
          <w:p>
            <w:pPr>
              <w:widowControl/>
              <w:spacing w:line="280" w:lineRule="exact"/>
              <w:jc w:val="center"/>
              <w:rPr>
                <w:rFonts w:ascii="Times New Roman" w:hAnsi="Times New Roman"/>
              </w:rPr>
            </w:pPr>
            <w:r>
              <w:rPr>
                <w:rFonts w:ascii="Times New Roman" w:hAnsi="Times New Roman"/>
              </w:rPr>
              <w:t>COD</w:t>
            </w:r>
            <w:r>
              <w:rPr>
                <w:rFonts w:ascii="Times New Roman" w:hAnsi="Times New Roman"/>
                <w:vertAlign w:val="subscript"/>
              </w:rPr>
              <w:t>Mn</w:t>
            </w:r>
          </w:p>
        </w:tc>
        <w:tc>
          <w:tcPr>
            <w:tcW w:w="2843" w:type="dxa"/>
            <w:tcBorders>
              <w:top w:val="single" w:color="auto" w:sz="4" w:space="0"/>
              <w:left w:val="single" w:color="auto" w:sz="4" w:space="0"/>
              <w:bottom w:val="single" w:color="auto" w:sz="4" w:space="0"/>
              <w:right w:val="nil"/>
            </w:tcBorders>
            <w:vAlign w:val="center"/>
          </w:tcPr>
          <w:p>
            <w:pPr>
              <w:widowControl/>
              <w:spacing w:line="280" w:lineRule="exact"/>
              <w:jc w:val="center"/>
              <w:rPr>
                <w:rFonts w:ascii="Times New Roman" w:hAnsi="Times New Roman"/>
              </w:rPr>
            </w:pPr>
            <w:r>
              <w:rPr>
                <w:rFonts w:ascii="Times New Roman" w:hAnsi="Times New Roman"/>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2" w:hRule="atLeast"/>
          <w:jc w:val="center"/>
        </w:trPr>
        <w:tc>
          <w:tcPr>
            <w:tcW w:w="2843" w:type="dxa"/>
            <w:tcBorders>
              <w:top w:val="single" w:color="auto" w:sz="4" w:space="0"/>
              <w:left w:val="nil"/>
              <w:bottom w:val="single" w:color="auto" w:sz="12" w:space="0"/>
              <w:right w:val="single" w:color="auto" w:sz="4" w:space="0"/>
            </w:tcBorders>
            <w:vAlign w:val="center"/>
          </w:tcPr>
          <w:p>
            <w:pPr>
              <w:widowControl/>
              <w:spacing w:line="280" w:lineRule="exact"/>
              <w:jc w:val="center"/>
              <w:rPr>
                <w:rFonts w:ascii="Times New Roman" w:hAnsi="Times New Roman"/>
              </w:rPr>
            </w:pPr>
            <w:r>
              <w:rPr>
                <w:rFonts w:ascii="Times New Roman" w:hAnsi="Times New Roman"/>
              </w:rPr>
              <w:t>NH</w:t>
            </w:r>
            <w:r>
              <w:rPr>
                <w:rFonts w:ascii="Times New Roman" w:hAnsi="Times New Roman"/>
                <w:vertAlign w:val="subscript"/>
              </w:rPr>
              <w:t>3</w:t>
            </w:r>
            <w:r>
              <w:rPr>
                <w:rFonts w:ascii="Times New Roman" w:hAnsi="Times New Roman"/>
              </w:rPr>
              <w:t>-N</w:t>
            </w:r>
          </w:p>
        </w:tc>
        <w:tc>
          <w:tcPr>
            <w:tcW w:w="2843" w:type="dxa"/>
            <w:tcBorders>
              <w:top w:val="single" w:color="auto" w:sz="4" w:space="0"/>
              <w:left w:val="single" w:color="auto" w:sz="4" w:space="0"/>
              <w:bottom w:val="single" w:color="auto" w:sz="12" w:space="0"/>
              <w:right w:val="nil"/>
            </w:tcBorders>
            <w:vAlign w:val="center"/>
          </w:tcPr>
          <w:p>
            <w:pPr>
              <w:widowControl/>
              <w:spacing w:line="280" w:lineRule="exact"/>
              <w:jc w:val="center"/>
              <w:rPr>
                <w:rFonts w:ascii="Times New Roman" w:hAnsi="Times New Roman"/>
              </w:rPr>
            </w:pPr>
            <w:r>
              <w:rPr>
                <w:rFonts w:ascii="Times New Roman" w:hAnsi="Times New Roman"/>
              </w:rPr>
              <w:t>0.5</w:t>
            </w:r>
          </w:p>
        </w:tc>
      </w:tr>
    </w:tbl>
    <w:p>
      <w:pPr>
        <w:pStyle w:val="155"/>
        <w:spacing w:line="480" w:lineRule="exact"/>
        <w:ind w:firstLine="480"/>
      </w:pPr>
      <w:r>
        <w:rPr>
          <w:rFonts w:hint="eastAsia" w:ascii="宋体" w:hAnsi="宋体" w:cs="宋体"/>
        </w:rPr>
        <w:t>⑥</w:t>
      </w:r>
      <w:r>
        <w:t>预测参数</w:t>
      </w:r>
    </w:p>
    <w:p>
      <w:pPr>
        <w:pStyle w:val="155"/>
        <w:spacing w:line="480" w:lineRule="exact"/>
        <w:ind w:firstLine="480"/>
      </w:pPr>
      <w:r>
        <w:t>根据本项目区域的水文地质条件及双鸭山市水利勘察设计研究院提供的地勘资料及达西定律，区域内潜水含水层厚度采用平均值42.5m，含水层渗透系数为0.35m/d，水力坡度0.067，有效孔隙度为0.32，地下水流速度0.073m/d，纵向弥散系数5m</w:t>
      </w:r>
      <w:r>
        <w:rPr>
          <w:vertAlign w:val="superscript"/>
        </w:rPr>
        <w:t>2</w:t>
      </w:r>
      <w:r>
        <w:t>/d，横向弥散系数0.5m</w:t>
      </w:r>
      <w:r>
        <w:rPr>
          <w:vertAlign w:val="superscript"/>
        </w:rPr>
        <w:t>2</w:t>
      </w:r>
      <w:r>
        <w:t>/d，化学反应常数为0。</w:t>
      </w:r>
    </w:p>
    <w:p>
      <w:pPr>
        <w:pStyle w:val="155"/>
        <w:spacing w:line="480" w:lineRule="exact"/>
        <w:ind w:firstLine="480"/>
      </w:pPr>
      <w:r>
        <w:rPr>
          <w:rFonts w:hint="eastAsia" w:ascii="宋体" w:hAnsi="宋体" w:cs="宋体"/>
        </w:rPr>
        <w:t>⑦</w:t>
      </w:r>
      <w:r>
        <w:t>预测源强</w:t>
      </w:r>
    </w:p>
    <w:p>
      <w:pPr>
        <w:pStyle w:val="155"/>
        <w:spacing w:line="480" w:lineRule="exact"/>
        <w:ind w:firstLine="480"/>
        <w:rPr>
          <w:kern w:val="0"/>
          <w:szCs w:val="24"/>
        </w:rPr>
      </w:pPr>
      <w:r>
        <w:rPr>
          <w:kern w:val="0"/>
          <w:szCs w:val="24"/>
        </w:rPr>
        <w:t>根据本项目实际情况，本项目废水排放的非正常工况主要发生在污染防治（控制）设施非正常状况，即污水处理站达不到应有治理效率或同步运转率等情况。本项目设施事故应急池1座（115m</w:t>
      </w:r>
      <w:r>
        <w:rPr>
          <w:kern w:val="0"/>
          <w:szCs w:val="24"/>
          <w:vertAlign w:val="superscript"/>
        </w:rPr>
        <w:t>3</w:t>
      </w:r>
      <w:r>
        <w:rPr>
          <w:kern w:val="0"/>
          <w:szCs w:val="24"/>
        </w:rPr>
        <w:t>），当污水处理站发生故障时，可暂存生产废水，不外排。因此，本项目不存在废水非正常工况排放对外环境造成影响。</w:t>
      </w:r>
    </w:p>
    <w:p>
      <w:pPr>
        <w:pStyle w:val="155"/>
        <w:spacing w:line="480" w:lineRule="exact"/>
        <w:ind w:firstLine="480"/>
        <w:rPr>
          <w:kern w:val="0"/>
          <w:szCs w:val="24"/>
        </w:rPr>
      </w:pPr>
      <w:r>
        <w:rPr>
          <w:kern w:val="0"/>
          <w:szCs w:val="24"/>
        </w:rPr>
        <w:t>根据《给水排水构筑物工程施工及验收规范》（GB50141-2008），满水试验合格标准为：水池渗水量计算应按池壁（不含内隔墙）和池底的浸湿面积计算；钢筋混凝土结构水池渗水量不得超过2L/m</w:t>
      </w:r>
      <w:r>
        <w:rPr>
          <w:kern w:val="0"/>
          <w:szCs w:val="24"/>
          <w:vertAlign w:val="superscript"/>
        </w:rPr>
        <w:t>2</w:t>
      </w:r>
      <w:r>
        <w:rPr>
          <w:kern w:val="0"/>
          <w:szCs w:val="24"/>
        </w:rPr>
        <w:t>d，非正常状况</w:t>
      </w:r>
      <w:r>
        <w:rPr>
          <w:rFonts w:hint="eastAsia"/>
          <w:kern w:val="0"/>
          <w:szCs w:val="24"/>
        </w:rPr>
        <w:t>按</w:t>
      </w:r>
      <w:r>
        <w:rPr>
          <w:kern w:val="0"/>
          <w:szCs w:val="24"/>
        </w:rPr>
        <w:t>10倍漏损率计算</w:t>
      </w:r>
      <w:r>
        <w:t>。</w:t>
      </w:r>
    </w:p>
    <w:p>
      <w:pPr>
        <w:pStyle w:val="155"/>
        <w:spacing w:line="480" w:lineRule="exact"/>
        <w:ind w:firstLine="480"/>
        <w:rPr>
          <w:kern w:val="0"/>
          <w:szCs w:val="24"/>
        </w:rPr>
        <w:sectPr>
          <w:pgSz w:w="11907" w:h="16839"/>
          <w:pgMar w:top="1440" w:right="1797" w:bottom="1440" w:left="1797" w:header="851" w:footer="850" w:gutter="0"/>
          <w:cols w:space="720" w:num="1"/>
          <w:docGrid w:linePitch="312" w:charSpace="0"/>
        </w:sectPr>
      </w:pPr>
      <w:r>
        <w:rPr>
          <w:kern w:val="0"/>
          <w:szCs w:val="24"/>
        </w:rPr>
        <w:t>根据《污染源源强核算技术指南 准则》（HJ884-2018）的内容，本项目废水污染源源强核算结果及相关参数一览表见表5.2-2。</w:t>
      </w:r>
    </w:p>
    <w:p>
      <w:pPr>
        <w:spacing w:line="480" w:lineRule="exact"/>
        <w:jc w:val="center"/>
        <w:rPr>
          <w:rFonts w:ascii="Times New Roman" w:hAnsi="Times New Roman"/>
          <w:b/>
          <w:snapToGrid w:val="0"/>
        </w:rPr>
      </w:pPr>
      <w:r>
        <w:rPr>
          <w:rFonts w:ascii="Times New Roman" w:hAnsi="Times New Roman"/>
          <w:b/>
          <w:snapToGrid w:val="0"/>
        </w:rPr>
        <w:t>表5.2-2 地下水污染源强确定</w:t>
      </w:r>
    </w:p>
    <w:tbl>
      <w:tblPr>
        <w:tblStyle w:val="7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46"/>
        <w:gridCol w:w="1752"/>
        <w:gridCol w:w="1752"/>
        <w:gridCol w:w="1753"/>
        <w:gridCol w:w="1753"/>
        <w:gridCol w:w="1753"/>
        <w:gridCol w:w="1753"/>
        <w:gridCol w:w="175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blHeader/>
        </w:trPr>
        <w:tc>
          <w:tcPr>
            <w:tcW w:w="1746" w:type="dxa"/>
            <w:vMerge w:val="restart"/>
            <w:tcMar>
              <w:left w:w="28" w:type="dxa"/>
              <w:right w:w="28" w:type="dxa"/>
            </w:tcMar>
            <w:vAlign w:val="center"/>
          </w:tcPr>
          <w:p>
            <w:pPr>
              <w:widowControl/>
              <w:spacing w:line="280" w:lineRule="exact"/>
              <w:jc w:val="center"/>
              <w:rPr>
                <w:rFonts w:ascii="Times New Roman" w:hAnsi="Times New Roman"/>
                <w:b/>
              </w:rPr>
            </w:pPr>
            <w:r>
              <w:rPr>
                <w:rFonts w:ascii="Times New Roman" w:hAnsi="Times New Roman"/>
                <w:b/>
              </w:rPr>
              <w:t>预测情景</w:t>
            </w:r>
          </w:p>
        </w:tc>
        <w:tc>
          <w:tcPr>
            <w:tcW w:w="1752" w:type="dxa"/>
            <w:vMerge w:val="restart"/>
            <w:tcMar>
              <w:left w:w="28" w:type="dxa"/>
              <w:right w:w="28" w:type="dxa"/>
            </w:tcMar>
            <w:vAlign w:val="center"/>
          </w:tcPr>
          <w:p>
            <w:pPr>
              <w:widowControl/>
              <w:spacing w:line="280" w:lineRule="exact"/>
              <w:jc w:val="center"/>
              <w:rPr>
                <w:rFonts w:ascii="Times New Roman" w:hAnsi="Times New Roman"/>
                <w:b/>
              </w:rPr>
            </w:pPr>
            <w:r>
              <w:rPr>
                <w:rFonts w:ascii="Times New Roman" w:hAnsi="Times New Roman"/>
                <w:b/>
              </w:rPr>
              <w:t>渗漏面积</w:t>
            </w:r>
          </w:p>
        </w:tc>
        <w:tc>
          <w:tcPr>
            <w:tcW w:w="1752" w:type="dxa"/>
            <w:vMerge w:val="restart"/>
            <w:tcMar>
              <w:left w:w="28" w:type="dxa"/>
              <w:right w:w="28" w:type="dxa"/>
            </w:tcMar>
            <w:vAlign w:val="center"/>
          </w:tcPr>
          <w:p>
            <w:pPr>
              <w:widowControl/>
              <w:spacing w:line="280" w:lineRule="exact"/>
              <w:jc w:val="center"/>
              <w:rPr>
                <w:rFonts w:ascii="Times New Roman" w:hAnsi="Times New Roman"/>
                <w:b/>
              </w:rPr>
            </w:pPr>
            <w:r>
              <w:rPr>
                <w:rFonts w:ascii="Times New Roman" w:hAnsi="Times New Roman"/>
                <w:b/>
              </w:rPr>
              <w:t>渗漏强度</w:t>
            </w:r>
          </w:p>
        </w:tc>
        <w:tc>
          <w:tcPr>
            <w:tcW w:w="1753" w:type="dxa"/>
            <w:vMerge w:val="restart"/>
            <w:tcMar>
              <w:left w:w="28" w:type="dxa"/>
              <w:right w:w="28" w:type="dxa"/>
            </w:tcMar>
            <w:vAlign w:val="center"/>
          </w:tcPr>
          <w:p>
            <w:pPr>
              <w:widowControl/>
              <w:spacing w:line="280" w:lineRule="exact"/>
              <w:jc w:val="center"/>
              <w:rPr>
                <w:rFonts w:ascii="Times New Roman" w:hAnsi="Times New Roman"/>
                <w:b/>
              </w:rPr>
            </w:pPr>
            <w:r>
              <w:rPr>
                <w:rFonts w:ascii="Times New Roman" w:hAnsi="Times New Roman"/>
                <w:b/>
              </w:rPr>
              <w:t>渗漏量</w:t>
            </w:r>
          </w:p>
        </w:tc>
        <w:tc>
          <w:tcPr>
            <w:tcW w:w="3506" w:type="dxa"/>
            <w:gridSpan w:val="2"/>
            <w:tcMar>
              <w:left w:w="28" w:type="dxa"/>
              <w:right w:w="28" w:type="dxa"/>
            </w:tcMar>
            <w:vAlign w:val="center"/>
          </w:tcPr>
          <w:p>
            <w:pPr>
              <w:widowControl/>
              <w:spacing w:line="280" w:lineRule="exact"/>
              <w:jc w:val="center"/>
              <w:rPr>
                <w:rFonts w:ascii="Times New Roman" w:hAnsi="Times New Roman"/>
                <w:b/>
              </w:rPr>
            </w:pPr>
            <w:r>
              <w:rPr>
                <w:rFonts w:ascii="Times New Roman" w:hAnsi="Times New Roman"/>
                <w:b/>
              </w:rPr>
              <w:t>COD</w:t>
            </w:r>
          </w:p>
        </w:tc>
        <w:tc>
          <w:tcPr>
            <w:tcW w:w="3506" w:type="dxa"/>
            <w:gridSpan w:val="2"/>
            <w:tcMar>
              <w:left w:w="28" w:type="dxa"/>
              <w:right w:w="28" w:type="dxa"/>
            </w:tcMar>
            <w:vAlign w:val="center"/>
          </w:tcPr>
          <w:p>
            <w:pPr>
              <w:widowControl/>
              <w:spacing w:line="280" w:lineRule="exact"/>
              <w:jc w:val="center"/>
              <w:rPr>
                <w:rFonts w:ascii="Times New Roman" w:hAnsi="Times New Roman"/>
                <w:b/>
              </w:rPr>
            </w:pPr>
            <w:r>
              <w:rPr>
                <w:rFonts w:ascii="Times New Roman" w:hAnsi="Times New Roman"/>
                <w:b/>
              </w:rPr>
              <w:t>氨氮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blHeader/>
        </w:trPr>
        <w:tc>
          <w:tcPr>
            <w:tcW w:w="1746" w:type="dxa"/>
            <w:vMerge w:val="continue"/>
            <w:tcMar>
              <w:left w:w="28" w:type="dxa"/>
              <w:right w:w="28" w:type="dxa"/>
            </w:tcMar>
            <w:vAlign w:val="center"/>
          </w:tcPr>
          <w:p>
            <w:pPr>
              <w:widowControl/>
              <w:spacing w:line="280" w:lineRule="exact"/>
              <w:jc w:val="center"/>
              <w:rPr>
                <w:rFonts w:ascii="Times New Roman" w:hAnsi="Times New Roman"/>
                <w:b/>
              </w:rPr>
            </w:pPr>
          </w:p>
        </w:tc>
        <w:tc>
          <w:tcPr>
            <w:tcW w:w="1752" w:type="dxa"/>
            <w:vMerge w:val="continue"/>
            <w:tcMar>
              <w:left w:w="28" w:type="dxa"/>
              <w:right w:w="28" w:type="dxa"/>
            </w:tcMar>
            <w:vAlign w:val="center"/>
          </w:tcPr>
          <w:p>
            <w:pPr>
              <w:widowControl/>
              <w:spacing w:line="280" w:lineRule="exact"/>
              <w:jc w:val="center"/>
              <w:rPr>
                <w:rFonts w:ascii="Times New Roman" w:hAnsi="Times New Roman"/>
                <w:b/>
              </w:rPr>
            </w:pPr>
          </w:p>
        </w:tc>
        <w:tc>
          <w:tcPr>
            <w:tcW w:w="1752" w:type="dxa"/>
            <w:vMerge w:val="continue"/>
            <w:tcMar>
              <w:left w:w="28" w:type="dxa"/>
              <w:right w:w="28" w:type="dxa"/>
            </w:tcMar>
            <w:vAlign w:val="center"/>
          </w:tcPr>
          <w:p>
            <w:pPr>
              <w:widowControl/>
              <w:spacing w:line="280" w:lineRule="exact"/>
              <w:jc w:val="center"/>
              <w:rPr>
                <w:rFonts w:ascii="Times New Roman" w:hAnsi="Times New Roman"/>
                <w:b/>
              </w:rPr>
            </w:pPr>
          </w:p>
        </w:tc>
        <w:tc>
          <w:tcPr>
            <w:tcW w:w="1753" w:type="dxa"/>
            <w:vMerge w:val="continue"/>
            <w:tcMar>
              <w:left w:w="28" w:type="dxa"/>
              <w:right w:w="28" w:type="dxa"/>
            </w:tcMar>
            <w:vAlign w:val="center"/>
          </w:tcPr>
          <w:p>
            <w:pPr>
              <w:widowControl/>
              <w:spacing w:line="280" w:lineRule="exact"/>
              <w:jc w:val="center"/>
              <w:rPr>
                <w:rFonts w:ascii="Times New Roman" w:hAnsi="Times New Roman"/>
                <w:b/>
              </w:rPr>
            </w:pPr>
          </w:p>
        </w:tc>
        <w:tc>
          <w:tcPr>
            <w:tcW w:w="1753" w:type="dxa"/>
            <w:tcMar>
              <w:left w:w="28" w:type="dxa"/>
              <w:right w:w="28" w:type="dxa"/>
            </w:tcMar>
            <w:vAlign w:val="center"/>
          </w:tcPr>
          <w:p>
            <w:pPr>
              <w:widowControl/>
              <w:spacing w:line="280" w:lineRule="exact"/>
              <w:jc w:val="center"/>
              <w:rPr>
                <w:rFonts w:ascii="Times New Roman" w:hAnsi="Times New Roman"/>
                <w:b/>
              </w:rPr>
            </w:pPr>
            <w:r>
              <w:rPr>
                <w:rFonts w:ascii="Times New Roman" w:hAnsi="Times New Roman"/>
                <w:b/>
              </w:rPr>
              <w:t>进水水质</w:t>
            </w:r>
          </w:p>
        </w:tc>
        <w:tc>
          <w:tcPr>
            <w:tcW w:w="1753" w:type="dxa"/>
            <w:tcMar>
              <w:left w:w="28" w:type="dxa"/>
              <w:right w:w="28" w:type="dxa"/>
            </w:tcMar>
            <w:vAlign w:val="center"/>
          </w:tcPr>
          <w:p>
            <w:pPr>
              <w:widowControl/>
              <w:spacing w:line="280" w:lineRule="exact"/>
              <w:jc w:val="center"/>
              <w:rPr>
                <w:rFonts w:ascii="Times New Roman" w:hAnsi="Times New Roman"/>
                <w:b/>
              </w:rPr>
            </w:pPr>
            <w:r>
              <w:rPr>
                <w:rFonts w:ascii="Times New Roman" w:hAnsi="Times New Roman"/>
                <w:b/>
              </w:rPr>
              <w:t>污染物质量</w:t>
            </w:r>
          </w:p>
        </w:tc>
        <w:tc>
          <w:tcPr>
            <w:tcW w:w="1753" w:type="dxa"/>
            <w:tcMar>
              <w:left w:w="28" w:type="dxa"/>
              <w:right w:w="28" w:type="dxa"/>
            </w:tcMar>
            <w:vAlign w:val="center"/>
          </w:tcPr>
          <w:p>
            <w:pPr>
              <w:widowControl/>
              <w:spacing w:line="280" w:lineRule="exact"/>
              <w:jc w:val="center"/>
              <w:rPr>
                <w:rFonts w:ascii="Times New Roman" w:hAnsi="Times New Roman"/>
                <w:b/>
              </w:rPr>
            </w:pPr>
            <w:r>
              <w:rPr>
                <w:rFonts w:ascii="Times New Roman" w:hAnsi="Times New Roman"/>
                <w:b/>
              </w:rPr>
              <w:t>进水水质</w:t>
            </w:r>
          </w:p>
        </w:tc>
        <w:tc>
          <w:tcPr>
            <w:tcW w:w="1753" w:type="dxa"/>
            <w:tcMar>
              <w:left w:w="28" w:type="dxa"/>
              <w:right w:w="28" w:type="dxa"/>
            </w:tcMar>
            <w:vAlign w:val="center"/>
          </w:tcPr>
          <w:p>
            <w:pPr>
              <w:widowControl/>
              <w:spacing w:line="280" w:lineRule="exact"/>
              <w:jc w:val="center"/>
              <w:rPr>
                <w:rFonts w:ascii="Times New Roman" w:hAnsi="Times New Roman"/>
                <w:b/>
              </w:rPr>
            </w:pPr>
            <w:r>
              <w:rPr>
                <w:rFonts w:ascii="Times New Roman" w:hAnsi="Times New Roman"/>
                <w:b/>
              </w:rPr>
              <w:t>污染物质量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blHeader/>
        </w:trPr>
        <w:tc>
          <w:tcPr>
            <w:tcW w:w="1746" w:type="dxa"/>
            <w:vMerge w:val="continue"/>
            <w:tcMar>
              <w:left w:w="28" w:type="dxa"/>
              <w:right w:w="28" w:type="dxa"/>
            </w:tcMar>
            <w:vAlign w:val="center"/>
          </w:tcPr>
          <w:p>
            <w:pPr>
              <w:widowControl/>
              <w:spacing w:line="280" w:lineRule="exact"/>
              <w:jc w:val="center"/>
              <w:rPr>
                <w:rFonts w:ascii="Times New Roman" w:hAnsi="Times New Roman"/>
              </w:rPr>
            </w:pPr>
          </w:p>
        </w:tc>
        <w:tc>
          <w:tcPr>
            <w:tcW w:w="1752" w:type="dxa"/>
            <w:tcMar>
              <w:left w:w="28" w:type="dxa"/>
              <w:right w:w="28" w:type="dxa"/>
            </w:tcMar>
            <w:vAlign w:val="center"/>
          </w:tcPr>
          <w:p>
            <w:pPr>
              <w:widowControl/>
              <w:spacing w:line="280" w:lineRule="exact"/>
              <w:jc w:val="center"/>
              <w:rPr>
                <w:rFonts w:ascii="Times New Roman" w:hAnsi="Times New Roman"/>
              </w:rPr>
            </w:pPr>
            <w:r>
              <w:rPr>
                <w:rFonts w:ascii="Times New Roman" w:hAnsi="Times New Roman"/>
              </w:rPr>
              <w:t>m</w:t>
            </w:r>
            <w:r>
              <w:rPr>
                <w:rFonts w:ascii="Times New Roman" w:hAnsi="Times New Roman"/>
                <w:vertAlign w:val="superscript"/>
              </w:rPr>
              <w:t>2</w:t>
            </w:r>
          </w:p>
        </w:tc>
        <w:tc>
          <w:tcPr>
            <w:tcW w:w="1752" w:type="dxa"/>
            <w:tcMar>
              <w:left w:w="28" w:type="dxa"/>
              <w:right w:w="28" w:type="dxa"/>
            </w:tcMar>
            <w:vAlign w:val="center"/>
          </w:tcPr>
          <w:p>
            <w:pPr>
              <w:widowControl/>
              <w:spacing w:line="280" w:lineRule="exact"/>
              <w:jc w:val="center"/>
              <w:rPr>
                <w:rFonts w:ascii="Times New Roman" w:hAnsi="Times New Roman"/>
              </w:rPr>
            </w:pPr>
            <w:r>
              <w:rPr>
                <w:rFonts w:ascii="Times New Roman" w:hAnsi="Times New Roman"/>
              </w:rPr>
              <w:t>L/m</w:t>
            </w:r>
            <w:r>
              <w:rPr>
                <w:rFonts w:ascii="Times New Roman" w:hAnsi="Times New Roman"/>
                <w:vertAlign w:val="superscript"/>
              </w:rPr>
              <w:t>2</w:t>
            </w:r>
            <w:r>
              <w:rPr>
                <w:rFonts w:ascii="Times New Roman" w:hAnsi="Times New Roman"/>
              </w:rPr>
              <w:t>·d</w:t>
            </w:r>
          </w:p>
        </w:tc>
        <w:tc>
          <w:tcPr>
            <w:tcW w:w="1753" w:type="dxa"/>
            <w:tcMar>
              <w:left w:w="28" w:type="dxa"/>
              <w:right w:w="28" w:type="dxa"/>
            </w:tcMar>
            <w:vAlign w:val="center"/>
          </w:tcPr>
          <w:p>
            <w:pPr>
              <w:widowControl/>
              <w:spacing w:line="280" w:lineRule="exact"/>
              <w:jc w:val="center"/>
              <w:rPr>
                <w:rFonts w:ascii="Times New Roman" w:hAnsi="Times New Roman"/>
              </w:rPr>
            </w:pPr>
            <w:r>
              <w:rPr>
                <w:rFonts w:ascii="Times New Roman" w:hAnsi="Times New Roman"/>
              </w:rPr>
              <w:t>L/d</w:t>
            </w:r>
          </w:p>
        </w:tc>
        <w:tc>
          <w:tcPr>
            <w:tcW w:w="1753" w:type="dxa"/>
            <w:tcMar>
              <w:left w:w="28" w:type="dxa"/>
              <w:right w:w="28" w:type="dxa"/>
            </w:tcMar>
            <w:vAlign w:val="center"/>
          </w:tcPr>
          <w:p>
            <w:pPr>
              <w:widowControl/>
              <w:spacing w:line="280" w:lineRule="exact"/>
              <w:jc w:val="center"/>
              <w:rPr>
                <w:rFonts w:ascii="Times New Roman" w:hAnsi="Times New Roman"/>
              </w:rPr>
            </w:pPr>
            <w:r>
              <w:rPr>
                <w:rFonts w:ascii="Times New Roman" w:hAnsi="Times New Roman"/>
              </w:rPr>
              <w:t>mg/L</w:t>
            </w:r>
          </w:p>
        </w:tc>
        <w:tc>
          <w:tcPr>
            <w:tcW w:w="1753" w:type="dxa"/>
            <w:tcMar>
              <w:left w:w="28" w:type="dxa"/>
              <w:right w:w="28" w:type="dxa"/>
            </w:tcMar>
            <w:vAlign w:val="center"/>
          </w:tcPr>
          <w:p>
            <w:pPr>
              <w:widowControl/>
              <w:spacing w:line="280" w:lineRule="exact"/>
              <w:jc w:val="center"/>
              <w:rPr>
                <w:rFonts w:ascii="Times New Roman" w:hAnsi="Times New Roman"/>
              </w:rPr>
            </w:pPr>
            <w:r>
              <w:rPr>
                <w:rFonts w:ascii="Times New Roman" w:hAnsi="Times New Roman"/>
              </w:rPr>
              <w:t>g/d</w:t>
            </w:r>
          </w:p>
        </w:tc>
        <w:tc>
          <w:tcPr>
            <w:tcW w:w="1753" w:type="dxa"/>
            <w:tcMar>
              <w:left w:w="28" w:type="dxa"/>
              <w:right w:w="28" w:type="dxa"/>
            </w:tcMar>
            <w:vAlign w:val="center"/>
          </w:tcPr>
          <w:p>
            <w:pPr>
              <w:widowControl/>
              <w:spacing w:line="280" w:lineRule="exact"/>
              <w:jc w:val="center"/>
              <w:rPr>
                <w:rFonts w:ascii="Times New Roman" w:hAnsi="Times New Roman"/>
              </w:rPr>
            </w:pPr>
            <w:r>
              <w:rPr>
                <w:rFonts w:ascii="Times New Roman" w:hAnsi="Times New Roman"/>
              </w:rPr>
              <w:t>mg/L</w:t>
            </w:r>
          </w:p>
        </w:tc>
        <w:tc>
          <w:tcPr>
            <w:tcW w:w="1753" w:type="dxa"/>
            <w:tcMar>
              <w:left w:w="28" w:type="dxa"/>
              <w:right w:w="28" w:type="dxa"/>
            </w:tcMar>
            <w:vAlign w:val="center"/>
          </w:tcPr>
          <w:p>
            <w:pPr>
              <w:widowControl/>
              <w:spacing w:line="280" w:lineRule="exact"/>
              <w:jc w:val="center"/>
              <w:rPr>
                <w:rFonts w:ascii="Times New Roman" w:hAnsi="Times New Roman"/>
              </w:rPr>
            </w:pPr>
            <w:r>
              <w:rPr>
                <w:rFonts w:ascii="Times New Roman" w:hAnsi="Times New Roman"/>
              </w:rPr>
              <w:t>g/d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tblHeader/>
        </w:trPr>
        <w:tc>
          <w:tcPr>
            <w:tcW w:w="1746" w:type="dxa"/>
            <w:tcMar>
              <w:left w:w="28" w:type="dxa"/>
              <w:right w:w="28" w:type="dxa"/>
            </w:tcMar>
            <w:vAlign w:val="center"/>
          </w:tcPr>
          <w:p>
            <w:pPr>
              <w:widowControl/>
              <w:spacing w:line="280" w:lineRule="exact"/>
              <w:jc w:val="center"/>
              <w:rPr>
                <w:rFonts w:ascii="Times New Roman" w:hAnsi="Times New Roman"/>
              </w:rPr>
            </w:pPr>
            <w:r>
              <w:rPr>
                <w:rFonts w:ascii="Times New Roman" w:hAnsi="Times New Roman"/>
              </w:rPr>
              <w:t>正常状况</w:t>
            </w:r>
          </w:p>
        </w:tc>
        <w:tc>
          <w:tcPr>
            <w:tcW w:w="1752" w:type="dxa"/>
            <w:tcMar>
              <w:left w:w="28" w:type="dxa"/>
              <w:right w:w="28" w:type="dxa"/>
            </w:tcMar>
            <w:vAlign w:val="center"/>
          </w:tcPr>
          <w:p>
            <w:pPr>
              <w:widowControl/>
              <w:spacing w:line="280" w:lineRule="exact"/>
              <w:jc w:val="center"/>
              <w:rPr>
                <w:rFonts w:ascii="Times New Roman" w:hAnsi="Times New Roman"/>
              </w:rPr>
            </w:pPr>
            <w:r>
              <w:rPr>
                <w:rFonts w:ascii="Times New Roman" w:hAnsi="Times New Roman"/>
              </w:rPr>
              <w:t>115</w:t>
            </w:r>
          </w:p>
        </w:tc>
        <w:tc>
          <w:tcPr>
            <w:tcW w:w="1752" w:type="dxa"/>
            <w:tcMar>
              <w:left w:w="28" w:type="dxa"/>
              <w:right w:w="28" w:type="dxa"/>
            </w:tcMar>
            <w:vAlign w:val="center"/>
          </w:tcPr>
          <w:p>
            <w:pPr>
              <w:widowControl/>
              <w:spacing w:line="280" w:lineRule="exact"/>
              <w:jc w:val="center"/>
              <w:rPr>
                <w:rFonts w:ascii="Times New Roman" w:hAnsi="Times New Roman"/>
              </w:rPr>
            </w:pPr>
            <w:r>
              <w:rPr>
                <w:rFonts w:ascii="Times New Roman" w:hAnsi="Times New Roman"/>
              </w:rPr>
              <w:t>2</w:t>
            </w:r>
          </w:p>
        </w:tc>
        <w:tc>
          <w:tcPr>
            <w:tcW w:w="1753" w:type="dxa"/>
            <w:tcMar>
              <w:left w:w="28" w:type="dxa"/>
              <w:right w:w="28" w:type="dxa"/>
            </w:tcMar>
            <w:vAlign w:val="center"/>
          </w:tcPr>
          <w:p>
            <w:pPr>
              <w:widowControl/>
              <w:spacing w:line="280" w:lineRule="exact"/>
              <w:jc w:val="center"/>
              <w:rPr>
                <w:rFonts w:ascii="Times New Roman" w:hAnsi="Times New Roman"/>
              </w:rPr>
            </w:pPr>
            <w:r>
              <w:rPr>
                <w:rFonts w:ascii="Times New Roman" w:hAnsi="Times New Roman"/>
              </w:rPr>
              <w:t>230</w:t>
            </w:r>
          </w:p>
        </w:tc>
        <w:tc>
          <w:tcPr>
            <w:tcW w:w="1753" w:type="dxa"/>
            <w:tcMar>
              <w:left w:w="28" w:type="dxa"/>
              <w:right w:w="28" w:type="dxa"/>
            </w:tcMar>
            <w:vAlign w:val="center"/>
          </w:tcPr>
          <w:p>
            <w:pPr>
              <w:widowControl/>
              <w:spacing w:line="280" w:lineRule="exact"/>
              <w:jc w:val="center"/>
              <w:rPr>
                <w:rFonts w:ascii="Times New Roman" w:hAnsi="Times New Roman"/>
              </w:rPr>
            </w:pPr>
            <w:r>
              <w:rPr>
                <w:rFonts w:ascii="Times New Roman" w:hAnsi="Times New Roman"/>
              </w:rPr>
              <w:t>450</w:t>
            </w:r>
          </w:p>
        </w:tc>
        <w:tc>
          <w:tcPr>
            <w:tcW w:w="1753" w:type="dxa"/>
            <w:tcMar>
              <w:left w:w="28" w:type="dxa"/>
              <w:right w:w="28" w:type="dxa"/>
            </w:tcMar>
            <w:vAlign w:val="center"/>
          </w:tcPr>
          <w:p>
            <w:pPr>
              <w:widowControl/>
              <w:spacing w:line="280" w:lineRule="exact"/>
              <w:jc w:val="center"/>
              <w:rPr>
                <w:rFonts w:ascii="Times New Roman" w:hAnsi="Times New Roman"/>
              </w:rPr>
            </w:pPr>
            <w:r>
              <w:rPr>
                <w:rFonts w:ascii="Times New Roman" w:hAnsi="Times New Roman"/>
              </w:rPr>
              <w:t>103.5</w:t>
            </w:r>
          </w:p>
        </w:tc>
        <w:tc>
          <w:tcPr>
            <w:tcW w:w="1753" w:type="dxa"/>
            <w:tcMar>
              <w:left w:w="28" w:type="dxa"/>
              <w:right w:w="28" w:type="dxa"/>
            </w:tcMar>
            <w:vAlign w:val="center"/>
          </w:tcPr>
          <w:p>
            <w:pPr>
              <w:widowControl/>
              <w:spacing w:line="280" w:lineRule="exact"/>
              <w:jc w:val="center"/>
              <w:rPr>
                <w:rFonts w:ascii="Times New Roman" w:hAnsi="Times New Roman"/>
              </w:rPr>
            </w:pPr>
            <w:r>
              <w:rPr>
                <w:rFonts w:ascii="Times New Roman" w:hAnsi="Times New Roman"/>
              </w:rPr>
              <w:t>30</w:t>
            </w:r>
          </w:p>
        </w:tc>
        <w:tc>
          <w:tcPr>
            <w:tcW w:w="1753" w:type="dxa"/>
            <w:tcMar>
              <w:left w:w="28" w:type="dxa"/>
              <w:right w:w="28" w:type="dxa"/>
            </w:tcMar>
            <w:vAlign w:val="center"/>
          </w:tcPr>
          <w:p>
            <w:pPr>
              <w:widowControl/>
              <w:spacing w:line="280" w:lineRule="exact"/>
              <w:jc w:val="center"/>
              <w:rPr>
                <w:rFonts w:ascii="Times New Roman" w:hAnsi="Times New Roman"/>
              </w:rPr>
            </w:pPr>
            <w:r>
              <w:rPr>
                <w:rFonts w:ascii="Times New Roman" w:hAnsi="Times New Roman"/>
              </w:rPr>
              <w:t>6.9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blHeader/>
        </w:trPr>
        <w:tc>
          <w:tcPr>
            <w:tcW w:w="1746" w:type="dxa"/>
            <w:tcMar>
              <w:left w:w="28" w:type="dxa"/>
              <w:right w:w="28" w:type="dxa"/>
            </w:tcMar>
            <w:vAlign w:val="center"/>
          </w:tcPr>
          <w:p>
            <w:pPr>
              <w:widowControl/>
              <w:spacing w:line="280" w:lineRule="exact"/>
              <w:jc w:val="center"/>
              <w:rPr>
                <w:rFonts w:ascii="Times New Roman" w:hAnsi="Times New Roman"/>
              </w:rPr>
            </w:pPr>
            <w:r>
              <w:rPr>
                <w:rFonts w:ascii="Times New Roman" w:hAnsi="Times New Roman"/>
              </w:rPr>
              <w:t>非正常状况</w:t>
            </w:r>
          </w:p>
        </w:tc>
        <w:tc>
          <w:tcPr>
            <w:tcW w:w="1752" w:type="dxa"/>
            <w:tcMar>
              <w:left w:w="28" w:type="dxa"/>
              <w:right w:w="28" w:type="dxa"/>
            </w:tcMar>
            <w:vAlign w:val="center"/>
          </w:tcPr>
          <w:p>
            <w:pPr>
              <w:widowControl/>
              <w:spacing w:line="280" w:lineRule="exact"/>
              <w:jc w:val="center"/>
              <w:rPr>
                <w:rFonts w:ascii="Times New Roman" w:hAnsi="Times New Roman"/>
              </w:rPr>
            </w:pPr>
            <w:r>
              <w:rPr>
                <w:rFonts w:ascii="Times New Roman" w:hAnsi="Times New Roman"/>
              </w:rPr>
              <w:t>115</w:t>
            </w:r>
          </w:p>
        </w:tc>
        <w:tc>
          <w:tcPr>
            <w:tcW w:w="1752" w:type="dxa"/>
            <w:tcMar>
              <w:left w:w="28" w:type="dxa"/>
              <w:right w:w="28" w:type="dxa"/>
            </w:tcMar>
            <w:vAlign w:val="center"/>
          </w:tcPr>
          <w:p>
            <w:pPr>
              <w:widowControl/>
              <w:spacing w:line="280" w:lineRule="exact"/>
              <w:jc w:val="center"/>
              <w:rPr>
                <w:rFonts w:ascii="Times New Roman" w:hAnsi="Times New Roman"/>
              </w:rPr>
            </w:pPr>
            <w:r>
              <w:rPr>
                <w:rFonts w:ascii="Times New Roman" w:hAnsi="Times New Roman"/>
              </w:rPr>
              <w:t>20</w:t>
            </w:r>
          </w:p>
        </w:tc>
        <w:tc>
          <w:tcPr>
            <w:tcW w:w="1753" w:type="dxa"/>
            <w:tcMar>
              <w:left w:w="28" w:type="dxa"/>
              <w:right w:w="28" w:type="dxa"/>
            </w:tcMar>
            <w:vAlign w:val="center"/>
          </w:tcPr>
          <w:p>
            <w:pPr>
              <w:widowControl/>
              <w:spacing w:line="280" w:lineRule="exact"/>
              <w:jc w:val="center"/>
              <w:rPr>
                <w:rFonts w:ascii="Times New Roman" w:hAnsi="Times New Roman"/>
              </w:rPr>
            </w:pPr>
            <w:r>
              <w:rPr>
                <w:rFonts w:ascii="Times New Roman" w:hAnsi="Times New Roman"/>
              </w:rPr>
              <w:t>2300</w:t>
            </w:r>
          </w:p>
        </w:tc>
        <w:tc>
          <w:tcPr>
            <w:tcW w:w="1753" w:type="dxa"/>
            <w:tcMar>
              <w:left w:w="28" w:type="dxa"/>
              <w:right w:w="28" w:type="dxa"/>
            </w:tcMar>
            <w:vAlign w:val="center"/>
          </w:tcPr>
          <w:p>
            <w:pPr>
              <w:widowControl/>
              <w:spacing w:line="280" w:lineRule="exact"/>
              <w:jc w:val="center"/>
              <w:rPr>
                <w:rFonts w:ascii="Times New Roman" w:hAnsi="Times New Roman"/>
              </w:rPr>
            </w:pPr>
            <w:r>
              <w:rPr>
                <w:rFonts w:ascii="Times New Roman" w:hAnsi="Times New Roman"/>
              </w:rPr>
              <w:t>450</w:t>
            </w:r>
          </w:p>
        </w:tc>
        <w:tc>
          <w:tcPr>
            <w:tcW w:w="1753" w:type="dxa"/>
            <w:tcMar>
              <w:left w:w="28" w:type="dxa"/>
              <w:right w:w="28" w:type="dxa"/>
            </w:tcMar>
            <w:vAlign w:val="center"/>
          </w:tcPr>
          <w:p>
            <w:pPr>
              <w:widowControl/>
              <w:spacing w:line="280" w:lineRule="exact"/>
              <w:jc w:val="center"/>
              <w:rPr>
                <w:rFonts w:ascii="Times New Roman" w:hAnsi="Times New Roman"/>
              </w:rPr>
            </w:pPr>
            <w:r>
              <w:rPr>
                <w:rFonts w:ascii="Times New Roman" w:hAnsi="Times New Roman"/>
              </w:rPr>
              <w:t>1035</w:t>
            </w:r>
          </w:p>
        </w:tc>
        <w:tc>
          <w:tcPr>
            <w:tcW w:w="1753" w:type="dxa"/>
            <w:tcMar>
              <w:left w:w="28" w:type="dxa"/>
              <w:right w:w="28" w:type="dxa"/>
            </w:tcMar>
            <w:vAlign w:val="center"/>
          </w:tcPr>
          <w:p>
            <w:pPr>
              <w:widowControl/>
              <w:spacing w:line="280" w:lineRule="exact"/>
              <w:jc w:val="center"/>
              <w:rPr>
                <w:rFonts w:ascii="Times New Roman" w:hAnsi="Times New Roman"/>
              </w:rPr>
            </w:pPr>
            <w:r>
              <w:rPr>
                <w:rFonts w:ascii="Times New Roman" w:hAnsi="Times New Roman"/>
              </w:rPr>
              <w:t>30</w:t>
            </w:r>
          </w:p>
        </w:tc>
        <w:tc>
          <w:tcPr>
            <w:tcW w:w="1753" w:type="dxa"/>
            <w:tcMar>
              <w:left w:w="28" w:type="dxa"/>
              <w:right w:w="28" w:type="dxa"/>
            </w:tcMar>
            <w:vAlign w:val="center"/>
          </w:tcPr>
          <w:p>
            <w:pPr>
              <w:widowControl/>
              <w:spacing w:line="280" w:lineRule="exact"/>
              <w:jc w:val="center"/>
              <w:rPr>
                <w:rFonts w:ascii="Times New Roman" w:hAnsi="Times New Roman"/>
              </w:rPr>
            </w:pPr>
            <w:r>
              <w:rPr>
                <w:rFonts w:ascii="Times New Roman" w:hAnsi="Times New Roman"/>
              </w:rPr>
              <w:t>69</w:t>
            </w:r>
          </w:p>
        </w:tc>
      </w:tr>
    </w:tbl>
    <w:p>
      <w:pPr>
        <w:pStyle w:val="155"/>
        <w:spacing w:line="480" w:lineRule="exact"/>
        <w:ind w:firstLine="0" w:firstLineChars="0"/>
        <w:rPr>
          <w:kern w:val="0"/>
          <w:szCs w:val="24"/>
        </w:rPr>
        <w:sectPr>
          <w:pgSz w:w="16839" w:h="11907" w:orient="landscape"/>
          <w:pgMar w:top="1797" w:right="1440" w:bottom="1797" w:left="1440" w:header="851" w:footer="850" w:gutter="0"/>
          <w:cols w:space="720" w:num="1"/>
          <w:docGrid w:linePitch="312" w:charSpace="0"/>
        </w:sectPr>
      </w:pPr>
    </w:p>
    <w:p>
      <w:pPr>
        <w:pStyle w:val="155"/>
        <w:spacing w:line="480" w:lineRule="exact"/>
        <w:ind w:firstLine="0" w:firstLineChars="0"/>
      </w:pPr>
    </w:p>
    <w:p>
      <w:pPr>
        <w:pStyle w:val="155"/>
        <w:spacing w:line="480" w:lineRule="exact"/>
        <w:ind w:firstLine="480"/>
      </w:pPr>
      <w:r>
        <w:rPr>
          <w:rFonts w:hint="eastAsia" w:ascii="宋体" w:hAnsi="宋体" w:cs="宋体"/>
        </w:rPr>
        <w:t>⑧</w:t>
      </w:r>
      <w:r>
        <w:t>预测模型</w:t>
      </w:r>
    </w:p>
    <w:p>
      <w:pPr>
        <w:pStyle w:val="155"/>
        <w:spacing w:line="480" w:lineRule="exact"/>
        <w:ind w:firstLine="480"/>
      </w:pPr>
      <w:r>
        <w:t>由于本项目污染物的排放对地下水流场没有明显的影响，项目区内含水层的基本参数（渗透系数、有效孔隙度）不会发生变化。选择《环境影响评价技术导则 地下水环境》（HJ610-2016）中的“D.1.2.2一维稳定流动二维动力弥散问题”中的“D.1.2.2.2连续注入示踪剂—平面连续点源”预测模式：</w:t>
      </w:r>
    </w:p>
    <w:p>
      <w:pPr>
        <w:pStyle w:val="155"/>
        <w:spacing w:line="240" w:lineRule="auto"/>
        <w:ind w:firstLine="0" w:firstLineChars="0"/>
      </w:pPr>
      <w:r>
        <w:drawing>
          <wp:inline distT="0" distB="0" distL="114300" distR="114300">
            <wp:extent cx="3957320" cy="1262380"/>
            <wp:effectExtent l="0" t="0" r="5080" b="4445"/>
            <wp:docPr id="43" name="图片 128" descr="QQ截图2020101216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28" descr="QQ截图20201012162006"/>
                    <pic:cNvPicPr>
                      <a:picLocks noChangeAspect="1"/>
                    </pic:cNvPicPr>
                  </pic:nvPicPr>
                  <pic:blipFill>
                    <a:blip r:embed="rId50"/>
                    <a:stretch>
                      <a:fillRect/>
                    </a:stretch>
                  </pic:blipFill>
                  <pic:spPr>
                    <a:xfrm>
                      <a:off x="0" y="0"/>
                      <a:ext cx="3957320" cy="1262380"/>
                    </a:xfrm>
                    <a:prstGeom prst="rect">
                      <a:avLst/>
                    </a:prstGeom>
                    <a:noFill/>
                    <a:ln>
                      <a:noFill/>
                    </a:ln>
                  </pic:spPr>
                </pic:pic>
              </a:graphicData>
            </a:graphic>
          </wp:inline>
        </w:drawing>
      </w:r>
    </w:p>
    <w:p>
      <w:pPr>
        <w:pStyle w:val="155"/>
        <w:spacing w:line="480" w:lineRule="exact"/>
        <w:ind w:firstLine="480"/>
      </w:pPr>
      <w:r>
        <w:t>式中：x，y—计算点处的位置坐标；</w:t>
      </w:r>
    </w:p>
    <w:p>
      <w:pPr>
        <w:pStyle w:val="155"/>
        <w:spacing w:line="480" w:lineRule="exact"/>
        <w:ind w:firstLine="1200" w:firstLineChars="500"/>
      </w:pPr>
      <w:r>
        <w:t>t—时间，100d、1000d；</w:t>
      </w:r>
    </w:p>
    <w:p>
      <w:pPr>
        <w:pStyle w:val="155"/>
        <w:spacing w:line="480" w:lineRule="exact"/>
        <w:ind w:firstLine="1200" w:firstLineChars="500"/>
      </w:pPr>
      <w:r>
        <w:t>C（x，y，t）—t时刻x，y处的示踪剂浓度，g/L；</w:t>
      </w:r>
    </w:p>
    <w:p>
      <w:pPr>
        <w:pStyle w:val="155"/>
        <w:spacing w:line="480" w:lineRule="exact"/>
        <w:ind w:firstLine="1200" w:firstLineChars="500"/>
      </w:pPr>
      <w:r>
        <w:t>M—含水层的厚度，取平均值42.5m；</w:t>
      </w:r>
    </w:p>
    <w:p>
      <w:pPr>
        <w:pStyle w:val="155"/>
        <w:spacing w:line="480" w:lineRule="exact"/>
        <w:ind w:firstLine="1200" w:firstLineChars="500"/>
      </w:pPr>
      <w:r>
        <w:t>m</w:t>
      </w:r>
      <w:r>
        <w:rPr>
          <w:vertAlign w:val="subscript"/>
        </w:rPr>
        <w:t>t</w:t>
      </w:r>
      <w:r>
        <w:t>—单位时间注入的示踪剂质量；</w:t>
      </w:r>
    </w:p>
    <w:p>
      <w:pPr>
        <w:pStyle w:val="155"/>
        <w:spacing w:line="480" w:lineRule="exact"/>
        <w:ind w:firstLine="1200" w:firstLineChars="500"/>
      </w:pPr>
      <w:r>
        <w:t>u—水流速度，取0.073m/d；</w:t>
      </w:r>
    </w:p>
    <w:p>
      <w:pPr>
        <w:pStyle w:val="155"/>
        <w:spacing w:line="480" w:lineRule="exact"/>
        <w:ind w:firstLine="1200" w:firstLineChars="500"/>
      </w:pPr>
      <w:r>
        <w:t>n</w:t>
      </w:r>
      <w:r>
        <w:rPr>
          <w:vertAlign w:val="subscript"/>
        </w:rPr>
        <w:t>e</w:t>
      </w:r>
      <w:r>
        <w:t>—有效孔隙度，取0.32；</w:t>
      </w:r>
    </w:p>
    <w:p>
      <w:pPr>
        <w:pStyle w:val="155"/>
        <w:spacing w:line="480" w:lineRule="exact"/>
        <w:ind w:firstLine="1200" w:firstLineChars="500"/>
      </w:pPr>
      <w:r>
        <w:t>D</w:t>
      </w:r>
      <w:r>
        <w:rPr>
          <w:vertAlign w:val="subscript"/>
        </w:rPr>
        <w:t>L</w:t>
      </w:r>
      <w:r>
        <w:t>—纵向弥散系数，取5m</w:t>
      </w:r>
      <w:r>
        <w:rPr>
          <w:vertAlign w:val="superscript"/>
        </w:rPr>
        <w:t>2</w:t>
      </w:r>
      <w:r>
        <w:t>/d；</w:t>
      </w:r>
    </w:p>
    <w:p>
      <w:pPr>
        <w:pStyle w:val="155"/>
        <w:spacing w:line="480" w:lineRule="exact"/>
        <w:ind w:firstLine="1200" w:firstLineChars="500"/>
      </w:pPr>
      <w:r>
        <w:t>D</w:t>
      </w:r>
      <w:r>
        <w:rPr>
          <w:vertAlign w:val="subscript"/>
        </w:rPr>
        <w:t>T</w:t>
      </w:r>
      <w:r>
        <w:t>—横向y方向的弥散系数，取0.5m</w:t>
      </w:r>
      <w:r>
        <w:rPr>
          <w:vertAlign w:val="superscript"/>
        </w:rPr>
        <w:t>2</w:t>
      </w:r>
      <w:r>
        <w:t>/d；</w:t>
      </w:r>
    </w:p>
    <w:p>
      <w:pPr>
        <w:pStyle w:val="155"/>
        <w:spacing w:line="480" w:lineRule="exact"/>
        <w:ind w:firstLine="1200" w:firstLineChars="500"/>
      </w:pPr>
      <w:r>
        <w:t>π—圆周率；</w:t>
      </w:r>
    </w:p>
    <w:p>
      <w:pPr>
        <w:pStyle w:val="155"/>
        <w:spacing w:line="480" w:lineRule="exact"/>
        <w:ind w:firstLine="1200" w:firstLineChars="500"/>
      </w:pPr>
      <w:r>
        <w:t>K</w:t>
      </w:r>
      <w:r>
        <w:rPr>
          <w:vertAlign w:val="subscript"/>
        </w:rPr>
        <w:t>0</w:t>
      </w:r>
      <w:r>
        <w:t>（β）—第二类零阶修正贝塞尔函数；</w:t>
      </w:r>
    </w:p>
    <w:p>
      <w:pPr>
        <w:pStyle w:val="155"/>
        <w:spacing w:line="240" w:lineRule="auto"/>
        <w:ind w:firstLine="1200" w:firstLineChars="500"/>
      </w:pPr>
      <w:r>
        <w:drawing>
          <wp:inline distT="0" distB="0" distL="114300" distR="114300">
            <wp:extent cx="721360" cy="372110"/>
            <wp:effectExtent l="0" t="0" r="2540" b="8890"/>
            <wp:docPr id="44"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29"/>
                    <pic:cNvPicPr>
                      <a:picLocks noChangeAspect="1"/>
                    </pic:cNvPicPr>
                  </pic:nvPicPr>
                  <pic:blipFill>
                    <a:blip r:embed="rId51"/>
                    <a:stretch>
                      <a:fillRect/>
                    </a:stretch>
                  </pic:blipFill>
                  <pic:spPr>
                    <a:xfrm>
                      <a:off x="0" y="0"/>
                      <a:ext cx="721360" cy="372110"/>
                    </a:xfrm>
                    <a:prstGeom prst="rect">
                      <a:avLst/>
                    </a:prstGeom>
                    <a:noFill/>
                    <a:ln>
                      <a:noFill/>
                    </a:ln>
                  </pic:spPr>
                </pic:pic>
              </a:graphicData>
            </a:graphic>
          </wp:inline>
        </w:drawing>
      </w:r>
      <w:r>
        <w:t>—第一类越流系统井函数。</w:t>
      </w:r>
    </w:p>
    <w:p>
      <w:pPr>
        <w:pStyle w:val="155"/>
        <w:spacing w:line="480" w:lineRule="exact"/>
        <w:ind w:firstLine="480"/>
      </w:pPr>
      <w:r>
        <w:rPr>
          <w:rFonts w:hint="eastAsia" w:ascii="宋体" w:hAnsi="宋体" w:cs="宋体"/>
        </w:rPr>
        <w:t>⑨</w:t>
      </w:r>
      <w:r>
        <w:t>地下水影响预测</w:t>
      </w:r>
    </w:p>
    <w:p>
      <w:pPr>
        <w:pStyle w:val="155"/>
        <w:spacing w:line="480" w:lineRule="exact"/>
        <w:ind w:firstLine="480"/>
      </w:pPr>
      <w:r>
        <w:t>分别考虑泄露100d、1000d时对地下水的影响预测，预测结果见图5.2-1至图5.2-4。</w:t>
      </w:r>
    </w:p>
    <w:p>
      <w:pPr>
        <w:pStyle w:val="155"/>
        <w:spacing w:line="240" w:lineRule="auto"/>
        <w:ind w:firstLine="0" w:firstLineChars="0"/>
        <w:jc w:val="center"/>
      </w:pPr>
      <w:r>
        <w:drawing>
          <wp:inline distT="0" distB="0" distL="0" distR="0">
            <wp:extent cx="4081145" cy="4019550"/>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52"/>
                    <a:stretch>
                      <a:fillRect/>
                    </a:stretch>
                  </pic:blipFill>
                  <pic:spPr>
                    <a:xfrm>
                      <a:off x="0" y="0"/>
                      <a:ext cx="4081492" cy="4019579"/>
                    </a:xfrm>
                    <a:prstGeom prst="rect">
                      <a:avLst/>
                    </a:prstGeom>
                  </pic:spPr>
                </pic:pic>
              </a:graphicData>
            </a:graphic>
          </wp:inline>
        </w:drawing>
      </w:r>
    </w:p>
    <w:p>
      <w:pPr>
        <w:spacing w:line="480" w:lineRule="exact"/>
        <w:ind w:firstLine="371" w:firstLineChars="176"/>
        <w:jc w:val="center"/>
        <w:rPr>
          <w:rFonts w:ascii="Times New Roman" w:hAnsi="Times New Roman"/>
          <w:b/>
        </w:rPr>
      </w:pPr>
      <w:r>
        <w:rPr>
          <w:rFonts w:ascii="Times New Roman" w:hAnsi="Times New Roman"/>
          <w:b/>
        </w:rPr>
        <w:t>图5.2-1 泄漏事故状态下COD第100d预测范围示意图（单位：m）</w:t>
      </w:r>
    </w:p>
    <w:p>
      <w:pPr>
        <w:pStyle w:val="155"/>
        <w:spacing w:line="240" w:lineRule="auto"/>
        <w:ind w:firstLine="0" w:firstLineChars="0"/>
        <w:jc w:val="center"/>
      </w:pPr>
      <w:r>
        <w:drawing>
          <wp:inline distT="0" distB="0" distL="0" distR="0">
            <wp:extent cx="4048125" cy="3519170"/>
            <wp:effectExtent l="0" t="0" r="0" b="508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53"/>
                    <a:stretch>
                      <a:fillRect/>
                    </a:stretch>
                  </pic:blipFill>
                  <pic:spPr>
                    <a:xfrm>
                      <a:off x="0" y="0"/>
                      <a:ext cx="4048155" cy="3519513"/>
                    </a:xfrm>
                    <a:prstGeom prst="rect">
                      <a:avLst/>
                    </a:prstGeom>
                  </pic:spPr>
                </pic:pic>
              </a:graphicData>
            </a:graphic>
          </wp:inline>
        </w:drawing>
      </w:r>
    </w:p>
    <w:p>
      <w:pPr>
        <w:pStyle w:val="155"/>
        <w:spacing w:line="480" w:lineRule="exact"/>
        <w:ind w:firstLine="0" w:firstLineChars="0"/>
        <w:jc w:val="center"/>
        <w:rPr>
          <w:b/>
          <w:kern w:val="0"/>
          <w:sz w:val="21"/>
          <w:szCs w:val="21"/>
        </w:rPr>
      </w:pPr>
      <w:r>
        <w:rPr>
          <w:b/>
          <w:kern w:val="0"/>
          <w:sz w:val="21"/>
          <w:szCs w:val="21"/>
        </w:rPr>
        <w:t>图5.2-2 泄漏事故状态下COD第1000d预测范围示意图（单位：m）</w:t>
      </w:r>
    </w:p>
    <w:p>
      <w:pPr>
        <w:jc w:val="center"/>
        <w:rPr>
          <w:rFonts w:ascii="Times New Roman" w:hAnsi="Times New Roman"/>
          <w:b/>
        </w:rPr>
      </w:pPr>
      <w:r>
        <w:drawing>
          <wp:inline distT="0" distB="0" distL="0" distR="0">
            <wp:extent cx="4086225" cy="3667125"/>
            <wp:effectExtent l="0" t="0" r="9525" b="952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54"/>
                    <a:stretch>
                      <a:fillRect/>
                    </a:stretch>
                  </pic:blipFill>
                  <pic:spPr>
                    <a:xfrm>
                      <a:off x="0" y="0"/>
                      <a:ext cx="4086255" cy="3667152"/>
                    </a:xfrm>
                    <a:prstGeom prst="rect">
                      <a:avLst/>
                    </a:prstGeom>
                  </pic:spPr>
                </pic:pic>
              </a:graphicData>
            </a:graphic>
          </wp:inline>
        </w:drawing>
      </w:r>
    </w:p>
    <w:p>
      <w:pPr>
        <w:spacing w:line="480" w:lineRule="exact"/>
        <w:ind w:firstLine="371" w:firstLineChars="176"/>
        <w:jc w:val="center"/>
        <w:rPr>
          <w:rFonts w:ascii="Times New Roman" w:hAnsi="Times New Roman"/>
          <w:b/>
        </w:rPr>
      </w:pPr>
      <w:r>
        <w:rPr>
          <w:rFonts w:ascii="Times New Roman" w:hAnsi="Times New Roman"/>
          <w:b/>
        </w:rPr>
        <w:t>图5.2-3 泄漏事故状态下NH</w:t>
      </w:r>
      <w:r>
        <w:rPr>
          <w:rFonts w:ascii="Times New Roman" w:hAnsi="Times New Roman"/>
          <w:b/>
          <w:vertAlign w:val="subscript"/>
        </w:rPr>
        <w:t>3</w:t>
      </w:r>
      <w:r>
        <w:rPr>
          <w:rFonts w:ascii="Times New Roman" w:hAnsi="Times New Roman"/>
          <w:b/>
        </w:rPr>
        <w:t>-N第100d预测范围示意图（单位：m）</w:t>
      </w:r>
    </w:p>
    <w:p>
      <w:pPr>
        <w:pStyle w:val="155"/>
        <w:spacing w:line="240" w:lineRule="auto"/>
        <w:ind w:firstLine="0" w:firstLineChars="0"/>
        <w:jc w:val="center"/>
      </w:pPr>
      <w:r>
        <w:drawing>
          <wp:inline distT="0" distB="0" distL="0" distR="0">
            <wp:extent cx="4023995" cy="3609975"/>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55"/>
                    <a:stretch>
                      <a:fillRect/>
                    </a:stretch>
                  </pic:blipFill>
                  <pic:spPr>
                    <a:xfrm>
                      <a:off x="0" y="0"/>
                      <a:ext cx="4024342" cy="3610001"/>
                    </a:xfrm>
                    <a:prstGeom prst="rect">
                      <a:avLst/>
                    </a:prstGeom>
                  </pic:spPr>
                </pic:pic>
              </a:graphicData>
            </a:graphic>
          </wp:inline>
        </w:drawing>
      </w:r>
    </w:p>
    <w:p>
      <w:pPr>
        <w:spacing w:line="480" w:lineRule="exact"/>
        <w:ind w:firstLine="371" w:firstLineChars="176"/>
        <w:jc w:val="center"/>
        <w:rPr>
          <w:rFonts w:ascii="Times New Roman" w:hAnsi="Times New Roman"/>
          <w:b/>
        </w:rPr>
      </w:pPr>
      <w:r>
        <w:rPr>
          <w:rFonts w:ascii="Times New Roman" w:hAnsi="Times New Roman"/>
          <w:b/>
        </w:rPr>
        <w:t>图5.2-4 泄漏事故状态下NH</w:t>
      </w:r>
      <w:r>
        <w:rPr>
          <w:rFonts w:ascii="Times New Roman" w:hAnsi="Times New Roman"/>
          <w:b/>
          <w:vertAlign w:val="subscript"/>
        </w:rPr>
        <w:t>3</w:t>
      </w:r>
      <w:r>
        <w:rPr>
          <w:rFonts w:ascii="Times New Roman" w:hAnsi="Times New Roman"/>
          <w:b/>
        </w:rPr>
        <w:t>-N第1000d预测范围示意图（单位：m）</w:t>
      </w:r>
    </w:p>
    <w:p>
      <w:pPr>
        <w:pStyle w:val="155"/>
        <w:spacing w:line="480" w:lineRule="exact"/>
        <w:ind w:firstLine="480"/>
      </w:pPr>
      <w:r>
        <w:t>由图5.2-1及图5.2-2可知，随着泄漏时间增加，污染范围有所增加。当预测时间为100d时，</w:t>
      </w:r>
      <w:r>
        <w:rPr>
          <w:rFonts w:hint="eastAsia"/>
        </w:rPr>
        <w:t>超标距离为下游</w:t>
      </w:r>
      <w:r>
        <w:t>3m，预测超标面积为：8m</w:t>
      </w:r>
      <w:r>
        <w:rPr>
          <w:vertAlign w:val="superscript"/>
        </w:rPr>
        <w:t>2</w:t>
      </w:r>
      <w:r>
        <w:t>；影响距离为下游93m，预测影响面积为：7430m</w:t>
      </w:r>
      <w:r>
        <w:rPr>
          <w:vertAlign w:val="superscript"/>
        </w:rPr>
        <w:t>2</w:t>
      </w:r>
      <w:r>
        <w:t>。当预测时间为1000d时，</w:t>
      </w:r>
      <w:r>
        <w:rPr>
          <w:rFonts w:hint="eastAsia"/>
        </w:rPr>
        <w:t>超标距离为下游</w:t>
      </w:r>
      <w:r>
        <w:t>9m，预测超标面积为：52.79131m</w:t>
      </w:r>
      <w:r>
        <w:rPr>
          <w:vertAlign w:val="superscript"/>
        </w:rPr>
        <w:t>2</w:t>
      </w:r>
      <w:r>
        <w:t>；影响距离为下游335m，预测影响面积为：74687.52104m</w:t>
      </w:r>
      <w:r>
        <w:rPr>
          <w:vertAlign w:val="superscript"/>
        </w:rPr>
        <w:t>2</w:t>
      </w:r>
    </w:p>
    <w:p>
      <w:pPr>
        <w:pStyle w:val="155"/>
        <w:spacing w:line="480" w:lineRule="exact"/>
        <w:ind w:firstLine="480"/>
      </w:pPr>
      <w:r>
        <w:t>由图5.2-3及图5.2-4可知，随着泄漏时间增加，污染范围有所增加。当预测时间为100d时，</w:t>
      </w:r>
      <w:r>
        <w:rPr>
          <w:rFonts w:hint="eastAsia"/>
        </w:rPr>
        <w:t>超标距离为下游</w:t>
      </w:r>
      <w:r>
        <w:t>15m，预测超标面积为：170m</w:t>
      </w:r>
      <w:r>
        <w:rPr>
          <w:vertAlign w:val="superscript"/>
        </w:rPr>
        <w:t>2</w:t>
      </w:r>
      <w:r>
        <w:t>；影响距离为下游63m，预测影响面积为：3312m</w:t>
      </w:r>
      <w:r>
        <w:rPr>
          <w:vertAlign w:val="superscript"/>
        </w:rPr>
        <w:t>2</w:t>
      </w:r>
      <w:r>
        <w:t>。当预测时间为1000d时，</w:t>
      </w:r>
      <w:r>
        <w:rPr>
          <w:rFonts w:hint="eastAsia"/>
        </w:rPr>
        <w:t>超标距离为下游</w:t>
      </w:r>
      <w:r>
        <w:t>55m，预测超标面积为：1633.12m</w:t>
      </w:r>
      <w:r>
        <w:rPr>
          <w:vertAlign w:val="superscript"/>
        </w:rPr>
        <w:t>2</w:t>
      </w:r>
      <w:r>
        <w:t>；影响距离为下游236m，预测影响面积为：33563.92m</w:t>
      </w:r>
      <w:r>
        <w:rPr>
          <w:vertAlign w:val="superscript"/>
        </w:rPr>
        <w:t>2</w:t>
      </w:r>
      <w:r>
        <w:rPr>
          <w:rFonts w:hint="eastAsia"/>
        </w:rPr>
        <w:t>。</w:t>
      </w:r>
    </w:p>
    <w:p>
      <w:pPr>
        <w:widowControl/>
        <w:spacing w:line="480" w:lineRule="exact"/>
        <w:outlineLvl w:val="3"/>
        <w:rPr>
          <w:rFonts w:ascii="Times New Roman" w:hAnsi="Times New Roman" w:eastAsia="黑体"/>
          <w:sz w:val="24"/>
        </w:rPr>
      </w:pPr>
      <w:r>
        <w:rPr>
          <w:rFonts w:ascii="Times New Roman" w:hAnsi="Times New Roman" w:eastAsia="黑体"/>
          <w:sz w:val="24"/>
        </w:rPr>
        <w:t>5.2.2.5.地下水影响分析结论</w:t>
      </w:r>
    </w:p>
    <w:p>
      <w:pPr>
        <w:pStyle w:val="155"/>
        <w:spacing w:line="480" w:lineRule="exact"/>
        <w:ind w:firstLine="480"/>
      </w:pPr>
      <w:r>
        <w:rPr>
          <w:rFonts w:hint="eastAsia"/>
        </w:rPr>
        <w:t>从预测结果可以看出，非正常情况下污染物C</w:t>
      </w:r>
      <w:r>
        <w:t>OD</w:t>
      </w:r>
      <w:r>
        <w:rPr>
          <w:rFonts w:hint="eastAsia"/>
        </w:rPr>
        <w:t>和氨氮的超标范围控制在</w:t>
      </w:r>
      <w:r>
        <w:t>55</w:t>
      </w:r>
      <w:r>
        <w:rPr>
          <w:rFonts w:hint="eastAsia"/>
        </w:rPr>
        <w:t>m范围内，此范围内未分布有水源井等地下水环境保护目标，建设项目对地下水环境的影响可以接受。</w:t>
      </w:r>
    </w:p>
    <w:p>
      <w:pPr>
        <w:pStyle w:val="4"/>
        <w:spacing w:before="120" w:beforeLines="50" w:after="120" w:afterLines="50" w:line="480" w:lineRule="exact"/>
        <w:rPr>
          <w:rFonts w:ascii="Times New Roman" w:hAnsi="Times New Roman" w:eastAsia="黑体"/>
          <w:bCs/>
          <w:sz w:val="28"/>
          <w:szCs w:val="28"/>
        </w:rPr>
      </w:pPr>
      <w:bookmarkStart w:id="1119" w:name="_Toc13523"/>
      <w:bookmarkStart w:id="1120" w:name="_Toc530655993"/>
      <w:bookmarkStart w:id="1121" w:name="_Toc15865"/>
      <w:bookmarkStart w:id="1122" w:name="_Toc487111531"/>
      <w:bookmarkStart w:id="1123" w:name="_Toc535168946"/>
      <w:bookmarkStart w:id="1124" w:name="_Toc9843837"/>
      <w:bookmarkStart w:id="1125" w:name="_Toc534537660"/>
      <w:bookmarkStart w:id="1126" w:name="_Toc480983910"/>
      <w:bookmarkStart w:id="1127" w:name="_Toc482020692"/>
      <w:bookmarkStart w:id="1128" w:name="_Toc527205759"/>
      <w:bookmarkStart w:id="1129" w:name="_Toc532556642"/>
      <w:bookmarkStart w:id="1130" w:name="_Toc497228861"/>
      <w:bookmarkStart w:id="1131" w:name="_Toc480190529"/>
      <w:bookmarkStart w:id="1132" w:name="_Toc27543"/>
      <w:bookmarkStart w:id="1133" w:name="_Toc535348500"/>
      <w:bookmarkStart w:id="1134" w:name="_Toc27134328"/>
      <w:bookmarkStart w:id="1135" w:name="_Toc26188055"/>
      <w:bookmarkStart w:id="1136" w:name="_Toc486970413"/>
      <w:bookmarkStart w:id="1137" w:name="_Toc5609"/>
      <w:bookmarkStart w:id="1138" w:name="_Toc8759"/>
      <w:r>
        <w:rPr>
          <w:rFonts w:ascii="Times New Roman" w:hAnsi="Times New Roman" w:eastAsia="黑体"/>
          <w:bCs/>
          <w:sz w:val="28"/>
          <w:szCs w:val="28"/>
        </w:rPr>
        <w:t>运营期环境空气影响评价</w:t>
      </w:r>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p>
    <w:p>
      <w:pPr>
        <w:widowControl/>
        <w:spacing w:line="480" w:lineRule="exact"/>
        <w:outlineLvl w:val="3"/>
        <w:rPr>
          <w:rFonts w:ascii="Times New Roman" w:hAnsi="Times New Roman" w:eastAsia="黑体"/>
          <w:sz w:val="24"/>
        </w:rPr>
      </w:pPr>
      <w:bookmarkStart w:id="1139" w:name="_Toc535168947"/>
      <w:bookmarkStart w:id="1140" w:name="_Toc480190530"/>
      <w:bookmarkStart w:id="1141" w:name="_Toc535348501"/>
      <w:bookmarkStart w:id="1142" w:name="_Toc9843838"/>
      <w:bookmarkStart w:id="1143" w:name="_Toc532556643"/>
      <w:bookmarkStart w:id="1144" w:name="_Toc527205760"/>
      <w:bookmarkStart w:id="1145" w:name="_Toc530655994"/>
      <w:bookmarkStart w:id="1146" w:name="_Toc480983911"/>
      <w:bookmarkStart w:id="1147" w:name="_Toc497228862"/>
      <w:bookmarkStart w:id="1148" w:name="_Toc487111532"/>
      <w:bookmarkStart w:id="1149" w:name="_Toc482020693"/>
      <w:bookmarkStart w:id="1150" w:name="_Toc486970414"/>
      <w:bookmarkStart w:id="1151" w:name="_Toc534537661"/>
      <w:bookmarkStart w:id="1152" w:name="_Toc26188056"/>
      <w:bookmarkStart w:id="1153" w:name="_Toc27134329"/>
      <w:r>
        <w:rPr>
          <w:rFonts w:ascii="Times New Roman" w:hAnsi="Times New Roman" w:eastAsia="黑体"/>
          <w:sz w:val="24"/>
        </w:rPr>
        <w:t>5.2.3.1.污染源参数</w:t>
      </w:r>
    </w:p>
    <w:p>
      <w:pPr>
        <w:pStyle w:val="155"/>
        <w:spacing w:line="480" w:lineRule="exact"/>
        <w:ind w:firstLine="480"/>
      </w:pPr>
      <w:r>
        <w:t>本项目正常工况下有组织污染源参数见表5.2-3。</w:t>
      </w:r>
    </w:p>
    <w:p>
      <w:pPr>
        <w:pStyle w:val="155"/>
        <w:spacing w:line="480" w:lineRule="exact"/>
        <w:ind w:firstLine="480"/>
        <w:sectPr>
          <w:pgSz w:w="11907" w:h="16839"/>
          <w:pgMar w:top="1440" w:right="1797" w:bottom="1440" w:left="1797" w:header="851" w:footer="850" w:gutter="0"/>
          <w:cols w:space="720" w:num="1"/>
          <w:docGrid w:linePitch="312" w:charSpace="0"/>
        </w:sectPr>
      </w:pPr>
      <w:bookmarkStart w:id="1154" w:name="_Toc453709017"/>
      <w:bookmarkStart w:id="1155" w:name="_Toc464036820"/>
      <w:bookmarkStart w:id="1156" w:name="_Toc466271471"/>
      <w:bookmarkStart w:id="1157" w:name="_Toc409530002"/>
      <w:bookmarkStart w:id="1158" w:name="_Toc416966961"/>
      <w:bookmarkStart w:id="1159" w:name="_Toc407350311"/>
      <w:bookmarkStart w:id="1160" w:name="_Toc458063910"/>
    </w:p>
    <w:p>
      <w:pPr>
        <w:pStyle w:val="155"/>
        <w:ind w:firstLine="0" w:firstLineChars="0"/>
        <w:jc w:val="center"/>
      </w:pPr>
    </w:p>
    <w:p>
      <w:pPr>
        <w:spacing w:line="300" w:lineRule="exact"/>
        <w:ind w:firstLine="371" w:firstLineChars="176"/>
        <w:jc w:val="center"/>
        <w:rPr>
          <w:rFonts w:ascii="Times New Roman" w:hAnsi="Times New Roman"/>
          <w:b/>
        </w:rPr>
      </w:pPr>
      <w:r>
        <w:rPr>
          <w:rFonts w:ascii="Times New Roman" w:hAnsi="Times New Roman"/>
          <w:b/>
        </w:rPr>
        <w:t>表5.2-3 正常工况下有组织污染源预测参数表</w:t>
      </w:r>
    </w:p>
    <w:tbl>
      <w:tblPr>
        <w:tblStyle w:val="77"/>
        <w:tblW w:w="5000" w:type="pct"/>
        <w:tblInd w:w="108"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76"/>
        <w:gridCol w:w="547"/>
        <w:gridCol w:w="1294"/>
        <w:gridCol w:w="1152"/>
        <w:gridCol w:w="1179"/>
        <w:gridCol w:w="944"/>
        <w:gridCol w:w="1076"/>
        <w:gridCol w:w="1076"/>
        <w:gridCol w:w="944"/>
        <w:gridCol w:w="1076"/>
        <w:gridCol w:w="680"/>
        <w:gridCol w:w="1208"/>
        <w:gridCol w:w="120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596" w:type="dxa"/>
            <w:gridSpan w:val="2"/>
            <w:vMerge w:val="restart"/>
            <w:vAlign w:val="center"/>
          </w:tcPr>
          <w:p>
            <w:pPr>
              <w:spacing w:line="280" w:lineRule="exact"/>
              <w:jc w:val="center"/>
              <w:rPr>
                <w:rFonts w:ascii="Times New Roman" w:hAnsi="Times New Roman"/>
                <w:b/>
              </w:rPr>
            </w:pPr>
            <w:r>
              <w:rPr>
                <w:rFonts w:ascii="Times New Roman" w:hAnsi="Times New Roman"/>
                <w:b/>
              </w:rPr>
              <w:t>污染源名称</w:t>
            </w:r>
          </w:p>
        </w:tc>
        <w:tc>
          <w:tcPr>
            <w:tcW w:w="2407" w:type="dxa"/>
            <w:gridSpan w:val="2"/>
            <w:vAlign w:val="center"/>
          </w:tcPr>
          <w:p>
            <w:pPr>
              <w:spacing w:line="280" w:lineRule="exact"/>
              <w:jc w:val="center"/>
              <w:rPr>
                <w:rFonts w:ascii="Times New Roman" w:hAnsi="Times New Roman"/>
                <w:b/>
              </w:rPr>
            </w:pPr>
            <w:r>
              <w:rPr>
                <w:rFonts w:ascii="Times New Roman" w:hAnsi="Times New Roman"/>
                <w:b/>
              </w:rPr>
              <w:t>排气筒底部中心坐标(</w:t>
            </w:r>
            <w:r>
              <w:rPr>
                <w:rFonts w:ascii="Times New Roman" w:hAnsi="Times New Roman"/>
                <w:b/>
                <w:vertAlign w:val="superscript"/>
              </w:rPr>
              <w:t>o</w:t>
            </w:r>
            <w:r>
              <w:rPr>
                <w:rFonts w:ascii="Times New Roman" w:hAnsi="Times New Roman"/>
                <w:b/>
              </w:rPr>
              <w:t>)</w:t>
            </w:r>
          </w:p>
        </w:tc>
        <w:tc>
          <w:tcPr>
            <w:tcW w:w="1160" w:type="dxa"/>
            <w:vMerge w:val="restart"/>
            <w:vAlign w:val="center"/>
          </w:tcPr>
          <w:p>
            <w:pPr>
              <w:spacing w:line="280" w:lineRule="exact"/>
              <w:jc w:val="center"/>
              <w:rPr>
                <w:rFonts w:ascii="Times New Roman" w:hAnsi="Times New Roman"/>
                <w:b/>
              </w:rPr>
            </w:pPr>
            <w:r>
              <w:rPr>
                <w:rFonts w:ascii="Times New Roman" w:hAnsi="Times New Roman"/>
                <w:b/>
              </w:rPr>
              <w:t>排气筒底部海拔高度/m</w:t>
            </w:r>
          </w:p>
        </w:tc>
        <w:tc>
          <w:tcPr>
            <w:tcW w:w="929" w:type="dxa"/>
            <w:vMerge w:val="restart"/>
            <w:vAlign w:val="center"/>
          </w:tcPr>
          <w:p>
            <w:pPr>
              <w:spacing w:line="280" w:lineRule="exact"/>
              <w:jc w:val="center"/>
              <w:rPr>
                <w:rFonts w:ascii="Times New Roman" w:hAnsi="Times New Roman"/>
                <w:b/>
              </w:rPr>
            </w:pPr>
            <w:r>
              <w:rPr>
                <w:rFonts w:ascii="Times New Roman" w:hAnsi="Times New Roman"/>
                <w:b/>
              </w:rPr>
              <w:t>排气筒</w:t>
            </w:r>
          </w:p>
          <w:p>
            <w:pPr>
              <w:spacing w:line="280" w:lineRule="exact"/>
              <w:jc w:val="center"/>
              <w:rPr>
                <w:rFonts w:ascii="Times New Roman" w:hAnsi="Times New Roman"/>
                <w:b/>
              </w:rPr>
            </w:pPr>
            <w:r>
              <w:rPr>
                <w:rFonts w:ascii="Times New Roman" w:hAnsi="Times New Roman"/>
                <w:b/>
              </w:rPr>
              <w:t>高度/m</w:t>
            </w:r>
          </w:p>
        </w:tc>
        <w:tc>
          <w:tcPr>
            <w:tcW w:w="1059" w:type="dxa"/>
            <w:vMerge w:val="restart"/>
            <w:vAlign w:val="center"/>
          </w:tcPr>
          <w:p>
            <w:pPr>
              <w:spacing w:line="280" w:lineRule="exact"/>
              <w:jc w:val="center"/>
              <w:rPr>
                <w:rFonts w:ascii="Times New Roman" w:hAnsi="Times New Roman"/>
                <w:b/>
              </w:rPr>
            </w:pPr>
            <w:r>
              <w:rPr>
                <w:rFonts w:ascii="Times New Roman" w:hAnsi="Times New Roman"/>
                <w:b/>
              </w:rPr>
              <w:t>排气筒出口内径/m</w:t>
            </w:r>
          </w:p>
        </w:tc>
        <w:tc>
          <w:tcPr>
            <w:tcW w:w="1059" w:type="dxa"/>
            <w:vMerge w:val="restart"/>
            <w:vAlign w:val="center"/>
          </w:tcPr>
          <w:p>
            <w:pPr>
              <w:spacing w:line="280" w:lineRule="exact"/>
              <w:jc w:val="center"/>
              <w:rPr>
                <w:rFonts w:ascii="Times New Roman" w:hAnsi="Times New Roman"/>
                <w:b/>
              </w:rPr>
            </w:pPr>
            <w:r>
              <w:rPr>
                <w:rFonts w:ascii="Times New Roman" w:hAnsi="Times New Roman"/>
                <w:b/>
              </w:rPr>
              <w:t>烟气流速/(m/s)</w:t>
            </w:r>
          </w:p>
        </w:tc>
        <w:tc>
          <w:tcPr>
            <w:tcW w:w="929" w:type="dxa"/>
            <w:vMerge w:val="restart"/>
            <w:vAlign w:val="center"/>
          </w:tcPr>
          <w:p>
            <w:pPr>
              <w:spacing w:line="280" w:lineRule="exact"/>
              <w:jc w:val="center"/>
              <w:rPr>
                <w:rFonts w:ascii="Times New Roman" w:hAnsi="Times New Roman"/>
                <w:b/>
              </w:rPr>
            </w:pPr>
            <w:r>
              <w:rPr>
                <w:rFonts w:ascii="Times New Roman" w:hAnsi="Times New Roman"/>
                <w:b/>
              </w:rPr>
              <w:t>烟气</w:t>
            </w:r>
          </w:p>
          <w:p>
            <w:pPr>
              <w:spacing w:line="280" w:lineRule="exact"/>
              <w:jc w:val="center"/>
              <w:rPr>
                <w:rFonts w:ascii="Times New Roman" w:hAnsi="Times New Roman"/>
                <w:b/>
              </w:rPr>
            </w:pPr>
            <w:r>
              <w:rPr>
                <w:rFonts w:ascii="Times New Roman" w:hAnsi="Times New Roman"/>
                <w:b/>
              </w:rPr>
              <w:t>温度/℃</w:t>
            </w:r>
          </w:p>
        </w:tc>
        <w:tc>
          <w:tcPr>
            <w:tcW w:w="1059" w:type="dxa"/>
            <w:vMerge w:val="restart"/>
            <w:vAlign w:val="center"/>
          </w:tcPr>
          <w:p>
            <w:pPr>
              <w:spacing w:line="280" w:lineRule="exact"/>
              <w:jc w:val="center"/>
              <w:rPr>
                <w:rFonts w:ascii="Times New Roman" w:hAnsi="Times New Roman"/>
                <w:b/>
              </w:rPr>
            </w:pPr>
            <w:r>
              <w:rPr>
                <w:rFonts w:ascii="Times New Roman" w:hAnsi="Times New Roman"/>
                <w:b/>
              </w:rPr>
              <w:t>年排放</w:t>
            </w:r>
          </w:p>
          <w:p>
            <w:pPr>
              <w:spacing w:line="280" w:lineRule="exact"/>
              <w:jc w:val="center"/>
              <w:rPr>
                <w:rFonts w:ascii="Times New Roman" w:hAnsi="Times New Roman"/>
                <w:b/>
              </w:rPr>
            </w:pPr>
            <w:r>
              <w:rPr>
                <w:rFonts w:ascii="Times New Roman" w:hAnsi="Times New Roman"/>
                <w:b/>
              </w:rPr>
              <w:t>小时数/h</w:t>
            </w:r>
          </w:p>
        </w:tc>
        <w:tc>
          <w:tcPr>
            <w:tcW w:w="669" w:type="dxa"/>
            <w:vMerge w:val="restart"/>
            <w:vAlign w:val="center"/>
          </w:tcPr>
          <w:p>
            <w:pPr>
              <w:spacing w:line="280" w:lineRule="exact"/>
              <w:jc w:val="center"/>
              <w:rPr>
                <w:rFonts w:ascii="Times New Roman" w:hAnsi="Times New Roman"/>
                <w:b/>
              </w:rPr>
            </w:pPr>
            <w:r>
              <w:rPr>
                <w:rFonts w:ascii="Times New Roman" w:hAnsi="Times New Roman"/>
                <w:b/>
              </w:rPr>
              <w:t>排放</w:t>
            </w:r>
          </w:p>
          <w:p>
            <w:pPr>
              <w:spacing w:line="280" w:lineRule="exact"/>
              <w:jc w:val="center"/>
              <w:rPr>
                <w:rFonts w:ascii="Times New Roman" w:hAnsi="Times New Roman"/>
                <w:b/>
              </w:rPr>
            </w:pPr>
            <w:r>
              <w:rPr>
                <w:rFonts w:ascii="Times New Roman" w:hAnsi="Times New Roman"/>
                <w:b/>
              </w:rPr>
              <w:t>工况</w:t>
            </w:r>
          </w:p>
        </w:tc>
        <w:tc>
          <w:tcPr>
            <w:tcW w:w="1189" w:type="dxa"/>
            <w:vMerge w:val="restart"/>
            <w:vAlign w:val="center"/>
          </w:tcPr>
          <w:p>
            <w:pPr>
              <w:spacing w:line="280" w:lineRule="exact"/>
              <w:jc w:val="center"/>
              <w:rPr>
                <w:rFonts w:ascii="Times New Roman" w:hAnsi="Times New Roman"/>
                <w:b/>
              </w:rPr>
            </w:pPr>
            <w:r>
              <w:rPr>
                <w:rFonts w:ascii="Times New Roman" w:hAnsi="Times New Roman"/>
                <w:b/>
              </w:rPr>
              <w:t>污染物名称</w:t>
            </w:r>
          </w:p>
        </w:tc>
        <w:tc>
          <w:tcPr>
            <w:tcW w:w="1188" w:type="dxa"/>
            <w:vMerge w:val="restart"/>
            <w:vAlign w:val="center"/>
          </w:tcPr>
          <w:p>
            <w:pPr>
              <w:spacing w:line="280" w:lineRule="exact"/>
              <w:jc w:val="center"/>
              <w:rPr>
                <w:rFonts w:ascii="Times New Roman" w:hAnsi="Times New Roman"/>
                <w:b/>
              </w:rPr>
            </w:pPr>
            <w:r>
              <w:rPr>
                <w:rFonts w:ascii="Times New Roman" w:hAnsi="Times New Roman"/>
                <w:b/>
              </w:rPr>
              <w:t>污染物排放速率/(kg/h)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596" w:type="dxa"/>
            <w:gridSpan w:val="2"/>
            <w:vMerge w:val="continue"/>
            <w:vAlign w:val="center"/>
          </w:tcPr>
          <w:p>
            <w:pPr>
              <w:spacing w:line="280" w:lineRule="exact"/>
              <w:jc w:val="center"/>
              <w:rPr>
                <w:rFonts w:ascii="Times New Roman" w:hAnsi="Times New Roman"/>
              </w:rPr>
            </w:pPr>
          </w:p>
        </w:tc>
        <w:tc>
          <w:tcPr>
            <w:tcW w:w="1273" w:type="dxa"/>
            <w:vAlign w:val="center"/>
          </w:tcPr>
          <w:p>
            <w:pPr>
              <w:spacing w:line="280" w:lineRule="exact"/>
              <w:jc w:val="center"/>
              <w:rPr>
                <w:rFonts w:ascii="Times New Roman" w:hAnsi="Times New Roman"/>
                <w:b/>
              </w:rPr>
            </w:pPr>
            <w:r>
              <w:rPr>
                <w:rFonts w:ascii="Times New Roman" w:hAnsi="Times New Roman"/>
                <w:b/>
              </w:rPr>
              <w:t>经度</w:t>
            </w:r>
          </w:p>
        </w:tc>
        <w:tc>
          <w:tcPr>
            <w:tcW w:w="1134" w:type="dxa"/>
            <w:vAlign w:val="center"/>
          </w:tcPr>
          <w:p>
            <w:pPr>
              <w:spacing w:line="280" w:lineRule="exact"/>
              <w:jc w:val="center"/>
              <w:rPr>
                <w:rFonts w:ascii="Times New Roman" w:hAnsi="Times New Roman"/>
                <w:b/>
              </w:rPr>
            </w:pPr>
            <w:r>
              <w:rPr>
                <w:rFonts w:ascii="Times New Roman" w:hAnsi="Times New Roman"/>
                <w:b/>
              </w:rPr>
              <w:t>纬度</w:t>
            </w:r>
          </w:p>
        </w:tc>
        <w:tc>
          <w:tcPr>
            <w:tcW w:w="1160" w:type="dxa"/>
            <w:vMerge w:val="continue"/>
            <w:vAlign w:val="center"/>
          </w:tcPr>
          <w:p>
            <w:pPr>
              <w:spacing w:line="280" w:lineRule="exact"/>
              <w:jc w:val="center"/>
              <w:rPr>
                <w:rFonts w:ascii="Times New Roman" w:hAnsi="Times New Roman"/>
              </w:rPr>
            </w:pPr>
          </w:p>
        </w:tc>
        <w:tc>
          <w:tcPr>
            <w:tcW w:w="929" w:type="dxa"/>
            <w:vMerge w:val="continue"/>
            <w:vAlign w:val="center"/>
          </w:tcPr>
          <w:p>
            <w:pPr>
              <w:spacing w:line="280" w:lineRule="exact"/>
              <w:jc w:val="center"/>
              <w:rPr>
                <w:rFonts w:ascii="Times New Roman" w:hAnsi="Times New Roman"/>
              </w:rPr>
            </w:pPr>
          </w:p>
        </w:tc>
        <w:tc>
          <w:tcPr>
            <w:tcW w:w="1059" w:type="dxa"/>
            <w:vMerge w:val="continue"/>
            <w:vAlign w:val="center"/>
          </w:tcPr>
          <w:p>
            <w:pPr>
              <w:spacing w:line="280" w:lineRule="exact"/>
              <w:jc w:val="center"/>
              <w:rPr>
                <w:rFonts w:ascii="Times New Roman" w:hAnsi="Times New Roman"/>
              </w:rPr>
            </w:pPr>
          </w:p>
        </w:tc>
        <w:tc>
          <w:tcPr>
            <w:tcW w:w="1059" w:type="dxa"/>
            <w:vMerge w:val="continue"/>
            <w:vAlign w:val="center"/>
          </w:tcPr>
          <w:p>
            <w:pPr>
              <w:spacing w:line="280" w:lineRule="exact"/>
              <w:jc w:val="center"/>
              <w:rPr>
                <w:rFonts w:ascii="Times New Roman" w:hAnsi="Times New Roman"/>
              </w:rPr>
            </w:pPr>
          </w:p>
        </w:tc>
        <w:tc>
          <w:tcPr>
            <w:tcW w:w="929" w:type="dxa"/>
            <w:vMerge w:val="continue"/>
            <w:vAlign w:val="center"/>
          </w:tcPr>
          <w:p>
            <w:pPr>
              <w:spacing w:line="280" w:lineRule="exact"/>
              <w:jc w:val="center"/>
              <w:rPr>
                <w:rFonts w:ascii="Times New Roman" w:hAnsi="Times New Roman"/>
              </w:rPr>
            </w:pPr>
          </w:p>
        </w:tc>
        <w:tc>
          <w:tcPr>
            <w:tcW w:w="1059" w:type="dxa"/>
            <w:vMerge w:val="continue"/>
            <w:vAlign w:val="center"/>
          </w:tcPr>
          <w:p>
            <w:pPr>
              <w:spacing w:line="280" w:lineRule="exact"/>
              <w:jc w:val="center"/>
              <w:rPr>
                <w:rFonts w:ascii="Times New Roman" w:hAnsi="Times New Roman"/>
              </w:rPr>
            </w:pPr>
          </w:p>
        </w:tc>
        <w:tc>
          <w:tcPr>
            <w:tcW w:w="669" w:type="dxa"/>
            <w:vMerge w:val="continue"/>
            <w:vAlign w:val="center"/>
          </w:tcPr>
          <w:p>
            <w:pPr>
              <w:spacing w:line="280" w:lineRule="exact"/>
              <w:jc w:val="center"/>
              <w:rPr>
                <w:rFonts w:ascii="Times New Roman" w:hAnsi="Times New Roman"/>
              </w:rPr>
            </w:pPr>
          </w:p>
        </w:tc>
        <w:tc>
          <w:tcPr>
            <w:tcW w:w="1189" w:type="dxa"/>
            <w:vMerge w:val="continue"/>
            <w:vAlign w:val="center"/>
          </w:tcPr>
          <w:p>
            <w:pPr>
              <w:spacing w:line="280" w:lineRule="exact"/>
              <w:jc w:val="center"/>
              <w:rPr>
                <w:rFonts w:ascii="Times New Roman" w:hAnsi="Times New Roman"/>
              </w:rPr>
            </w:pPr>
          </w:p>
        </w:tc>
        <w:tc>
          <w:tcPr>
            <w:tcW w:w="1188" w:type="dxa"/>
            <w:vMerge w:val="continue"/>
            <w:vAlign w:val="center"/>
          </w:tcPr>
          <w:p>
            <w:pPr>
              <w:spacing w:line="280" w:lineRule="exact"/>
              <w:jc w:val="center"/>
              <w:rPr>
                <w:rFonts w:ascii="Times New Roman" w:hAnsi="Times New Roma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58" w:type="dxa"/>
            <w:vMerge w:val="restart"/>
            <w:vAlign w:val="center"/>
          </w:tcPr>
          <w:p>
            <w:pPr>
              <w:spacing w:line="280" w:lineRule="exact"/>
              <w:jc w:val="center"/>
              <w:rPr>
                <w:rFonts w:ascii="Times New Roman" w:hAnsi="Times New Roman"/>
              </w:rPr>
            </w:pPr>
            <w:r>
              <w:rPr>
                <w:rFonts w:ascii="Times New Roman" w:hAnsi="Times New Roman"/>
              </w:rPr>
              <w:t>高温干热系统废气</w:t>
            </w:r>
          </w:p>
        </w:tc>
        <w:tc>
          <w:tcPr>
            <w:tcW w:w="538" w:type="dxa"/>
            <w:vMerge w:val="restart"/>
            <w:vAlign w:val="center"/>
          </w:tcPr>
          <w:p>
            <w:pPr>
              <w:spacing w:line="280" w:lineRule="exact"/>
              <w:jc w:val="center"/>
              <w:rPr>
                <w:rFonts w:ascii="Times New Roman" w:hAnsi="Times New Roman"/>
              </w:rPr>
            </w:pPr>
            <w:r>
              <w:rPr>
                <w:rFonts w:ascii="Times New Roman" w:hAnsi="Times New Roman"/>
              </w:rPr>
              <w:t>DA002</w:t>
            </w:r>
          </w:p>
        </w:tc>
        <w:tc>
          <w:tcPr>
            <w:tcW w:w="1273" w:type="dxa"/>
            <w:vMerge w:val="restart"/>
            <w:vAlign w:val="center"/>
          </w:tcPr>
          <w:p>
            <w:pPr>
              <w:spacing w:line="280" w:lineRule="exact"/>
              <w:jc w:val="center"/>
              <w:rPr>
                <w:rFonts w:ascii="Times New Roman" w:hAnsi="Times New Roman"/>
              </w:rPr>
            </w:pPr>
            <w:r>
              <w:rPr>
                <w:rFonts w:ascii="Times New Roman" w:hAnsi="Times New Roman"/>
              </w:rPr>
              <w:t>131.301442</w:t>
            </w:r>
          </w:p>
        </w:tc>
        <w:tc>
          <w:tcPr>
            <w:tcW w:w="1134" w:type="dxa"/>
            <w:vMerge w:val="restart"/>
            <w:vAlign w:val="center"/>
          </w:tcPr>
          <w:p>
            <w:pPr>
              <w:spacing w:line="280" w:lineRule="exact"/>
              <w:jc w:val="center"/>
              <w:rPr>
                <w:rFonts w:ascii="Times New Roman" w:hAnsi="Times New Roman"/>
              </w:rPr>
            </w:pPr>
            <w:r>
              <w:rPr>
                <w:rFonts w:ascii="Times New Roman" w:hAnsi="Times New Roman"/>
              </w:rPr>
              <w:t>46.633456</w:t>
            </w:r>
          </w:p>
        </w:tc>
        <w:tc>
          <w:tcPr>
            <w:tcW w:w="1160" w:type="dxa"/>
            <w:vMerge w:val="restart"/>
            <w:vAlign w:val="center"/>
          </w:tcPr>
          <w:p>
            <w:pPr>
              <w:spacing w:line="280" w:lineRule="exact"/>
              <w:jc w:val="center"/>
              <w:rPr>
                <w:rFonts w:ascii="Times New Roman" w:hAnsi="Times New Roman"/>
              </w:rPr>
            </w:pPr>
            <w:r>
              <w:rPr>
                <w:rFonts w:ascii="Times New Roman" w:hAnsi="Times New Roman"/>
              </w:rPr>
              <w:t>211</w:t>
            </w:r>
          </w:p>
        </w:tc>
        <w:tc>
          <w:tcPr>
            <w:tcW w:w="929" w:type="dxa"/>
            <w:vMerge w:val="restart"/>
            <w:vAlign w:val="center"/>
          </w:tcPr>
          <w:p>
            <w:pPr>
              <w:spacing w:line="280" w:lineRule="exact"/>
              <w:jc w:val="center"/>
              <w:rPr>
                <w:rFonts w:ascii="Times New Roman" w:hAnsi="Times New Roman"/>
              </w:rPr>
            </w:pPr>
            <w:r>
              <w:rPr>
                <w:rFonts w:ascii="Times New Roman" w:hAnsi="Times New Roman"/>
              </w:rPr>
              <w:t>15</w:t>
            </w:r>
          </w:p>
        </w:tc>
        <w:tc>
          <w:tcPr>
            <w:tcW w:w="1059" w:type="dxa"/>
            <w:vMerge w:val="restart"/>
            <w:vAlign w:val="center"/>
          </w:tcPr>
          <w:p>
            <w:pPr>
              <w:spacing w:line="280" w:lineRule="exact"/>
              <w:jc w:val="center"/>
              <w:rPr>
                <w:rFonts w:ascii="Times New Roman" w:hAnsi="Times New Roman"/>
              </w:rPr>
            </w:pPr>
            <w:r>
              <w:rPr>
                <w:rFonts w:ascii="Times New Roman" w:hAnsi="Times New Roman"/>
              </w:rPr>
              <w:t>0.5</w:t>
            </w:r>
          </w:p>
        </w:tc>
        <w:tc>
          <w:tcPr>
            <w:tcW w:w="1059" w:type="dxa"/>
            <w:vMerge w:val="restart"/>
            <w:vAlign w:val="center"/>
          </w:tcPr>
          <w:p>
            <w:pPr>
              <w:spacing w:line="280" w:lineRule="exact"/>
              <w:jc w:val="center"/>
              <w:rPr>
                <w:rFonts w:ascii="Times New Roman" w:hAnsi="Times New Roman"/>
              </w:rPr>
            </w:pPr>
            <w:r>
              <w:rPr>
                <w:rFonts w:ascii="Times New Roman" w:hAnsi="Times New Roman"/>
              </w:rPr>
              <w:t>10.87</w:t>
            </w:r>
          </w:p>
        </w:tc>
        <w:tc>
          <w:tcPr>
            <w:tcW w:w="929" w:type="dxa"/>
            <w:vMerge w:val="restart"/>
            <w:vAlign w:val="center"/>
          </w:tcPr>
          <w:p>
            <w:pPr>
              <w:spacing w:line="280" w:lineRule="exact"/>
              <w:jc w:val="center"/>
              <w:rPr>
                <w:rFonts w:ascii="Times New Roman" w:hAnsi="Times New Roman"/>
              </w:rPr>
            </w:pPr>
            <w:r>
              <w:rPr>
                <w:rFonts w:ascii="Times New Roman" w:hAnsi="Times New Roman"/>
              </w:rPr>
              <w:t>120</w:t>
            </w:r>
          </w:p>
        </w:tc>
        <w:tc>
          <w:tcPr>
            <w:tcW w:w="1059" w:type="dxa"/>
            <w:vMerge w:val="restart"/>
            <w:vAlign w:val="center"/>
          </w:tcPr>
          <w:p>
            <w:pPr>
              <w:spacing w:line="280" w:lineRule="exact"/>
              <w:jc w:val="center"/>
              <w:rPr>
                <w:rFonts w:ascii="Times New Roman" w:hAnsi="Times New Roman"/>
              </w:rPr>
            </w:pPr>
            <w:r>
              <w:rPr>
                <w:rFonts w:ascii="Times New Roman" w:hAnsi="Times New Roman"/>
              </w:rPr>
              <w:t>5840</w:t>
            </w:r>
          </w:p>
        </w:tc>
        <w:tc>
          <w:tcPr>
            <w:tcW w:w="669" w:type="dxa"/>
            <w:vMerge w:val="restart"/>
            <w:vAlign w:val="center"/>
          </w:tcPr>
          <w:p>
            <w:pPr>
              <w:spacing w:line="280" w:lineRule="exact"/>
              <w:jc w:val="center"/>
              <w:rPr>
                <w:rFonts w:ascii="Times New Roman" w:hAnsi="Times New Roman"/>
              </w:rPr>
            </w:pPr>
            <w:r>
              <w:rPr>
                <w:rFonts w:ascii="Times New Roman" w:hAnsi="Times New Roman"/>
              </w:rPr>
              <w:t>正常</w:t>
            </w:r>
          </w:p>
        </w:tc>
        <w:tc>
          <w:tcPr>
            <w:tcW w:w="1189" w:type="dxa"/>
            <w:vAlign w:val="center"/>
          </w:tcPr>
          <w:p>
            <w:pPr>
              <w:jc w:val="center"/>
              <w:rPr>
                <w:rFonts w:ascii="Times New Roman" w:hAnsi="Times New Roman"/>
              </w:rPr>
            </w:pPr>
            <w:r>
              <w:rPr>
                <w:rFonts w:ascii="Times New Roman" w:hAnsi="Times New Roman"/>
                <w:bCs/>
              </w:rPr>
              <w:t>NH</w:t>
            </w:r>
            <w:r>
              <w:rPr>
                <w:rFonts w:ascii="Times New Roman" w:hAnsi="Times New Roman"/>
                <w:bCs/>
                <w:vertAlign w:val="subscript"/>
              </w:rPr>
              <w:t>3</w:t>
            </w:r>
          </w:p>
        </w:tc>
        <w:tc>
          <w:tcPr>
            <w:tcW w:w="1188" w:type="dxa"/>
            <w:vAlign w:val="center"/>
          </w:tcPr>
          <w:p>
            <w:pPr>
              <w:spacing w:line="280" w:lineRule="exact"/>
              <w:jc w:val="center"/>
              <w:rPr>
                <w:rFonts w:ascii="Times New Roman" w:hAnsi="Times New Roman"/>
              </w:rPr>
            </w:pPr>
            <w:r>
              <w:rPr>
                <w:rFonts w:ascii="Times New Roman" w:hAnsi="Times New Roman"/>
                <w:kern w:val="2"/>
              </w:rPr>
              <w:t>0.054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58" w:type="dxa"/>
            <w:vMerge w:val="continue"/>
            <w:vAlign w:val="center"/>
          </w:tcPr>
          <w:p>
            <w:pPr>
              <w:spacing w:line="280" w:lineRule="exact"/>
              <w:jc w:val="center"/>
              <w:rPr>
                <w:rFonts w:ascii="Times New Roman" w:hAnsi="Times New Roman"/>
              </w:rPr>
            </w:pPr>
          </w:p>
        </w:tc>
        <w:tc>
          <w:tcPr>
            <w:tcW w:w="538" w:type="dxa"/>
            <w:vMerge w:val="continue"/>
            <w:vAlign w:val="center"/>
          </w:tcPr>
          <w:p>
            <w:pPr>
              <w:spacing w:line="280" w:lineRule="exact"/>
              <w:jc w:val="center"/>
              <w:rPr>
                <w:rFonts w:ascii="Times New Roman" w:hAnsi="Times New Roman"/>
              </w:rPr>
            </w:pPr>
          </w:p>
        </w:tc>
        <w:tc>
          <w:tcPr>
            <w:tcW w:w="1273" w:type="dxa"/>
            <w:vMerge w:val="continue"/>
            <w:vAlign w:val="center"/>
          </w:tcPr>
          <w:p>
            <w:pPr>
              <w:spacing w:line="280" w:lineRule="exact"/>
              <w:jc w:val="center"/>
              <w:rPr>
                <w:rFonts w:ascii="Times New Roman" w:hAnsi="Times New Roman"/>
              </w:rPr>
            </w:pPr>
          </w:p>
        </w:tc>
        <w:tc>
          <w:tcPr>
            <w:tcW w:w="1134" w:type="dxa"/>
            <w:vMerge w:val="continue"/>
            <w:vAlign w:val="center"/>
          </w:tcPr>
          <w:p>
            <w:pPr>
              <w:spacing w:line="280" w:lineRule="exact"/>
              <w:jc w:val="center"/>
              <w:rPr>
                <w:rFonts w:ascii="Times New Roman" w:hAnsi="Times New Roman"/>
              </w:rPr>
            </w:pPr>
          </w:p>
        </w:tc>
        <w:tc>
          <w:tcPr>
            <w:tcW w:w="1160" w:type="dxa"/>
            <w:vMerge w:val="continue"/>
            <w:vAlign w:val="center"/>
          </w:tcPr>
          <w:p>
            <w:pPr>
              <w:spacing w:line="280" w:lineRule="exact"/>
              <w:jc w:val="center"/>
              <w:rPr>
                <w:rFonts w:ascii="Times New Roman" w:hAnsi="Times New Roman"/>
              </w:rPr>
            </w:pPr>
          </w:p>
        </w:tc>
        <w:tc>
          <w:tcPr>
            <w:tcW w:w="929" w:type="dxa"/>
            <w:vMerge w:val="continue"/>
            <w:vAlign w:val="center"/>
          </w:tcPr>
          <w:p>
            <w:pPr>
              <w:spacing w:line="280" w:lineRule="exact"/>
              <w:jc w:val="center"/>
              <w:rPr>
                <w:rFonts w:ascii="Times New Roman" w:hAnsi="Times New Roman"/>
              </w:rPr>
            </w:pPr>
          </w:p>
        </w:tc>
        <w:tc>
          <w:tcPr>
            <w:tcW w:w="1059" w:type="dxa"/>
            <w:vMerge w:val="continue"/>
            <w:vAlign w:val="center"/>
          </w:tcPr>
          <w:p>
            <w:pPr>
              <w:spacing w:line="280" w:lineRule="exact"/>
              <w:jc w:val="center"/>
              <w:rPr>
                <w:rFonts w:ascii="Times New Roman" w:hAnsi="Times New Roman"/>
              </w:rPr>
            </w:pPr>
          </w:p>
        </w:tc>
        <w:tc>
          <w:tcPr>
            <w:tcW w:w="1059" w:type="dxa"/>
            <w:vMerge w:val="continue"/>
            <w:vAlign w:val="center"/>
          </w:tcPr>
          <w:p>
            <w:pPr>
              <w:spacing w:line="280" w:lineRule="exact"/>
              <w:jc w:val="center"/>
              <w:rPr>
                <w:rFonts w:ascii="Times New Roman" w:hAnsi="Times New Roman"/>
              </w:rPr>
            </w:pPr>
          </w:p>
        </w:tc>
        <w:tc>
          <w:tcPr>
            <w:tcW w:w="929" w:type="dxa"/>
            <w:vMerge w:val="continue"/>
            <w:vAlign w:val="center"/>
          </w:tcPr>
          <w:p>
            <w:pPr>
              <w:spacing w:line="280" w:lineRule="exact"/>
              <w:jc w:val="center"/>
              <w:rPr>
                <w:rFonts w:ascii="Times New Roman" w:hAnsi="Times New Roman"/>
              </w:rPr>
            </w:pPr>
          </w:p>
        </w:tc>
        <w:tc>
          <w:tcPr>
            <w:tcW w:w="1059" w:type="dxa"/>
            <w:vMerge w:val="continue"/>
            <w:vAlign w:val="center"/>
          </w:tcPr>
          <w:p>
            <w:pPr>
              <w:spacing w:line="280" w:lineRule="exact"/>
              <w:jc w:val="center"/>
              <w:rPr>
                <w:rFonts w:ascii="Times New Roman" w:hAnsi="Times New Roman"/>
              </w:rPr>
            </w:pPr>
          </w:p>
        </w:tc>
        <w:tc>
          <w:tcPr>
            <w:tcW w:w="669" w:type="dxa"/>
            <w:vMerge w:val="continue"/>
            <w:vAlign w:val="center"/>
          </w:tcPr>
          <w:p>
            <w:pPr>
              <w:spacing w:line="280" w:lineRule="exact"/>
              <w:jc w:val="center"/>
              <w:rPr>
                <w:rFonts w:ascii="Times New Roman" w:hAnsi="Times New Roman"/>
              </w:rPr>
            </w:pPr>
          </w:p>
        </w:tc>
        <w:tc>
          <w:tcPr>
            <w:tcW w:w="1189" w:type="dxa"/>
            <w:vAlign w:val="center"/>
          </w:tcPr>
          <w:p>
            <w:pPr>
              <w:jc w:val="center"/>
              <w:rPr>
                <w:rFonts w:ascii="Times New Roman" w:hAnsi="Times New Roman"/>
              </w:rPr>
            </w:pPr>
            <w:r>
              <w:rPr>
                <w:rFonts w:ascii="Times New Roman" w:hAnsi="Times New Roman"/>
                <w:bCs/>
              </w:rPr>
              <w:t>H</w:t>
            </w:r>
            <w:r>
              <w:rPr>
                <w:rFonts w:ascii="Times New Roman" w:hAnsi="Times New Roman"/>
                <w:bCs/>
                <w:vertAlign w:val="subscript"/>
              </w:rPr>
              <w:t>2</w:t>
            </w:r>
            <w:r>
              <w:rPr>
                <w:rFonts w:ascii="Times New Roman" w:hAnsi="Times New Roman"/>
                <w:bCs/>
              </w:rPr>
              <w:t>S</w:t>
            </w:r>
          </w:p>
        </w:tc>
        <w:tc>
          <w:tcPr>
            <w:tcW w:w="1188" w:type="dxa"/>
            <w:vAlign w:val="center"/>
          </w:tcPr>
          <w:p>
            <w:pPr>
              <w:spacing w:line="280" w:lineRule="exact"/>
              <w:jc w:val="center"/>
              <w:rPr>
                <w:rFonts w:ascii="Times New Roman" w:hAnsi="Times New Roman"/>
              </w:rPr>
            </w:pPr>
            <w:r>
              <w:rPr>
                <w:rFonts w:ascii="Times New Roman" w:hAnsi="Times New Roman"/>
                <w:kern w:val="2"/>
              </w:rPr>
              <w:t>0.0058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30" w:hRule="atLeast"/>
        </w:trPr>
        <w:tc>
          <w:tcPr>
            <w:tcW w:w="1058" w:type="dxa"/>
            <w:vMerge w:val="continue"/>
            <w:vAlign w:val="center"/>
          </w:tcPr>
          <w:p>
            <w:pPr>
              <w:spacing w:line="280" w:lineRule="exact"/>
              <w:jc w:val="center"/>
              <w:rPr>
                <w:rFonts w:ascii="Times New Roman" w:hAnsi="Times New Roman"/>
              </w:rPr>
            </w:pPr>
          </w:p>
        </w:tc>
        <w:tc>
          <w:tcPr>
            <w:tcW w:w="538" w:type="dxa"/>
            <w:vMerge w:val="continue"/>
            <w:vAlign w:val="center"/>
          </w:tcPr>
          <w:p>
            <w:pPr>
              <w:spacing w:line="280" w:lineRule="exact"/>
              <w:jc w:val="center"/>
              <w:rPr>
                <w:rFonts w:ascii="Times New Roman" w:hAnsi="Times New Roman"/>
              </w:rPr>
            </w:pPr>
          </w:p>
        </w:tc>
        <w:tc>
          <w:tcPr>
            <w:tcW w:w="1273" w:type="dxa"/>
            <w:vMerge w:val="continue"/>
            <w:vAlign w:val="center"/>
          </w:tcPr>
          <w:p>
            <w:pPr>
              <w:spacing w:line="280" w:lineRule="exact"/>
              <w:jc w:val="center"/>
              <w:rPr>
                <w:rFonts w:ascii="Times New Roman" w:hAnsi="Times New Roman"/>
              </w:rPr>
            </w:pPr>
          </w:p>
        </w:tc>
        <w:tc>
          <w:tcPr>
            <w:tcW w:w="1134" w:type="dxa"/>
            <w:vMerge w:val="continue"/>
            <w:vAlign w:val="center"/>
          </w:tcPr>
          <w:p>
            <w:pPr>
              <w:spacing w:line="280" w:lineRule="exact"/>
              <w:jc w:val="center"/>
              <w:rPr>
                <w:rFonts w:ascii="Times New Roman" w:hAnsi="Times New Roman"/>
              </w:rPr>
            </w:pPr>
          </w:p>
        </w:tc>
        <w:tc>
          <w:tcPr>
            <w:tcW w:w="1160" w:type="dxa"/>
            <w:vMerge w:val="continue"/>
            <w:vAlign w:val="center"/>
          </w:tcPr>
          <w:p>
            <w:pPr>
              <w:spacing w:line="280" w:lineRule="exact"/>
              <w:jc w:val="center"/>
              <w:rPr>
                <w:rFonts w:ascii="Times New Roman" w:hAnsi="Times New Roman"/>
              </w:rPr>
            </w:pPr>
          </w:p>
        </w:tc>
        <w:tc>
          <w:tcPr>
            <w:tcW w:w="929" w:type="dxa"/>
            <w:vMerge w:val="continue"/>
            <w:vAlign w:val="center"/>
          </w:tcPr>
          <w:p>
            <w:pPr>
              <w:spacing w:line="280" w:lineRule="exact"/>
              <w:jc w:val="center"/>
              <w:rPr>
                <w:rFonts w:ascii="Times New Roman" w:hAnsi="Times New Roman"/>
              </w:rPr>
            </w:pPr>
          </w:p>
        </w:tc>
        <w:tc>
          <w:tcPr>
            <w:tcW w:w="1059" w:type="dxa"/>
            <w:vMerge w:val="continue"/>
            <w:vAlign w:val="center"/>
          </w:tcPr>
          <w:p>
            <w:pPr>
              <w:spacing w:line="280" w:lineRule="exact"/>
              <w:jc w:val="center"/>
              <w:rPr>
                <w:rFonts w:ascii="Times New Roman" w:hAnsi="Times New Roman"/>
              </w:rPr>
            </w:pPr>
          </w:p>
        </w:tc>
        <w:tc>
          <w:tcPr>
            <w:tcW w:w="1059" w:type="dxa"/>
            <w:vMerge w:val="continue"/>
            <w:vAlign w:val="center"/>
          </w:tcPr>
          <w:p>
            <w:pPr>
              <w:spacing w:line="280" w:lineRule="exact"/>
              <w:jc w:val="center"/>
              <w:rPr>
                <w:rFonts w:ascii="Times New Roman" w:hAnsi="Times New Roman"/>
              </w:rPr>
            </w:pPr>
          </w:p>
        </w:tc>
        <w:tc>
          <w:tcPr>
            <w:tcW w:w="929" w:type="dxa"/>
            <w:vMerge w:val="continue"/>
            <w:vAlign w:val="center"/>
          </w:tcPr>
          <w:p>
            <w:pPr>
              <w:spacing w:line="280" w:lineRule="exact"/>
              <w:jc w:val="center"/>
              <w:rPr>
                <w:rFonts w:ascii="Times New Roman" w:hAnsi="Times New Roman"/>
              </w:rPr>
            </w:pPr>
          </w:p>
        </w:tc>
        <w:tc>
          <w:tcPr>
            <w:tcW w:w="1059" w:type="dxa"/>
            <w:vMerge w:val="continue"/>
            <w:vAlign w:val="center"/>
          </w:tcPr>
          <w:p>
            <w:pPr>
              <w:spacing w:line="280" w:lineRule="exact"/>
              <w:jc w:val="center"/>
              <w:rPr>
                <w:rFonts w:ascii="Times New Roman" w:hAnsi="Times New Roman"/>
              </w:rPr>
            </w:pPr>
          </w:p>
        </w:tc>
        <w:tc>
          <w:tcPr>
            <w:tcW w:w="669" w:type="dxa"/>
            <w:vMerge w:val="continue"/>
            <w:vAlign w:val="center"/>
          </w:tcPr>
          <w:p>
            <w:pPr>
              <w:spacing w:line="280" w:lineRule="exact"/>
              <w:jc w:val="center"/>
              <w:rPr>
                <w:rFonts w:ascii="Times New Roman" w:hAnsi="Times New Roman"/>
              </w:rPr>
            </w:pPr>
          </w:p>
        </w:tc>
        <w:tc>
          <w:tcPr>
            <w:tcW w:w="1189" w:type="dxa"/>
            <w:vAlign w:val="center"/>
          </w:tcPr>
          <w:p>
            <w:pPr>
              <w:spacing w:line="280" w:lineRule="exact"/>
              <w:jc w:val="center"/>
              <w:rPr>
                <w:rFonts w:ascii="Times New Roman" w:hAnsi="Times New Roman"/>
              </w:rPr>
            </w:pPr>
            <w:r>
              <w:rPr>
                <w:rFonts w:ascii="Times New Roman" w:hAnsi="Times New Roman"/>
                <w:bCs/>
              </w:rPr>
              <w:t>非甲烷总烃</w:t>
            </w:r>
          </w:p>
        </w:tc>
        <w:tc>
          <w:tcPr>
            <w:tcW w:w="1188" w:type="dxa"/>
            <w:vAlign w:val="center"/>
          </w:tcPr>
          <w:p>
            <w:pPr>
              <w:spacing w:line="280" w:lineRule="exact"/>
              <w:jc w:val="center"/>
              <w:rPr>
                <w:rFonts w:ascii="Times New Roman" w:hAnsi="Times New Roman"/>
              </w:rPr>
            </w:pPr>
            <w:r>
              <w:rPr>
                <w:rFonts w:ascii="Times New Roman" w:hAnsi="Times New Roman"/>
                <w:kern w:val="2"/>
              </w:rPr>
              <w:t>0.0017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 w:hRule="atLeast"/>
        </w:trPr>
        <w:tc>
          <w:tcPr>
            <w:tcW w:w="1058" w:type="dxa"/>
            <w:vMerge w:val="continue"/>
            <w:vAlign w:val="center"/>
          </w:tcPr>
          <w:p>
            <w:pPr>
              <w:spacing w:line="280" w:lineRule="exact"/>
              <w:jc w:val="center"/>
              <w:rPr>
                <w:rFonts w:ascii="Times New Roman" w:hAnsi="Times New Roman"/>
              </w:rPr>
            </w:pPr>
          </w:p>
        </w:tc>
        <w:tc>
          <w:tcPr>
            <w:tcW w:w="538" w:type="dxa"/>
            <w:vMerge w:val="continue"/>
            <w:vAlign w:val="center"/>
          </w:tcPr>
          <w:p>
            <w:pPr>
              <w:spacing w:line="280" w:lineRule="exact"/>
              <w:jc w:val="center"/>
              <w:rPr>
                <w:rFonts w:ascii="Times New Roman" w:hAnsi="Times New Roman"/>
              </w:rPr>
            </w:pPr>
          </w:p>
        </w:tc>
        <w:tc>
          <w:tcPr>
            <w:tcW w:w="1273" w:type="dxa"/>
            <w:vMerge w:val="continue"/>
            <w:vAlign w:val="center"/>
          </w:tcPr>
          <w:p>
            <w:pPr>
              <w:spacing w:line="280" w:lineRule="exact"/>
              <w:jc w:val="center"/>
              <w:rPr>
                <w:rFonts w:ascii="Times New Roman" w:hAnsi="Times New Roman"/>
              </w:rPr>
            </w:pPr>
          </w:p>
        </w:tc>
        <w:tc>
          <w:tcPr>
            <w:tcW w:w="1134" w:type="dxa"/>
            <w:vMerge w:val="continue"/>
            <w:vAlign w:val="center"/>
          </w:tcPr>
          <w:p>
            <w:pPr>
              <w:spacing w:line="280" w:lineRule="exact"/>
              <w:jc w:val="center"/>
              <w:rPr>
                <w:rFonts w:ascii="Times New Roman" w:hAnsi="Times New Roman"/>
              </w:rPr>
            </w:pPr>
          </w:p>
        </w:tc>
        <w:tc>
          <w:tcPr>
            <w:tcW w:w="1160" w:type="dxa"/>
            <w:vMerge w:val="continue"/>
            <w:vAlign w:val="center"/>
          </w:tcPr>
          <w:p>
            <w:pPr>
              <w:spacing w:line="280" w:lineRule="exact"/>
              <w:jc w:val="center"/>
              <w:rPr>
                <w:rFonts w:ascii="Times New Roman" w:hAnsi="Times New Roman"/>
              </w:rPr>
            </w:pPr>
          </w:p>
        </w:tc>
        <w:tc>
          <w:tcPr>
            <w:tcW w:w="929" w:type="dxa"/>
            <w:vMerge w:val="continue"/>
            <w:vAlign w:val="center"/>
          </w:tcPr>
          <w:p>
            <w:pPr>
              <w:spacing w:line="280" w:lineRule="exact"/>
              <w:jc w:val="center"/>
              <w:rPr>
                <w:rFonts w:ascii="Times New Roman" w:hAnsi="Times New Roman"/>
              </w:rPr>
            </w:pPr>
          </w:p>
        </w:tc>
        <w:tc>
          <w:tcPr>
            <w:tcW w:w="1059" w:type="dxa"/>
            <w:vMerge w:val="continue"/>
            <w:vAlign w:val="center"/>
          </w:tcPr>
          <w:p>
            <w:pPr>
              <w:spacing w:line="280" w:lineRule="exact"/>
              <w:jc w:val="center"/>
              <w:rPr>
                <w:rFonts w:ascii="Times New Roman" w:hAnsi="Times New Roman"/>
              </w:rPr>
            </w:pPr>
          </w:p>
        </w:tc>
        <w:tc>
          <w:tcPr>
            <w:tcW w:w="1059" w:type="dxa"/>
            <w:vMerge w:val="continue"/>
            <w:vAlign w:val="center"/>
          </w:tcPr>
          <w:p>
            <w:pPr>
              <w:spacing w:line="280" w:lineRule="exact"/>
              <w:jc w:val="center"/>
              <w:rPr>
                <w:rFonts w:ascii="Times New Roman" w:hAnsi="Times New Roman"/>
              </w:rPr>
            </w:pPr>
          </w:p>
        </w:tc>
        <w:tc>
          <w:tcPr>
            <w:tcW w:w="929" w:type="dxa"/>
            <w:vMerge w:val="continue"/>
            <w:vAlign w:val="center"/>
          </w:tcPr>
          <w:p>
            <w:pPr>
              <w:spacing w:line="280" w:lineRule="exact"/>
              <w:jc w:val="center"/>
              <w:rPr>
                <w:rFonts w:ascii="Times New Roman" w:hAnsi="Times New Roman"/>
              </w:rPr>
            </w:pPr>
          </w:p>
        </w:tc>
        <w:tc>
          <w:tcPr>
            <w:tcW w:w="1059" w:type="dxa"/>
            <w:vMerge w:val="continue"/>
            <w:vAlign w:val="center"/>
          </w:tcPr>
          <w:p>
            <w:pPr>
              <w:spacing w:line="280" w:lineRule="exact"/>
              <w:jc w:val="center"/>
              <w:rPr>
                <w:rFonts w:ascii="Times New Roman" w:hAnsi="Times New Roman"/>
              </w:rPr>
            </w:pPr>
          </w:p>
        </w:tc>
        <w:tc>
          <w:tcPr>
            <w:tcW w:w="669" w:type="dxa"/>
            <w:vMerge w:val="continue"/>
            <w:vAlign w:val="center"/>
          </w:tcPr>
          <w:p>
            <w:pPr>
              <w:spacing w:line="280" w:lineRule="exact"/>
              <w:jc w:val="center"/>
              <w:rPr>
                <w:rFonts w:ascii="Times New Roman" w:hAnsi="Times New Roman"/>
              </w:rPr>
            </w:pPr>
          </w:p>
        </w:tc>
        <w:tc>
          <w:tcPr>
            <w:tcW w:w="1189" w:type="dxa"/>
            <w:vAlign w:val="center"/>
          </w:tcPr>
          <w:p>
            <w:pPr>
              <w:spacing w:line="280" w:lineRule="exact"/>
              <w:jc w:val="center"/>
              <w:rPr>
                <w:rFonts w:ascii="Times New Roman" w:hAnsi="Times New Roman"/>
                <w:bCs/>
              </w:rPr>
            </w:pPr>
            <w:r>
              <w:rPr>
                <w:rFonts w:hint="eastAsia" w:ascii="Times New Roman" w:hAnsi="Times New Roman"/>
                <w:bCs/>
              </w:rPr>
              <w:t>P</w:t>
            </w:r>
            <w:r>
              <w:rPr>
                <w:rFonts w:ascii="Times New Roman" w:hAnsi="Times New Roman"/>
                <w:bCs/>
              </w:rPr>
              <w:t>M10</w:t>
            </w:r>
          </w:p>
        </w:tc>
        <w:tc>
          <w:tcPr>
            <w:tcW w:w="1188" w:type="dxa"/>
            <w:vAlign w:val="center"/>
          </w:tcPr>
          <w:p>
            <w:pPr>
              <w:spacing w:line="280" w:lineRule="exact"/>
              <w:jc w:val="center"/>
              <w:rPr>
                <w:rFonts w:ascii="Times New Roman" w:hAnsi="Times New Roman"/>
                <w:bCs/>
                <w:kern w:val="2"/>
              </w:rPr>
            </w:pPr>
            <w:r>
              <w:rPr>
                <w:rFonts w:ascii="Times New Roman" w:hAnsi="Times New Roman"/>
                <w:kern w:val="2"/>
              </w:rPr>
              <w:t>0.0529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 w:hRule="atLeast"/>
        </w:trPr>
        <w:tc>
          <w:tcPr>
            <w:tcW w:w="1058" w:type="dxa"/>
            <w:vMerge w:val="continue"/>
            <w:vAlign w:val="center"/>
          </w:tcPr>
          <w:p>
            <w:pPr>
              <w:spacing w:line="280" w:lineRule="exact"/>
              <w:jc w:val="center"/>
              <w:rPr>
                <w:rFonts w:ascii="Times New Roman" w:hAnsi="Times New Roman"/>
              </w:rPr>
            </w:pPr>
          </w:p>
        </w:tc>
        <w:tc>
          <w:tcPr>
            <w:tcW w:w="538" w:type="dxa"/>
            <w:vMerge w:val="continue"/>
            <w:vAlign w:val="center"/>
          </w:tcPr>
          <w:p>
            <w:pPr>
              <w:spacing w:line="280" w:lineRule="exact"/>
              <w:jc w:val="center"/>
              <w:rPr>
                <w:rFonts w:ascii="Times New Roman" w:hAnsi="Times New Roman"/>
              </w:rPr>
            </w:pPr>
          </w:p>
        </w:tc>
        <w:tc>
          <w:tcPr>
            <w:tcW w:w="1273" w:type="dxa"/>
            <w:vMerge w:val="continue"/>
            <w:vAlign w:val="center"/>
          </w:tcPr>
          <w:p>
            <w:pPr>
              <w:spacing w:line="280" w:lineRule="exact"/>
              <w:jc w:val="center"/>
              <w:rPr>
                <w:rFonts w:ascii="Times New Roman" w:hAnsi="Times New Roman"/>
              </w:rPr>
            </w:pPr>
          </w:p>
        </w:tc>
        <w:tc>
          <w:tcPr>
            <w:tcW w:w="1134" w:type="dxa"/>
            <w:vMerge w:val="continue"/>
            <w:vAlign w:val="center"/>
          </w:tcPr>
          <w:p>
            <w:pPr>
              <w:spacing w:line="280" w:lineRule="exact"/>
              <w:jc w:val="center"/>
              <w:rPr>
                <w:rFonts w:ascii="Times New Roman" w:hAnsi="Times New Roman"/>
              </w:rPr>
            </w:pPr>
          </w:p>
        </w:tc>
        <w:tc>
          <w:tcPr>
            <w:tcW w:w="1160" w:type="dxa"/>
            <w:vMerge w:val="continue"/>
            <w:vAlign w:val="center"/>
          </w:tcPr>
          <w:p>
            <w:pPr>
              <w:spacing w:line="280" w:lineRule="exact"/>
              <w:jc w:val="center"/>
              <w:rPr>
                <w:rFonts w:ascii="Times New Roman" w:hAnsi="Times New Roman"/>
              </w:rPr>
            </w:pPr>
          </w:p>
        </w:tc>
        <w:tc>
          <w:tcPr>
            <w:tcW w:w="929" w:type="dxa"/>
            <w:vMerge w:val="continue"/>
            <w:vAlign w:val="center"/>
          </w:tcPr>
          <w:p>
            <w:pPr>
              <w:spacing w:line="280" w:lineRule="exact"/>
              <w:jc w:val="center"/>
              <w:rPr>
                <w:rFonts w:ascii="Times New Roman" w:hAnsi="Times New Roman"/>
              </w:rPr>
            </w:pPr>
          </w:p>
        </w:tc>
        <w:tc>
          <w:tcPr>
            <w:tcW w:w="1059" w:type="dxa"/>
            <w:vMerge w:val="continue"/>
            <w:vAlign w:val="center"/>
          </w:tcPr>
          <w:p>
            <w:pPr>
              <w:spacing w:line="280" w:lineRule="exact"/>
              <w:jc w:val="center"/>
              <w:rPr>
                <w:rFonts w:ascii="Times New Roman" w:hAnsi="Times New Roman"/>
              </w:rPr>
            </w:pPr>
          </w:p>
        </w:tc>
        <w:tc>
          <w:tcPr>
            <w:tcW w:w="1059" w:type="dxa"/>
            <w:vMerge w:val="continue"/>
            <w:vAlign w:val="center"/>
          </w:tcPr>
          <w:p>
            <w:pPr>
              <w:spacing w:line="280" w:lineRule="exact"/>
              <w:jc w:val="center"/>
              <w:rPr>
                <w:rFonts w:ascii="Times New Roman" w:hAnsi="Times New Roman"/>
              </w:rPr>
            </w:pPr>
          </w:p>
        </w:tc>
        <w:tc>
          <w:tcPr>
            <w:tcW w:w="929" w:type="dxa"/>
            <w:vMerge w:val="continue"/>
            <w:vAlign w:val="center"/>
          </w:tcPr>
          <w:p>
            <w:pPr>
              <w:spacing w:line="280" w:lineRule="exact"/>
              <w:jc w:val="center"/>
              <w:rPr>
                <w:rFonts w:ascii="Times New Roman" w:hAnsi="Times New Roman"/>
              </w:rPr>
            </w:pPr>
          </w:p>
        </w:tc>
        <w:tc>
          <w:tcPr>
            <w:tcW w:w="1059" w:type="dxa"/>
            <w:vMerge w:val="continue"/>
            <w:vAlign w:val="center"/>
          </w:tcPr>
          <w:p>
            <w:pPr>
              <w:spacing w:line="280" w:lineRule="exact"/>
              <w:jc w:val="center"/>
              <w:rPr>
                <w:rFonts w:ascii="Times New Roman" w:hAnsi="Times New Roman"/>
              </w:rPr>
            </w:pPr>
          </w:p>
        </w:tc>
        <w:tc>
          <w:tcPr>
            <w:tcW w:w="669" w:type="dxa"/>
            <w:vMerge w:val="continue"/>
            <w:vAlign w:val="center"/>
          </w:tcPr>
          <w:p>
            <w:pPr>
              <w:spacing w:line="280" w:lineRule="exact"/>
              <w:jc w:val="center"/>
              <w:rPr>
                <w:rFonts w:ascii="Times New Roman" w:hAnsi="Times New Roman"/>
              </w:rPr>
            </w:pPr>
          </w:p>
        </w:tc>
        <w:tc>
          <w:tcPr>
            <w:tcW w:w="1189" w:type="dxa"/>
            <w:vAlign w:val="center"/>
          </w:tcPr>
          <w:p>
            <w:pPr>
              <w:spacing w:line="280" w:lineRule="exact"/>
              <w:jc w:val="center"/>
              <w:rPr>
                <w:rFonts w:ascii="Times New Roman" w:hAnsi="Times New Roman"/>
                <w:bCs/>
              </w:rPr>
            </w:pPr>
            <w:r>
              <w:rPr>
                <w:rFonts w:ascii="Times New Roman" w:hAnsi="Times New Roman"/>
                <w:kern w:val="2"/>
              </w:rPr>
              <w:t>SO</w:t>
            </w:r>
            <w:r>
              <w:rPr>
                <w:rFonts w:ascii="Times New Roman" w:hAnsi="Times New Roman"/>
                <w:kern w:val="2"/>
                <w:vertAlign w:val="subscript"/>
              </w:rPr>
              <w:t>2</w:t>
            </w:r>
          </w:p>
        </w:tc>
        <w:tc>
          <w:tcPr>
            <w:tcW w:w="1188" w:type="dxa"/>
            <w:vAlign w:val="center"/>
          </w:tcPr>
          <w:p>
            <w:pPr>
              <w:spacing w:line="280" w:lineRule="exact"/>
              <w:jc w:val="center"/>
              <w:rPr>
                <w:rFonts w:ascii="Times New Roman" w:hAnsi="Times New Roman"/>
                <w:kern w:val="2"/>
              </w:rPr>
            </w:pPr>
            <w:r>
              <w:rPr>
                <w:rFonts w:ascii="Times New Roman" w:hAnsi="Times New Roman"/>
              </w:rPr>
              <w:t>0.000096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 w:hRule="atLeast"/>
        </w:trPr>
        <w:tc>
          <w:tcPr>
            <w:tcW w:w="1058" w:type="dxa"/>
            <w:vMerge w:val="continue"/>
            <w:vAlign w:val="center"/>
          </w:tcPr>
          <w:p>
            <w:pPr>
              <w:spacing w:line="280" w:lineRule="exact"/>
              <w:jc w:val="center"/>
              <w:rPr>
                <w:rFonts w:ascii="Times New Roman" w:hAnsi="Times New Roman"/>
              </w:rPr>
            </w:pPr>
          </w:p>
        </w:tc>
        <w:tc>
          <w:tcPr>
            <w:tcW w:w="538" w:type="dxa"/>
            <w:vMerge w:val="continue"/>
            <w:vAlign w:val="center"/>
          </w:tcPr>
          <w:p>
            <w:pPr>
              <w:spacing w:line="280" w:lineRule="exact"/>
              <w:jc w:val="center"/>
              <w:rPr>
                <w:rFonts w:ascii="Times New Roman" w:hAnsi="Times New Roman"/>
              </w:rPr>
            </w:pPr>
          </w:p>
        </w:tc>
        <w:tc>
          <w:tcPr>
            <w:tcW w:w="1273" w:type="dxa"/>
            <w:vMerge w:val="continue"/>
            <w:vAlign w:val="center"/>
          </w:tcPr>
          <w:p>
            <w:pPr>
              <w:spacing w:line="280" w:lineRule="exact"/>
              <w:jc w:val="center"/>
              <w:rPr>
                <w:rFonts w:ascii="Times New Roman" w:hAnsi="Times New Roman"/>
              </w:rPr>
            </w:pPr>
          </w:p>
        </w:tc>
        <w:tc>
          <w:tcPr>
            <w:tcW w:w="1134" w:type="dxa"/>
            <w:vMerge w:val="continue"/>
            <w:vAlign w:val="center"/>
          </w:tcPr>
          <w:p>
            <w:pPr>
              <w:spacing w:line="280" w:lineRule="exact"/>
              <w:jc w:val="center"/>
              <w:rPr>
                <w:rFonts w:ascii="Times New Roman" w:hAnsi="Times New Roman"/>
              </w:rPr>
            </w:pPr>
          </w:p>
        </w:tc>
        <w:tc>
          <w:tcPr>
            <w:tcW w:w="1160" w:type="dxa"/>
            <w:vMerge w:val="continue"/>
            <w:vAlign w:val="center"/>
          </w:tcPr>
          <w:p>
            <w:pPr>
              <w:spacing w:line="280" w:lineRule="exact"/>
              <w:jc w:val="center"/>
              <w:rPr>
                <w:rFonts w:ascii="Times New Roman" w:hAnsi="Times New Roman"/>
              </w:rPr>
            </w:pPr>
          </w:p>
        </w:tc>
        <w:tc>
          <w:tcPr>
            <w:tcW w:w="929" w:type="dxa"/>
            <w:vMerge w:val="continue"/>
            <w:vAlign w:val="center"/>
          </w:tcPr>
          <w:p>
            <w:pPr>
              <w:spacing w:line="280" w:lineRule="exact"/>
              <w:jc w:val="center"/>
              <w:rPr>
                <w:rFonts w:ascii="Times New Roman" w:hAnsi="Times New Roman"/>
              </w:rPr>
            </w:pPr>
          </w:p>
        </w:tc>
        <w:tc>
          <w:tcPr>
            <w:tcW w:w="1059" w:type="dxa"/>
            <w:vMerge w:val="continue"/>
            <w:vAlign w:val="center"/>
          </w:tcPr>
          <w:p>
            <w:pPr>
              <w:spacing w:line="280" w:lineRule="exact"/>
              <w:jc w:val="center"/>
              <w:rPr>
                <w:rFonts w:ascii="Times New Roman" w:hAnsi="Times New Roman"/>
              </w:rPr>
            </w:pPr>
          </w:p>
        </w:tc>
        <w:tc>
          <w:tcPr>
            <w:tcW w:w="1059" w:type="dxa"/>
            <w:vMerge w:val="continue"/>
            <w:vAlign w:val="center"/>
          </w:tcPr>
          <w:p>
            <w:pPr>
              <w:spacing w:line="280" w:lineRule="exact"/>
              <w:jc w:val="center"/>
              <w:rPr>
                <w:rFonts w:ascii="Times New Roman" w:hAnsi="Times New Roman"/>
              </w:rPr>
            </w:pPr>
          </w:p>
        </w:tc>
        <w:tc>
          <w:tcPr>
            <w:tcW w:w="929" w:type="dxa"/>
            <w:vMerge w:val="continue"/>
            <w:vAlign w:val="center"/>
          </w:tcPr>
          <w:p>
            <w:pPr>
              <w:spacing w:line="280" w:lineRule="exact"/>
              <w:jc w:val="center"/>
              <w:rPr>
                <w:rFonts w:ascii="Times New Roman" w:hAnsi="Times New Roman"/>
              </w:rPr>
            </w:pPr>
          </w:p>
        </w:tc>
        <w:tc>
          <w:tcPr>
            <w:tcW w:w="1059" w:type="dxa"/>
            <w:vMerge w:val="continue"/>
            <w:vAlign w:val="center"/>
          </w:tcPr>
          <w:p>
            <w:pPr>
              <w:spacing w:line="280" w:lineRule="exact"/>
              <w:jc w:val="center"/>
              <w:rPr>
                <w:rFonts w:ascii="Times New Roman" w:hAnsi="Times New Roman"/>
              </w:rPr>
            </w:pPr>
          </w:p>
        </w:tc>
        <w:tc>
          <w:tcPr>
            <w:tcW w:w="669" w:type="dxa"/>
            <w:vMerge w:val="continue"/>
            <w:vAlign w:val="center"/>
          </w:tcPr>
          <w:p>
            <w:pPr>
              <w:spacing w:line="280" w:lineRule="exact"/>
              <w:jc w:val="center"/>
              <w:rPr>
                <w:rFonts w:ascii="Times New Roman" w:hAnsi="Times New Roman"/>
              </w:rPr>
            </w:pPr>
          </w:p>
        </w:tc>
        <w:tc>
          <w:tcPr>
            <w:tcW w:w="1189" w:type="dxa"/>
            <w:vAlign w:val="center"/>
          </w:tcPr>
          <w:p>
            <w:pPr>
              <w:spacing w:line="280" w:lineRule="exact"/>
              <w:jc w:val="center"/>
              <w:rPr>
                <w:rFonts w:ascii="Times New Roman" w:hAnsi="Times New Roman"/>
                <w:bCs/>
              </w:rPr>
            </w:pPr>
            <w:r>
              <w:rPr>
                <w:rFonts w:ascii="Times New Roman" w:hAnsi="Times New Roman"/>
                <w:kern w:val="2"/>
              </w:rPr>
              <w:t>NO</w:t>
            </w:r>
            <w:r>
              <w:rPr>
                <w:rFonts w:ascii="Times New Roman" w:hAnsi="Times New Roman"/>
                <w:kern w:val="2"/>
                <w:vertAlign w:val="subscript"/>
              </w:rPr>
              <w:t>2</w:t>
            </w:r>
          </w:p>
        </w:tc>
        <w:tc>
          <w:tcPr>
            <w:tcW w:w="1188" w:type="dxa"/>
            <w:vAlign w:val="center"/>
          </w:tcPr>
          <w:p>
            <w:pPr>
              <w:spacing w:line="280" w:lineRule="exact"/>
              <w:jc w:val="center"/>
              <w:rPr>
                <w:rFonts w:ascii="Times New Roman" w:hAnsi="Times New Roman"/>
                <w:kern w:val="2"/>
              </w:rPr>
            </w:pPr>
            <w:r>
              <w:rPr>
                <w:rFonts w:ascii="Times New Roman" w:hAnsi="Times New Roman"/>
              </w:rPr>
              <w:t>0.0023</w:t>
            </w:r>
          </w:p>
        </w:tc>
      </w:tr>
    </w:tbl>
    <w:p>
      <w:pPr>
        <w:spacing w:line="300" w:lineRule="exact"/>
        <w:ind w:firstLine="371" w:firstLineChars="176"/>
        <w:rPr>
          <w:rFonts w:ascii="Times New Roman" w:hAnsi="Times New Roman"/>
          <w:b/>
        </w:rPr>
      </w:pPr>
      <w:r>
        <w:rPr>
          <w:rFonts w:ascii="Times New Roman" w:hAnsi="Times New Roman"/>
          <w:b/>
        </w:rPr>
        <w:t>注：NO</w:t>
      </w:r>
      <w:r>
        <w:rPr>
          <w:rFonts w:ascii="Times New Roman" w:hAnsi="Times New Roman"/>
          <w:b/>
          <w:vertAlign w:val="subscript"/>
        </w:rPr>
        <w:t>x</w:t>
      </w:r>
      <w:r>
        <w:rPr>
          <w:rFonts w:ascii="Times New Roman" w:hAnsi="Times New Roman"/>
          <w:b/>
        </w:rPr>
        <w:t>和NO</w:t>
      </w:r>
      <w:r>
        <w:rPr>
          <w:rFonts w:ascii="Times New Roman" w:hAnsi="Times New Roman"/>
          <w:b/>
          <w:vertAlign w:val="subscript"/>
        </w:rPr>
        <w:t>2</w:t>
      </w:r>
      <w:r>
        <w:rPr>
          <w:rFonts w:ascii="Times New Roman" w:hAnsi="Times New Roman"/>
          <w:b/>
        </w:rPr>
        <w:t>的转化按0.9计。</w:t>
      </w:r>
    </w:p>
    <w:p>
      <w:pPr>
        <w:pStyle w:val="155"/>
        <w:ind w:firstLine="0" w:firstLineChars="0"/>
        <w:sectPr>
          <w:pgSz w:w="16839" w:h="11907" w:orient="landscape"/>
          <w:pgMar w:top="1440" w:right="1797" w:bottom="1440" w:left="1797" w:header="851" w:footer="850" w:gutter="0"/>
          <w:cols w:space="720" w:num="1"/>
          <w:docGrid w:linePitch="312" w:charSpace="0"/>
        </w:sectPr>
      </w:pPr>
    </w:p>
    <w:p>
      <w:pPr>
        <w:widowControl/>
        <w:spacing w:line="480" w:lineRule="exact"/>
        <w:outlineLvl w:val="3"/>
        <w:rPr>
          <w:rFonts w:ascii="Times New Roman" w:hAnsi="Times New Roman" w:eastAsia="黑体"/>
          <w:sz w:val="24"/>
        </w:rPr>
      </w:pPr>
      <w:r>
        <w:rPr>
          <w:rFonts w:ascii="Times New Roman" w:hAnsi="Times New Roman" w:eastAsia="黑体"/>
          <w:sz w:val="24"/>
        </w:rPr>
        <w:t>5.2.3.2.项目参数</w:t>
      </w:r>
    </w:p>
    <w:p>
      <w:pPr>
        <w:pStyle w:val="155"/>
        <w:spacing w:line="480" w:lineRule="exact"/>
        <w:ind w:firstLine="480"/>
      </w:pPr>
      <w:r>
        <w:t>估算模式所用参数见表5.2-4。</w:t>
      </w:r>
    </w:p>
    <w:p>
      <w:pPr>
        <w:adjustRightInd w:val="0"/>
        <w:snapToGrid w:val="0"/>
        <w:spacing w:line="480" w:lineRule="exact"/>
        <w:jc w:val="center"/>
        <w:rPr>
          <w:rFonts w:ascii="Times New Roman" w:hAnsi="Times New Roman"/>
          <w:b/>
        </w:rPr>
      </w:pPr>
      <w:r>
        <w:rPr>
          <w:rFonts w:ascii="Times New Roman" w:hAnsi="Times New Roman"/>
          <w:b/>
        </w:rPr>
        <w:t>表5.2-4 估算模型参数表</w:t>
      </w:r>
    </w:p>
    <w:tbl>
      <w:tblPr>
        <w:tblStyle w:val="7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53"/>
        <w:gridCol w:w="1469"/>
        <w:gridCol w:w="1245"/>
        <w:gridCol w:w="456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595" w:type="pct"/>
            <w:gridSpan w:val="2"/>
            <w:tcBorders>
              <w:top w:val="single" w:color="auto" w:sz="12" w:space="0"/>
            </w:tcBorders>
            <w:vAlign w:val="center"/>
          </w:tcPr>
          <w:p>
            <w:pPr>
              <w:rPr>
                <w:rFonts w:ascii="Times New Roman" w:hAnsi="Times New Roman"/>
                <w:b/>
              </w:rPr>
            </w:pPr>
            <w:r>
              <w:rPr>
                <w:rFonts w:ascii="Times New Roman" w:hAnsi="Times New Roman"/>
                <w:b/>
              </w:rPr>
              <w:t>参数</w:t>
            </w:r>
          </w:p>
        </w:tc>
        <w:tc>
          <w:tcPr>
            <w:tcW w:w="729" w:type="pct"/>
            <w:tcBorders>
              <w:top w:val="single" w:color="auto" w:sz="12" w:space="0"/>
            </w:tcBorders>
            <w:vAlign w:val="center"/>
          </w:tcPr>
          <w:p>
            <w:pPr>
              <w:rPr>
                <w:rFonts w:ascii="Times New Roman" w:hAnsi="Times New Roman"/>
                <w:b/>
              </w:rPr>
            </w:pPr>
            <w:r>
              <w:rPr>
                <w:rFonts w:ascii="Times New Roman" w:hAnsi="Times New Roman"/>
                <w:b/>
              </w:rPr>
              <w:t>取值</w:t>
            </w:r>
          </w:p>
        </w:tc>
        <w:tc>
          <w:tcPr>
            <w:tcW w:w="2674" w:type="pct"/>
            <w:tcBorders>
              <w:top w:val="single" w:color="auto" w:sz="12" w:space="0"/>
            </w:tcBorders>
            <w:vAlign w:val="center"/>
          </w:tcPr>
          <w:p>
            <w:pPr>
              <w:rPr>
                <w:rFonts w:ascii="Times New Roman" w:hAnsi="Times New Roman"/>
                <w:b/>
              </w:rPr>
            </w:pPr>
            <w:r>
              <w:rPr>
                <w:rFonts w:ascii="Times New Roman" w:hAnsi="Times New Roman"/>
                <w:b/>
              </w:rPr>
              <w:t>参数选取依据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34" w:type="pct"/>
            <w:vMerge w:val="restart"/>
            <w:vAlign w:val="center"/>
          </w:tcPr>
          <w:p>
            <w:pPr>
              <w:rPr>
                <w:rFonts w:ascii="Times New Roman" w:hAnsi="Times New Roman"/>
              </w:rPr>
            </w:pPr>
            <w:r>
              <w:rPr>
                <w:rFonts w:ascii="Times New Roman" w:hAnsi="Times New Roman"/>
              </w:rPr>
              <w:t>城市农村/选项</w:t>
            </w:r>
          </w:p>
        </w:tc>
        <w:tc>
          <w:tcPr>
            <w:tcW w:w="861" w:type="pct"/>
            <w:vAlign w:val="center"/>
          </w:tcPr>
          <w:p>
            <w:pPr>
              <w:rPr>
                <w:rFonts w:ascii="Times New Roman" w:hAnsi="Times New Roman"/>
              </w:rPr>
            </w:pPr>
            <w:r>
              <w:rPr>
                <w:rFonts w:ascii="Times New Roman" w:hAnsi="Times New Roman"/>
              </w:rPr>
              <w:t>城市/农村</w:t>
            </w:r>
          </w:p>
        </w:tc>
        <w:tc>
          <w:tcPr>
            <w:tcW w:w="729" w:type="pct"/>
            <w:vAlign w:val="center"/>
          </w:tcPr>
          <w:p>
            <w:pPr>
              <w:jc w:val="center"/>
              <w:rPr>
                <w:rFonts w:ascii="Times New Roman" w:hAnsi="Times New Roman"/>
              </w:rPr>
            </w:pPr>
            <w:r>
              <w:rPr>
                <w:rFonts w:ascii="Times New Roman" w:hAnsi="Times New Roman"/>
              </w:rPr>
              <w:t>农村</w:t>
            </w:r>
          </w:p>
        </w:tc>
        <w:tc>
          <w:tcPr>
            <w:tcW w:w="2674" w:type="pct"/>
            <w:vAlign w:val="center"/>
          </w:tcPr>
          <w:p>
            <w:pPr>
              <w:rPr>
                <w:rFonts w:ascii="Times New Roman" w:hAnsi="Times New Roman"/>
              </w:rPr>
            </w:pPr>
            <w:r>
              <w:rPr>
                <w:rFonts w:ascii="Times New Roman" w:hAnsi="Times New Roman"/>
              </w:rPr>
              <w:t>根据《环境影响评价技术导则 大气环境》（HJ2.2-2018）附录B中B.6.1城市/农村选项：“当项目周边3km半径范围内一半以上面积属于城市建成区或者规划区时，选择城市，否则选择农村”。根据对本项目厂址周边3km半径范围内的用地性质调查结果，项目周边3km半径范围内一半以上面积属于农村，故本次评价选取农村选项</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34" w:type="pct"/>
            <w:vMerge w:val="continue"/>
            <w:vAlign w:val="center"/>
          </w:tcPr>
          <w:p>
            <w:pPr>
              <w:rPr>
                <w:rFonts w:ascii="Times New Roman" w:hAnsi="Times New Roman"/>
              </w:rPr>
            </w:pPr>
          </w:p>
        </w:tc>
        <w:tc>
          <w:tcPr>
            <w:tcW w:w="861" w:type="pct"/>
            <w:vAlign w:val="center"/>
          </w:tcPr>
          <w:p>
            <w:pPr>
              <w:rPr>
                <w:rFonts w:ascii="Times New Roman" w:hAnsi="Times New Roman"/>
              </w:rPr>
            </w:pPr>
            <w:r>
              <w:rPr>
                <w:rFonts w:ascii="Times New Roman" w:hAnsi="Times New Roman"/>
              </w:rPr>
              <w:t>人口数（城市人口数）</w:t>
            </w:r>
          </w:p>
        </w:tc>
        <w:tc>
          <w:tcPr>
            <w:tcW w:w="729" w:type="pct"/>
            <w:vAlign w:val="center"/>
          </w:tcPr>
          <w:p>
            <w:pPr>
              <w:jc w:val="center"/>
              <w:rPr>
                <w:rFonts w:ascii="Times New Roman" w:hAnsi="Times New Roman"/>
              </w:rPr>
            </w:pPr>
            <w:r>
              <w:rPr>
                <w:rFonts w:ascii="Times New Roman" w:hAnsi="Times New Roman"/>
              </w:rPr>
              <w:t>/</w:t>
            </w:r>
          </w:p>
        </w:tc>
        <w:tc>
          <w:tcPr>
            <w:tcW w:w="2674" w:type="pct"/>
            <w:vAlign w:val="center"/>
          </w:tcPr>
          <w:p>
            <w:pPr>
              <w:rPr>
                <w:rFonts w:ascii="Times New Roman" w:hAnsi="Times New Roman"/>
              </w:rPr>
            </w:pPr>
            <w:r>
              <w:rPr>
                <w:rFonts w:ascii="Times New Roman" w:hAnsi="Times New Roma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595" w:type="pct"/>
            <w:gridSpan w:val="2"/>
            <w:vAlign w:val="center"/>
          </w:tcPr>
          <w:p>
            <w:pPr>
              <w:rPr>
                <w:rFonts w:ascii="Times New Roman" w:hAnsi="Times New Roman"/>
              </w:rPr>
            </w:pPr>
            <w:r>
              <w:rPr>
                <w:rFonts w:ascii="Times New Roman" w:hAnsi="Times New Roman"/>
              </w:rPr>
              <w:t>最高环境温度</w:t>
            </w:r>
          </w:p>
        </w:tc>
        <w:tc>
          <w:tcPr>
            <w:tcW w:w="729" w:type="pct"/>
            <w:vAlign w:val="center"/>
          </w:tcPr>
          <w:p>
            <w:pPr>
              <w:jc w:val="center"/>
              <w:rPr>
                <w:rFonts w:ascii="Times New Roman" w:hAnsi="Times New Roman"/>
              </w:rPr>
            </w:pPr>
            <w:r>
              <w:rPr>
                <w:rFonts w:ascii="Times New Roman" w:hAnsi="Times New Roman"/>
              </w:rPr>
              <w:t>36.3°C</w:t>
            </w:r>
          </w:p>
        </w:tc>
        <w:tc>
          <w:tcPr>
            <w:tcW w:w="2674" w:type="pct"/>
            <w:vMerge w:val="restart"/>
            <w:vAlign w:val="center"/>
          </w:tcPr>
          <w:p>
            <w:pPr>
              <w:rPr>
                <w:rFonts w:ascii="Times New Roman" w:hAnsi="Times New Roman"/>
              </w:rPr>
            </w:pPr>
            <w:r>
              <w:rPr>
                <w:rFonts w:ascii="Times New Roman" w:hAnsi="Times New Roman"/>
              </w:rPr>
              <w:t>最高环境温度及最低环境温度取值来源于双鸭山市气象站二十年气象数据统计结果</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595" w:type="pct"/>
            <w:gridSpan w:val="2"/>
            <w:vAlign w:val="center"/>
          </w:tcPr>
          <w:p>
            <w:pPr>
              <w:rPr>
                <w:rFonts w:ascii="Times New Roman" w:hAnsi="Times New Roman"/>
              </w:rPr>
            </w:pPr>
            <w:r>
              <w:rPr>
                <w:rFonts w:ascii="Times New Roman" w:hAnsi="Times New Roman"/>
              </w:rPr>
              <w:t>最低环境温度</w:t>
            </w:r>
          </w:p>
        </w:tc>
        <w:tc>
          <w:tcPr>
            <w:tcW w:w="729" w:type="pct"/>
            <w:vAlign w:val="center"/>
          </w:tcPr>
          <w:p>
            <w:pPr>
              <w:jc w:val="center"/>
              <w:rPr>
                <w:rFonts w:ascii="Times New Roman" w:hAnsi="Times New Roman"/>
              </w:rPr>
            </w:pPr>
            <w:r>
              <w:rPr>
                <w:rFonts w:ascii="Times New Roman" w:hAnsi="Times New Roman"/>
              </w:rPr>
              <w:t>-42.4°C</w:t>
            </w:r>
          </w:p>
        </w:tc>
        <w:tc>
          <w:tcPr>
            <w:tcW w:w="2674" w:type="pct"/>
            <w:vMerge w:val="continue"/>
            <w:vAlign w:val="center"/>
          </w:tcPr>
          <w:p>
            <w:pPr>
              <w:rPr>
                <w:rFonts w:ascii="Times New Roman" w:hAnsi="Times New Roma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595" w:type="pct"/>
            <w:gridSpan w:val="2"/>
            <w:vAlign w:val="center"/>
          </w:tcPr>
          <w:p>
            <w:pPr>
              <w:rPr>
                <w:rFonts w:ascii="Times New Roman" w:hAnsi="Times New Roman"/>
              </w:rPr>
            </w:pPr>
            <w:r>
              <w:rPr>
                <w:rFonts w:ascii="Times New Roman" w:hAnsi="Times New Roman"/>
              </w:rPr>
              <w:t>土地利用类型</w:t>
            </w:r>
          </w:p>
        </w:tc>
        <w:tc>
          <w:tcPr>
            <w:tcW w:w="729" w:type="pct"/>
            <w:vAlign w:val="center"/>
          </w:tcPr>
          <w:p>
            <w:pPr>
              <w:jc w:val="center"/>
              <w:rPr>
                <w:rFonts w:ascii="Times New Roman" w:hAnsi="Times New Roman"/>
              </w:rPr>
            </w:pPr>
            <w:r>
              <w:rPr>
                <w:rFonts w:hint="eastAsia" w:ascii="Times New Roman" w:hAnsi="Times New Roman"/>
              </w:rPr>
              <w:t>农村</w:t>
            </w:r>
          </w:p>
        </w:tc>
        <w:tc>
          <w:tcPr>
            <w:tcW w:w="2674" w:type="pct"/>
            <w:vAlign w:val="center"/>
          </w:tcPr>
          <w:p>
            <w:pPr>
              <w:rPr>
                <w:rFonts w:ascii="Times New Roman" w:hAnsi="Times New Roman"/>
              </w:rPr>
            </w:pPr>
            <w:r>
              <w:rPr>
                <w:rFonts w:ascii="Times New Roman" w:hAnsi="Times New Roma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595" w:type="pct"/>
            <w:gridSpan w:val="2"/>
            <w:vAlign w:val="center"/>
          </w:tcPr>
          <w:p>
            <w:pPr>
              <w:rPr>
                <w:rFonts w:ascii="Times New Roman" w:hAnsi="Times New Roman"/>
              </w:rPr>
            </w:pPr>
            <w:r>
              <w:rPr>
                <w:rFonts w:ascii="Times New Roman" w:hAnsi="Times New Roman"/>
              </w:rPr>
              <w:t>区域湿度条件</w:t>
            </w:r>
          </w:p>
        </w:tc>
        <w:tc>
          <w:tcPr>
            <w:tcW w:w="729" w:type="pct"/>
            <w:vAlign w:val="center"/>
          </w:tcPr>
          <w:p>
            <w:pPr>
              <w:jc w:val="center"/>
              <w:rPr>
                <w:rFonts w:ascii="Times New Roman" w:hAnsi="Times New Roman"/>
              </w:rPr>
            </w:pPr>
            <w:r>
              <w:rPr>
                <w:rFonts w:hint="eastAsia" w:ascii="Times New Roman" w:hAnsi="Times New Roman"/>
              </w:rPr>
              <w:t>湿润</w:t>
            </w:r>
          </w:p>
        </w:tc>
        <w:tc>
          <w:tcPr>
            <w:tcW w:w="2674" w:type="pct"/>
            <w:vAlign w:val="center"/>
          </w:tcPr>
          <w:p>
            <w:pPr>
              <w:rPr>
                <w:rFonts w:ascii="Times New Roman" w:hAnsi="Times New Roman"/>
              </w:rPr>
            </w:pPr>
            <w:r>
              <w:rPr>
                <w:rFonts w:ascii="Times New Roman" w:hAnsi="Times New Roman"/>
              </w:rPr>
              <w:t>根据中国干湿地区划分图判断，本项目属于中等湿润气候</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34" w:type="pct"/>
            <w:vMerge w:val="restart"/>
            <w:vAlign w:val="center"/>
          </w:tcPr>
          <w:p>
            <w:pPr>
              <w:rPr>
                <w:rFonts w:ascii="Times New Roman" w:hAnsi="Times New Roman"/>
              </w:rPr>
            </w:pPr>
            <w:r>
              <w:rPr>
                <w:rFonts w:ascii="Times New Roman" w:hAnsi="Times New Roman"/>
              </w:rPr>
              <w:t>是否考虑地形</w:t>
            </w:r>
          </w:p>
        </w:tc>
        <w:tc>
          <w:tcPr>
            <w:tcW w:w="861" w:type="pct"/>
            <w:vAlign w:val="center"/>
          </w:tcPr>
          <w:p>
            <w:pPr>
              <w:rPr>
                <w:rFonts w:ascii="Times New Roman" w:hAnsi="Times New Roman"/>
              </w:rPr>
            </w:pPr>
            <w:r>
              <w:rPr>
                <w:rFonts w:ascii="Times New Roman" w:hAnsi="Times New Roman"/>
              </w:rPr>
              <w:t>考虑地形</w:t>
            </w:r>
          </w:p>
        </w:tc>
        <w:tc>
          <w:tcPr>
            <w:tcW w:w="729" w:type="pct"/>
            <w:vAlign w:val="center"/>
          </w:tcPr>
          <w:p>
            <w:pPr>
              <w:jc w:val="center"/>
              <w:rPr>
                <w:rFonts w:ascii="Times New Roman" w:hAnsi="Times New Roman"/>
              </w:rPr>
            </w:pPr>
            <w:r>
              <w:rPr>
                <w:rFonts w:ascii="Times New Roman" w:hAnsi="Times New Roman"/>
              </w:rPr>
              <w:t>是</w:t>
            </w:r>
          </w:p>
        </w:tc>
        <w:tc>
          <w:tcPr>
            <w:tcW w:w="2674" w:type="pct"/>
            <w:vAlign w:val="center"/>
          </w:tcPr>
          <w:p>
            <w:pPr>
              <w:rPr>
                <w:rFonts w:ascii="Times New Roman" w:hAnsi="Times New Roman"/>
              </w:rPr>
            </w:pPr>
            <w:r>
              <w:rPr>
                <w:rFonts w:ascii="Times New Roman" w:hAnsi="Times New Roman"/>
              </w:rPr>
              <w:t>根据《环境影响评价技术导则 大气环境》（HJ2.2-2018）中5.3.2.2：“编制环境影响报告书的项目在采用估算模型计算评价等级时，应输入地形参数”。故本次评价考虑地形</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34" w:type="pct"/>
            <w:vMerge w:val="continue"/>
            <w:vAlign w:val="center"/>
          </w:tcPr>
          <w:p>
            <w:pPr>
              <w:rPr>
                <w:rFonts w:ascii="Times New Roman" w:hAnsi="Times New Roman"/>
              </w:rPr>
            </w:pPr>
          </w:p>
        </w:tc>
        <w:tc>
          <w:tcPr>
            <w:tcW w:w="861" w:type="pct"/>
            <w:vAlign w:val="center"/>
          </w:tcPr>
          <w:p>
            <w:pPr>
              <w:rPr>
                <w:rFonts w:ascii="Times New Roman" w:hAnsi="Times New Roman"/>
              </w:rPr>
            </w:pPr>
            <w:r>
              <w:rPr>
                <w:rFonts w:ascii="Times New Roman" w:hAnsi="Times New Roman"/>
              </w:rPr>
              <w:t>地形数据分辨率（m）</w:t>
            </w:r>
          </w:p>
        </w:tc>
        <w:tc>
          <w:tcPr>
            <w:tcW w:w="729" w:type="pct"/>
            <w:vAlign w:val="center"/>
          </w:tcPr>
          <w:p>
            <w:pPr>
              <w:jc w:val="center"/>
              <w:rPr>
                <w:rFonts w:ascii="Times New Roman" w:hAnsi="Times New Roman"/>
              </w:rPr>
            </w:pPr>
            <w:r>
              <w:rPr>
                <w:rFonts w:ascii="Times New Roman" w:hAnsi="Times New Roman"/>
              </w:rPr>
              <w:t>90</w:t>
            </w:r>
          </w:p>
        </w:tc>
        <w:tc>
          <w:tcPr>
            <w:tcW w:w="2674" w:type="pct"/>
            <w:vAlign w:val="center"/>
          </w:tcPr>
          <w:p>
            <w:pPr>
              <w:rPr>
                <w:rFonts w:ascii="Times New Roman" w:hAnsi="Times New Roman"/>
              </w:rPr>
            </w:pPr>
            <w:r>
              <w:rPr>
                <w:rFonts w:ascii="Times New Roman" w:hAnsi="Times New Roman"/>
              </w:rPr>
              <w:t>根据EIA2018大气预测软件的DEM地形文件，地形数据分辨率90m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34" w:type="pct"/>
            <w:vMerge w:val="restart"/>
            <w:vAlign w:val="center"/>
          </w:tcPr>
          <w:p>
            <w:pPr>
              <w:rPr>
                <w:rFonts w:ascii="Times New Roman" w:hAnsi="Times New Roman"/>
              </w:rPr>
            </w:pPr>
            <w:r>
              <w:rPr>
                <w:rFonts w:ascii="Times New Roman" w:hAnsi="Times New Roman"/>
              </w:rPr>
              <w:t>是否考虑海岸线熏烟</w:t>
            </w:r>
          </w:p>
        </w:tc>
        <w:tc>
          <w:tcPr>
            <w:tcW w:w="861" w:type="pct"/>
            <w:vAlign w:val="center"/>
          </w:tcPr>
          <w:p>
            <w:pPr>
              <w:rPr>
                <w:rFonts w:ascii="Times New Roman" w:hAnsi="Times New Roman"/>
              </w:rPr>
            </w:pPr>
            <w:r>
              <w:rPr>
                <w:rFonts w:ascii="Times New Roman" w:hAnsi="Times New Roman"/>
              </w:rPr>
              <w:t>考虑海岸线熏烟</w:t>
            </w:r>
          </w:p>
        </w:tc>
        <w:tc>
          <w:tcPr>
            <w:tcW w:w="729" w:type="pct"/>
            <w:vAlign w:val="center"/>
          </w:tcPr>
          <w:p>
            <w:pPr>
              <w:jc w:val="center"/>
              <w:rPr>
                <w:rFonts w:ascii="Times New Roman" w:hAnsi="Times New Roman"/>
              </w:rPr>
            </w:pPr>
            <w:r>
              <w:rPr>
                <w:rFonts w:ascii="Times New Roman" w:hAnsi="Times New Roman"/>
              </w:rPr>
              <w:t>否</w:t>
            </w:r>
          </w:p>
        </w:tc>
        <w:tc>
          <w:tcPr>
            <w:tcW w:w="2674" w:type="pct"/>
            <w:vAlign w:val="center"/>
          </w:tcPr>
          <w:p>
            <w:pPr>
              <w:rPr>
                <w:rFonts w:ascii="Times New Roman" w:hAnsi="Times New Roman"/>
              </w:rPr>
            </w:pPr>
            <w:r>
              <w:rPr>
                <w:rFonts w:ascii="Times New Roman" w:hAnsi="Times New Roman"/>
              </w:rPr>
              <w:t>根据《环境影响评价技术导则 大气环境》（HJ2.2-2018）附录B中B.6.2岸边熏烟选项：“对估算模型AERSCREEN，当污染源附近3km范围内有大型水体时，需选择岸边熏烟选项”。本项目附近3km范围内无大型水体，故不考虑岸边熏烟</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34" w:type="pct"/>
            <w:vMerge w:val="continue"/>
            <w:vAlign w:val="center"/>
          </w:tcPr>
          <w:p>
            <w:pPr>
              <w:rPr>
                <w:rFonts w:ascii="Times New Roman" w:hAnsi="Times New Roman"/>
              </w:rPr>
            </w:pPr>
          </w:p>
        </w:tc>
        <w:tc>
          <w:tcPr>
            <w:tcW w:w="861" w:type="pct"/>
            <w:vAlign w:val="center"/>
          </w:tcPr>
          <w:p>
            <w:pPr>
              <w:rPr>
                <w:rFonts w:ascii="Times New Roman" w:hAnsi="Times New Roman"/>
              </w:rPr>
            </w:pPr>
            <w:r>
              <w:rPr>
                <w:rFonts w:ascii="Times New Roman" w:hAnsi="Times New Roman"/>
              </w:rPr>
              <w:t>海岸线距离/km</w:t>
            </w:r>
          </w:p>
        </w:tc>
        <w:tc>
          <w:tcPr>
            <w:tcW w:w="729" w:type="pct"/>
            <w:vAlign w:val="center"/>
          </w:tcPr>
          <w:p>
            <w:pPr>
              <w:rPr>
                <w:rFonts w:ascii="Times New Roman" w:hAnsi="Times New Roman"/>
              </w:rPr>
            </w:pPr>
            <w:r>
              <w:rPr>
                <w:rFonts w:ascii="Times New Roman" w:hAnsi="Times New Roman"/>
              </w:rPr>
              <w:t>/</w:t>
            </w:r>
          </w:p>
        </w:tc>
        <w:tc>
          <w:tcPr>
            <w:tcW w:w="2674" w:type="pct"/>
            <w:vAlign w:val="center"/>
          </w:tcPr>
          <w:p>
            <w:pPr>
              <w:rPr>
                <w:rFonts w:ascii="Times New Roman" w:hAnsi="Times New Roman"/>
              </w:rPr>
            </w:pPr>
            <w:r>
              <w:rPr>
                <w:rFonts w:ascii="Times New Roman" w:hAnsi="Times New Roma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34" w:type="pct"/>
            <w:vMerge w:val="continue"/>
            <w:tcBorders>
              <w:bottom w:val="single" w:color="auto" w:sz="12" w:space="0"/>
            </w:tcBorders>
            <w:vAlign w:val="center"/>
          </w:tcPr>
          <w:p>
            <w:pPr>
              <w:rPr>
                <w:rFonts w:ascii="Times New Roman" w:hAnsi="Times New Roman"/>
              </w:rPr>
            </w:pPr>
          </w:p>
        </w:tc>
        <w:tc>
          <w:tcPr>
            <w:tcW w:w="861" w:type="pct"/>
            <w:tcBorders>
              <w:bottom w:val="single" w:color="auto" w:sz="12" w:space="0"/>
            </w:tcBorders>
            <w:vAlign w:val="center"/>
          </w:tcPr>
          <w:p>
            <w:pPr>
              <w:rPr>
                <w:rFonts w:ascii="Times New Roman" w:hAnsi="Times New Roman"/>
              </w:rPr>
            </w:pPr>
            <w:r>
              <w:rPr>
                <w:rFonts w:ascii="Times New Roman" w:hAnsi="Times New Roman"/>
              </w:rPr>
              <w:t>海岸线方向/</w:t>
            </w:r>
            <w:r>
              <w:rPr>
                <w:rFonts w:ascii="Times New Roman" w:hAnsi="Times New Roman"/>
                <w:vertAlign w:val="superscript"/>
              </w:rPr>
              <w:t>o</w:t>
            </w:r>
          </w:p>
        </w:tc>
        <w:tc>
          <w:tcPr>
            <w:tcW w:w="729" w:type="pct"/>
            <w:tcBorders>
              <w:bottom w:val="single" w:color="auto" w:sz="12" w:space="0"/>
            </w:tcBorders>
            <w:vAlign w:val="center"/>
          </w:tcPr>
          <w:p>
            <w:pPr>
              <w:rPr>
                <w:rFonts w:ascii="Times New Roman" w:hAnsi="Times New Roman"/>
              </w:rPr>
            </w:pPr>
            <w:r>
              <w:rPr>
                <w:rFonts w:ascii="Times New Roman" w:hAnsi="Times New Roman"/>
              </w:rPr>
              <w:t>/</w:t>
            </w:r>
          </w:p>
        </w:tc>
        <w:tc>
          <w:tcPr>
            <w:tcW w:w="2674" w:type="pct"/>
            <w:tcBorders>
              <w:bottom w:val="single" w:color="auto" w:sz="12" w:space="0"/>
            </w:tcBorders>
            <w:vAlign w:val="center"/>
          </w:tcPr>
          <w:p>
            <w:pPr>
              <w:rPr>
                <w:rFonts w:ascii="Times New Roman" w:hAnsi="Times New Roman"/>
              </w:rPr>
            </w:pPr>
            <w:r>
              <w:rPr>
                <w:rFonts w:ascii="Times New Roman" w:hAnsi="Times New Roman"/>
              </w:rPr>
              <w:t>/</w:t>
            </w:r>
          </w:p>
        </w:tc>
      </w:tr>
    </w:tbl>
    <w:p>
      <w:pPr>
        <w:widowControl/>
        <w:spacing w:line="480" w:lineRule="exact"/>
        <w:outlineLvl w:val="3"/>
        <w:rPr>
          <w:rFonts w:ascii="Times New Roman" w:hAnsi="Times New Roman" w:eastAsia="黑体"/>
          <w:sz w:val="24"/>
        </w:rPr>
      </w:pPr>
      <w:r>
        <w:rPr>
          <w:rFonts w:ascii="Times New Roman" w:hAnsi="Times New Roman" w:eastAsia="黑体"/>
          <w:sz w:val="24"/>
        </w:rPr>
        <w:t>5.2.3.3.估算模式预测结果</w:t>
      </w:r>
    </w:p>
    <w:p>
      <w:pPr>
        <w:pStyle w:val="155"/>
        <w:spacing w:line="480" w:lineRule="exact"/>
        <w:ind w:firstLine="480"/>
      </w:pPr>
      <w:r>
        <w:t>（1）正常工况</w:t>
      </w:r>
    </w:p>
    <w:p>
      <w:pPr>
        <w:pStyle w:val="155"/>
        <w:spacing w:line="480" w:lineRule="exact"/>
        <w:ind w:firstLine="480"/>
      </w:pPr>
      <w:r>
        <w:t>本项目正常工况下有组织污染源估算模式预测结果见表5.2-5。</w:t>
      </w:r>
    </w:p>
    <w:p>
      <w:pPr>
        <w:pStyle w:val="155"/>
        <w:spacing w:line="480" w:lineRule="exact"/>
        <w:ind w:firstLine="480"/>
      </w:pPr>
      <w:r>
        <w:t>（2）非正常工况</w:t>
      </w:r>
    </w:p>
    <w:p>
      <w:pPr>
        <w:pStyle w:val="155"/>
        <w:spacing w:line="480" w:lineRule="exact"/>
        <w:ind w:firstLine="480"/>
      </w:pPr>
      <w:r>
        <w:t>根据《环境影响评价技术导则 大气环境》（HJ2.2-2018）中关于不同评价工作等级预测与评价内容的相关要求，对于一级评价的项目，应采用进一步预测模型开展预测与评价，内容包括正常排放条件下和非正常排放条件下环境空气保护目标与网格点的浓度贡献值及最大占标率。对于二级评价的项目，不进行进一步预测与评价，仅对污染物排放量进行核算（包括有组织、无组织排放量、大气污染物年排放量以及非正常排放量）。本项目大气影响评价级别为二级，可不进行非正常工况的预测分析。</w:t>
      </w:r>
    </w:p>
    <w:p>
      <w:pPr>
        <w:adjustRightInd w:val="0"/>
        <w:snapToGrid w:val="0"/>
        <w:spacing w:line="480" w:lineRule="exact"/>
        <w:jc w:val="center"/>
        <w:rPr>
          <w:rFonts w:ascii="Times New Roman" w:hAnsi="Times New Roman"/>
          <w:b/>
        </w:rPr>
      </w:pPr>
      <w:r>
        <w:rPr>
          <w:rFonts w:ascii="Times New Roman" w:hAnsi="Times New Roman"/>
          <w:b/>
        </w:rPr>
        <w:t>表5.2-5 正常工况</w:t>
      </w:r>
      <w:r>
        <w:rPr>
          <w:rFonts w:hint="eastAsia" w:ascii="Times New Roman" w:hAnsi="Times New Roman"/>
          <w:b/>
        </w:rPr>
        <w:t>高温干热灭菌系统排气筒</w:t>
      </w:r>
      <w:r>
        <w:rPr>
          <w:rFonts w:ascii="Times New Roman" w:hAnsi="Times New Roman"/>
          <w:b/>
        </w:rPr>
        <w:t>估算模式预测结果表</w:t>
      </w:r>
    </w:p>
    <w:tbl>
      <w:tblPr>
        <w:tblStyle w:val="573"/>
        <w:tblW w:w="852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328"/>
        <w:gridCol w:w="1173"/>
        <w:gridCol w:w="1174"/>
        <w:gridCol w:w="1252"/>
        <w:gridCol w:w="1252"/>
        <w:gridCol w:w="1174"/>
        <w:gridCol w:w="117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Merge w:val="restart"/>
            <w:vAlign w:val="center"/>
          </w:tcPr>
          <w:p>
            <w:pPr>
              <w:spacing w:line="240" w:lineRule="atLeast"/>
              <w:jc w:val="center"/>
              <w:rPr>
                <w:rFonts w:ascii="Times New Roman" w:hAnsi="Times New Roman"/>
                <w:kern w:val="2"/>
              </w:rPr>
            </w:pPr>
            <w:r>
              <w:rPr>
                <w:rFonts w:hint="eastAsia" w:ascii="Times New Roman" w:hAnsi="Times New Roman"/>
                <w:kern w:val="2"/>
              </w:rPr>
              <w:t>下风向距离</w:t>
            </w:r>
          </w:p>
        </w:tc>
        <w:tc>
          <w:tcPr>
            <w:tcW w:w="6" w:type="dxa"/>
            <w:gridSpan w:val="6"/>
            <w:vAlign w:val="center"/>
          </w:tcPr>
          <w:p>
            <w:pPr>
              <w:spacing w:line="240" w:lineRule="atLeast"/>
              <w:jc w:val="center"/>
              <w:rPr>
                <w:rFonts w:ascii="Times New Roman" w:hAnsi="Times New Roman"/>
                <w:kern w:val="2"/>
              </w:rPr>
            </w:pPr>
            <w:r>
              <w:rPr>
                <w:rFonts w:hint="eastAsia" w:ascii="Times New Roman" w:hAnsi="Times New Roman"/>
                <w:kern w:val="2"/>
              </w:rPr>
              <w:t>高温干热系统废气</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0" w:type="auto"/>
            <w:vMerge w:val="continue"/>
            <w:vAlign w:val="center"/>
          </w:tcPr>
          <w:p>
            <w:pPr>
              <w:spacing w:line="240" w:lineRule="atLeast"/>
              <w:jc w:val="center"/>
              <w:rPr>
                <w:rFonts w:ascii="Times New Roman" w:hAnsi="Times New Roman"/>
                <w:kern w:val="2"/>
              </w:rPr>
            </w:pP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PM</w:t>
            </w:r>
            <w:r>
              <w:rPr>
                <w:rFonts w:hint="eastAsia" w:ascii="Times New Roman" w:hAnsi="Times New Roman"/>
                <w:kern w:val="2"/>
                <w:vertAlign w:val="subscript"/>
              </w:rPr>
              <w:t>10</w:t>
            </w:r>
            <w:r>
              <w:rPr>
                <w:rFonts w:hint="eastAsia" w:ascii="Times New Roman" w:hAnsi="Times New Roman"/>
                <w:kern w:val="2"/>
              </w:rPr>
              <w:t>浓度(μg/m³)</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PM</w:t>
            </w:r>
            <w:r>
              <w:rPr>
                <w:rFonts w:hint="eastAsia" w:ascii="Times New Roman" w:hAnsi="Times New Roman"/>
                <w:kern w:val="2"/>
                <w:vertAlign w:val="subscript"/>
              </w:rPr>
              <w:t>10</w:t>
            </w:r>
            <w:r>
              <w:rPr>
                <w:rFonts w:hint="eastAsia" w:ascii="Times New Roman" w:hAnsi="Times New Roman"/>
                <w:kern w:val="2"/>
              </w:rPr>
              <w:t>占标率(%)</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NMHC浓度(μg/m³)</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NMHC占标率(%)</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NH</w:t>
            </w:r>
            <w:r>
              <w:rPr>
                <w:rFonts w:hint="eastAsia" w:ascii="Times New Roman" w:hAnsi="Times New Roman"/>
                <w:kern w:val="2"/>
                <w:vertAlign w:val="subscript"/>
              </w:rPr>
              <w:t>3</w:t>
            </w:r>
            <w:r>
              <w:rPr>
                <w:rFonts w:hint="eastAsia" w:ascii="Times New Roman" w:hAnsi="Times New Roman"/>
                <w:kern w:val="2"/>
              </w:rPr>
              <w:t>浓度(μg/m³)</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NH</w:t>
            </w:r>
            <w:r>
              <w:rPr>
                <w:rFonts w:hint="eastAsia" w:ascii="Times New Roman" w:hAnsi="Times New Roman"/>
                <w:kern w:val="2"/>
                <w:vertAlign w:val="subscript"/>
              </w:rPr>
              <w:t>3</w:t>
            </w:r>
            <w:r>
              <w:rPr>
                <w:rFonts w:hint="eastAsia" w:ascii="Times New Roman" w:hAnsi="Times New Roman"/>
                <w:kern w:val="2"/>
              </w:rPr>
              <w:t>占标率(%)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50.0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1.4722</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0.3272</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0.0463</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0.0023</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1.4722</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0.7361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2.2855</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0.5079</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0.0720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0.0036</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2.2855</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1.1427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200.0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4.6153</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1.0256</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0.1453</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0.0073</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4.6153</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2.3077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300.0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4.1228</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0.9162</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0.1298</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0.0065</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4.1228</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2.0614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400.0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2.9915</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0.6648</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0.0942</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0.0047</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2.9915</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1.4957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500.0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2.7136</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0.6030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0.0854</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0.0043</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2.7136</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1.3568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600.0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4.2017</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0.9337</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0.1323</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0.0066</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4.2017</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2.1008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700.0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3.6525</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0.8117</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0.1150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0.0057</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3.6525</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1.8263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800.0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3.2913</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0.7314</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0.1036</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0.0052</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3.2913</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1.6456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900.0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3.0430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0.6762</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0.0958</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0.0048</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3.0430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1.5215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1000.0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2.2881</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0.5085</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0.0720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0.0036</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2.2881</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1.1441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1200.0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2.2614</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0.5025</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0.0712</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0.0036</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2.2614</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1.1307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1400.0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2.0745</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0.4610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0.0653</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0.0033</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2.0745</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1.0373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1600.0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1.8551</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0.4122</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0.0584</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0.0029</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1.8551</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0.9275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1800.0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1.7524</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0.3894</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0.0552</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0.0028</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1.7524</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0.8762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2000.0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1.5834</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0.3519</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0.0498</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0.0025</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1.5834</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0.7917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2500.0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1.3231</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0.2940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0.0417</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0.0021</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1.3231</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0.6615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3000.0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0.9818</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0.2182</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0.0309</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0.0015</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0.9818</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0.4909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3500.0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0.9323</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0.2072</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0.0294</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0.0015</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0.9323</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0.4662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4000.0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0.8610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0.1913</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0.0271</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0.0014</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0.8610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0.4305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4500.0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0.7633</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0.1696</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0.0240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0.0012</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0.7633</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0.3817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5000.0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0.6909</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0.1535</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0.0218</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0.0011</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0.6909</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0.3455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10000.0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0.3113</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0.0692</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0.0098</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0.0005</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0.3113</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0.1556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11000.0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0.2608</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0.0580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0.0082</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0.0004</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0.2608</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0.1304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12000.0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0.2466</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0.0548</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0.0078</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0.0004</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0.2466</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0.1233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13000.0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0.2127</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0.0473</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0.0067</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0.0003</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0.2127</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0.1064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14000.0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0.2239</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0.0498</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0.0070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0.0004</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0.2239</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0.1120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15000.0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0.1496</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0.0332</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0.0047</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0.0002</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0.1496</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0.0748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20000.0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0.1020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0.0227</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0.0032</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0.0002</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0.1020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0.0510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25000.0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0.0655</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0.0146</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0.0021</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0.0001</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0.0655</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0.0328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下风向最大浓度</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8.2777</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1.8395</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0.2606</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0.0130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8.2777</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4.1388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下风向最大浓度出现距离</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142.0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142.0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142.0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142.0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142.0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142.0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D10%最远距离</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w:t>
            </w:r>
          </w:p>
        </w:tc>
      </w:tr>
    </w:tbl>
    <w:p>
      <w:pPr>
        <w:adjustRightInd w:val="0"/>
        <w:snapToGrid w:val="0"/>
        <w:spacing w:line="480" w:lineRule="exact"/>
        <w:jc w:val="center"/>
        <w:rPr>
          <w:rFonts w:ascii="Times New Roman" w:hAnsi="Times New Roman"/>
          <w:b/>
        </w:rPr>
      </w:pPr>
      <w:r>
        <w:rPr>
          <w:rFonts w:ascii="Times New Roman" w:hAnsi="Times New Roman"/>
          <w:b/>
        </w:rPr>
        <w:t>表5.2-5 正常工况</w:t>
      </w:r>
      <w:r>
        <w:rPr>
          <w:rFonts w:hint="eastAsia" w:ascii="Times New Roman" w:hAnsi="Times New Roman"/>
          <w:b/>
        </w:rPr>
        <w:t>高温干热灭菌系统排气筒</w:t>
      </w:r>
      <w:r>
        <w:rPr>
          <w:rFonts w:ascii="Times New Roman" w:hAnsi="Times New Roman"/>
          <w:b/>
        </w:rPr>
        <w:t>估算模式预测结果表</w:t>
      </w:r>
      <w:r>
        <w:rPr>
          <w:rFonts w:hint="eastAsia" w:ascii="Times New Roman" w:hAnsi="Times New Roman"/>
          <w:b/>
        </w:rPr>
        <w:t>(续</w:t>
      </w:r>
      <w:r>
        <w:rPr>
          <w:rFonts w:ascii="Times New Roman" w:hAnsi="Times New Roman"/>
          <w:b/>
        </w:rPr>
        <w:t>)</w:t>
      </w:r>
    </w:p>
    <w:tbl>
      <w:tblPr>
        <w:tblStyle w:val="573"/>
        <w:tblW w:w="852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353"/>
        <w:gridCol w:w="1195"/>
        <w:gridCol w:w="1195"/>
        <w:gridCol w:w="1196"/>
        <w:gridCol w:w="1196"/>
        <w:gridCol w:w="1196"/>
        <w:gridCol w:w="119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Merge w:val="restart"/>
            <w:vAlign w:val="center"/>
          </w:tcPr>
          <w:p>
            <w:pPr>
              <w:spacing w:line="240" w:lineRule="atLeast"/>
              <w:jc w:val="center"/>
              <w:rPr>
                <w:rFonts w:ascii="Times New Roman" w:hAnsi="Times New Roman"/>
                <w:kern w:val="2"/>
              </w:rPr>
            </w:pPr>
            <w:r>
              <w:rPr>
                <w:rFonts w:hint="eastAsia" w:ascii="Times New Roman" w:hAnsi="Times New Roman"/>
                <w:kern w:val="2"/>
              </w:rPr>
              <w:t>下风向距离</w:t>
            </w:r>
          </w:p>
        </w:tc>
        <w:tc>
          <w:tcPr>
            <w:tcW w:w="6" w:type="dxa"/>
            <w:gridSpan w:val="6"/>
            <w:vAlign w:val="center"/>
          </w:tcPr>
          <w:p>
            <w:pPr>
              <w:spacing w:line="240" w:lineRule="atLeast"/>
              <w:jc w:val="center"/>
              <w:rPr>
                <w:rFonts w:ascii="Times New Roman" w:hAnsi="Times New Roman"/>
                <w:kern w:val="2"/>
              </w:rPr>
            </w:pPr>
            <w:r>
              <w:rPr>
                <w:rFonts w:hint="eastAsia" w:ascii="Times New Roman" w:hAnsi="Times New Roman"/>
                <w:kern w:val="2"/>
              </w:rPr>
              <w:t>高温干热系统废气</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0" w:type="auto"/>
            <w:vMerge w:val="continue"/>
            <w:vAlign w:val="center"/>
          </w:tcPr>
          <w:p>
            <w:pPr>
              <w:spacing w:line="240" w:lineRule="atLeast"/>
              <w:jc w:val="center"/>
              <w:rPr>
                <w:rFonts w:ascii="Times New Roman" w:hAnsi="Times New Roman"/>
                <w:kern w:val="2"/>
              </w:rPr>
            </w:pP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H</w:t>
            </w:r>
            <w:r>
              <w:rPr>
                <w:rFonts w:hint="eastAsia" w:ascii="Times New Roman" w:hAnsi="Times New Roman"/>
                <w:kern w:val="2"/>
                <w:vertAlign w:val="subscript"/>
              </w:rPr>
              <w:t>2</w:t>
            </w:r>
            <w:r>
              <w:rPr>
                <w:rFonts w:hint="eastAsia" w:ascii="Times New Roman" w:hAnsi="Times New Roman"/>
                <w:kern w:val="2"/>
              </w:rPr>
              <w:t>S浓度(μg/m³)</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H</w:t>
            </w:r>
            <w:r>
              <w:rPr>
                <w:rFonts w:hint="eastAsia" w:ascii="Times New Roman" w:hAnsi="Times New Roman"/>
                <w:kern w:val="2"/>
                <w:vertAlign w:val="subscript"/>
              </w:rPr>
              <w:t>2</w:t>
            </w:r>
            <w:r>
              <w:rPr>
                <w:rFonts w:hint="eastAsia" w:ascii="Times New Roman" w:hAnsi="Times New Roman"/>
                <w:kern w:val="2"/>
              </w:rPr>
              <w:t>S占标率(%)</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SO</w:t>
            </w:r>
            <w:r>
              <w:rPr>
                <w:rFonts w:hint="eastAsia" w:ascii="Times New Roman" w:hAnsi="Times New Roman"/>
                <w:kern w:val="2"/>
                <w:vertAlign w:val="subscript"/>
              </w:rPr>
              <w:t>2</w:t>
            </w:r>
            <w:r>
              <w:rPr>
                <w:rFonts w:hint="eastAsia" w:ascii="Times New Roman" w:hAnsi="Times New Roman"/>
                <w:kern w:val="2"/>
              </w:rPr>
              <w:t>浓度(μg/m³)</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SO</w:t>
            </w:r>
            <w:r>
              <w:rPr>
                <w:rFonts w:hint="eastAsia" w:ascii="Times New Roman" w:hAnsi="Times New Roman"/>
                <w:kern w:val="2"/>
                <w:vertAlign w:val="subscript"/>
              </w:rPr>
              <w:t>2</w:t>
            </w:r>
            <w:r>
              <w:rPr>
                <w:rFonts w:hint="eastAsia" w:ascii="Times New Roman" w:hAnsi="Times New Roman"/>
                <w:kern w:val="2"/>
              </w:rPr>
              <w:t>占标率(%)</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NO</w:t>
            </w:r>
            <w:r>
              <w:rPr>
                <w:rFonts w:hint="eastAsia" w:ascii="Times New Roman" w:hAnsi="Times New Roman"/>
                <w:kern w:val="2"/>
                <w:vertAlign w:val="subscript"/>
              </w:rPr>
              <w:t>2</w:t>
            </w:r>
            <w:r>
              <w:rPr>
                <w:rFonts w:hint="eastAsia" w:ascii="Times New Roman" w:hAnsi="Times New Roman"/>
                <w:kern w:val="2"/>
              </w:rPr>
              <w:t>浓度(μg/m³)</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NO</w:t>
            </w:r>
            <w:r>
              <w:rPr>
                <w:rFonts w:hint="eastAsia" w:ascii="Times New Roman" w:hAnsi="Times New Roman"/>
                <w:kern w:val="2"/>
                <w:vertAlign w:val="subscript"/>
              </w:rPr>
              <w:t>2</w:t>
            </w:r>
            <w:r>
              <w:rPr>
                <w:rFonts w:hint="eastAsia" w:ascii="Times New Roman" w:hAnsi="Times New Roman"/>
                <w:kern w:val="2"/>
              </w:rPr>
              <w:t>占标率(%)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50.0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0.1581</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1.5813</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0.0026</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0.0005</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0.0627</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0.0314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0.2455</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2.4548</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0.0041</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0.0008</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0.0973</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0.0487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200.0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0.4957</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4.9572</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0.0082</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0.0016</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0.1966</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0.0983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300.0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0.4428</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4.4282</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0.0073</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0.0015</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0.1756</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0.0878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400.0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0.3213</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3.2131</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0.0053</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0.0011</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0.1274</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0.0637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500.0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0.2915</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2.9146</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0.0048</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0.0010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0.1156</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0.0578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600.0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0.4513</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4.5129</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0.0075</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0.0015</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0.1790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0.0895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700.0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0.3923</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3.9231</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0.0065</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0.0013</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0.1556</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0.0778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800.0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0.3535</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3.5351</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0.0059</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0.0012</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0.1402</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0.0701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900.0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0.3268</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3.2684</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0.0054</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0.0011</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0.1296</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0.0648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1000.0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0.2458</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2.4576</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0.0041</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0.0008</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0.0975</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0.0487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1200.0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0.2429</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2.4289</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0.0040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0.0008</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0.0963</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0.0482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1400.0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0.2228</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2.2282</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0.0037</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0.0007</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0.0884</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0.0442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1600.0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0.1993</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1.9925</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0.0033</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0.0007</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0.0790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0.0395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1800.0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0.1882</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1.8822</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0.0031</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0.0006</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0.0746</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0.0373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2000.0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0.1701</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1.7007</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0.0028</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0.0006</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0.0674</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0.0337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2500.0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0.1421</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1.4211</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0.0024</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0.0005</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0.0564</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0.0282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3000.0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0.1054</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1.0545</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0.0017</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0.0003</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0.0418</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0.0209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3500.0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0.1001</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1.0014</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0.0017</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0.0003</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0.0397</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0.0199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4000.0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0.0925</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0.9248</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0.0015</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0.0003</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0.0367</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0.0183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4500.0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0.0820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0.8199</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0.0014</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0.0003</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0.0325</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0.0163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5000.0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0.0742</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0.7421</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0.0012</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0.0002</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0.0294</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0.0147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10000.0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0.0334</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0.3343</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0.0006</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0.0001</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0.0133</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0.0066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11000.0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0.0280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0.2801</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0.0005</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0.0001</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0.0111</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0.0056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12000.0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0.0265</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0.2648</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0.0004</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0.0001</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0.0105</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0.0053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13000.0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0.0228</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0.2285</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0.0004</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0.0001</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0.0091</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0.0045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14000.0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0.0241</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0.2405</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0.0004</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0.0001</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0.0095</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0.0048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15000.0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0.0161</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0.1607</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0.0003</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0.0001</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0.0064</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0.0032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20000.0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0.0110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0.1095</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0.0002</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0.0043</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0.0022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25000.0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0.0070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0.0704</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0.0001</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0.0000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0.0028</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0.0014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下风向最大浓度</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0.8891</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8.8909</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0.0147</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0.0029</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0.3526</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0.1763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下风向最大浓度出现距离</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142.0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142.0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142.0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142.0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142.0</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142.0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D10%最远距离</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w:t>
            </w:r>
          </w:p>
        </w:tc>
        <w:tc>
          <w:tcPr>
            <w:tcW w:w="6" w:type="dxa"/>
            <w:vAlign w:val="center"/>
          </w:tcPr>
          <w:p>
            <w:pPr>
              <w:spacing w:line="240" w:lineRule="atLeast"/>
              <w:jc w:val="center"/>
              <w:rPr>
                <w:rFonts w:ascii="Times New Roman" w:hAnsi="Times New Roman"/>
                <w:kern w:val="2"/>
              </w:rPr>
            </w:pPr>
            <w:r>
              <w:rPr>
                <w:rFonts w:hint="eastAsia" w:ascii="Times New Roman" w:hAnsi="Times New Roman"/>
                <w:kern w:val="2"/>
              </w:rPr>
              <w:t>/</w:t>
            </w:r>
          </w:p>
        </w:tc>
      </w:tr>
    </w:tbl>
    <w:p>
      <w:pPr>
        <w:spacing w:line="240" w:lineRule="atLeast"/>
        <w:jc w:val="center"/>
        <w:rPr>
          <w:rFonts w:ascii="Times New Roman" w:hAnsi="Times New Roman"/>
          <w:kern w:val="2"/>
          <w:sz w:val="24"/>
          <w:szCs w:val="20"/>
        </w:rPr>
      </w:pPr>
    </w:p>
    <w:p>
      <w:pPr>
        <w:widowControl/>
        <w:spacing w:line="480" w:lineRule="exact"/>
        <w:outlineLvl w:val="3"/>
        <w:rPr>
          <w:rFonts w:ascii="Times New Roman" w:hAnsi="Times New Roman" w:eastAsia="黑体"/>
          <w:sz w:val="24"/>
        </w:rPr>
      </w:pPr>
      <w:r>
        <w:rPr>
          <w:rFonts w:ascii="Times New Roman" w:hAnsi="Times New Roman" w:eastAsia="黑体"/>
          <w:sz w:val="24"/>
        </w:rPr>
        <w:t>5.2.3.5.防护距离</w:t>
      </w:r>
    </w:p>
    <w:p>
      <w:pPr>
        <w:pStyle w:val="65"/>
        <w:spacing w:line="480" w:lineRule="exact"/>
        <w:ind w:left="0" w:firstLine="480" w:firstLineChars="200"/>
        <w:jc w:val="both"/>
        <w:rPr>
          <w:kern w:val="2"/>
          <w:sz w:val="24"/>
        </w:rPr>
      </w:pPr>
      <w:r>
        <w:rPr>
          <w:kern w:val="2"/>
          <w:sz w:val="24"/>
        </w:rPr>
        <w:t>根据《环境影响评价技术导则 大气环境》（HJ2.2-2018）中“评价等级判定及大气环境影响预测与评价”的要求，以项目排放的颗粒物为污染源，经估算模型计算，评价工作等级为二级，不进行进一步预测与评价，只对污染物排放量进行核算。本项目不设置大气环境防护距离。</w:t>
      </w:r>
      <w:bookmarkEnd w:id="1154"/>
      <w:bookmarkEnd w:id="1155"/>
      <w:bookmarkEnd w:id="1156"/>
      <w:bookmarkEnd w:id="1157"/>
      <w:bookmarkEnd w:id="1158"/>
      <w:bookmarkEnd w:id="1159"/>
      <w:bookmarkEnd w:id="1160"/>
      <w:r>
        <w:rPr>
          <w:rFonts w:hint="eastAsia"/>
          <w:kern w:val="2"/>
          <w:sz w:val="24"/>
        </w:rPr>
        <w:t>根据《医疗废物处理处置污染控制标准》（</w:t>
      </w:r>
      <w:r>
        <w:rPr>
          <w:kern w:val="2"/>
          <w:sz w:val="24"/>
        </w:rPr>
        <w:t>GB39707-2020）4.3要求，医疗废物处理处置厂址应与敏感目标之间设置一定的防护距离；</w:t>
      </w:r>
      <w:r>
        <w:rPr>
          <w:rFonts w:hint="eastAsia"/>
          <w:kern w:val="2"/>
          <w:sz w:val="24"/>
        </w:rPr>
        <w:t>根据《大气有害物质无组织排放卫生防护距离推导技术导则》（G</w:t>
      </w:r>
      <w:r>
        <w:rPr>
          <w:kern w:val="2"/>
          <w:sz w:val="24"/>
        </w:rPr>
        <w:t>B/T 39499</w:t>
      </w:r>
      <w:r>
        <w:rPr>
          <w:rFonts w:hint="eastAsia"/>
          <w:kern w:val="2"/>
          <w:sz w:val="24"/>
        </w:rPr>
        <w:t>-</w:t>
      </w:r>
      <w:r>
        <w:rPr>
          <w:kern w:val="2"/>
          <w:sz w:val="24"/>
        </w:rPr>
        <w:t>2020</w:t>
      </w:r>
      <w:r>
        <w:rPr>
          <w:rFonts w:hint="eastAsia"/>
          <w:kern w:val="2"/>
          <w:sz w:val="24"/>
        </w:rPr>
        <w:t>），卫生防护距离初值计算公式如下所示，</w:t>
      </w:r>
    </w:p>
    <w:p>
      <w:pPr>
        <w:jc w:val="center"/>
      </w:pPr>
      <w:r>
        <w:drawing>
          <wp:inline distT="0" distB="0" distL="0" distR="0">
            <wp:extent cx="2833370" cy="476885"/>
            <wp:effectExtent l="0" t="0" r="508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56"/>
                    <a:srcRect t="17527" r="1853"/>
                    <a:stretch>
                      <a:fillRect/>
                    </a:stretch>
                  </pic:blipFill>
                  <pic:spPr>
                    <a:xfrm>
                      <a:off x="0" y="0"/>
                      <a:ext cx="2881370" cy="484952"/>
                    </a:xfrm>
                    <a:prstGeom prst="rect">
                      <a:avLst/>
                    </a:prstGeom>
                    <a:ln>
                      <a:noFill/>
                    </a:ln>
                  </pic:spPr>
                </pic:pic>
              </a:graphicData>
            </a:graphic>
          </wp:inline>
        </w:drawing>
      </w:r>
    </w:p>
    <w:p>
      <w:pPr>
        <w:jc w:val="center"/>
      </w:pPr>
      <w:r>
        <w:drawing>
          <wp:inline distT="0" distB="0" distL="0" distR="0">
            <wp:extent cx="5278755" cy="1445260"/>
            <wp:effectExtent l="0" t="0" r="0" b="254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57"/>
                    <a:stretch>
                      <a:fillRect/>
                    </a:stretch>
                  </pic:blipFill>
                  <pic:spPr>
                    <a:xfrm>
                      <a:off x="0" y="0"/>
                      <a:ext cx="5278755" cy="1445260"/>
                    </a:xfrm>
                    <a:prstGeom prst="rect">
                      <a:avLst/>
                    </a:prstGeom>
                  </pic:spPr>
                </pic:pic>
              </a:graphicData>
            </a:graphic>
          </wp:inline>
        </w:drawing>
      </w:r>
    </w:p>
    <w:p>
      <w:pPr>
        <w:pStyle w:val="65"/>
        <w:spacing w:line="480" w:lineRule="exact"/>
        <w:ind w:left="0" w:firstLine="480" w:firstLineChars="200"/>
        <w:jc w:val="both"/>
        <w:rPr>
          <w:kern w:val="2"/>
          <w:sz w:val="24"/>
        </w:rPr>
      </w:pPr>
      <w:r>
        <w:rPr>
          <w:rFonts w:hint="eastAsia"/>
          <w:kern w:val="2"/>
          <w:sz w:val="24"/>
        </w:rPr>
        <w:t>本项目无组织排放的大气污染物为氨和H</w:t>
      </w:r>
      <w:r>
        <w:rPr>
          <w:kern w:val="2"/>
          <w:sz w:val="24"/>
          <w:vertAlign w:val="subscript"/>
        </w:rPr>
        <w:t>2</w:t>
      </w:r>
      <w:r>
        <w:rPr>
          <w:kern w:val="2"/>
          <w:sz w:val="24"/>
        </w:rPr>
        <w:t>S</w:t>
      </w:r>
      <w:r>
        <w:rPr>
          <w:rFonts w:hint="eastAsia"/>
          <w:kern w:val="2"/>
          <w:sz w:val="24"/>
        </w:rPr>
        <w:t>，分别计算Qc比Cm，氨的更大一些，所以计算过程中取氨的无组织排放量，根据《大气有害物质无组织排放卫生防护距离推导技术导则》（G</w:t>
      </w:r>
      <w:r>
        <w:rPr>
          <w:kern w:val="2"/>
          <w:sz w:val="24"/>
        </w:rPr>
        <w:t>B/T 39499</w:t>
      </w:r>
      <w:r>
        <w:rPr>
          <w:rFonts w:hint="eastAsia"/>
          <w:kern w:val="2"/>
          <w:sz w:val="24"/>
        </w:rPr>
        <w:t>-</w:t>
      </w:r>
      <w:r>
        <w:rPr>
          <w:kern w:val="2"/>
          <w:sz w:val="24"/>
        </w:rPr>
        <w:t>2020</w:t>
      </w:r>
      <w:r>
        <w:rPr>
          <w:rFonts w:hint="eastAsia"/>
          <w:kern w:val="2"/>
          <w:sz w:val="24"/>
        </w:rPr>
        <w:t>）表1卫生防护距离初值计算系数，可知A</w:t>
      </w:r>
      <w:r>
        <w:rPr>
          <w:kern w:val="2"/>
          <w:sz w:val="24"/>
        </w:rPr>
        <w:t>=400</w:t>
      </w:r>
      <w:r>
        <w:rPr>
          <w:rFonts w:hint="eastAsia"/>
          <w:kern w:val="2"/>
          <w:sz w:val="24"/>
        </w:rPr>
        <w:t>；B</w:t>
      </w:r>
      <w:r>
        <w:rPr>
          <w:kern w:val="2"/>
          <w:sz w:val="24"/>
        </w:rPr>
        <w:t>=0.01</w:t>
      </w:r>
      <w:r>
        <w:rPr>
          <w:rFonts w:hint="eastAsia"/>
          <w:kern w:val="2"/>
          <w:sz w:val="24"/>
        </w:rPr>
        <w:t>；C</w:t>
      </w:r>
      <w:r>
        <w:rPr>
          <w:kern w:val="2"/>
          <w:sz w:val="24"/>
        </w:rPr>
        <w:t>=1.85</w:t>
      </w:r>
      <w:r>
        <w:rPr>
          <w:rFonts w:hint="eastAsia"/>
          <w:kern w:val="2"/>
          <w:sz w:val="24"/>
        </w:rPr>
        <w:t>；D</w:t>
      </w:r>
      <w:r>
        <w:rPr>
          <w:kern w:val="2"/>
          <w:sz w:val="24"/>
        </w:rPr>
        <w:t>=0.78</w:t>
      </w:r>
      <w:r>
        <w:rPr>
          <w:rFonts w:hint="eastAsia"/>
          <w:kern w:val="2"/>
          <w:sz w:val="24"/>
        </w:rPr>
        <w:t>。经计算得到初值L=</w:t>
      </w:r>
      <w:r>
        <w:rPr>
          <w:kern w:val="2"/>
          <w:sz w:val="24"/>
        </w:rPr>
        <w:t>0.05</w:t>
      </w:r>
      <w:r>
        <w:rPr>
          <w:rFonts w:hint="eastAsia"/>
          <w:kern w:val="2"/>
          <w:sz w:val="24"/>
        </w:rPr>
        <w:t>米，小于5</w:t>
      </w:r>
      <w:r>
        <w:rPr>
          <w:kern w:val="2"/>
          <w:sz w:val="24"/>
        </w:rPr>
        <w:t>0</w:t>
      </w:r>
      <w:r>
        <w:rPr>
          <w:rFonts w:hint="eastAsia"/>
          <w:kern w:val="2"/>
          <w:sz w:val="24"/>
        </w:rPr>
        <w:t>米，极差为5</w:t>
      </w:r>
      <w:r>
        <w:rPr>
          <w:kern w:val="2"/>
          <w:sz w:val="24"/>
        </w:rPr>
        <w:t>0</w:t>
      </w:r>
      <w:r>
        <w:rPr>
          <w:rFonts w:hint="eastAsia"/>
          <w:kern w:val="2"/>
          <w:sz w:val="24"/>
        </w:rPr>
        <w:t>米，卫生防护距离终值为5</w:t>
      </w:r>
      <w:r>
        <w:rPr>
          <w:kern w:val="2"/>
          <w:sz w:val="24"/>
        </w:rPr>
        <w:t>0</w:t>
      </w:r>
      <w:r>
        <w:rPr>
          <w:rFonts w:hint="eastAsia"/>
          <w:kern w:val="2"/>
          <w:sz w:val="24"/>
        </w:rPr>
        <w:t>米，但是本项目除了无组织排放氨之外，还排放硫化氢，属于排放多种特征大气有害物质的情况，根据大气有害物质无组织排放卫生防护距离推导技术导则》（G</w:t>
      </w:r>
      <w:r>
        <w:rPr>
          <w:kern w:val="2"/>
          <w:sz w:val="24"/>
        </w:rPr>
        <w:t>B/T 39499</w:t>
      </w:r>
      <w:r>
        <w:rPr>
          <w:rFonts w:hint="eastAsia"/>
          <w:kern w:val="2"/>
          <w:sz w:val="24"/>
        </w:rPr>
        <w:t>-</w:t>
      </w:r>
      <w:r>
        <w:rPr>
          <w:kern w:val="2"/>
          <w:sz w:val="24"/>
        </w:rPr>
        <w:t>2020</w:t>
      </w:r>
      <w:r>
        <w:rPr>
          <w:rFonts w:hint="eastAsia"/>
          <w:kern w:val="2"/>
          <w:sz w:val="24"/>
        </w:rPr>
        <w:t>）6</w:t>
      </w:r>
      <w:r>
        <w:rPr>
          <w:kern w:val="2"/>
          <w:sz w:val="24"/>
        </w:rPr>
        <w:t>.2</w:t>
      </w:r>
      <w:r>
        <w:rPr>
          <w:rFonts w:hint="eastAsia"/>
          <w:kern w:val="2"/>
          <w:sz w:val="24"/>
        </w:rPr>
        <w:t>的要求，“当企业某生产单元的无组织排放存在多种特征大气有害物质时，如果分别推导出的卫生防护距离初值在同一级别时，则该企业的卫生防护距离终值应该提高一级”所以本项目的卫生防护距离终值定为1</w:t>
      </w:r>
      <w:r>
        <w:rPr>
          <w:kern w:val="2"/>
          <w:sz w:val="24"/>
        </w:rPr>
        <w:t>00</w:t>
      </w:r>
      <w:r>
        <w:rPr>
          <w:rFonts w:hint="eastAsia"/>
          <w:kern w:val="2"/>
          <w:sz w:val="24"/>
        </w:rPr>
        <w:t>米。</w:t>
      </w:r>
    </w:p>
    <w:p>
      <w:pPr>
        <w:jc w:val="center"/>
      </w:pPr>
      <w:r>
        <w:drawing>
          <wp:inline distT="0" distB="0" distL="0" distR="0">
            <wp:extent cx="4947920" cy="3371850"/>
            <wp:effectExtent l="0" t="0" r="508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58" cstate="print">
                      <a:extLst>
                        <a:ext uri="{28A0092B-C50C-407E-A947-70E740481C1C}">
                          <a14:useLocalDpi xmlns:a14="http://schemas.microsoft.com/office/drawing/2010/main" val="0"/>
                        </a:ext>
                      </a:extLst>
                    </a:blip>
                    <a:srcRect l="2526" t="5870" r="3735" b="3772"/>
                    <a:stretch>
                      <a:fillRect/>
                    </a:stretch>
                  </pic:blipFill>
                  <pic:spPr>
                    <a:xfrm>
                      <a:off x="0" y="0"/>
                      <a:ext cx="4948230" cy="3372061"/>
                    </a:xfrm>
                    <a:prstGeom prst="rect">
                      <a:avLst/>
                    </a:prstGeom>
                    <a:ln>
                      <a:noFill/>
                    </a:ln>
                  </pic:spPr>
                </pic:pic>
              </a:graphicData>
            </a:graphic>
          </wp:inline>
        </w:drawing>
      </w:r>
    </w:p>
    <w:p>
      <w:pPr>
        <w:spacing w:line="480" w:lineRule="exact"/>
        <w:ind w:firstLine="371" w:firstLineChars="176"/>
        <w:jc w:val="center"/>
        <w:rPr>
          <w:rFonts w:ascii="Times New Roman" w:hAnsi="Times New Roman"/>
          <w:b/>
        </w:rPr>
      </w:pPr>
      <w:r>
        <w:rPr>
          <w:rFonts w:hint="eastAsia" w:ascii="Times New Roman" w:hAnsi="Times New Roman"/>
          <w:b/>
        </w:rPr>
        <w:t>图</w:t>
      </w:r>
      <w:r>
        <w:rPr>
          <w:rFonts w:ascii="Times New Roman" w:hAnsi="Times New Roman"/>
          <w:b/>
        </w:rPr>
        <w:t>5.2</w:t>
      </w:r>
      <w:r>
        <w:rPr>
          <w:rFonts w:hint="eastAsia" w:ascii="Times New Roman" w:hAnsi="Times New Roman"/>
          <w:b/>
        </w:rPr>
        <w:t>-</w:t>
      </w:r>
      <w:r>
        <w:rPr>
          <w:rFonts w:ascii="Times New Roman" w:hAnsi="Times New Roman"/>
          <w:b/>
        </w:rPr>
        <w:t xml:space="preserve">5 </w:t>
      </w:r>
      <w:r>
        <w:rPr>
          <w:rFonts w:hint="eastAsia" w:ascii="Times New Roman" w:hAnsi="Times New Roman"/>
          <w:b/>
        </w:rPr>
        <w:t>本项目防护距离图</w:t>
      </w:r>
    </w:p>
    <w:p>
      <w:pPr>
        <w:widowControl/>
        <w:spacing w:line="480" w:lineRule="exact"/>
        <w:outlineLvl w:val="3"/>
        <w:rPr>
          <w:rFonts w:ascii="Times New Roman" w:hAnsi="Times New Roman" w:eastAsia="黑体"/>
          <w:sz w:val="24"/>
        </w:rPr>
      </w:pPr>
      <w:r>
        <w:rPr>
          <w:rFonts w:ascii="Times New Roman" w:hAnsi="Times New Roman" w:eastAsia="黑体"/>
          <w:sz w:val="24"/>
        </w:rPr>
        <w:t>5.2.3.6.污染物排放量核算</w:t>
      </w:r>
    </w:p>
    <w:p>
      <w:pPr>
        <w:pStyle w:val="155"/>
        <w:spacing w:line="480" w:lineRule="exact"/>
        <w:ind w:firstLine="480"/>
      </w:pPr>
      <w:r>
        <w:t>本项目大气污染物有组织排放量核算见表5.2-6。</w:t>
      </w:r>
    </w:p>
    <w:p>
      <w:pPr>
        <w:spacing w:line="480" w:lineRule="exact"/>
        <w:ind w:firstLine="371" w:firstLineChars="176"/>
        <w:jc w:val="center"/>
        <w:rPr>
          <w:rFonts w:ascii="Times New Roman" w:hAnsi="Times New Roman"/>
          <w:b/>
        </w:rPr>
      </w:pPr>
      <w:r>
        <w:rPr>
          <w:rFonts w:ascii="Times New Roman" w:hAnsi="Times New Roman"/>
          <w:b/>
        </w:rPr>
        <w:t>表5.2-6 大气污染物有组织排放量核算表</w:t>
      </w:r>
    </w:p>
    <w:tbl>
      <w:tblPr>
        <w:tblStyle w:val="7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9"/>
        <w:gridCol w:w="2037"/>
        <w:gridCol w:w="1111"/>
        <w:gridCol w:w="1664"/>
        <w:gridCol w:w="1544"/>
        <w:gridCol w:w="149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62" w:type="dxa"/>
            <w:vAlign w:val="center"/>
          </w:tcPr>
          <w:p>
            <w:pPr>
              <w:spacing w:line="280" w:lineRule="exact"/>
              <w:jc w:val="center"/>
              <w:rPr>
                <w:rFonts w:ascii="Times New Roman" w:hAnsi="Times New Roman"/>
                <w:b/>
                <w:kern w:val="2"/>
              </w:rPr>
            </w:pPr>
            <w:r>
              <w:rPr>
                <w:rFonts w:ascii="Times New Roman" w:hAnsi="Times New Roman"/>
                <w:b/>
                <w:kern w:val="2"/>
              </w:rPr>
              <w:t>序号</w:t>
            </w:r>
          </w:p>
        </w:tc>
        <w:tc>
          <w:tcPr>
            <w:tcW w:w="1985" w:type="dxa"/>
            <w:vAlign w:val="center"/>
          </w:tcPr>
          <w:p>
            <w:pPr>
              <w:spacing w:line="280" w:lineRule="exact"/>
              <w:jc w:val="center"/>
              <w:rPr>
                <w:rFonts w:ascii="Times New Roman" w:hAnsi="Times New Roman"/>
                <w:b/>
                <w:kern w:val="2"/>
              </w:rPr>
            </w:pPr>
            <w:r>
              <w:rPr>
                <w:rFonts w:ascii="Times New Roman" w:hAnsi="Times New Roman"/>
                <w:b/>
                <w:kern w:val="2"/>
              </w:rPr>
              <w:t>排放口编号</w:t>
            </w:r>
          </w:p>
        </w:tc>
        <w:tc>
          <w:tcPr>
            <w:tcW w:w="1083" w:type="dxa"/>
            <w:vAlign w:val="center"/>
          </w:tcPr>
          <w:p>
            <w:pPr>
              <w:spacing w:line="280" w:lineRule="exact"/>
              <w:jc w:val="center"/>
              <w:rPr>
                <w:rFonts w:ascii="Times New Roman" w:hAnsi="Times New Roman"/>
                <w:b/>
                <w:kern w:val="2"/>
              </w:rPr>
            </w:pPr>
            <w:r>
              <w:rPr>
                <w:rFonts w:ascii="Times New Roman" w:hAnsi="Times New Roman"/>
                <w:b/>
                <w:kern w:val="2"/>
              </w:rPr>
              <w:t>污染物</w:t>
            </w:r>
          </w:p>
        </w:tc>
        <w:tc>
          <w:tcPr>
            <w:tcW w:w="1622" w:type="dxa"/>
            <w:vAlign w:val="center"/>
          </w:tcPr>
          <w:p>
            <w:pPr>
              <w:spacing w:line="280" w:lineRule="exact"/>
              <w:jc w:val="center"/>
              <w:rPr>
                <w:rFonts w:ascii="Times New Roman" w:hAnsi="Times New Roman"/>
                <w:b/>
                <w:kern w:val="2"/>
              </w:rPr>
            </w:pPr>
            <w:r>
              <w:rPr>
                <w:rFonts w:ascii="Times New Roman" w:hAnsi="Times New Roman"/>
                <w:b/>
                <w:kern w:val="2"/>
              </w:rPr>
              <w:t>核算排放浓度（mg/m</w:t>
            </w:r>
            <w:r>
              <w:rPr>
                <w:rFonts w:ascii="Times New Roman" w:hAnsi="Times New Roman"/>
                <w:b/>
                <w:kern w:val="2"/>
                <w:vertAlign w:val="superscript"/>
              </w:rPr>
              <w:t>3</w:t>
            </w:r>
            <w:r>
              <w:rPr>
                <w:rFonts w:ascii="Times New Roman" w:hAnsi="Times New Roman"/>
                <w:b/>
                <w:kern w:val="2"/>
              </w:rPr>
              <w:t>）</w:t>
            </w:r>
          </w:p>
        </w:tc>
        <w:tc>
          <w:tcPr>
            <w:tcW w:w="1505" w:type="dxa"/>
            <w:vAlign w:val="center"/>
          </w:tcPr>
          <w:p>
            <w:pPr>
              <w:spacing w:line="280" w:lineRule="exact"/>
              <w:jc w:val="center"/>
              <w:rPr>
                <w:rFonts w:ascii="Times New Roman" w:hAnsi="Times New Roman"/>
                <w:b/>
                <w:kern w:val="2"/>
              </w:rPr>
            </w:pPr>
            <w:r>
              <w:rPr>
                <w:rFonts w:ascii="Times New Roman" w:hAnsi="Times New Roman"/>
                <w:b/>
                <w:kern w:val="2"/>
              </w:rPr>
              <w:t>核算排放速率（kg/h）</w:t>
            </w:r>
          </w:p>
        </w:tc>
        <w:tc>
          <w:tcPr>
            <w:tcW w:w="1456" w:type="dxa"/>
            <w:vAlign w:val="center"/>
          </w:tcPr>
          <w:p>
            <w:pPr>
              <w:spacing w:line="280" w:lineRule="exact"/>
              <w:jc w:val="center"/>
              <w:rPr>
                <w:rFonts w:ascii="Times New Roman" w:hAnsi="Times New Roman"/>
                <w:b/>
                <w:kern w:val="2"/>
              </w:rPr>
            </w:pPr>
            <w:r>
              <w:rPr>
                <w:rFonts w:ascii="Times New Roman" w:hAnsi="Times New Roman"/>
                <w:b/>
                <w:kern w:val="2"/>
              </w:rPr>
              <w:t>核算年排放量（t/a）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62" w:type="dxa"/>
            <w:vMerge w:val="restart"/>
            <w:vAlign w:val="center"/>
          </w:tcPr>
          <w:p>
            <w:pPr>
              <w:spacing w:line="280" w:lineRule="exact"/>
              <w:jc w:val="center"/>
              <w:rPr>
                <w:rFonts w:ascii="Times New Roman" w:hAnsi="Times New Roman"/>
                <w:kern w:val="2"/>
              </w:rPr>
            </w:pPr>
            <w:r>
              <w:rPr>
                <w:rFonts w:ascii="Times New Roman" w:hAnsi="Times New Roman"/>
                <w:kern w:val="2"/>
              </w:rPr>
              <w:t>1</w:t>
            </w:r>
          </w:p>
        </w:tc>
        <w:tc>
          <w:tcPr>
            <w:tcW w:w="1985" w:type="dxa"/>
            <w:vMerge w:val="restart"/>
            <w:vAlign w:val="center"/>
          </w:tcPr>
          <w:p>
            <w:pPr>
              <w:spacing w:line="280" w:lineRule="exact"/>
              <w:jc w:val="center"/>
              <w:rPr>
                <w:rFonts w:ascii="Times New Roman" w:hAnsi="Times New Roman"/>
                <w:kern w:val="2"/>
              </w:rPr>
            </w:pPr>
            <w:r>
              <w:rPr>
                <w:rFonts w:ascii="Times New Roman" w:hAnsi="Times New Roman"/>
                <w:kern w:val="2"/>
              </w:rPr>
              <w:t>高温干热系统DA002</w:t>
            </w:r>
          </w:p>
        </w:tc>
        <w:tc>
          <w:tcPr>
            <w:tcW w:w="1083" w:type="dxa"/>
            <w:vAlign w:val="center"/>
          </w:tcPr>
          <w:p>
            <w:pPr>
              <w:jc w:val="center"/>
              <w:rPr>
                <w:rFonts w:ascii="Times New Roman" w:hAnsi="Times New Roman"/>
                <w:kern w:val="2"/>
              </w:rPr>
            </w:pPr>
            <w:r>
              <w:rPr>
                <w:rFonts w:ascii="Times New Roman" w:hAnsi="Times New Roman"/>
                <w:bCs/>
              </w:rPr>
              <w:t>NH</w:t>
            </w:r>
            <w:r>
              <w:rPr>
                <w:rFonts w:ascii="Times New Roman" w:hAnsi="Times New Roman"/>
                <w:bCs/>
                <w:vertAlign w:val="subscript"/>
              </w:rPr>
              <w:t>3</w:t>
            </w:r>
          </w:p>
        </w:tc>
        <w:tc>
          <w:tcPr>
            <w:tcW w:w="1622" w:type="dxa"/>
            <w:vAlign w:val="center"/>
          </w:tcPr>
          <w:p>
            <w:pPr>
              <w:spacing w:line="280" w:lineRule="exact"/>
              <w:jc w:val="center"/>
              <w:rPr>
                <w:rFonts w:ascii="Times New Roman" w:hAnsi="Times New Roman"/>
                <w:kern w:val="2"/>
              </w:rPr>
            </w:pPr>
            <w:r>
              <w:rPr>
                <w:rFonts w:ascii="Times New Roman" w:hAnsi="Times New Roman"/>
                <w:kern w:val="2"/>
              </w:rPr>
              <w:t>6.84</w:t>
            </w:r>
          </w:p>
        </w:tc>
        <w:tc>
          <w:tcPr>
            <w:tcW w:w="1505" w:type="dxa"/>
            <w:vAlign w:val="center"/>
          </w:tcPr>
          <w:p>
            <w:pPr>
              <w:spacing w:line="280" w:lineRule="exact"/>
              <w:jc w:val="center"/>
              <w:rPr>
                <w:rFonts w:ascii="Times New Roman" w:hAnsi="Times New Roman"/>
                <w:kern w:val="2"/>
              </w:rPr>
            </w:pPr>
            <w:r>
              <w:rPr>
                <w:rFonts w:ascii="Times New Roman" w:hAnsi="Times New Roman"/>
                <w:kern w:val="2"/>
              </w:rPr>
              <w:t>0.054</w:t>
            </w:r>
          </w:p>
        </w:tc>
        <w:tc>
          <w:tcPr>
            <w:tcW w:w="1456" w:type="dxa"/>
            <w:vAlign w:val="center"/>
          </w:tcPr>
          <w:p>
            <w:pPr>
              <w:spacing w:line="280" w:lineRule="exact"/>
              <w:jc w:val="center"/>
              <w:rPr>
                <w:rFonts w:ascii="Times New Roman" w:hAnsi="Times New Roman"/>
                <w:kern w:val="2"/>
              </w:rPr>
            </w:pPr>
            <w:r>
              <w:rPr>
                <w:rFonts w:ascii="Times New Roman" w:hAnsi="Times New Roman"/>
                <w:kern w:val="2"/>
              </w:rPr>
              <w:t>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62" w:type="dxa"/>
            <w:vMerge w:val="continue"/>
            <w:vAlign w:val="center"/>
          </w:tcPr>
          <w:p>
            <w:pPr>
              <w:spacing w:line="280" w:lineRule="exact"/>
              <w:jc w:val="center"/>
              <w:rPr>
                <w:rFonts w:ascii="Times New Roman" w:hAnsi="Times New Roman"/>
                <w:kern w:val="2"/>
              </w:rPr>
            </w:pPr>
          </w:p>
        </w:tc>
        <w:tc>
          <w:tcPr>
            <w:tcW w:w="1985" w:type="dxa"/>
            <w:vMerge w:val="continue"/>
            <w:vAlign w:val="center"/>
          </w:tcPr>
          <w:p>
            <w:pPr>
              <w:spacing w:line="280" w:lineRule="exact"/>
              <w:jc w:val="center"/>
              <w:rPr>
                <w:rFonts w:ascii="Times New Roman" w:hAnsi="Times New Roman"/>
              </w:rPr>
            </w:pPr>
          </w:p>
        </w:tc>
        <w:tc>
          <w:tcPr>
            <w:tcW w:w="1083" w:type="dxa"/>
            <w:vAlign w:val="center"/>
          </w:tcPr>
          <w:p>
            <w:pPr>
              <w:jc w:val="center"/>
              <w:rPr>
                <w:rFonts w:ascii="Times New Roman" w:hAnsi="Times New Roman"/>
                <w:kern w:val="2"/>
              </w:rPr>
            </w:pPr>
            <w:r>
              <w:rPr>
                <w:rFonts w:ascii="Times New Roman" w:hAnsi="Times New Roman"/>
                <w:bCs/>
              </w:rPr>
              <w:t>H</w:t>
            </w:r>
            <w:r>
              <w:rPr>
                <w:rFonts w:ascii="Times New Roman" w:hAnsi="Times New Roman"/>
                <w:bCs/>
                <w:vertAlign w:val="subscript"/>
              </w:rPr>
              <w:t>2</w:t>
            </w:r>
            <w:r>
              <w:rPr>
                <w:rFonts w:ascii="Times New Roman" w:hAnsi="Times New Roman"/>
                <w:bCs/>
              </w:rPr>
              <w:t>S</w:t>
            </w:r>
          </w:p>
        </w:tc>
        <w:tc>
          <w:tcPr>
            <w:tcW w:w="1622" w:type="dxa"/>
            <w:vAlign w:val="center"/>
          </w:tcPr>
          <w:p>
            <w:pPr>
              <w:spacing w:line="280" w:lineRule="exact"/>
              <w:jc w:val="center"/>
              <w:rPr>
                <w:rFonts w:ascii="Times New Roman" w:hAnsi="Times New Roman"/>
                <w:kern w:val="2"/>
              </w:rPr>
            </w:pPr>
            <w:r>
              <w:rPr>
                <w:rFonts w:ascii="Times New Roman" w:hAnsi="Times New Roman"/>
                <w:kern w:val="2"/>
              </w:rPr>
              <w:t>0.74</w:t>
            </w:r>
          </w:p>
        </w:tc>
        <w:tc>
          <w:tcPr>
            <w:tcW w:w="1505" w:type="dxa"/>
            <w:vAlign w:val="center"/>
          </w:tcPr>
          <w:p>
            <w:pPr>
              <w:spacing w:line="280" w:lineRule="exact"/>
              <w:jc w:val="center"/>
              <w:rPr>
                <w:rFonts w:ascii="Times New Roman" w:hAnsi="Times New Roman"/>
                <w:kern w:val="2"/>
              </w:rPr>
            </w:pPr>
            <w:r>
              <w:rPr>
                <w:rFonts w:ascii="Times New Roman" w:hAnsi="Times New Roman"/>
                <w:kern w:val="2"/>
              </w:rPr>
              <w:t>0.0058</w:t>
            </w:r>
          </w:p>
        </w:tc>
        <w:tc>
          <w:tcPr>
            <w:tcW w:w="1456" w:type="dxa"/>
            <w:vAlign w:val="center"/>
          </w:tcPr>
          <w:p>
            <w:pPr>
              <w:spacing w:line="280" w:lineRule="exact"/>
              <w:jc w:val="center"/>
              <w:rPr>
                <w:rFonts w:ascii="Times New Roman" w:hAnsi="Times New Roman"/>
                <w:kern w:val="2"/>
              </w:rPr>
            </w:pPr>
            <w:r>
              <w:rPr>
                <w:rFonts w:ascii="Times New Roman" w:hAnsi="Times New Roman"/>
                <w:kern w:val="2"/>
              </w:rPr>
              <w:t>0.034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62" w:type="dxa"/>
            <w:vMerge w:val="continue"/>
            <w:vAlign w:val="center"/>
          </w:tcPr>
          <w:p>
            <w:pPr>
              <w:spacing w:line="280" w:lineRule="exact"/>
              <w:jc w:val="center"/>
              <w:rPr>
                <w:rFonts w:ascii="Times New Roman" w:hAnsi="Times New Roman"/>
                <w:kern w:val="2"/>
              </w:rPr>
            </w:pPr>
          </w:p>
        </w:tc>
        <w:tc>
          <w:tcPr>
            <w:tcW w:w="1985" w:type="dxa"/>
            <w:vMerge w:val="continue"/>
            <w:vAlign w:val="center"/>
          </w:tcPr>
          <w:p>
            <w:pPr>
              <w:spacing w:line="280" w:lineRule="exact"/>
              <w:jc w:val="center"/>
              <w:rPr>
                <w:rFonts w:ascii="Times New Roman" w:hAnsi="Times New Roman"/>
                <w:kern w:val="2"/>
              </w:rPr>
            </w:pPr>
          </w:p>
        </w:tc>
        <w:tc>
          <w:tcPr>
            <w:tcW w:w="1083" w:type="dxa"/>
            <w:vAlign w:val="center"/>
          </w:tcPr>
          <w:p>
            <w:pPr>
              <w:jc w:val="center"/>
              <w:rPr>
                <w:rFonts w:ascii="Times New Roman" w:hAnsi="Times New Roman"/>
                <w:bCs/>
              </w:rPr>
            </w:pPr>
            <w:r>
              <w:rPr>
                <w:rFonts w:ascii="Times New Roman" w:hAnsi="Times New Roman"/>
                <w:bCs/>
              </w:rPr>
              <w:t>非甲烷</w:t>
            </w:r>
          </w:p>
          <w:p>
            <w:pPr>
              <w:jc w:val="center"/>
              <w:rPr>
                <w:rFonts w:ascii="Times New Roman" w:hAnsi="Times New Roman"/>
                <w:kern w:val="2"/>
              </w:rPr>
            </w:pPr>
            <w:r>
              <w:rPr>
                <w:rFonts w:ascii="Times New Roman" w:hAnsi="Times New Roman"/>
                <w:bCs/>
              </w:rPr>
              <w:t>总烃</w:t>
            </w:r>
          </w:p>
        </w:tc>
        <w:tc>
          <w:tcPr>
            <w:tcW w:w="1622" w:type="dxa"/>
            <w:vAlign w:val="center"/>
          </w:tcPr>
          <w:p>
            <w:pPr>
              <w:spacing w:line="280" w:lineRule="exact"/>
              <w:jc w:val="center"/>
              <w:rPr>
                <w:rFonts w:ascii="Times New Roman" w:hAnsi="Times New Roman"/>
                <w:kern w:val="2"/>
              </w:rPr>
            </w:pPr>
            <w:r>
              <w:rPr>
                <w:rFonts w:ascii="Times New Roman" w:hAnsi="Times New Roman"/>
                <w:kern w:val="2"/>
              </w:rPr>
              <w:t>0.</w:t>
            </w:r>
            <w:r>
              <w:rPr>
                <w:rFonts w:hint="eastAsia" w:ascii="Times New Roman" w:hAnsi="Times New Roman"/>
                <w:kern w:val="2"/>
              </w:rPr>
              <w:t>0</w:t>
            </w:r>
            <w:r>
              <w:rPr>
                <w:rFonts w:ascii="Times New Roman" w:hAnsi="Times New Roman"/>
                <w:kern w:val="2"/>
              </w:rPr>
              <w:t>74</w:t>
            </w:r>
          </w:p>
        </w:tc>
        <w:tc>
          <w:tcPr>
            <w:tcW w:w="1505" w:type="dxa"/>
            <w:vAlign w:val="center"/>
          </w:tcPr>
          <w:p>
            <w:pPr>
              <w:spacing w:line="280" w:lineRule="exact"/>
              <w:jc w:val="center"/>
              <w:rPr>
                <w:rFonts w:ascii="Times New Roman" w:hAnsi="Times New Roman"/>
                <w:kern w:val="2"/>
              </w:rPr>
            </w:pPr>
            <w:r>
              <w:rPr>
                <w:rFonts w:ascii="Times New Roman" w:hAnsi="Times New Roman"/>
                <w:kern w:val="2"/>
              </w:rPr>
              <w:t>0.0017</w:t>
            </w:r>
          </w:p>
        </w:tc>
        <w:tc>
          <w:tcPr>
            <w:tcW w:w="1456" w:type="dxa"/>
            <w:vAlign w:val="center"/>
          </w:tcPr>
          <w:p>
            <w:pPr>
              <w:spacing w:line="280" w:lineRule="exact"/>
              <w:jc w:val="center"/>
              <w:rPr>
                <w:rFonts w:ascii="Times New Roman" w:hAnsi="Times New Roman"/>
                <w:kern w:val="2"/>
              </w:rPr>
            </w:pPr>
            <w:r>
              <w:rPr>
                <w:rFonts w:ascii="Times New Roman" w:hAnsi="Times New Roman"/>
              </w:rPr>
              <w:t>0.0098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62" w:type="dxa"/>
            <w:vMerge w:val="continue"/>
            <w:vAlign w:val="center"/>
          </w:tcPr>
          <w:p>
            <w:pPr>
              <w:spacing w:line="280" w:lineRule="exact"/>
              <w:jc w:val="center"/>
              <w:rPr>
                <w:rFonts w:ascii="Times New Roman" w:hAnsi="Times New Roman"/>
                <w:kern w:val="2"/>
              </w:rPr>
            </w:pPr>
          </w:p>
        </w:tc>
        <w:tc>
          <w:tcPr>
            <w:tcW w:w="1985" w:type="dxa"/>
            <w:vMerge w:val="continue"/>
            <w:vAlign w:val="center"/>
          </w:tcPr>
          <w:p>
            <w:pPr>
              <w:spacing w:line="280" w:lineRule="exact"/>
              <w:jc w:val="center"/>
              <w:rPr>
                <w:rFonts w:ascii="Times New Roman" w:hAnsi="Times New Roman"/>
                <w:kern w:val="2"/>
              </w:rPr>
            </w:pPr>
          </w:p>
        </w:tc>
        <w:tc>
          <w:tcPr>
            <w:tcW w:w="1083" w:type="dxa"/>
            <w:vAlign w:val="center"/>
          </w:tcPr>
          <w:p>
            <w:pPr>
              <w:jc w:val="center"/>
              <w:rPr>
                <w:rFonts w:ascii="Times New Roman" w:hAnsi="Times New Roman"/>
                <w:bCs/>
              </w:rPr>
            </w:pPr>
            <w:r>
              <w:rPr>
                <w:rFonts w:ascii="Times New Roman" w:hAnsi="Times New Roman"/>
                <w:bCs/>
                <w:kern w:val="2"/>
              </w:rPr>
              <w:t>颗粒物</w:t>
            </w:r>
          </w:p>
        </w:tc>
        <w:tc>
          <w:tcPr>
            <w:tcW w:w="1622" w:type="dxa"/>
            <w:vAlign w:val="center"/>
          </w:tcPr>
          <w:p>
            <w:pPr>
              <w:spacing w:line="280" w:lineRule="exact"/>
              <w:jc w:val="center"/>
              <w:rPr>
                <w:rFonts w:ascii="Times New Roman" w:hAnsi="Times New Roman"/>
                <w:kern w:val="2"/>
              </w:rPr>
            </w:pPr>
            <w:r>
              <w:rPr>
                <w:rFonts w:ascii="Times New Roman" w:hAnsi="Times New Roman"/>
                <w:kern w:val="2"/>
              </w:rPr>
              <w:t>33.26</w:t>
            </w:r>
          </w:p>
        </w:tc>
        <w:tc>
          <w:tcPr>
            <w:tcW w:w="1505" w:type="dxa"/>
            <w:vAlign w:val="center"/>
          </w:tcPr>
          <w:p>
            <w:pPr>
              <w:spacing w:line="280" w:lineRule="exact"/>
              <w:jc w:val="center"/>
              <w:rPr>
                <w:rFonts w:ascii="Times New Roman" w:hAnsi="Times New Roman"/>
                <w:kern w:val="2"/>
              </w:rPr>
            </w:pPr>
            <w:r>
              <w:rPr>
                <w:rFonts w:ascii="Times New Roman" w:hAnsi="Times New Roman"/>
                <w:kern w:val="2"/>
              </w:rPr>
              <w:t>0.0529</w:t>
            </w:r>
          </w:p>
        </w:tc>
        <w:tc>
          <w:tcPr>
            <w:tcW w:w="1456" w:type="dxa"/>
            <w:vAlign w:val="center"/>
          </w:tcPr>
          <w:p>
            <w:pPr>
              <w:spacing w:line="280" w:lineRule="exact"/>
              <w:jc w:val="center"/>
              <w:rPr>
                <w:rFonts w:ascii="Times New Roman" w:hAnsi="Times New Roman"/>
              </w:rPr>
            </w:pPr>
            <w:r>
              <w:rPr>
                <w:rFonts w:ascii="Times New Roman" w:hAnsi="Times New Roman"/>
              </w:rPr>
              <w:t>0.3053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662" w:type="dxa"/>
            <w:vMerge w:val="continue"/>
            <w:vAlign w:val="center"/>
          </w:tcPr>
          <w:p>
            <w:pPr>
              <w:spacing w:line="280" w:lineRule="exact"/>
              <w:jc w:val="center"/>
              <w:rPr>
                <w:rFonts w:ascii="Times New Roman" w:hAnsi="Times New Roman"/>
                <w:kern w:val="2"/>
              </w:rPr>
            </w:pPr>
          </w:p>
        </w:tc>
        <w:tc>
          <w:tcPr>
            <w:tcW w:w="1985" w:type="dxa"/>
            <w:vMerge w:val="continue"/>
            <w:vAlign w:val="center"/>
          </w:tcPr>
          <w:p>
            <w:pPr>
              <w:spacing w:line="280" w:lineRule="exact"/>
              <w:jc w:val="center"/>
              <w:rPr>
                <w:rFonts w:ascii="Times New Roman" w:hAnsi="Times New Roman"/>
              </w:rPr>
            </w:pPr>
          </w:p>
        </w:tc>
        <w:tc>
          <w:tcPr>
            <w:tcW w:w="1083" w:type="dxa"/>
            <w:vAlign w:val="center"/>
          </w:tcPr>
          <w:p>
            <w:pPr>
              <w:spacing w:line="280" w:lineRule="exact"/>
              <w:jc w:val="center"/>
              <w:rPr>
                <w:rFonts w:ascii="Times New Roman" w:hAnsi="Times New Roman"/>
                <w:kern w:val="2"/>
              </w:rPr>
            </w:pPr>
            <w:r>
              <w:rPr>
                <w:rFonts w:ascii="Times New Roman" w:hAnsi="Times New Roman"/>
                <w:kern w:val="2"/>
              </w:rPr>
              <w:t>SO</w:t>
            </w:r>
            <w:r>
              <w:rPr>
                <w:rFonts w:ascii="Times New Roman" w:hAnsi="Times New Roman"/>
                <w:kern w:val="2"/>
                <w:vertAlign w:val="subscript"/>
              </w:rPr>
              <w:t>2</w:t>
            </w:r>
          </w:p>
        </w:tc>
        <w:tc>
          <w:tcPr>
            <w:tcW w:w="1622" w:type="dxa"/>
            <w:vAlign w:val="center"/>
          </w:tcPr>
          <w:p>
            <w:pPr>
              <w:spacing w:line="280" w:lineRule="exact"/>
              <w:jc w:val="center"/>
              <w:rPr>
                <w:rFonts w:ascii="Times New Roman" w:hAnsi="Times New Roman"/>
                <w:kern w:val="2"/>
              </w:rPr>
            </w:pPr>
            <w:r>
              <w:rPr>
                <w:rFonts w:ascii="Times New Roman" w:hAnsi="Times New Roman"/>
                <w:kern w:val="2"/>
              </w:rPr>
              <w:t>1.103</w:t>
            </w:r>
          </w:p>
        </w:tc>
        <w:tc>
          <w:tcPr>
            <w:tcW w:w="1505" w:type="dxa"/>
            <w:vAlign w:val="center"/>
          </w:tcPr>
          <w:p>
            <w:pPr>
              <w:spacing w:line="280" w:lineRule="exact"/>
              <w:jc w:val="center"/>
              <w:rPr>
                <w:rFonts w:ascii="Times New Roman" w:hAnsi="Times New Roman"/>
                <w:kern w:val="2"/>
              </w:rPr>
            </w:pPr>
            <w:r>
              <w:rPr>
                <w:rFonts w:ascii="Times New Roman" w:hAnsi="Times New Roman"/>
                <w:kern w:val="2"/>
              </w:rPr>
              <w:t>0.000096</w:t>
            </w:r>
          </w:p>
        </w:tc>
        <w:tc>
          <w:tcPr>
            <w:tcW w:w="1456" w:type="dxa"/>
            <w:vAlign w:val="center"/>
          </w:tcPr>
          <w:p>
            <w:pPr>
              <w:spacing w:line="280" w:lineRule="exact"/>
              <w:jc w:val="center"/>
              <w:rPr>
                <w:rFonts w:ascii="Times New Roman" w:hAnsi="Times New Roman"/>
                <w:kern w:val="2"/>
              </w:rPr>
            </w:pPr>
            <w:r>
              <w:rPr>
                <w:rFonts w:ascii="Times New Roman" w:hAnsi="Times New Roman"/>
                <w:kern w:val="2"/>
              </w:rPr>
              <w:t>0.000566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62" w:type="dxa"/>
            <w:vMerge w:val="continue"/>
            <w:vAlign w:val="center"/>
          </w:tcPr>
          <w:p>
            <w:pPr>
              <w:spacing w:line="280" w:lineRule="exact"/>
              <w:jc w:val="center"/>
              <w:rPr>
                <w:rFonts w:ascii="Times New Roman" w:hAnsi="Times New Roman"/>
                <w:kern w:val="2"/>
              </w:rPr>
            </w:pPr>
          </w:p>
        </w:tc>
        <w:tc>
          <w:tcPr>
            <w:tcW w:w="1985" w:type="dxa"/>
            <w:vMerge w:val="continue"/>
            <w:vAlign w:val="center"/>
          </w:tcPr>
          <w:p>
            <w:pPr>
              <w:spacing w:line="280" w:lineRule="exact"/>
              <w:jc w:val="center"/>
              <w:rPr>
                <w:rFonts w:ascii="Times New Roman" w:hAnsi="Times New Roman"/>
              </w:rPr>
            </w:pPr>
          </w:p>
        </w:tc>
        <w:tc>
          <w:tcPr>
            <w:tcW w:w="1083" w:type="dxa"/>
            <w:vAlign w:val="center"/>
          </w:tcPr>
          <w:p>
            <w:pPr>
              <w:spacing w:line="280" w:lineRule="exact"/>
              <w:jc w:val="center"/>
              <w:rPr>
                <w:rFonts w:ascii="Times New Roman" w:hAnsi="Times New Roman"/>
                <w:kern w:val="2"/>
              </w:rPr>
            </w:pPr>
            <w:r>
              <w:rPr>
                <w:rFonts w:ascii="Times New Roman" w:hAnsi="Times New Roman"/>
                <w:kern w:val="2"/>
              </w:rPr>
              <w:t>NO</w:t>
            </w:r>
            <w:r>
              <w:rPr>
                <w:rFonts w:ascii="Times New Roman" w:hAnsi="Times New Roman"/>
                <w:kern w:val="2"/>
                <w:vertAlign w:val="subscript"/>
              </w:rPr>
              <w:t>x</w:t>
            </w:r>
          </w:p>
        </w:tc>
        <w:tc>
          <w:tcPr>
            <w:tcW w:w="1622" w:type="dxa"/>
            <w:vAlign w:val="center"/>
          </w:tcPr>
          <w:p>
            <w:pPr>
              <w:spacing w:line="280" w:lineRule="exact"/>
              <w:jc w:val="center"/>
              <w:rPr>
                <w:rFonts w:ascii="Times New Roman" w:hAnsi="Times New Roman"/>
                <w:kern w:val="2"/>
              </w:rPr>
            </w:pPr>
            <w:r>
              <w:rPr>
                <w:rFonts w:ascii="Times New Roman" w:hAnsi="Times New Roman"/>
                <w:kern w:val="2"/>
              </w:rPr>
              <w:t>30</w:t>
            </w:r>
          </w:p>
        </w:tc>
        <w:tc>
          <w:tcPr>
            <w:tcW w:w="1505" w:type="dxa"/>
            <w:vAlign w:val="center"/>
          </w:tcPr>
          <w:p>
            <w:pPr>
              <w:spacing w:line="280" w:lineRule="exact"/>
              <w:jc w:val="center"/>
              <w:rPr>
                <w:rFonts w:ascii="Times New Roman" w:hAnsi="Times New Roman"/>
                <w:kern w:val="2"/>
              </w:rPr>
            </w:pPr>
            <w:r>
              <w:rPr>
                <w:rFonts w:ascii="Times New Roman" w:hAnsi="Times New Roman"/>
                <w:kern w:val="2"/>
              </w:rPr>
              <w:t>0.015</w:t>
            </w:r>
          </w:p>
        </w:tc>
        <w:tc>
          <w:tcPr>
            <w:tcW w:w="1456" w:type="dxa"/>
            <w:vAlign w:val="center"/>
          </w:tcPr>
          <w:p>
            <w:pPr>
              <w:spacing w:line="280" w:lineRule="exact"/>
              <w:jc w:val="center"/>
              <w:rPr>
                <w:rFonts w:ascii="Times New Roman" w:hAnsi="Times New Roman"/>
                <w:kern w:val="2"/>
              </w:rPr>
            </w:pPr>
            <w:r>
              <w:rPr>
                <w:rFonts w:ascii="Times New Roman" w:hAnsi="Times New Roman"/>
                <w:kern w:val="2"/>
              </w:rPr>
              <w:t>0.015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62" w:type="dxa"/>
            <w:vMerge w:val="restart"/>
            <w:vAlign w:val="center"/>
          </w:tcPr>
          <w:p>
            <w:pPr>
              <w:spacing w:line="280" w:lineRule="exact"/>
              <w:jc w:val="center"/>
              <w:rPr>
                <w:rFonts w:ascii="Times New Roman" w:hAnsi="Times New Roman"/>
                <w:kern w:val="2"/>
              </w:rPr>
            </w:pPr>
            <w:r>
              <w:rPr>
                <w:rFonts w:ascii="Times New Roman" w:hAnsi="Times New Roman"/>
                <w:kern w:val="2"/>
              </w:rPr>
              <w:t>2</w:t>
            </w:r>
          </w:p>
        </w:tc>
        <w:tc>
          <w:tcPr>
            <w:tcW w:w="1985" w:type="dxa"/>
            <w:vMerge w:val="restart"/>
            <w:vAlign w:val="center"/>
          </w:tcPr>
          <w:p>
            <w:pPr>
              <w:spacing w:line="280" w:lineRule="exact"/>
              <w:jc w:val="center"/>
              <w:rPr>
                <w:rFonts w:ascii="Times New Roman" w:hAnsi="Times New Roman"/>
              </w:rPr>
            </w:pPr>
            <w:r>
              <w:rPr>
                <w:rFonts w:ascii="Times New Roman" w:hAnsi="Times New Roman"/>
              </w:rPr>
              <w:t>污水处理间</w:t>
            </w:r>
          </w:p>
          <w:p>
            <w:pPr>
              <w:spacing w:line="280" w:lineRule="exact"/>
              <w:jc w:val="center"/>
              <w:rPr>
                <w:rFonts w:ascii="Times New Roman" w:hAnsi="Times New Roman"/>
              </w:rPr>
            </w:pPr>
            <w:r>
              <w:rPr>
                <w:rFonts w:ascii="Times New Roman" w:hAnsi="Times New Roman"/>
              </w:rPr>
              <w:t>DA003</w:t>
            </w:r>
          </w:p>
        </w:tc>
        <w:tc>
          <w:tcPr>
            <w:tcW w:w="1083" w:type="dxa"/>
            <w:vAlign w:val="center"/>
          </w:tcPr>
          <w:p>
            <w:pPr>
              <w:spacing w:line="280" w:lineRule="exact"/>
              <w:jc w:val="center"/>
              <w:rPr>
                <w:rFonts w:ascii="Times New Roman" w:hAnsi="Times New Roman"/>
                <w:bCs/>
              </w:rPr>
            </w:pPr>
            <w:r>
              <w:rPr>
                <w:rFonts w:ascii="Times New Roman" w:hAnsi="Times New Roman"/>
                <w:bCs/>
              </w:rPr>
              <w:t>NH</w:t>
            </w:r>
            <w:r>
              <w:rPr>
                <w:rFonts w:ascii="Times New Roman" w:hAnsi="Times New Roman"/>
                <w:bCs/>
                <w:vertAlign w:val="subscript"/>
              </w:rPr>
              <w:t>3</w:t>
            </w:r>
          </w:p>
        </w:tc>
        <w:tc>
          <w:tcPr>
            <w:tcW w:w="1622" w:type="dxa"/>
            <w:vAlign w:val="center"/>
          </w:tcPr>
          <w:p>
            <w:pPr>
              <w:spacing w:line="280" w:lineRule="exact"/>
              <w:jc w:val="center"/>
              <w:rPr>
                <w:rFonts w:ascii="Times New Roman" w:hAnsi="Times New Roman"/>
                <w:kern w:val="2"/>
              </w:rPr>
            </w:pPr>
            <w:r>
              <w:rPr>
                <w:rFonts w:ascii="Times New Roman" w:hAnsi="Times New Roman"/>
                <w:kern w:val="2"/>
              </w:rPr>
              <w:t>/</w:t>
            </w:r>
          </w:p>
        </w:tc>
        <w:tc>
          <w:tcPr>
            <w:tcW w:w="1505" w:type="dxa"/>
            <w:vAlign w:val="center"/>
          </w:tcPr>
          <w:p>
            <w:pPr>
              <w:spacing w:line="280" w:lineRule="exact"/>
              <w:jc w:val="center"/>
              <w:rPr>
                <w:rFonts w:ascii="Times New Roman" w:hAnsi="Times New Roman"/>
                <w:kern w:val="2"/>
              </w:rPr>
            </w:pPr>
            <w:r>
              <w:rPr>
                <w:rFonts w:ascii="Times New Roman" w:hAnsi="Times New Roman"/>
                <w:kern w:val="2"/>
              </w:rPr>
              <w:t>1.23×10</w:t>
            </w:r>
            <w:r>
              <w:rPr>
                <w:rFonts w:ascii="Times New Roman" w:hAnsi="Times New Roman"/>
                <w:kern w:val="2"/>
                <w:vertAlign w:val="superscript"/>
              </w:rPr>
              <w:t>-8</w:t>
            </w:r>
          </w:p>
        </w:tc>
        <w:tc>
          <w:tcPr>
            <w:tcW w:w="1456" w:type="dxa"/>
            <w:vAlign w:val="center"/>
          </w:tcPr>
          <w:p>
            <w:pPr>
              <w:spacing w:line="280" w:lineRule="exact"/>
              <w:jc w:val="center"/>
              <w:rPr>
                <w:rFonts w:ascii="Times New Roman" w:hAnsi="Times New Roman"/>
                <w:kern w:val="2"/>
              </w:rPr>
            </w:pPr>
            <w:r>
              <w:rPr>
                <w:rFonts w:ascii="Times New Roman" w:hAnsi="Times New Roman"/>
                <w:kern w:val="2"/>
              </w:rPr>
              <w:t>1.08×10</w:t>
            </w:r>
            <w:r>
              <w:rPr>
                <w:rFonts w:ascii="Times New Roman" w:hAnsi="Times New Roman"/>
                <w:kern w:val="2"/>
                <w:vertAlign w:val="superscript"/>
              </w:rPr>
              <w:t>-7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62" w:type="dxa"/>
            <w:vMerge w:val="continue"/>
            <w:vAlign w:val="center"/>
          </w:tcPr>
          <w:p>
            <w:pPr>
              <w:spacing w:line="280" w:lineRule="exact"/>
              <w:jc w:val="center"/>
              <w:rPr>
                <w:rFonts w:ascii="Times New Roman" w:hAnsi="Times New Roman"/>
                <w:kern w:val="2"/>
              </w:rPr>
            </w:pPr>
          </w:p>
        </w:tc>
        <w:tc>
          <w:tcPr>
            <w:tcW w:w="1985" w:type="dxa"/>
            <w:vMerge w:val="continue"/>
            <w:vAlign w:val="center"/>
          </w:tcPr>
          <w:p>
            <w:pPr>
              <w:spacing w:line="280" w:lineRule="exact"/>
              <w:jc w:val="center"/>
              <w:rPr>
                <w:rFonts w:ascii="Times New Roman" w:hAnsi="Times New Roman"/>
              </w:rPr>
            </w:pPr>
          </w:p>
        </w:tc>
        <w:tc>
          <w:tcPr>
            <w:tcW w:w="1083" w:type="dxa"/>
            <w:vAlign w:val="center"/>
          </w:tcPr>
          <w:p>
            <w:pPr>
              <w:spacing w:line="280" w:lineRule="exact"/>
              <w:jc w:val="center"/>
              <w:rPr>
                <w:rFonts w:ascii="Times New Roman" w:hAnsi="Times New Roman"/>
                <w:bCs/>
              </w:rPr>
            </w:pPr>
            <w:r>
              <w:rPr>
                <w:rFonts w:ascii="Times New Roman" w:hAnsi="Times New Roman"/>
                <w:bCs/>
              </w:rPr>
              <w:t>H</w:t>
            </w:r>
            <w:r>
              <w:rPr>
                <w:rFonts w:ascii="Times New Roman" w:hAnsi="Times New Roman"/>
                <w:bCs/>
                <w:vertAlign w:val="subscript"/>
              </w:rPr>
              <w:t>2</w:t>
            </w:r>
            <w:r>
              <w:rPr>
                <w:rFonts w:ascii="Times New Roman" w:hAnsi="Times New Roman"/>
                <w:bCs/>
              </w:rPr>
              <w:t>S</w:t>
            </w:r>
          </w:p>
        </w:tc>
        <w:tc>
          <w:tcPr>
            <w:tcW w:w="1622" w:type="dxa"/>
            <w:vAlign w:val="center"/>
          </w:tcPr>
          <w:p>
            <w:pPr>
              <w:spacing w:line="280" w:lineRule="exact"/>
              <w:jc w:val="center"/>
              <w:rPr>
                <w:rFonts w:ascii="Times New Roman" w:hAnsi="Times New Roman"/>
                <w:kern w:val="2"/>
              </w:rPr>
            </w:pPr>
            <w:r>
              <w:rPr>
                <w:rFonts w:ascii="Times New Roman" w:hAnsi="Times New Roman"/>
                <w:kern w:val="2"/>
              </w:rPr>
              <w:t>/</w:t>
            </w:r>
          </w:p>
        </w:tc>
        <w:tc>
          <w:tcPr>
            <w:tcW w:w="1505" w:type="dxa"/>
            <w:vAlign w:val="center"/>
          </w:tcPr>
          <w:p>
            <w:pPr>
              <w:spacing w:line="280" w:lineRule="exact"/>
              <w:jc w:val="center"/>
              <w:rPr>
                <w:rFonts w:ascii="Times New Roman" w:hAnsi="Times New Roman"/>
                <w:kern w:val="2"/>
              </w:rPr>
            </w:pPr>
            <w:r>
              <w:rPr>
                <w:rFonts w:ascii="Times New Roman" w:hAnsi="Times New Roman"/>
                <w:kern w:val="2"/>
              </w:rPr>
              <w:t>0.479×10</w:t>
            </w:r>
            <w:r>
              <w:rPr>
                <w:rFonts w:ascii="Times New Roman" w:hAnsi="Times New Roman"/>
                <w:kern w:val="2"/>
                <w:vertAlign w:val="superscript"/>
              </w:rPr>
              <w:t>-9</w:t>
            </w:r>
          </w:p>
        </w:tc>
        <w:tc>
          <w:tcPr>
            <w:tcW w:w="1456" w:type="dxa"/>
            <w:vAlign w:val="center"/>
          </w:tcPr>
          <w:p>
            <w:pPr>
              <w:spacing w:line="280" w:lineRule="exact"/>
              <w:jc w:val="center"/>
              <w:rPr>
                <w:rFonts w:ascii="Times New Roman" w:hAnsi="Times New Roman"/>
                <w:kern w:val="2"/>
              </w:rPr>
            </w:pPr>
            <w:r>
              <w:rPr>
                <w:rFonts w:ascii="Times New Roman" w:hAnsi="Times New Roman"/>
                <w:kern w:val="2"/>
              </w:rPr>
              <w:t>4.19×10</w:t>
            </w:r>
            <w:r>
              <w:rPr>
                <w:rFonts w:ascii="Times New Roman" w:hAnsi="Times New Roman"/>
                <w:kern w:val="2"/>
                <w:vertAlign w:val="superscript"/>
              </w:rPr>
              <w:t>-9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647" w:type="dxa"/>
            <w:gridSpan w:val="2"/>
            <w:vMerge w:val="restart"/>
            <w:vAlign w:val="center"/>
          </w:tcPr>
          <w:p>
            <w:pPr>
              <w:spacing w:line="280" w:lineRule="exact"/>
              <w:jc w:val="center"/>
              <w:rPr>
                <w:rFonts w:ascii="Times New Roman" w:hAnsi="Times New Roman"/>
                <w:kern w:val="2"/>
              </w:rPr>
            </w:pPr>
            <w:r>
              <w:rPr>
                <w:rFonts w:ascii="Times New Roman" w:hAnsi="Times New Roman"/>
                <w:kern w:val="2"/>
              </w:rPr>
              <w:t>有组织排放合计</w:t>
            </w:r>
          </w:p>
        </w:tc>
        <w:tc>
          <w:tcPr>
            <w:tcW w:w="4210" w:type="dxa"/>
            <w:gridSpan w:val="3"/>
            <w:vAlign w:val="center"/>
          </w:tcPr>
          <w:p>
            <w:pPr>
              <w:jc w:val="center"/>
              <w:rPr>
                <w:rFonts w:ascii="Times New Roman" w:hAnsi="Times New Roman"/>
                <w:kern w:val="2"/>
              </w:rPr>
            </w:pPr>
            <w:r>
              <w:rPr>
                <w:rFonts w:ascii="Times New Roman" w:hAnsi="Times New Roman"/>
                <w:bCs/>
              </w:rPr>
              <w:t>NH</w:t>
            </w:r>
            <w:r>
              <w:rPr>
                <w:rFonts w:ascii="Times New Roman" w:hAnsi="Times New Roman"/>
                <w:bCs/>
                <w:vertAlign w:val="subscript"/>
              </w:rPr>
              <w:t>3</w:t>
            </w:r>
          </w:p>
        </w:tc>
        <w:tc>
          <w:tcPr>
            <w:tcW w:w="1456" w:type="dxa"/>
            <w:vAlign w:val="center"/>
          </w:tcPr>
          <w:p>
            <w:pPr>
              <w:spacing w:line="280" w:lineRule="exact"/>
              <w:jc w:val="center"/>
              <w:rPr>
                <w:rFonts w:ascii="Times New Roman" w:hAnsi="Times New Roman"/>
                <w:kern w:val="2"/>
              </w:rPr>
            </w:pPr>
            <w:r>
              <w:rPr>
                <w:rFonts w:ascii="Times New Roman" w:hAnsi="Times New Roman"/>
                <w:kern w:val="2"/>
              </w:rPr>
              <w:t>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647" w:type="dxa"/>
            <w:gridSpan w:val="2"/>
            <w:vMerge w:val="continue"/>
            <w:vAlign w:val="center"/>
          </w:tcPr>
          <w:p>
            <w:pPr>
              <w:spacing w:line="280" w:lineRule="exact"/>
              <w:jc w:val="center"/>
              <w:rPr>
                <w:rFonts w:ascii="Times New Roman" w:hAnsi="Times New Roman"/>
                <w:kern w:val="2"/>
              </w:rPr>
            </w:pPr>
          </w:p>
        </w:tc>
        <w:tc>
          <w:tcPr>
            <w:tcW w:w="4210" w:type="dxa"/>
            <w:gridSpan w:val="3"/>
            <w:vAlign w:val="center"/>
          </w:tcPr>
          <w:p>
            <w:pPr>
              <w:jc w:val="center"/>
              <w:rPr>
                <w:rFonts w:ascii="Times New Roman" w:hAnsi="Times New Roman"/>
                <w:kern w:val="2"/>
              </w:rPr>
            </w:pPr>
            <w:r>
              <w:rPr>
                <w:rFonts w:ascii="Times New Roman" w:hAnsi="Times New Roman"/>
                <w:bCs/>
              </w:rPr>
              <w:t>H</w:t>
            </w:r>
            <w:r>
              <w:rPr>
                <w:rFonts w:ascii="Times New Roman" w:hAnsi="Times New Roman"/>
                <w:bCs/>
                <w:vertAlign w:val="subscript"/>
              </w:rPr>
              <w:t>2</w:t>
            </w:r>
            <w:r>
              <w:rPr>
                <w:rFonts w:ascii="Times New Roman" w:hAnsi="Times New Roman"/>
                <w:bCs/>
              </w:rPr>
              <w:t>S</w:t>
            </w:r>
          </w:p>
        </w:tc>
        <w:tc>
          <w:tcPr>
            <w:tcW w:w="1456" w:type="dxa"/>
            <w:vAlign w:val="center"/>
          </w:tcPr>
          <w:p>
            <w:pPr>
              <w:spacing w:line="280" w:lineRule="exact"/>
              <w:jc w:val="center"/>
              <w:rPr>
                <w:rFonts w:ascii="Times New Roman" w:hAnsi="Times New Roman"/>
                <w:kern w:val="2"/>
              </w:rPr>
            </w:pPr>
            <w:r>
              <w:rPr>
                <w:rFonts w:ascii="Times New Roman" w:hAnsi="Times New Roman"/>
                <w:kern w:val="2"/>
              </w:rPr>
              <w:t>0.034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647" w:type="dxa"/>
            <w:gridSpan w:val="2"/>
            <w:vMerge w:val="continue"/>
            <w:vAlign w:val="center"/>
          </w:tcPr>
          <w:p>
            <w:pPr>
              <w:spacing w:line="280" w:lineRule="exact"/>
              <w:jc w:val="center"/>
              <w:rPr>
                <w:rFonts w:ascii="Times New Roman" w:hAnsi="Times New Roman"/>
                <w:kern w:val="2"/>
              </w:rPr>
            </w:pPr>
          </w:p>
        </w:tc>
        <w:tc>
          <w:tcPr>
            <w:tcW w:w="4210" w:type="dxa"/>
            <w:gridSpan w:val="3"/>
            <w:vAlign w:val="center"/>
          </w:tcPr>
          <w:p>
            <w:pPr>
              <w:jc w:val="center"/>
              <w:rPr>
                <w:rFonts w:ascii="Times New Roman" w:hAnsi="Times New Roman"/>
                <w:kern w:val="2"/>
              </w:rPr>
            </w:pPr>
            <w:r>
              <w:rPr>
                <w:rFonts w:ascii="Times New Roman" w:hAnsi="Times New Roman"/>
                <w:bCs/>
              </w:rPr>
              <w:t>非甲烷总烃</w:t>
            </w:r>
          </w:p>
        </w:tc>
        <w:tc>
          <w:tcPr>
            <w:tcW w:w="1456" w:type="dxa"/>
            <w:vAlign w:val="center"/>
          </w:tcPr>
          <w:p>
            <w:pPr>
              <w:spacing w:line="280" w:lineRule="exact"/>
              <w:jc w:val="center"/>
              <w:rPr>
                <w:rFonts w:ascii="Times New Roman" w:hAnsi="Times New Roman"/>
                <w:kern w:val="2"/>
              </w:rPr>
            </w:pPr>
            <w:r>
              <w:rPr>
                <w:rFonts w:ascii="Times New Roman" w:hAnsi="Times New Roman"/>
              </w:rPr>
              <w:t>0.0098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647" w:type="dxa"/>
            <w:gridSpan w:val="2"/>
            <w:vMerge w:val="continue"/>
            <w:vAlign w:val="center"/>
          </w:tcPr>
          <w:p>
            <w:pPr>
              <w:spacing w:line="280" w:lineRule="exact"/>
              <w:jc w:val="center"/>
              <w:rPr>
                <w:rFonts w:ascii="Times New Roman" w:hAnsi="Times New Roman"/>
                <w:kern w:val="2"/>
              </w:rPr>
            </w:pPr>
          </w:p>
        </w:tc>
        <w:tc>
          <w:tcPr>
            <w:tcW w:w="4210" w:type="dxa"/>
            <w:gridSpan w:val="3"/>
            <w:vAlign w:val="center"/>
          </w:tcPr>
          <w:p>
            <w:pPr>
              <w:spacing w:line="280" w:lineRule="exact"/>
              <w:jc w:val="center"/>
              <w:rPr>
                <w:rFonts w:ascii="Times New Roman" w:hAnsi="Times New Roman"/>
                <w:kern w:val="2"/>
              </w:rPr>
            </w:pPr>
            <w:r>
              <w:rPr>
                <w:rFonts w:ascii="Times New Roman" w:hAnsi="Times New Roman"/>
                <w:bCs/>
                <w:kern w:val="2"/>
              </w:rPr>
              <w:t>颗粒物</w:t>
            </w:r>
          </w:p>
        </w:tc>
        <w:tc>
          <w:tcPr>
            <w:tcW w:w="1456" w:type="dxa"/>
            <w:vAlign w:val="center"/>
          </w:tcPr>
          <w:p>
            <w:pPr>
              <w:spacing w:line="280" w:lineRule="exact"/>
              <w:jc w:val="center"/>
              <w:rPr>
                <w:rFonts w:ascii="Times New Roman" w:hAnsi="Times New Roman"/>
                <w:kern w:val="2"/>
              </w:rPr>
            </w:pPr>
            <w:r>
              <w:rPr>
                <w:rFonts w:ascii="Times New Roman" w:hAnsi="Times New Roman"/>
              </w:rPr>
              <w:t>0.3053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647" w:type="dxa"/>
            <w:gridSpan w:val="2"/>
            <w:vMerge w:val="continue"/>
            <w:vAlign w:val="center"/>
          </w:tcPr>
          <w:p>
            <w:pPr>
              <w:spacing w:line="280" w:lineRule="exact"/>
              <w:jc w:val="center"/>
              <w:rPr>
                <w:rFonts w:ascii="Times New Roman" w:hAnsi="Times New Roman"/>
                <w:kern w:val="2"/>
              </w:rPr>
            </w:pPr>
          </w:p>
        </w:tc>
        <w:tc>
          <w:tcPr>
            <w:tcW w:w="4210" w:type="dxa"/>
            <w:gridSpan w:val="3"/>
            <w:vAlign w:val="center"/>
          </w:tcPr>
          <w:p>
            <w:pPr>
              <w:spacing w:line="280" w:lineRule="exact"/>
              <w:jc w:val="center"/>
              <w:rPr>
                <w:rFonts w:ascii="Times New Roman" w:hAnsi="Times New Roman"/>
                <w:kern w:val="2"/>
              </w:rPr>
            </w:pPr>
            <w:r>
              <w:rPr>
                <w:rFonts w:ascii="Times New Roman" w:hAnsi="Times New Roman"/>
                <w:kern w:val="2"/>
              </w:rPr>
              <w:t>SO</w:t>
            </w:r>
            <w:r>
              <w:rPr>
                <w:rFonts w:ascii="Times New Roman" w:hAnsi="Times New Roman"/>
                <w:kern w:val="2"/>
                <w:vertAlign w:val="subscript"/>
              </w:rPr>
              <w:t>2</w:t>
            </w:r>
          </w:p>
        </w:tc>
        <w:tc>
          <w:tcPr>
            <w:tcW w:w="1456" w:type="dxa"/>
            <w:vAlign w:val="center"/>
          </w:tcPr>
          <w:p>
            <w:pPr>
              <w:spacing w:line="280" w:lineRule="exact"/>
              <w:jc w:val="center"/>
              <w:rPr>
                <w:rFonts w:ascii="Times New Roman" w:hAnsi="Times New Roman"/>
                <w:kern w:val="2"/>
              </w:rPr>
            </w:pPr>
            <w:r>
              <w:rPr>
                <w:rFonts w:ascii="Times New Roman" w:hAnsi="Times New Roman"/>
                <w:kern w:val="2"/>
              </w:rPr>
              <w:t>0.000566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647" w:type="dxa"/>
            <w:gridSpan w:val="2"/>
            <w:vMerge w:val="continue"/>
            <w:vAlign w:val="center"/>
          </w:tcPr>
          <w:p>
            <w:pPr>
              <w:spacing w:line="280" w:lineRule="exact"/>
              <w:jc w:val="center"/>
              <w:rPr>
                <w:rFonts w:ascii="Times New Roman" w:hAnsi="Times New Roman"/>
                <w:kern w:val="2"/>
              </w:rPr>
            </w:pPr>
          </w:p>
        </w:tc>
        <w:tc>
          <w:tcPr>
            <w:tcW w:w="4210" w:type="dxa"/>
            <w:gridSpan w:val="3"/>
            <w:vAlign w:val="center"/>
          </w:tcPr>
          <w:p>
            <w:pPr>
              <w:spacing w:line="280" w:lineRule="exact"/>
              <w:jc w:val="center"/>
              <w:rPr>
                <w:rFonts w:ascii="Times New Roman" w:hAnsi="Times New Roman"/>
              </w:rPr>
            </w:pPr>
            <w:r>
              <w:rPr>
                <w:rFonts w:ascii="Times New Roman" w:hAnsi="Times New Roman"/>
                <w:kern w:val="2"/>
              </w:rPr>
              <w:t>NO</w:t>
            </w:r>
            <w:r>
              <w:rPr>
                <w:rFonts w:ascii="Times New Roman" w:hAnsi="Times New Roman"/>
                <w:kern w:val="2"/>
                <w:vertAlign w:val="subscript"/>
              </w:rPr>
              <w:t>x</w:t>
            </w:r>
          </w:p>
        </w:tc>
        <w:tc>
          <w:tcPr>
            <w:tcW w:w="1456" w:type="dxa"/>
            <w:vAlign w:val="center"/>
          </w:tcPr>
          <w:p>
            <w:pPr>
              <w:spacing w:line="280" w:lineRule="exact"/>
              <w:jc w:val="center"/>
              <w:rPr>
                <w:rFonts w:ascii="Times New Roman" w:hAnsi="Times New Roman"/>
              </w:rPr>
            </w:pPr>
            <w:r>
              <w:rPr>
                <w:rFonts w:ascii="Times New Roman" w:hAnsi="Times New Roman"/>
                <w:kern w:val="2"/>
              </w:rPr>
              <w:t>0.015</w:t>
            </w:r>
          </w:p>
        </w:tc>
      </w:tr>
    </w:tbl>
    <w:p>
      <w:pPr>
        <w:pStyle w:val="155"/>
        <w:spacing w:line="480" w:lineRule="exact"/>
        <w:ind w:firstLine="480"/>
      </w:pPr>
      <w:r>
        <w:t>本项目大气污染物无组织排放量核算见表5.2-7。</w:t>
      </w:r>
    </w:p>
    <w:p>
      <w:pPr>
        <w:spacing w:line="480" w:lineRule="exact"/>
        <w:ind w:firstLine="371" w:firstLineChars="176"/>
        <w:jc w:val="center"/>
        <w:rPr>
          <w:rFonts w:ascii="Times New Roman" w:hAnsi="Times New Roman"/>
          <w:b/>
        </w:rPr>
      </w:pPr>
      <w:r>
        <w:rPr>
          <w:rFonts w:ascii="Times New Roman" w:hAnsi="Times New Roman"/>
          <w:b/>
        </w:rPr>
        <w:t>表5.2-7 大气污染物无组织排放量核算表</w:t>
      </w:r>
    </w:p>
    <w:tbl>
      <w:tblPr>
        <w:tblStyle w:val="77"/>
        <w:tblW w:w="5000" w:type="pct"/>
        <w:tblInd w:w="108"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32"/>
        <w:gridCol w:w="852"/>
        <w:gridCol w:w="837"/>
        <w:gridCol w:w="1008"/>
        <w:gridCol w:w="1134"/>
        <w:gridCol w:w="2032"/>
        <w:gridCol w:w="1117"/>
        <w:gridCol w:w="111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21" w:type="dxa"/>
            <w:vMerge w:val="restart"/>
            <w:vAlign w:val="center"/>
          </w:tcPr>
          <w:p>
            <w:pPr>
              <w:spacing w:line="280" w:lineRule="exact"/>
              <w:jc w:val="center"/>
              <w:rPr>
                <w:rFonts w:ascii="Times New Roman" w:hAnsi="Times New Roman"/>
                <w:b/>
              </w:rPr>
            </w:pPr>
            <w:r>
              <w:rPr>
                <w:rFonts w:ascii="Times New Roman" w:hAnsi="Times New Roman"/>
                <w:b/>
              </w:rPr>
              <w:t>序号</w:t>
            </w:r>
          </w:p>
        </w:tc>
        <w:tc>
          <w:tcPr>
            <w:tcW w:w="830" w:type="dxa"/>
            <w:vMerge w:val="restart"/>
            <w:vAlign w:val="center"/>
          </w:tcPr>
          <w:p>
            <w:pPr>
              <w:spacing w:line="280" w:lineRule="exact"/>
              <w:jc w:val="center"/>
              <w:rPr>
                <w:rFonts w:ascii="Times New Roman" w:hAnsi="Times New Roman"/>
                <w:b/>
              </w:rPr>
            </w:pPr>
            <w:r>
              <w:rPr>
                <w:rFonts w:ascii="Times New Roman" w:hAnsi="Times New Roman"/>
                <w:b/>
              </w:rPr>
              <w:t>排放口编号</w:t>
            </w:r>
          </w:p>
        </w:tc>
        <w:tc>
          <w:tcPr>
            <w:tcW w:w="816" w:type="dxa"/>
            <w:vMerge w:val="restart"/>
            <w:vAlign w:val="center"/>
          </w:tcPr>
          <w:p>
            <w:pPr>
              <w:spacing w:line="280" w:lineRule="exact"/>
              <w:jc w:val="center"/>
              <w:rPr>
                <w:rFonts w:ascii="Times New Roman" w:hAnsi="Times New Roman"/>
                <w:b/>
              </w:rPr>
            </w:pPr>
            <w:r>
              <w:rPr>
                <w:rFonts w:ascii="Times New Roman" w:hAnsi="Times New Roman"/>
                <w:b/>
              </w:rPr>
              <w:t>产污环节</w:t>
            </w:r>
          </w:p>
        </w:tc>
        <w:tc>
          <w:tcPr>
            <w:tcW w:w="982" w:type="dxa"/>
            <w:vMerge w:val="restart"/>
            <w:vAlign w:val="center"/>
          </w:tcPr>
          <w:p>
            <w:pPr>
              <w:spacing w:line="280" w:lineRule="exact"/>
              <w:jc w:val="center"/>
              <w:rPr>
                <w:rFonts w:ascii="Times New Roman" w:hAnsi="Times New Roman"/>
                <w:b/>
              </w:rPr>
            </w:pPr>
            <w:r>
              <w:rPr>
                <w:rFonts w:ascii="Times New Roman" w:hAnsi="Times New Roman"/>
                <w:b/>
              </w:rPr>
              <w:t>污染物</w:t>
            </w:r>
          </w:p>
        </w:tc>
        <w:tc>
          <w:tcPr>
            <w:tcW w:w="1105" w:type="dxa"/>
            <w:vMerge w:val="restart"/>
            <w:vAlign w:val="center"/>
          </w:tcPr>
          <w:p>
            <w:pPr>
              <w:spacing w:line="280" w:lineRule="exact"/>
              <w:jc w:val="center"/>
              <w:rPr>
                <w:rFonts w:ascii="Times New Roman" w:hAnsi="Times New Roman"/>
                <w:b/>
              </w:rPr>
            </w:pPr>
            <w:r>
              <w:rPr>
                <w:rFonts w:ascii="Times New Roman" w:hAnsi="Times New Roman"/>
                <w:b/>
              </w:rPr>
              <w:t>主要污染防治措施</w:t>
            </w:r>
          </w:p>
        </w:tc>
        <w:tc>
          <w:tcPr>
            <w:tcW w:w="3070" w:type="dxa"/>
            <w:gridSpan w:val="2"/>
            <w:vAlign w:val="center"/>
          </w:tcPr>
          <w:p>
            <w:pPr>
              <w:spacing w:line="280" w:lineRule="exact"/>
              <w:jc w:val="center"/>
              <w:rPr>
                <w:rFonts w:ascii="Times New Roman" w:hAnsi="Times New Roman"/>
                <w:b/>
              </w:rPr>
            </w:pPr>
            <w:r>
              <w:rPr>
                <w:rFonts w:ascii="Times New Roman" w:hAnsi="Times New Roman"/>
                <w:b/>
              </w:rPr>
              <w:t>国家或地方污染物排放标准</w:t>
            </w:r>
          </w:p>
        </w:tc>
        <w:tc>
          <w:tcPr>
            <w:tcW w:w="1089" w:type="dxa"/>
            <w:vMerge w:val="restart"/>
            <w:vAlign w:val="center"/>
          </w:tcPr>
          <w:p>
            <w:pPr>
              <w:spacing w:line="280" w:lineRule="exact"/>
              <w:jc w:val="center"/>
              <w:rPr>
                <w:rFonts w:ascii="Times New Roman" w:hAnsi="Times New Roman"/>
                <w:b/>
              </w:rPr>
            </w:pPr>
            <w:r>
              <w:rPr>
                <w:rFonts w:ascii="Times New Roman" w:hAnsi="Times New Roman"/>
                <w:b/>
              </w:rPr>
              <w:t>年排放量(t/a)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21" w:type="dxa"/>
            <w:vMerge w:val="continue"/>
            <w:vAlign w:val="center"/>
          </w:tcPr>
          <w:p>
            <w:pPr>
              <w:spacing w:line="280" w:lineRule="exact"/>
              <w:jc w:val="center"/>
              <w:rPr>
                <w:rFonts w:ascii="Times New Roman" w:hAnsi="Times New Roman"/>
                <w:b/>
              </w:rPr>
            </w:pPr>
          </w:p>
        </w:tc>
        <w:tc>
          <w:tcPr>
            <w:tcW w:w="830" w:type="dxa"/>
            <w:vMerge w:val="continue"/>
            <w:vAlign w:val="center"/>
          </w:tcPr>
          <w:p>
            <w:pPr>
              <w:spacing w:line="280" w:lineRule="exact"/>
              <w:jc w:val="center"/>
              <w:rPr>
                <w:rFonts w:ascii="Times New Roman" w:hAnsi="Times New Roman"/>
                <w:b/>
              </w:rPr>
            </w:pPr>
          </w:p>
        </w:tc>
        <w:tc>
          <w:tcPr>
            <w:tcW w:w="816" w:type="dxa"/>
            <w:vMerge w:val="continue"/>
            <w:vAlign w:val="center"/>
          </w:tcPr>
          <w:p>
            <w:pPr>
              <w:spacing w:line="280" w:lineRule="exact"/>
              <w:jc w:val="center"/>
              <w:rPr>
                <w:rFonts w:ascii="Times New Roman" w:hAnsi="Times New Roman"/>
                <w:b/>
              </w:rPr>
            </w:pPr>
          </w:p>
        </w:tc>
        <w:tc>
          <w:tcPr>
            <w:tcW w:w="982" w:type="dxa"/>
            <w:vMerge w:val="continue"/>
            <w:vAlign w:val="center"/>
          </w:tcPr>
          <w:p>
            <w:pPr>
              <w:spacing w:line="280" w:lineRule="exact"/>
              <w:jc w:val="center"/>
              <w:rPr>
                <w:rFonts w:ascii="Times New Roman" w:hAnsi="Times New Roman"/>
                <w:b/>
              </w:rPr>
            </w:pPr>
          </w:p>
        </w:tc>
        <w:tc>
          <w:tcPr>
            <w:tcW w:w="1105" w:type="dxa"/>
            <w:vMerge w:val="continue"/>
            <w:vAlign w:val="center"/>
          </w:tcPr>
          <w:p>
            <w:pPr>
              <w:spacing w:line="280" w:lineRule="exact"/>
              <w:jc w:val="center"/>
              <w:rPr>
                <w:rFonts w:ascii="Times New Roman" w:hAnsi="Times New Roman"/>
                <w:b/>
              </w:rPr>
            </w:pPr>
          </w:p>
        </w:tc>
        <w:tc>
          <w:tcPr>
            <w:tcW w:w="1981" w:type="dxa"/>
            <w:vAlign w:val="center"/>
          </w:tcPr>
          <w:p>
            <w:pPr>
              <w:spacing w:line="280" w:lineRule="exact"/>
              <w:jc w:val="center"/>
              <w:rPr>
                <w:rFonts w:ascii="Times New Roman" w:hAnsi="Times New Roman"/>
                <w:b/>
              </w:rPr>
            </w:pPr>
            <w:r>
              <w:rPr>
                <w:rFonts w:ascii="Times New Roman" w:hAnsi="Times New Roman"/>
                <w:b/>
              </w:rPr>
              <w:t>标准名称</w:t>
            </w:r>
          </w:p>
        </w:tc>
        <w:tc>
          <w:tcPr>
            <w:tcW w:w="1089" w:type="dxa"/>
            <w:vAlign w:val="center"/>
          </w:tcPr>
          <w:p>
            <w:pPr>
              <w:spacing w:line="280" w:lineRule="exact"/>
              <w:jc w:val="center"/>
              <w:rPr>
                <w:rFonts w:ascii="Times New Roman" w:hAnsi="Times New Roman"/>
                <w:b/>
              </w:rPr>
            </w:pPr>
            <w:r>
              <w:rPr>
                <w:rFonts w:ascii="Times New Roman" w:hAnsi="Times New Roman"/>
                <w:b/>
              </w:rPr>
              <w:t>浓度限值(μg/m</w:t>
            </w:r>
            <w:r>
              <w:rPr>
                <w:rFonts w:ascii="Times New Roman" w:hAnsi="Times New Roman"/>
                <w:b/>
                <w:vertAlign w:val="superscript"/>
              </w:rPr>
              <w:t>3</w:t>
            </w:r>
            <w:r>
              <w:rPr>
                <w:rFonts w:ascii="Times New Roman" w:hAnsi="Times New Roman"/>
                <w:b/>
              </w:rPr>
              <w:t>)</w:t>
            </w:r>
          </w:p>
        </w:tc>
        <w:tc>
          <w:tcPr>
            <w:tcW w:w="1089" w:type="dxa"/>
            <w:vMerge w:val="continue"/>
            <w:vAlign w:val="center"/>
          </w:tcPr>
          <w:p>
            <w:pPr>
              <w:spacing w:line="280" w:lineRule="exact"/>
              <w:jc w:val="center"/>
              <w:rPr>
                <w:rFonts w:ascii="Times New Roman" w:hAnsi="Times New Roma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21" w:type="dxa"/>
            <w:vMerge w:val="restart"/>
            <w:vAlign w:val="center"/>
          </w:tcPr>
          <w:p>
            <w:pPr>
              <w:spacing w:line="280" w:lineRule="exact"/>
              <w:jc w:val="center"/>
              <w:rPr>
                <w:rFonts w:ascii="Times New Roman" w:hAnsi="Times New Roman"/>
                <w:kern w:val="2"/>
              </w:rPr>
            </w:pPr>
            <w:r>
              <w:rPr>
                <w:rFonts w:ascii="Times New Roman" w:hAnsi="Times New Roman"/>
                <w:kern w:val="2"/>
              </w:rPr>
              <w:t>1</w:t>
            </w:r>
          </w:p>
        </w:tc>
        <w:tc>
          <w:tcPr>
            <w:tcW w:w="830" w:type="dxa"/>
            <w:vMerge w:val="restart"/>
            <w:vAlign w:val="center"/>
          </w:tcPr>
          <w:p>
            <w:pPr>
              <w:spacing w:line="280" w:lineRule="exact"/>
              <w:jc w:val="center"/>
              <w:rPr>
                <w:rFonts w:ascii="Times New Roman" w:hAnsi="Times New Roman"/>
                <w:kern w:val="2"/>
              </w:rPr>
            </w:pPr>
            <w:r>
              <w:rPr>
                <w:rFonts w:ascii="Times New Roman" w:hAnsi="Times New Roman"/>
                <w:kern w:val="2"/>
              </w:rPr>
              <w:t>矩形</w:t>
            </w:r>
          </w:p>
          <w:p>
            <w:pPr>
              <w:spacing w:line="280" w:lineRule="exact"/>
              <w:jc w:val="center"/>
              <w:rPr>
                <w:rFonts w:ascii="Times New Roman" w:hAnsi="Times New Roman"/>
                <w:kern w:val="2"/>
              </w:rPr>
            </w:pPr>
            <w:r>
              <w:rPr>
                <w:rFonts w:ascii="Times New Roman" w:hAnsi="Times New Roman"/>
                <w:kern w:val="2"/>
              </w:rPr>
              <w:t>面源2</w:t>
            </w:r>
          </w:p>
        </w:tc>
        <w:tc>
          <w:tcPr>
            <w:tcW w:w="816" w:type="dxa"/>
            <w:vMerge w:val="restart"/>
            <w:vAlign w:val="center"/>
          </w:tcPr>
          <w:p>
            <w:pPr>
              <w:spacing w:line="280" w:lineRule="exact"/>
              <w:jc w:val="center"/>
              <w:rPr>
                <w:rFonts w:ascii="Times New Roman" w:hAnsi="Times New Roman"/>
                <w:kern w:val="2"/>
              </w:rPr>
            </w:pPr>
            <w:r>
              <w:rPr>
                <w:rFonts w:ascii="Times New Roman" w:hAnsi="Times New Roman"/>
                <w:kern w:val="2"/>
              </w:rPr>
              <w:t>污水处理间</w:t>
            </w:r>
          </w:p>
        </w:tc>
        <w:tc>
          <w:tcPr>
            <w:tcW w:w="982" w:type="dxa"/>
            <w:vAlign w:val="center"/>
          </w:tcPr>
          <w:p>
            <w:pPr>
              <w:jc w:val="center"/>
              <w:rPr>
                <w:rFonts w:ascii="Times New Roman" w:hAnsi="Times New Roman"/>
                <w:bCs/>
                <w:kern w:val="2"/>
              </w:rPr>
            </w:pPr>
            <w:r>
              <w:rPr>
                <w:rFonts w:ascii="Times New Roman" w:hAnsi="Times New Roman"/>
                <w:bCs/>
              </w:rPr>
              <w:t>NH</w:t>
            </w:r>
            <w:r>
              <w:rPr>
                <w:rFonts w:ascii="Times New Roman" w:hAnsi="Times New Roman"/>
                <w:bCs/>
                <w:vertAlign w:val="subscript"/>
              </w:rPr>
              <w:t>3</w:t>
            </w:r>
          </w:p>
        </w:tc>
        <w:tc>
          <w:tcPr>
            <w:tcW w:w="1105" w:type="dxa"/>
            <w:vMerge w:val="restart"/>
            <w:vAlign w:val="center"/>
          </w:tcPr>
          <w:p>
            <w:pPr>
              <w:spacing w:line="280" w:lineRule="exact"/>
              <w:jc w:val="center"/>
              <w:rPr>
                <w:rFonts w:ascii="Times New Roman" w:hAnsi="Times New Roman"/>
                <w:kern w:val="2"/>
              </w:rPr>
            </w:pPr>
            <w:r>
              <w:rPr>
                <w:rFonts w:ascii="Times New Roman" w:hAnsi="Times New Roman"/>
                <w:kern w:val="2"/>
              </w:rPr>
              <w:t>喷洒</w:t>
            </w:r>
          </w:p>
          <w:p>
            <w:pPr>
              <w:spacing w:line="280" w:lineRule="exact"/>
              <w:jc w:val="center"/>
              <w:rPr>
                <w:rFonts w:ascii="Times New Roman" w:hAnsi="Times New Roman"/>
                <w:kern w:val="2"/>
              </w:rPr>
            </w:pPr>
            <w:r>
              <w:rPr>
                <w:rFonts w:ascii="Times New Roman" w:hAnsi="Times New Roman"/>
                <w:kern w:val="2"/>
              </w:rPr>
              <w:t>除臭剂</w:t>
            </w:r>
          </w:p>
        </w:tc>
        <w:tc>
          <w:tcPr>
            <w:tcW w:w="1981" w:type="dxa"/>
            <w:vMerge w:val="restart"/>
            <w:vAlign w:val="center"/>
          </w:tcPr>
          <w:p>
            <w:pPr>
              <w:spacing w:line="280" w:lineRule="exact"/>
              <w:jc w:val="center"/>
              <w:rPr>
                <w:rFonts w:ascii="Times New Roman" w:hAnsi="Times New Roman"/>
                <w:kern w:val="2"/>
              </w:rPr>
            </w:pPr>
            <w:r>
              <w:rPr>
                <w:rFonts w:ascii="Times New Roman" w:hAnsi="Times New Roman"/>
                <w:kern w:val="2"/>
              </w:rPr>
              <w:t>《恶臭污染物排放标准》（GB14554-93）</w:t>
            </w:r>
          </w:p>
        </w:tc>
        <w:tc>
          <w:tcPr>
            <w:tcW w:w="1089" w:type="dxa"/>
            <w:vAlign w:val="center"/>
          </w:tcPr>
          <w:p>
            <w:pPr>
              <w:spacing w:line="280" w:lineRule="exact"/>
              <w:jc w:val="center"/>
              <w:rPr>
                <w:rFonts w:ascii="Times New Roman" w:hAnsi="Times New Roman"/>
                <w:kern w:val="2"/>
              </w:rPr>
            </w:pPr>
            <w:r>
              <w:rPr>
                <w:rFonts w:ascii="Times New Roman" w:hAnsi="Times New Roman"/>
                <w:kern w:val="2"/>
              </w:rPr>
              <w:t>1500</w:t>
            </w:r>
          </w:p>
        </w:tc>
        <w:tc>
          <w:tcPr>
            <w:tcW w:w="1089" w:type="dxa"/>
            <w:vAlign w:val="center"/>
          </w:tcPr>
          <w:p>
            <w:pPr>
              <w:jc w:val="center"/>
              <w:rPr>
                <w:rFonts w:ascii="Times New Roman" w:hAnsi="Times New Roman"/>
                <w:kern w:val="2"/>
              </w:rPr>
            </w:pPr>
            <w:r>
              <w:rPr>
                <w:rFonts w:ascii="Times New Roman" w:hAnsi="Times New Roman"/>
              </w:rPr>
              <w:t>1.23×10</w:t>
            </w:r>
            <w:r>
              <w:rPr>
                <w:rFonts w:ascii="Times New Roman" w:hAnsi="Times New Roman"/>
                <w:vertAlign w:val="superscript"/>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21" w:type="dxa"/>
            <w:vMerge w:val="continue"/>
            <w:vAlign w:val="center"/>
          </w:tcPr>
          <w:p>
            <w:pPr>
              <w:spacing w:line="280" w:lineRule="exact"/>
              <w:jc w:val="center"/>
              <w:rPr>
                <w:rFonts w:ascii="Times New Roman" w:hAnsi="Times New Roman"/>
                <w:kern w:val="2"/>
              </w:rPr>
            </w:pPr>
          </w:p>
        </w:tc>
        <w:tc>
          <w:tcPr>
            <w:tcW w:w="830" w:type="dxa"/>
            <w:vMerge w:val="continue"/>
            <w:vAlign w:val="center"/>
          </w:tcPr>
          <w:p>
            <w:pPr>
              <w:spacing w:line="280" w:lineRule="exact"/>
              <w:jc w:val="center"/>
              <w:rPr>
                <w:rFonts w:ascii="Times New Roman" w:hAnsi="Times New Roman"/>
                <w:kern w:val="2"/>
              </w:rPr>
            </w:pPr>
          </w:p>
        </w:tc>
        <w:tc>
          <w:tcPr>
            <w:tcW w:w="816" w:type="dxa"/>
            <w:vMerge w:val="continue"/>
            <w:vAlign w:val="center"/>
          </w:tcPr>
          <w:p>
            <w:pPr>
              <w:spacing w:line="280" w:lineRule="exact"/>
              <w:jc w:val="center"/>
              <w:rPr>
                <w:rFonts w:ascii="Times New Roman" w:hAnsi="Times New Roman"/>
                <w:kern w:val="2"/>
              </w:rPr>
            </w:pPr>
          </w:p>
        </w:tc>
        <w:tc>
          <w:tcPr>
            <w:tcW w:w="982" w:type="dxa"/>
            <w:vAlign w:val="center"/>
          </w:tcPr>
          <w:p>
            <w:pPr>
              <w:jc w:val="center"/>
              <w:rPr>
                <w:rFonts w:ascii="Times New Roman" w:hAnsi="Times New Roman"/>
                <w:bCs/>
                <w:kern w:val="2"/>
              </w:rPr>
            </w:pPr>
            <w:r>
              <w:rPr>
                <w:rFonts w:ascii="Times New Roman" w:hAnsi="Times New Roman"/>
                <w:bCs/>
              </w:rPr>
              <w:t>H</w:t>
            </w:r>
            <w:r>
              <w:rPr>
                <w:rFonts w:ascii="Times New Roman" w:hAnsi="Times New Roman"/>
                <w:bCs/>
                <w:vertAlign w:val="subscript"/>
              </w:rPr>
              <w:t>2</w:t>
            </w:r>
            <w:r>
              <w:rPr>
                <w:rFonts w:ascii="Times New Roman" w:hAnsi="Times New Roman"/>
                <w:bCs/>
              </w:rPr>
              <w:t>S</w:t>
            </w:r>
          </w:p>
        </w:tc>
        <w:tc>
          <w:tcPr>
            <w:tcW w:w="1105" w:type="dxa"/>
            <w:vMerge w:val="continue"/>
            <w:vAlign w:val="center"/>
          </w:tcPr>
          <w:p>
            <w:pPr>
              <w:spacing w:line="280" w:lineRule="exact"/>
              <w:jc w:val="center"/>
              <w:rPr>
                <w:rFonts w:ascii="Times New Roman" w:hAnsi="Times New Roman"/>
                <w:kern w:val="2"/>
              </w:rPr>
            </w:pPr>
          </w:p>
        </w:tc>
        <w:tc>
          <w:tcPr>
            <w:tcW w:w="1981" w:type="dxa"/>
            <w:vMerge w:val="continue"/>
            <w:vAlign w:val="center"/>
          </w:tcPr>
          <w:p>
            <w:pPr>
              <w:spacing w:line="280" w:lineRule="exact"/>
              <w:jc w:val="center"/>
              <w:rPr>
                <w:rFonts w:ascii="Times New Roman" w:hAnsi="Times New Roman"/>
                <w:kern w:val="2"/>
              </w:rPr>
            </w:pPr>
          </w:p>
        </w:tc>
        <w:tc>
          <w:tcPr>
            <w:tcW w:w="1089" w:type="dxa"/>
            <w:vAlign w:val="center"/>
          </w:tcPr>
          <w:p>
            <w:pPr>
              <w:spacing w:line="280" w:lineRule="exact"/>
              <w:jc w:val="center"/>
              <w:rPr>
                <w:rFonts w:ascii="Times New Roman" w:hAnsi="Times New Roman"/>
                <w:kern w:val="2"/>
              </w:rPr>
            </w:pPr>
            <w:r>
              <w:rPr>
                <w:rFonts w:ascii="Times New Roman" w:hAnsi="Times New Roman"/>
                <w:kern w:val="2"/>
              </w:rPr>
              <w:t>60</w:t>
            </w:r>
          </w:p>
        </w:tc>
        <w:tc>
          <w:tcPr>
            <w:tcW w:w="1089" w:type="dxa"/>
            <w:vAlign w:val="center"/>
          </w:tcPr>
          <w:p>
            <w:pPr>
              <w:jc w:val="center"/>
              <w:rPr>
                <w:rFonts w:ascii="Times New Roman" w:hAnsi="Times New Roman"/>
                <w:kern w:val="2"/>
              </w:rPr>
            </w:pPr>
            <w:r>
              <w:rPr>
                <w:rFonts w:ascii="Times New Roman" w:hAnsi="Times New Roman"/>
              </w:rPr>
              <w:t>4.81×10</w:t>
            </w:r>
            <w:r>
              <w:rPr>
                <w:rFonts w:ascii="Times New Roman" w:hAnsi="Times New Roman"/>
                <w:vertAlign w:val="superscript"/>
              </w:rPr>
              <w:t>-7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49" w:type="dxa"/>
            <w:gridSpan w:val="4"/>
            <w:vMerge w:val="restart"/>
            <w:vAlign w:val="center"/>
          </w:tcPr>
          <w:p>
            <w:pPr>
              <w:spacing w:line="280" w:lineRule="exact"/>
              <w:jc w:val="center"/>
              <w:rPr>
                <w:rFonts w:ascii="Times New Roman" w:hAnsi="Times New Roman"/>
                <w:kern w:val="2"/>
              </w:rPr>
            </w:pPr>
            <w:r>
              <w:rPr>
                <w:rFonts w:ascii="Times New Roman" w:hAnsi="Times New Roman"/>
                <w:kern w:val="2"/>
              </w:rPr>
              <w:t>无组织排放总计</w:t>
            </w:r>
          </w:p>
        </w:tc>
        <w:tc>
          <w:tcPr>
            <w:tcW w:w="4175" w:type="dxa"/>
            <w:gridSpan w:val="3"/>
            <w:vAlign w:val="center"/>
          </w:tcPr>
          <w:p>
            <w:pPr>
              <w:jc w:val="center"/>
              <w:rPr>
                <w:rFonts w:ascii="Times New Roman" w:hAnsi="Times New Roman"/>
                <w:kern w:val="2"/>
              </w:rPr>
            </w:pPr>
            <w:r>
              <w:rPr>
                <w:rFonts w:ascii="Times New Roman" w:hAnsi="Times New Roman"/>
                <w:bCs/>
              </w:rPr>
              <w:t>NH</w:t>
            </w:r>
            <w:r>
              <w:rPr>
                <w:rFonts w:ascii="Times New Roman" w:hAnsi="Times New Roman"/>
                <w:bCs/>
                <w:vertAlign w:val="subscript"/>
              </w:rPr>
              <w:t>3</w:t>
            </w:r>
          </w:p>
        </w:tc>
        <w:tc>
          <w:tcPr>
            <w:tcW w:w="1089" w:type="dxa"/>
            <w:vAlign w:val="center"/>
          </w:tcPr>
          <w:p>
            <w:pPr>
              <w:spacing w:line="280" w:lineRule="exact"/>
              <w:jc w:val="center"/>
              <w:rPr>
                <w:rFonts w:ascii="Times New Roman" w:hAnsi="Times New Roman"/>
                <w:kern w:val="2"/>
              </w:rPr>
            </w:pPr>
            <w:r>
              <w:rPr>
                <w:rFonts w:ascii="Times New Roman" w:hAnsi="Times New Roman"/>
              </w:rPr>
              <w:t>1.23×10</w:t>
            </w:r>
            <w:r>
              <w:rPr>
                <w:rFonts w:ascii="Times New Roman" w:hAnsi="Times New Roman"/>
                <w:vertAlign w:val="superscript"/>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49" w:type="dxa"/>
            <w:gridSpan w:val="4"/>
            <w:vMerge w:val="continue"/>
            <w:vAlign w:val="center"/>
          </w:tcPr>
          <w:p>
            <w:pPr>
              <w:spacing w:line="280" w:lineRule="exact"/>
              <w:jc w:val="center"/>
              <w:rPr>
                <w:rFonts w:ascii="Times New Roman" w:hAnsi="Times New Roman"/>
                <w:kern w:val="2"/>
              </w:rPr>
            </w:pPr>
          </w:p>
        </w:tc>
        <w:tc>
          <w:tcPr>
            <w:tcW w:w="4175" w:type="dxa"/>
            <w:gridSpan w:val="3"/>
            <w:vAlign w:val="center"/>
          </w:tcPr>
          <w:p>
            <w:pPr>
              <w:jc w:val="center"/>
              <w:rPr>
                <w:rFonts w:ascii="Times New Roman" w:hAnsi="Times New Roman"/>
                <w:kern w:val="2"/>
              </w:rPr>
            </w:pPr>
            <w:r>
              <w:rPr>
                <w:rFonts w:ascii="Times New Roman" w:hAnsi="Times New Roman"/>
                <w:bCs/>
              </w:rPr>
              <w:t>H</w:t>
            </w:r>
            <w:r>
              <w:rPr>
                <w:rFonts w:ascii="Times New Roman" w:hAnsi="Times New Roman"/>
                <w:bCs/>
                <w:vertAlign w:val="subscript"/>
              </w:rPr>
              <w:t>2</w:t>
            </w:r>
            <w:r>
              <w:rPr>
                <w:rFonts w:ascii="Times New Roman" w:hAnsi="Times New Roman"/>
                <w:bCs/>
              </w:rPr>
              <w:t>S</w:t>
            </w:r>
          </w:p>
        </w:tc>
        <w:tc>
          <w:tcPr>
            <w:tcW w:w="1089" w:type="dxa"/>
            <w:vAlign w:val="center"/>
          </w:tcPr>
          <w:p>
            <w:pPr>
              <w:spacing w:line="280" w:lineRule="exact"/>
              <w:jc w:val="center"/>
              <w:rPr>
                <w:rFonts w:ascii="Times New Roman" w:hAnsi="Times New Roman"/>
                <w:kern w:val="2"/>
              </w:rPr>
            </w:pPr>
            <w:r>
              <w:rPr>
                <w:rFonts w:ascii="Times New Roman" w:hAnsi="Times New Roman"/>
              </w:rPr>
              <w:t>4.81×10</w:t>
            </w:r>
            <w:r>
              <w:rPr>
                <w:rFonts w:ascii="Times New Roman" w:hAnsi="Times New Roman"/>
                <w:vertAlign w:val="superscript"/>
              </w:rPr>
              <w:t>-7</w:t>
            </w:r>
          </w:p>
        </w:tc>
      </w:tr>
    </w:tbl>
    <w:p>
      <w:pPr>
        <w:pStyle w:val="155"/>
        <w:spacing w:line="480" w:lineRule="exact"/>
        <w:ind w:firstLine="480"/>
      </w:pPr>
    </w:p>
    <w:p>
      <w:pPr>
        <w:pStyle w:val="155"/>
        <w:spacing w:line="480" w:lineRule="exact"/>
        <w:ind w:firstLine="480"/>
      </w:pPr>
      <w:r>
        <w:t>本项目大气污染物年排放量核算见表5.2-8。</w:t>
      </w:r>
    </w:p>
    <w:p>
      <w:pPr>
        <w:spacing w:line="480" w:lineRule="exact"/>
        <w:ind w:firstLine="371" w:firstLineChars="176"/>
        <w:jc w:val="center"/>
        <w:rPr>
          <w:rFonts w:ascii="Times New Roman" w:hAnsi="Times New Roman"/>
          <w:b/>
        </w:rPr>
      </w:pPr>
      <w:r>
        <w:rPr>
          <w:rFonts w:ascii="Times New Roman" w:hAnsi="Times New Roman"/>
          <w:b/>
        </w:rPr>
        <w:t>表5.2-8 大气污染物年排放量核算表</w:t>
      </w:r>
    </w:p>
    <w:tbl>
      <w:tblPr>
        <w:tblStyle w:val="7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843"/>
        <w:gridCol w:w="2843"/>
        <w:gridCol w:w="284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771" w:type="dxa"/>
          </w:tcPr>
          <w:p>
            <w:pPr>
              <w:spacing w:line="280" w:lineRule="exact"/>
              <w:jc w:val="center"/>
              <w:rPr>
                <w:rFonts w:ascii="Times New Roman" w:hAnsi="Times New Roman"/>
                <w:b/>
                <w:bCs/>
                <w:kern w:val="2"/>
              </w:rPr>
            </w:pPr>
            <w:r>
              <w:rPr>
                <w:rFonts w:ascii="Times New Roman" w:hAnsi="Times New Roman"/>
                <w:b/>
                <w:bCs/>
                <w:kern w:val="2"/>
              </w:rPr>
              <w:t>序号</w:t>
            </w:r>
          </w:p>
        </w:tc>
        <w:tc>
          <w:tcPr>
            <w:tcW w:w="2771" w:type="dxa"/>
          </w:tcPr>
          <w:p>
            <w:pPr>
              <w:spacing w:line="280" w:lineRule="exact"/>
              <w:jc w:val="center"/>
              <w:rPr>
                <w:rFonts w:ascii="Times New Roman" w:hAnsi="Times New Roman"/>
                <w:b/>
                <w:bCs/>
                <w:kern w:val="2"/>
              </w:rPr>
            </w:pPr>
            <w:r>
              <w:rPr>
                <w:rFonts w:ascii="Times New Roman" w:hAnsi="Times New Roman"/>
                <w:b/>
                <w:bCs/>
                <w:kern w:val="2"/>
              </w:rPr>
              <w:t>污染物</w:t>
            </w:r>
          </w:p>
        </w:tc>
        <w:tc>
          <w:tcPr>
            <w:tcW w:w="2771" w:type="dxa"/>
            <w:vAlign w:val="center"/>
          </w:tcPr>
          <w:p>
            <w:pPr>
              <w:spacing w:line="280" w:lineRule="exact"/>
              <w:jc w:val="center"/>
              <w:rPr>
                <w:rFonts w:ascii="Times New Roman" w:hAnsi="Times New Roman"/>
                <w:b/>
                <w:bCs/>
                <w:kern w:val="2"/>
              </w:rPr>
            </w:pPr>
            <w:r>
              <w:rPr>
                <w:rFonts w:ascii="Times New Roman" w:hAnsi="Times New Roman"/>
                <w:b/>
                <w:bCs/>
                <w:kern w:val="2"/>
              </w:rPr>
              <w:t>年排放量（t/a）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771" w:type="dxa"/>
          </w:tcPr>
          <w:p>
            <w:pPr>
              <w:spacing w:line="280" w:lineRule="exact"/>
              <w:jc w:val="center"/>
              <w:rPr>
                <w:rFonts w:ascii="Times New Roman" w:hAnsi="Times New Roman"/>
                <w:kern w:val="2"/>
              </w:rPr>
            </w:pPr>
            <w:r>
              <w:rPr>
                <w:rFonts w:ascii="Times New Roman" w:hAnsi="Times New Roman"/>
                <w:kern w:val="2"/>
              </w:rPr>
              <w:t>1</w:t>
            </w:r>
          </w:p>
        </w:tc>
        <w:tc>
          <w:tcPr>
            <w:tcW w:w="2771" w:type="dxa"/>
            <w:vAlign w:val="center"/>
          </w:tcPr>
          <w:p>
            <w:pPr>
              <w:jc w:val="center"/>
              <w:rPr>
                <w:rFonts w:ascii="Times New Roman" w:hAnsi="Times New Roman"/>
                <w:kern w:val="2"/>
              </w:rPr>
            </w:pPr>
            <w:r>
              <w:rPr>
                <w:rFonts w:ascii="Times New Roman" w:hAnsi="Times New Roman"/>
                <w:bCs/>
              </w:rPr>
              <w:t>NH</w:t>
            </w:r>
            <w:r>
              <w:rPr>
                <w:rFonts w:ascii="Times New Roman" w:hAnsi="Times New Roman"/>
                <w:bCs/>
                <w:vertAlign w:val="subscript"/>
              </w:rPr>
              <w:t>3</w:t>
            </w:r>
          </w:p>
        </w:tc>
        <w:tc>
          <w:tcPr>
            <w:tcW w:w="2771" w:type="dxa"/>
            <w:vAlign w:val="center"/>
          </w:tcPr>
          <w:p>
            <w:pPr>
              <w:jc w:val="center"/>
              <w:rPr>
                <w:rFonts w:ascii="Times New Roman" w:hAnsi="Times New Roman"/>
                <w:bCs/>
              </w:rPr>
            </w:pPr>
            <w:r>
              <w:rPr>
                <w:rFonts w:ascii="Times New Roman" w:hAnsi="Times New Roman"/>
                <w:kern w:val="2"/>
              </w:rPr>
              <w:t>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771" w:type="dxa"/>
            <w:vAlign w:val="center"/>
          </w:tcPr>
          <w:p>
            <w:pPr>
              <w:spacing w:line="280" w:lineRule="exact"/>
              <w:jc w:val="center"/>
              <w:rPr>
                <w:rFonts w:ascii="Times New Roman" w:hAnsi="Times New Roman"/>
                <w:kern w:val="2"/>
              </w:rPr>
            </w:pPr>
            <w:r>
              <w:rPr>
                <w:rFonts w:ascii="Times New Roman" w:hAnsi="Times New Roman"/>
                <w:kern w:val="2"/>
              </w:rPr>
              <w:t>2</w:t>
            </w:r>
          </w:p>
        </w:tc>
        <w:tc>
          <w:tcPr>
            <w:tcW w:w="2771" w:type="dxa"/>
            <w:vAlign w:val="center"/>
          </w:tcPr>
          <w:p>
            <w:pPr>
              <w:jc w:val="center"/>
              <w:rPr>
                <w:rFonts w:ascii="Times New Roman" w:hAnsi="Times New Roman"/>
                <w:kern w:val="2"/>
              </w:rPr>
            </w:pPr>
            <w:r>
              <w:rPr>
                <w:rFonts w:ascii="Times New Roman" w:hAnsi="Times New Roman"/>
                <w:bCs/>
              </w:rPr>
              <w:t>H</w:t>
            </w:r>
            <w:r>
              <w:rPr>
                <w:rFonts w:ascii="Times New Roman" w:hAnsi="Times New Roman"/>
                <w:bCs/>
                <w:vertAlign w:val="subscript"/>
              </w:rPr>
              <w:t>2</w:t>
            </w:r>
            <w:r>
              <w:rPr>
                <w:rFonts w:ascii="Times New Roman" w:hAnsi="Times New Roman"/>
                <w:bCs/>
              </w:rPr>
              <w:t>S</w:t>
            </w:r>
          </w:p>
        </w:tc>
        <w:tc>
          <w:tcPr>
            <w:tcW w:w="2771" w:type="dxa"/>
            <w:vAlign w:val="center"/>
          </w:tcPr>
          <w:p>
            <w:pPr>
              <w:jc w:val="center"/>
              <w:rPr>
                <w:rFonts w:ascii="Times New Roman" w:hAnsi="Times New Roman"/>
                <w:bCs/>
              </w:rPr>
            </w:pPr>
            <w:r>
              <w:rPr>
                <w:rFonts w:ascii="Times New Roman" w:hAnsi="Times New Roman"/>
                <w:kern w:val="2"/>
              </w:rPr>
              <w:t>0.034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771" w:type="dxa"/>
            <w:vAlign w:val="center"/>
          </w:tcPr>
          <w:p>
            <w:pPr>
              <w:spacing w:line="280" w:lineRule="exact"/>
              <w:jc w:val="center"/>
              <w:rPr>
                <w:rFonts w:ascii="Times New Roman" w:hAnsi="Times New Roman"/>
                <w:kern w:val="2"/>
              </w:rPr>
            </w:pPr>
            <w:r>
              <w:rPr>
                <w:rFonts w:ascii="Times New Roman" w:hAnsi="Times New Roman"/>
                <w:kern w:val="2"/>
              </w:rPr>
              <w:t>3</w:t>
            </w:r>
          </w:p>
        </w:tc>
        <w:tc>
          <w:tcPr>
            <w:tcW w:w="2771" w:type="dxa"/>
            <w:vAlign w:val="center"/>
          </w:tcPr>
          <w:p>
            <w:pPr>
              <w:jc w:val="center"/>
              <w:rPr>
                <w:rFonts w:ascii="Times New Roman" w:hAnsi="Times New Roman"/>
                <w:kern w:val="2"/>
              </w:rPr>
            </w:pPr>
            <w:r>
              <w:rPr>
                <w:rFonts w:ascii="Times New Roman" w:hAnsi="Times New Roman"/>
                <w:bCs/>
              </w:rPr>
              <w:t>非甲烷总烃</w:t>
            </w:r>
          </w:p>
        </w:tc>
        <w:tc>
          <w:tcPr>
            <w:tcW w:w="2771" w:type="dxa"/>
            <w:vAlign w:val="center"/>
          </w:tcPr>
          <w:p>
            <w:pPr>
              <w:jc w:val="center"/>
              <w:rPr>
                <w:rFonts w:ascii="Times New Roman" w:hAnsi="Times New Roman"/>
                <w:bCs/>
              </w:rPr>
            </w:pPr>
            <w:r>
              <w:rPr>
                <w:rFonts w:ascii="Times New Roman" w:hAnsi="Times New Roman"/>
              </w:rPr>
              <w:t>0.0098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771" w:type="dxa"/>
            <w:vAlign w:val="center"/>
          </w:tcPr>
          <w:p>
            <w:pPr>
              <w:spacing w:line="280" w:lineRule="exact"/>
              <w:jc w:val="center"/>
              <w:rPr>
                <w:rFonts w:ascii="Times New Roman" w:hAnsi="Times New Roman"/>
                <w:kern w:val="2"/>
              </w:rPr>
            </w:pPr>
            <w:r>
              <w:rPr>
                <w:rFonts w:ascii="Times New Roman" w:hAnsi="Times New Roman"/>
                <w:kern w:val="2"/>
              </w:rPr>
              <w:t>4</w:t>
            </w:r>
          </w:p>
        </w:tc>
        <w:tc>
          <w:tcPr>
            <w:tcW w:w="2771" w:type="dxa"/>
            <w:vAlign w:val="center"/>
          </w:tcPr>
          <w:p>
            <w:pPr>
              <w:spacing w:line="280" w:lineRule="exact"/>
              <w:jc w:val="center"/>
              <w:rPr>
                <w:rFonts w:ascii="Times New Roman" w:hAnsi="Times New Roman"/>
                <w:kern w:val="2"/>
              </w:rPr>
            </w:pPr>
            <w:r>
              <w:rPr>
                <w:rFonts w:ascii="Times New Roman" w:hAnsi="Times New Roman"/>
                <w:bCs/>
                <w:kern w:val="2"/>
              </w:rPr>
              <w:t>颗粒物</w:t>
            </w:r>
          </w:p>
        </w:tc>
        <w:tc>
          <w:tcPr>
            <w:tcW w:w="2771" w:type="dxa"/>
            <w:vAlign w:val="center"/>
          </w:tcPr>
          <w:p>
            <w:pPr>
              <w:jc w:val="center"/>
              <w:rPr>
                <w:rFonts w:ascii="Times New Roman" w:hAnsi="Times New Roman"/>
                <w:bCs/>
              </w:rPr>
            </w:pPr>
            <w:r>
              <w:rPr>
                <w:rFonts w:ascii="Times New Roman" w:hAnsi="Times New Roman"/>
              </w:rPr>
              <w:t>0.3053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771" w:type="dxa"/>
            <w:vAlign w:val="center"/>
          </w:tcPr>
          <w:p>
            <w:pPr>
              <w:spacing w:line="280" w:lineRule="exact"/>
              <w:jc w:val="center"/>
              <w:rPr>
                <w:rFonts w:ascii="Times New Roman" w:hAnsi="Times New Roman"/>
                <w:kern w:val="2"/>
              </w:rPr>
            </w:pPr>
            <w:r>
              <w:rPr>
                <w:rFonts w:ascii="Times New Roman" w:hAnsi="Times New Roman"/>
                <w:kern w:val="2"/>
              </w:rPr>
              <w:t>5</w:t>
            </w:r>
          </w:p>
        </w:tc>
        <w:tc>
          <w:tcPr>
            <w:tcW w:w="2771" w:type="dxa"/>
            <w:vAlign w:val="center"/>
          </w:tcPr>
          <w:p>
            <w:pPr>
              <w:spacing w:line="280" w:lineRule="exact"/>
              <w:jc w:val="center"/>
              <w:rPr>
                <w:rFonts w:ascii="Times New Roman" w:hAnsi="Times New Roman"/>
                <w:kern w:val="2"/>
              </w:rPr>
            </w:pPr>
            <w:r>
              <w:rPr>
                <w:rFonts w:ascii="Times New Roman" w:hAnsi="Times New Roman"/>
                <w:kern w:val="2"/>
              </w:rPr>
              <w:t>SO</w:t>
            </w:r>
            <w:r>
              <w:rPr>
                <w:rFonts w:ascii="Times New Roman" w:hAnsi="Times New Roman"/>
                <w:kern w:val="2"/>
                <w:vertAlign w:val="subscript"/>
              </w:rPr>
              <w:t>2</w:t>
            </w:r>
          </w:p>
        </w:tc>
        <w:tc>
          <w:tcPr>
            <w:tcW w:w="2771" w:type="dxa"/>
            <w:vAlign w:val="center"/>
          </w:tcPr>
          <w:p>
            <w:pPr>
              <w:jc w:val="center"/>
              <w:rPr>
                <w:rFonts w:ascii="Times New Roman" w:hAnsi="Times New Roman"/>
                <w:bCs/>
              </w:rPr>
            </w:pPr>
            <w:r>
              <w:rPr>
                <w:rFonts w:ascii="Times New Roman" w:hAnsi="Times New Roman"/>
                <w:kern w:val="2"/>
              </w:rPr>
              <w:t>0.000566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771" w:type="dxa"/>
            <w:vAlign w:val="center"/>
          </w:tcPr>
          <w:p>
            <w:pPr>
              <w:spacing w:line="280" w:lineRule="exact"/>
              <w:jc w:val="center"/>
              <w:rPr>
                <w:rFonts w:ascii="Times New Roman" w:hAnsi="Times New Roman"/>
                <w:kern w:val="2"/>
              </w:rPr>
            </w:pPr>
            <w:r>
              <w:rPr>
                <w:rFonts w:ascii="Times New Roman" w:hAnsi="Times New Roman"/>
                <w:kern w:val="2"/>
              </w:rPr>
              <w:t>6</w:t>
            </w:r>
          </w:p>
        </w:tc>
        <w:tc>
          <w:tcPr>
            <w:tcW w:w="2771" w:type="dxa"/>
            <w:vAlign w:val="center"/>
          </w:tcPr>
          <w:p>
            <w:pPr>
              <w:spacing w:line="280" w:lineRule="exact"/>
              <w:jc w:val="center"/>
              <w:rPr>
                <w:rFonts w:ascii="Times New Roman" w:hAnsi="Times New Roman"/>
              </w:rPr>
            </w:pPr>
            <w:r>
              <w:rPr>
                <w:rFonts w:ascii="Times New Roman" w:hAnsi="Times New Roman"/>
                <w:kern w:val="2"/>
              </w:rPr>
              <w:t>NO</w:t>
            </w:r>
            <w:r>
              <w:rPr>
                <w:rFonts w:ascii="Times New Roman" w:hAnsi="Times New Roman"/>
                <w:kern w:val="2"/>
                <w:vertAlign w:val="subscript"/>
              </w:rPr>
              <w:t>x</w:t>
            </w:r>
          </w:p>
        </w:tc>
        <w:tc>
          <w:tcPr>
            <w:tcW w:w="2771" w:type="dxa"/>
            <w:vAlign w:val="center"/>
          </w:tcPr>
          <w:p>
            <w:pPr>
              <w:jc w:val="center"/>
              <w:rPr>
                <w:rFonts w:ascii="Times New Roman" w:hAnsi="Times New Roman"/>
                <w:bCs/>
              </w:rPr>
            </w:pPr>
            <w:r>
              <w:rPr>
                <w:rFonts w:ascii="Times New Roman" w:hAnsi="Times New Roman"/>
                <w:kern w:val="2"/>
              </w:rPr>
              <w:t>0.015</w:t>
            </w:r>
          </w:p>
        </w:tc>
      </w:tr>
    </w:tbl>
    <w:p>
      <w:pPr>
        <w:pStyle w:val="155"/>
        <w:spacing w:line="480" w:lineRule="exact"/>
        <w:ind w:firstLine="480"/>
        <w:rPr>
          <w:szCs w:val="24"/>
        </w:rPr>
      </w:pPr>
      <w:r>
        <w:rPr>
          <w:szCs w:val="24"/>
        </w:rPr>
        <w:t>本项目高温干热系统产生的废气经“粉尘阻拦干燥器+低温等离子废气净化器”处理后由15m排气筒排放。净化单元与高温干热处理单元在一个密闭负压系统内部。</w:t>
      </w:r>
      <w:r>
        <w:t>硫化氢、氨气、臭气浓度满足《恶臭污染物排放标准》（GB14554-93）标准要求，非甲烷总烃满足《大气污染物综合排放标准》（GB16297-1996）表2中二级标准。颗粒物满足《大气污染物综合排放标准》（GB16297-1996）表2中二级标准。</w:t>
      </w:r>
      <w:r>
        <w:rPr>
          <w:bCs/>
        </w:rPr>
        <w:t>污水处理间恶臭满足</w:t>
      </w:r>
      <w:r>
        <w:t>《医疗机构水污染物排放标准》（GB18466-2005）表3标准。</w:t>
      </w:r>
      <w:r>
        <w:rPr>
          <w:szCs w:val="24"/>
        </w:rPr>
        <w:t>本项目生产热源来自导热油炉，燃料为轻质柴油，</w:t>
      </w:r>
      <w:r>
        <w:t>SO</w:t>
      </w:r>
      <w:r>
        <w:rPr>
          <w:vertAlign w:val="subscript"/>
        </w:rPr>
        <w:t>2</w:t>
      </w:r>
      <w:r>
        <w:t>、NO</w:t>
      </w:r>
      <w:r>
        <w:rPr>
          <w:vertAlign w:val="subscript"/>
        </w:rPr>
        <w:t>X</w:t>
      </w:r>
      <w:r>
        <w:t>、颗粒物</w:t>
      </w:r>
      <w:r>
        <w:rPr>
          <w:rFonts w:hint="eastAsia"/>
        </w:rPr>
        <w:t>、林格曼黑度</w:t>
      </w:r>
      <w:r>
        <w:t>满足《锅炉大气污染物排放标准》（GB13271-2014）表2中燃油锅炉的排放限值</w:t>
      </w:r>
      <w:r>
        <w:rPr>
          <w:kern w:val="0"/>
          <w:szCs w:val="21"/>
        </w:rPr>
        <w:t>。</w:t>
      </w:r>
    </w:p>
    <w:p>
      <w:pPr>
        <w:pStyle w:val="4"/>
        <w:spacing w:before="120" w:beforeLines="50" w:after="120" w:afterLines="50" w:line="480" w:lineRule="exact"/>
        <w:rPr>
          <w:rFonts w:ascii="Times New Roman" w:hAnsi="Times New Roman" w:eastAsia="黑体"/>
          <w:bCs/>
          <w:sz w:val="28"/>
          <w:szCs w:val="28"/>
        </w:rPr>
      </w:pPr>
      <w:bookmarkStart w:id="1161" w:name="_Toc30712"/>
      <w:bookmarkStart w:id="1162" w:name="_Toc12636"/>
      <w:bookmarkStart w:id="1163" w:name="_Toc10170"/>
      <w:bookmarkStart w:id="1164" w:name="_Toc26824"/>
      <w:bookmarkStart w:id="1165" w:name="_Toc28773"/>
      <w:r>
        <w:rPr>
          <w:rFonts w:ascii="Times New Roman" w:hAnsi="Times New Roman" w:eastAsia="黑体"/>
          <w:bCs/>
          <w:sz w:val="28"/>
          <w:szCs w:val="28"/>
        </w:rPr>
        <w:t>运营期声环境影响</w:t>
      </w:r>
      <w:bookmarkEnd w:id="1139"/>
      <w:bookmarkEnd w:id="1140"/>
      <w:bookmarkEnd w:id="1141"/>
      <w:bookmarkEnd w:id="1142"/>
      <w:bookmarkEnd w:id="1143"/>
      <w:bookmarkEnd w:id="1144"/>
      <w:bookmarkEnd w:id="1145"/>
      <w:bookmarkEnd w:id="1146"/>
      <w:bookmarkEnd w:id="1147"/>
      <w:bookmarkEnd w:id="1148"/>
      <w:bookmarkEnd w:id="1149"/>
      <w:bookmarkEnd w:id="1150"/>
      <w:bookmarkEnd w:id="1151"/>
      <w:r>
        <w:rPr>
          <w:rFonts w:ascii="Times New Roman" w:hAnsi="Times New Roman" w:eastAsia="黑体"/>
          <w:bCs/>
          <w:sz w:val="28"/>
          <w:szCs w:val="28"/>
        </w:rPr>
        <w:t>评价</w:t>
      </w:r>
      <w:bookmarkEnd w:id="1152"/>
      <w:bookmarkEnd w:id="1153"/>
      <w:bookmarkEnd w:id="1161"/>
      <w:bookmarkEnd w:id="1162"/>
      <w:bookmarkEnd w:id="1163"/>
      <w:bookmarkEnd w:id="1164"/>
      <w:bookmarkEnd w:id="1165"/>
    </w:p>
    <w:p>
      <w:pPr>
        <w:widowControl/>
        <w:spacing w:line="480" w:lineRule="exact"/>
        <w:outlineLvl w:val="3"/>
        <w:rPr>
          <w:rFonts w:ascii="Times New Roman" w:hAnsi="Times New Roman" w:eastAsia="黑体"/>
          <w:sz w:val="24"/>
        </w:rPr>
      </w:pPr>
      <w:bookmarkStart w:id="1166" w:name="_Toc416966968"/>
      <w:bookmarkStart w:id="1167" w:name="_Toc406572546"/>
      <w:bookmarkStart w:id="1168" w:name="_Toc453709022"/>
      <w:bookmarkStart w:id="1169" w:name="_Toc458063916"/>
      <w:bookmarkStart w:id="1170" w:name="_Toc407350319"/>
      <w:bookmarkStart w:id="1171" w:name="_Toc466271475"/>
      <w:bookmarkStart w:id="1172" w:name="_Toc365010258"/>
      <w:bookmarkStart w:id="1173" w:name="_Toc464036824"/>
      <w:bookmarkStart w:id="1174" w:name="_Toc406772086"/>
      <w:bookmarkStart w:id="1175" w:name="_Toc409530010"/>
      <w:r>
        <w:rPr>
          <w:rFonts w:ascii="Times New Roman" w:hAnsi="Times New Roman" w:eastAsia="黑体"/>
          <w:sz w:val="24"/>
        </w:rPr>
        <w:t>5.2.4.1.噪声源强</w:t>
      </w:r>
    </w:p>
    <w:p>
      <w:pPr>
        <w:spacing w:line="480" w:lineRule="exact"/>
        <w:ind w:firstLine="540"/>
        <w:rPr>
          <w:rFonts w:ascii="Times New Roman" w:hAnsi="Times New Roman"/>
          <w:kern w:val="2"/>
          <w:sz w:val="24"/>
          <w:szCs w:val="24"/>
        </w:rPr>
        <w:sectPr>
          <w:pgSz w:w="11907" w:h="16839"/>
          <w:pgMar w:top="1440" w:right="1797" w:bottom="1440" w:left="1797" w:header="851" w:footer="850" w:gutter="0"/>
          <w:cols w:space="720" w:num="1"/>
          <w:docGrid w:linePitch="312" w:charSpace="0"/>
        </w:sectPr>
      </w:pPr>
      <w:r>
        <w:rPr>
          <w:rFonts w:ascii="Times New Roman" w:hAnsi="Times New Roman"/>
          <w:sz w:val="24"/>
        </w:rPr>
        <w:t>本项目运营期噪声主要来源</w:t>
      </w:r>
      <w:r>
        <w:rPr>
          <w:rFonts w:ascii="Times New Roman" w:hAnsi="Times New Roman"/>
          <w:sz w:val="24"/>
          <w:szCs w:val="24"/>
        </w:rPr>
        <w:t>于高温蒸汽灭菌设备、水泵、风机等设备</w:t>
      </w:r>
      <w:r>
        <w:rPr>
          <w:rFonts w:ascii="Times New Roman" w:hAnsi="Times New Roman"/>
          <w:sz w:val="24"/>
        </w:rPr>
        <w:t>，噪声强度在75~95dB（A）的范围内。选用低噪声设备，采用基础减震等措施。</w:t>
      </w:r>
      <w:r>
        <w:rPr>
          <w:rFonts w:ascii="Times New Roman" w:hAnsi="Times New Roman"/>
          <w:kern w:val="2"/>
          <w:sz w:val="24"/>
          <w:szCs w:val="24"/>
        </w:rPr>
        <w:t>本项目噪声污染源源强核算结果及相关参数详见表5.2-9。</w:t>
      </w:r>
    </w:p>
    <w:p>
      <w:pPr>
        <w:spacing w:line="480" w:lineRule="exact"/>
        <w:jc w:val="center"/>
        <w:rPr>
          <w:rFonts w:ascii="Times New Roman" w:hAnsi="Times New Roman"/>
        </w:rPr>
      </w:pPr>
      <w:r>
        <w:rPr>
          <w:rFonts w:ascii="Times New Roman" w:hAnsi="Times New Roman"/>
          <w:b/>
          <w:bCs/>
        </w:rPr>
        <w:t>表5.2-9 本项目噪声污染源强一览表</w:t>
      </w:r>
    </w:p>
    <w:p>
      <w:pPr>
        <w:rPr>
          <w:rFonts w:ascii="Times New Roman" w:hAnsi="Times New Roman"/>
        </w:rPr>
      </w:pPr>
    </w:p>
    <w:tbl>
      <w:tblPr>
        <w:tblStyle w:val="78"/>
        <w:tblW w:w="0" w:type="auto"/>
        <w:tblInd w:w="13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8"/>
        <w:gridCol w:w="718"/>
        <w:gridCol w:w="957"/>
        <w:gridCol w:w="1232"/>
        <w:gridCol w:w="1957"/>
        <w:gridCol w:w="981"/>
        <w:gridCol w:w="982"/>
        <w:gridCol w:w="1056"/>
        <w:gridCol w:w="1113"/>
        <w:gridCol w:w="1250"/>
        <w:gridCol w:w="1538"/>
        <w:gridCol w:w="7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8" w:type="dxa"/>
            <w:vMerge w:val="restart"/>
            <w:vAlign w:val="center"/>
          </w:tcPr>
          <w:p>
            <w:pPr>
              <w:pStyle w:val="155"/>
              <w:spacing w:line="480" w:lineRule="exact"/>
              <w:ind w:firstLine="0" w:firstLineChars="0"/>
              <w:jc w:val="center"/>
              <w:rPr>
                <w:b/>
                <w:snapToGrid w:val="0"/>
                <w:sz w:val="21"/>
              </w:rPr>
            </w:pPr>
            <w:r>
              <w:rPr>
                <w:rFonts w:hint="eastAsia"/>
                <w:b/>
                <w:snapToGrid w:val="0"/>
                <w:sz w:val="21"/>
              </w:rPr>
              <w:t>序号</w:t>
            </w:r>
          </w:p>
        </w:tc>
        <w:tc>
          <w:tcPr>
            <w:tcW w:w="718" w:type="dxa"/>
            <w:vMerge w:val="restart"/>
            <w:vAlign w:val="center"/>
          </w:tcPr>
          <w:p>
            <w:pPr>
              <w:pStyle w:val="155"/>
              <w:spacing w:line="480" w:lineRule="exact"/>
              <w:ind w:firstLine="0" w:firstLineChars="0"/>
              <w:jc w:val="center"/>
              <w:rPr>
                <w:b/>
                <w:snapToGrid w:val="0"/>
                <w:sz w:val="21"/>
              </w:rPr>
            </w:pPr>
            <w:r>
              <w:rPr>
                <w:rFonts w:hint="eastAsia"/>
                <w:b/>
                <w:snapToGrid w:val="0"/>
                <w:sz w:val="21"/>
              </w:rPr>
              <w:t>建筑物名称</w:t>
            </w:r>
          </w:p>
        </w:tc>
        <w:tc>
          <w:tcPr>
            <w:tcW w:w="957" w:type="dxa"/>
            <w:vMerge w:val="restart"/>
            <w:vAlign w:val="center"/>
          </w:tcPr>
          <w:p>
            <w:pPr>
              <w:pStyle w:val="155"/>
              <w:spacing w:line="480" w:lineRule="exact"/>
              <w:ind w:firstLine="0" w:firstLineChars="0"/>
              <w:jc w:val="center"/>
              <w:rPr>
                <w:b/>
                <w:snapToGrid w:val="0"/>
                <w:sz w:val="21"/>
              </w:rPr>
            </w:pPr>
            <w:r>
              <w:rPr>
                <w:rFonts w:hint="eastAsia"/>
                <w:b/>
                <w:snapToGrid w:val="0"/>
                <w:sz w:val="21"/>
              </w:rPr>
              <w:t>声源名称</w:t>
            </w:r>
          </w:p>
        </w:tc>
        <w:tc>
          <w:tcPr>
            <w:tcW w:w="1232" w:type="dxa"/>
            <w:vMerge w:val="restart"/>
            <w:vAlign w:val="center"/>
          </w:tcPr>
          <w:p>
            <w:pPr>
              <w:pStyle w:val="155"/>
              <w:spacing w:line="480" w:lineRule="exact"/>
              <w:ind w:firstLine="0" w:firstLineChars="0"/>
              <w:jc w:val="center"/>
              <w:rPr>
                <w:b/>
                <w:snapToGrid w:val="0"/>
                <w:sz w:val="21"/>
              </w:rPr>
            </w:pPr>
            <w:r>
              <w:rPr>
                <w:rFonts w:hint="eastAsia"/>
                <w:b/>
                <w:snapToGrid w:val="0"/>
                <w:sz w:val="21"/>
              </w:rPr>
              <w:t>型号</w:t>
            </w:r>
          </w:p>
        </w:tc>
        <w:tc>
          <w:tcPr>
            <w:tcW w:w="1957" w:type="dxa"/>
            <w:vMerge w:val="restart"/>
            <w:vAlign w:val="center"/>
          </w:tcPr>
          <w:p>
            <w:pPr>
              <w:pStyle w:val="155"/>
              <w:spacing w:line="480" w:lineRule="exact"/>
              <w:ind w:firstLine="0" w:firstLineChars="0"/>
              <w:jc w:val="center"/>
              <w:rPr>
                <w:b/>
                <w:snapToGrid w:val="0"/>
                <w:sz w:val="21"/>
              </w:rPr>
            </w:pPr>
            <w:r>
              <w:rPr>
                <w:rFonts w:hint="eastAsia"/>
                <w:b/>
                <w:snapToGrid w:val="0"/>
                <w:sz w:val="21"/>
              </w:rPr>
              <w:t>声源源强（声功率级/</w:t>
            </w:r>
            <w:r>
              <w:rPr>
                <w:b/>
              </w:rPr>
              <w:t>dB（A）</w:t>
            </w:r>
            <w:r>
              <w:rPr>
                <w:rFonts w:hint="eastAsia"/>
                <w:b/>
                <w:snapToGrid w:val="0"/>
                <w:sz w:val="21"/>
              </w:rPr>
              <w:t>）</w:t>
            </w:r>
          </w:p>
        </w:tc>
        <w:tc>
          <w:tcPr>
            <w:tcW w:w="981" w:type="dxa"/>
            <w:vMerge w:val="restart"/>
            <w:vAlign w:val="center"/>
          </w:tcPr>
          <w:p>
            <w:pPr>
              <w:pStyle w:val="155"/>
              <w:spacing w:line="480" w:lineRule="exact"/>
              <w:ind w:firstLine="0" w:firstLineChars="0"/>
              <w:jc w:val="center"/>
              <w:rPr>
                <w:b/>
                <w:snapToGrid w:val="0"/>
                <w:sz w:val="21"/>
              </w:rPr>
            </w:pPr>
            <w:r>
              <w:rPr>
                <w:rFonts w:hint="eastAsia"/>
                <w:b/>
                <w:snapToGrid w:val="0"/>
                <w:sz w:val="21"/>
              </w:rPr>
              <w:t>声源控制措施</w:t>
            </w:r>
          </w:p>
        </w:tc>
        <w:tc>
          <w:tcPr>
            <w:tcW w:w="3151" w:type="dxa"/>
            <w:gridSpan w:val="3"/>
            <w:vAlign w:val="center"/>
          </w:tcPr>
          <w:p>
            <w:pPr>
              <w:pStyle w:val="155"/>
              <w:spacing w:line="480" w:lineRule="exact"/>
              <w:ind w:firstLine="0" w:firstLineChars="0"/>
              <w:jc w:val="center"/>
              <w:rPr>
                <w:b/>
                <w:snapToGrid w:val="0"/>
                <w:sz w:val="21"/>
              </w:rPr>
            </w:pPr>
            <w:r>
              <w:rPr>
                <w:rFonts w:hint="eastAsia"/>
                <w:b/>
                <w:snapToGrid w:val="0"/>
                <w:sz w:val="21"/>
              </w:rPr>
              <w:t>空间相对位置（相对位置/m）</w:t>
            </w:r>
          </w:p>
        </w:tc>
        <w:tc>
          <w:tcPr>
            <w:tcW w:w="1250" w:type="dxa"/>
            <w:vMerge w:val="restart"/>
            <w:vAlign w:val="center"/>
          </w:tcPr>
          <w:p>
            <w:pPr>
              <w:pStyle w:val="155"/>
              <w:spacing w:line="480" w:lineRule="exact"/>
              <w:ind w:firstLine="0" w:firstLineChars="0"/>
              <w:jc w:val="center"/>
              <w:rPr>
                <w:b/>
                <w:snapToGrid w:val="0"/>
                <w:sz w:val="21"/>
              </w:rPr>
            </w:pPr>
            <w:r>
              <w:rPr>
                <w:rFonts w:hint="eastAsia"/>
                <w:b/>
                <w:snapToGrid w:val="0"/>
                <w:sz w:val="21"/>
              </w:rPr>
              <w:t>距室内边界距离/m</w:t>
            </w:r>
          </w:p>
        </w:tc>
        <w:tc>
          <w:tcPr>
            <w:tcW w:w="1538" w:type="dxa"/>
            <w:vMerge w:val="restart"/>
            <w:vAlign w:val="center"/>
          </w:tcPr>
          <w:p>
            <w:pPr>
              <w:pStyle w:val="155"/>
              <w:spacing w:line="480" w:lineRule="exact"/>
              <w:ind w:firstLine="0" w:firstLineChars="0"/>
              <w:jc w:val="center"/>
              <w:rPr>
                <w:b/>
                <w:snapToGrid w:val="0"/>
                <w:sz w:val="21"/>
              </w:rPr>
            </w:pPr>
            <w:r>
              <w:rPr>
                <w:rFonts w:hint="eastAsia"/>
                <w:b/>
                <w:snapToGrid w:val="0"/>
                <w:sz w:val="21"/>
              </w:rPr>
              <w:t>室内边界声级/</w:t>
            </w:r>
            <w:r>
              <w:rPr>
                <w:b/>
              </w:rPr>
              <w:t>dB（A）</w:t>
            </w:r>
          </w:p>
        </w:tc>
        <w:tc>
          <w:tcPr>
            <w:tcW w:w="756" w:type="dxa"/>
            <w:vMerge w:val="restart"/>
            <w:vAlign w:val="center"/>
          </w:tcPr>
          <w:p>
            <w:pPr>
              <w:pStyle w:val="155"/>
              <w:spacing w:line="480" w:lineRule="exact"/>
              <w:ind w:firstLine="0" w:firstLineChars="0"/>
              <w:jc w:val="center"/>
              <w:rPr>
                <w:b/>
                <w:snapToGrid w:val="0"/>
                <w:sz w:val="21"/>
              </w:rPr>
            </w:pPr>
            <w:r>
              <w:rPr>
                <w:rFonts w:hint="eastAsia"/>
                <w:b/>
                <w:snapToGrid w:val="0"/>
                <w:sz w:val="21"/>
              </w:rPr>
              <w:t>运行时段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8" w:type="dxa"/>
            <w:vMerge w:val="continue"/>
            <w:vAlign w:val="center"/>
          </w:tcPr>
          <w:p>
            <w:pPr>
              <w:pStyle w:val="155"/>
              <w:spacing w:line="480" w:lineRule="exact"/>
              <w:ind w:firstLine="0" w:firstLineChars="0"/>
              <w:jc w:val="center"/>
              <w:rPr>
                <w:b/>
                <w:snapToGrid w:val="0"/>
                <w:sz w:val="21"/>
              </w:rPr>
            </w:pPr>
          </w:p>
        </w:tc>
        <w:tc>
          <w:tcPr>
            <w:tcW w:w="718" w:type="dxa"/>
            <w:vMerge w:val="continue"/>
            <w:vAlign w:val="center"/>
          </w:tcPr>
          <w:p>
            <w:pPr>
              <w:pStyle w:val="155"/>
              <w:spacing w:line="480" w:lineRule="exact"/>
              <w:ind w:firstLine="0" w:firstLineChars="0"/>
              <w:jc w:val="center"/>
              <w:rPr>
                <w:b/>
                <w:snapToGrid w:val="0"/>
                <w:sz w:val="21"/>
              </w:rPr>
            </w:pPr>
          </w:p>
        </w:tc>
        <w:tc>
          <w:tcPr>
            <w:tcW w:w="957" w:type="dxa"/>
            <w:vMerge w:val="continue"/>
            <w:vAlign w:val="center"/>
          </w:tcPr>
          <w:p>
            <w:pPr>
              <w:pStyle w:val="155"/>
              <w:spacing w:line="480" w:lineRule="exact"/>
              <w:ind w:firstLine="0" w:firstLineChars="0"/>
              <w:jc w:val="center"/>
              <w:rPr>
                <w:b/>
                <w:snapToGrid w:val="0"/>
                <w:sz w:val="21"/>
              </w:rPr>
            </w:pPr>
          </w:p>
        </w:tc>
        <w:tc>
          <w:tcPr>
            <w:tcW w:w="1232" w:type="dxa"/>
            <w:vMerge w:val="continue"/>
            <w:vAlign w:val="center"/>
          </w:tcPr>
          <w:p>
            <w:pPr>
              <w:pStyle w:val="155"/>
              <w:spacing w:line="480" w:lineRule="exact"/>
              <w:ind w:firstLine="0" w:firstLineChars="0"/>
              <w:jc w:val="center"/>
              <w:rPr>
                <w:b/>
                <w:snapToGrid w:val="0"/>
                <w:sz w:val="21"/>
              </w:rPr>
            </w:pPr>
          </w:p>
        </w:tc>
        <w:tc>
          <w:tcPr>
            <w:tcW w:w="1957" w:type="dxa"/>
            <w:vMerge w:val="continue"/>
            <w:vAlign w:val="center"/>
          </w:tcPr>
          <w:p>
            <w:pPr>
              <w:pStyle w:val="155"/>
              <w:spacing w:line="480" w:lineRule="exact"/>
              <w:ind w:firstLine="0" w:firstLineChars="0"/>
              <w:jc w:val="center"/>
              <w:rPr>
                <w:b/>
                <w:snapToGrid w:val="0"/>
                <w:sz w:val="21"/>
              </w:rPr>
            </w:pPr>
          </w:p>
        </w:tc>
        <w:tc>
          <w:tcPr>
            <w:tcW w:w="981" w:type="dxa"/>
            <w:vMerge w:val="continue"/>
            <w:vAlign w:val="center"/>
          </w:tcPr>
          <w:p>
            <w:pPr>
              <w:pStyle w:val="155"/>
              <w:spacing w:line="480" w:lineRule="exact"/>
              <w:ind w:firstLine="0" w:firstLineChars="0"/>
              <w:jc w:val="center"/>
              <w:rPr>
                <w:b/>
                <w:snapToGrid w:val="0"/>
                <w:sz w:val="21"/>
              </w:rPr>
            </w:pPr>
          </w:p>
        </w:tc>
        <w:tc>
          <w:tcPr>
            <w:tcW w:w="982" w:type="dxa"/>
            <w:vAlign w:val="center"/>
          </w:tcPr>
          <w:p>
            <w:pPr>
              <w:pStyle w:val="155"/>
              <w:spacing w:line="480" w:lineRule="exact"/>
              <w:ind w:firstLine="0" w:firstLineChars="0"/>
              <w:jc w:val="center"/>
              <w:rPr>
                <w:b/>
                <w:snapToGrid w:val="0"/>
                <w:sz w:val="21"/>
              </w:rPr>
            </w:pPr>
            <w:r>
              <w:rPr>
                <w:rFonts w:hint="eastAsia"/>
                <w:b/>
                <w:snapToGrid w:val="0"/>
                <w:sz w:val="21"/>
              </w:rPr>
              <w:t>X</w:t>
            </w:r>
          </w:p>
        </w:tc>
        <w:tc>
          <w:tcPr>
            <w:tcW w:w="1056" w:type="dxa"/>
            <w:vAlign w:val="center"/>
          </w:tcPr>
          <w:p>
            <w:pPr>
              <w:pStyle w:val="155"/>
              <w:spacing w:line="480" w:lineRule="exact"/>
              <w:ind w:firstLine="0" w:firstLineChars="0"/>
              <w:jc w:val="center"/>
              <w:rPr>
                <w:b/>
                <w:snapToGrid w:val="0"/>
                <w:sz w:val="21"/>
              </w:rPr>
            </w:pPr>
            <w:r>
              <w:rPr>
                <w:rFonts w:hint="eastAsia"/>
                <w:b/>
                <w:snapToGrid w:val="0"/>
                <w:sz w:val="21"/>
              </w:rPr>
              <w:t>Y</w:t>
            </w:r>
          </w:p>
        </w:tc>
        <w:tc>
          <w:tcPr>
            <w:tcW w:w="1113" w:type="dxa"/>
            <w:vAlign w:val="center"/>
          </w:tcPr>
          <w:p>
            <w:pPr>
              <w:pStyle w:val="155"/>
              <w:spacing w:line="480" w:lineRule="exact"/>
              <w:ind w:firstLine="0" w:firstLineChars="0"/>
              <w:jc w:val="center"/>
              <w:rPr>
                <w:b/>
                <w:snapToGrid w:val="0"/>
                <w:sz w:val="21"/>
              </w:rPr>
            </w:pPr>
            <w:r>
              <w:rPr>
                <w:rFonts w:hint="eastAsia"/>
                <w:b/>
                <w:snapToGrid w:val="0"/>
                <w:sz w:val="21"/>
              </w:rPr>
              <w:t>Z</w:t>
            </w:r>
          </w:p>
        </w:tc>
        <w:tc>
          <w:tcPr>
            <w:tcW w:w="1250" w:type="dxa"/>
            <w:vMerge w:val="continue"/>
            <w:vAlign w:val="center"/>
          </w:tcPr>
          <w:p>
            <w:pPr>
              <w:pStyle w:val="155"/>
              <w:spacing w:line="480" w:lineRule="exact"/>
              <w:ind w:firstLine="0" w:firstLineChars="0"/>
              <w:jc w:val="center"/>
              <w:rPr>
                <w:b/>
                <w:snapToGrid w:val="0"/>
                <w:sz w:val="21"/>
              </w:rPr>
            </w:pPr>
          </w:p>
        </w:tc>
        <w:tc>
          <w:tcPr>
            <w:tcW w:w="1538" w:type="dxa"/>
            <w:vMerge w:val="continue"/>
            <w:vAlign w:val="center"/>
          </w:tcPr>
          <w:p>
            <w:pPr>
              <w:pStyle w:val="155"/>
              <w:spacing w:line="480" w:lineRule="exact"/>
              <w:ind w:firstLine="0" w:firstLineChars="0"/>
              <w:jc w:val="center"/>
              <w:rPr>
                <w:b/>
                <w:snapToGrid w:val="0"/>
                <w:sz w:val="21"/>
              </w:rPr>
            </w:pPr>
          </w:p>
        </w:tc>
        <w:tc>
          <w:tcPr>
            <w:tcW w:w="756" w:type="dxa"/>
            <w:vMerge w:val="continue"/>
            <w:vAlign w:val="center"/>
          </w:tcPr>
          <w:p>
            <w:pPr>
              <w:pStyle w:val="155"/>
              <w:spacing w:line="480" w:lineRule="exact"/>
              <w:ind w:firstLine="0" w:firstLineChars="0"/>
              <w:jc w:val="center"/>
              <w:rPr>
                <w:b/>
                <w:snapToGrid w:val="0"/>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8" w:type="dxa"/>
            <w:vAlign w:val="center"/>
          </w:tcPr>
          <w:p>
            <w:pPr>
              <w:spacing w:line="280" w:lineRule="exact"/>
              <w:jc w:val="center"/>
              <w:rPr>
                <w:rFonts w:ascii="Times New Roman" w:hAnsi="Times New Roman"/>
                <w:kern w:val="2"/>
              </w:rPr>
            </w:pPr>
            <w:r>
              <w:rPr>
                <w:rFonts w:hint="eastAsia" w:ascii="Times New Roman" w:hAnsi="Times New Roman"/>
                <w:kern w:val="2"/>
              </w:rPr>
              <w:t>1</w:t>
            </w:r>
          </w:p>
        </w:tc>
        <w:tc>
          <w:tcPr>
            <w:tcW w:w="718" w:type="dxa"/>
            <w:vMerge w:val="restart"/>
            <w:vAlign w:val="center"/>
          </w:tcPr>
          <w:p>
            <w:pPr>
              <w:spacing w:line="280" w:lineRule="exact"/>
              <w:jc w:val="center"/>
              <w:rPr>
                <w:rFonts w:ascii="Times New Roman" w:hAnsi="Times New Roman"/>
                <w:kern w:val="2"/>
              </w:rPr>
            </w:pPr>
            <w:r>
              <w:rPr>
                <w:rFonts w:hint="eastAsia" w:ascii="Times New Roman" w:hAnsi="Times New Roman"/>
                <w:kern w:val="2"/>
              </w:rPr>
              <w:t>高温干热车间</w:t>
            </w:r>
          </w:p>
        </w:tc>
        <w:tc>
          <w:tcPr>
            <w:tcW w:w="957" w:type="dxa"/>
            <w:vAlign w:val="center"/>
          </w:tcPr>
          <w:p>
            <w:pPr>
              <w:spacing w:line="280" w:lineRule="exact"/>
              <w:jc w:val="center"/>
              <w:rPr>
                <w:rFonts w:ascii="Times New Roman" w:hAnsi="Times New Roman"/>
                <w:kern w:val="2"/>
              </w:rPr>
            </w:pPr>
            <w:r>
              <w:rPr>
                <w:rFonts w:hint="eastAsia" w:ascii="Times New Roman" w:hAnsi="Times New Roman"/>
                <w:kern w:val="2"/>
              </w:rPr>
              <w:t>高温干热设备</w:t>
            </w:r>
          </w:p>
        </w:tc>
        <w:tc>
          <w:tcPr>
            <w:tcW w:w="1232" w:type="dxa"/>
            <w:vAlign w:val="center"/>
          </w:tcPr>
          <w:p>
            <w:pPr>
              <w:spacing w:line="280" w:lineRule="exact"/>
              <w:jc w:val="center"/>
              <w:rPr>
                <w:rFonts w:ascii="Times New Roman" w:hAnsi="Times New Roman"/>
                <w:kern w:val="2"/>
              </w:rPr>
            </w:pPr>
            <w:r>
              <w:rPr>
                <w:rFonts w:ascii="Times New Roman" w:hAnsi="Times New Roman"/>
                <w:kern w:val="2"/>
              </w:rPr>
              <w:t>Simplex500</w:t>
            </w:r>
          </w:p>
        </w:tc>
        <w:tc>
          <w:tcPr>
            <w:tcW w:w="1957" w:type="dxa"/>
            <w:vAlign w:val="center"/>
          </w:tcPr>
          <w:p>
            <w:pPr>
              <w:spacing w:line="280" w:lineRule="exact"/>
              <w:jc w:val="center"/>
              <w:rPr>
                <w:rFonts w:ascii="Times New Roman" w:hAnsi="Times New Roman"/>
                <w:kern w:val="2"/>
              </w:rPr>
            </w:pPr>
            <w:r>
              <w:rPr>
                <w:rFonts w:hint="eastAsia" w:ascii="Times New Roman" w:hAnsi="Times New Roman"/>
                <w:kern w:val="2"/>
              </w:rPr>
              <w:t>9</w:t>
            </w:r>
            <w:r>
              <w:rPr>
                <w:rFonts w:ascii="Times New Roman" w:hAnsi="Times New Roman"/>
                <w:kern w:val="2"/>
              </w:rPr>
              <w:t>5</w:t>
            </w:r>
          </w:p>
        </w:tc>
        <w:tc>
          <w:tcPr>
            <w:tcW w:w="981" w:type="dxa"/>
            <w:vMerge w:val="restart"/>
            <w:vAlign w:val="center"/>
          </w:tcPr>
          <w:p>
            <w:pPr>
              <w:spacing w:line="280" w:lineRule="exact"/>
              <w:jc w:val="center"/>
              <w:rPr>
                <w:rFonts w:ascii="Times New Roman" w:hAnsi="Times New Roman"/>
                <w:kern w:val="2"/>
              </w:rPr>
            </w:pPr>
            <w:r>
              <w:rPr>
                <w:rFonts w:hint="eastAsia" w:ascii="Times New Roman" w:hAnsi="Times New Roman"/>
                <w:kern w:val="2"/>
              </w:rPr>
              <w:t>基础减振、厂房隔声</w:t>
            </w:r>
          </w:p>
        </w:tc>
        <w:tc>
          <w:tcPr>
            <w:tcW w:w="982" w:type="dxa"/>
            <w:vAlign w:val="center"/>
          </w:tcPr>
          <w:p>
            <w:pPr>
              <w:spacing w:line="280" w:lineRule="exact"/>
              <w:jc w:val="center"/>
              <w:rPr>
                <w:rFonts w:ascii="Times New Roman" w:hAnsi="Times New Roman"/>
                <w:kern w:val="2"/>
              </w:rPr>
            </w:pPr>
            <w:r>
              <w:rPr>
                <w:rFonts w:hint="eastAsia" w:ascii="Times New Roman" w:hAnsi="Times New Roman"/>
                <w:kern w:val="2"/>
              </w:rPr>
              <w:t>5</w:t>
            </w:r>
            <w:r>
              <w:rPr>
                <w:rFonts w:ascii="Times New Roman" w:hAnsi="Times New Roman"/>
                <w:kern w:val="2"/>
              </w:rPr>
              <w:t>166819</w:t>
            </w:r>
          </w:p>
        </w:tc>
        <w:tc>
          <w:tcPr>
            <w:tcW w:w="1056" w:type="dxa"/>
            <w:vAlign w:val="center"/>
          </w:tcPr>
          <w:p>
            <w:pPr>
              <w:spacing w:line="280" w:lineRule="exact"/>
              <w:jc w:val="center"/>
              <w:rPr>
                <w:rFonts w:ascii="Times New Roman" w:hAnsi="Times New Roman"/>
                <w:kern w:val="2"/>
              </w:rPr>
            </w:pPr>
            <w:r>
              <w:rPr>
                <w:rFonts w:hint="eastAsia" w:ascii="Times New Roman" w:hAnsi="Times New Roman"/>
                <w:kern w:val="2"/>
              </w:rPr>
              <w:t>4</w:t>
            </w:r>
            <w:r>
              <w:rPr>
                <w:rFonts w:ascii="Times New Roman" w:hAnsi="Times New Roman"/>
                <w:kern w:val="2"/>
              </w:rPr>
              <w:t>4446494</w:t>
            </w:r>
          </w:p>
        </w:tc>
        <w:tc>
          <w:tcPr>
            <w:tcW w:w="1113" w:type="dxa"/>
            <w:vAlign w:val="center"/>
          </w:tcPr>
          <w:p>
            <w:pPr>
              <w:spacing w:line="280" w:lineRule="exact"/>
              <w:jc w:val="center"/>
              <w:rPr>
                <w:rFonts w:ascii="Times New Roman" w:hAnsi="Times New Roman"/>
                <w:kern w:val="2"/>
              </w:rPr>
            </w:pPr>
            <w:r>
              <w:rPr>
                <w:rFonts w:hint="eastAsia" w:ascii="Times New Roman" w:hAnsi="Times New Roman"/>
                <w:kern w:val="2"/>
              </w:rPr>
              <w:t>2</w:t>
            </w:r>
            <w:r>
              <w:rPr>
                <w:rFonts w:ascii="Times New Roman" w:hAnsi="Times New Roman"/>
                <w:kern w:val="2"/>
              </w:rPr>
              <w:t>23</w:t>
            </w:r>
          </w:p>
        </w:tc>
        <w:tc>
          <w:tcPr>
            <w:tcW w:w="1250" w:type="dxa"/>
            <w:vAlign w:val="center"/>
          </w:tcPr>
          <w:p>
            <w:pPr>
              <w:spacing w:line="280" w:lineRule="exact"/>
              <w:jc w:val="center"/>
              <w:rPr>
                <w:rFonts w:ascii="Times New Roman" w:hAnsi="Times New Roman"/>
                <w:kern w:val="2"/>
              </w:rPr>
            </w:pPr>
            <w:r>
              <w:rPr>
                <w:rFonts w:hint="eastAsia" w:ascii="Times New Roman" w:hAnsi="Times New Roman"/>
                <w:kern w:val="2"/>
              </w:rPr>
              <w:t>1</w:t>
            </w:r>
            <w:r>
              <w:rPr>
                <w:rFonts w:ascii="Times New Roman" w:hAnsi="Times New Roman"/>
                <w:kern w:val="2"/>
              </w:rPr>
              <w:t>6</w:t>
            </w:r>
          </w:p>
        </w:tc>
        <w:tc>
          <w:tcPr>
            <w:tcW w:w="1538" w:type="dxa"/>
            <w:vAlign w:val="center"/>
          </w:tcPr>
          <w:p>
            <w:pPr>
              <w:spacing w:line="280" w:lineRule="exact"/>
              <w:jc w:val="center"/>
              <w:rPr>
                <w:rFonts w:ascii="Times New Roman" w:hAnsi="Times New Roman"/>
                <w:kern w:val="2"/>
              </w:rPr>
            </w:pPr>
            <w:r>
              <w:rPr>
                <w:rFonts w:hint="eastAsia" w:ascii="Times New Roman" w:hAnsi="Times New Roman"/>
                <w:kern w:val="2"/>
              </w:rPr>
              <w:t>6</w:t>
            </w:r>
            <w:r>
              <w:rPr>
                <w:rFonts w:ascii="Times New Roman" w:hAnsi="Times New Roman"/>
                <w:kern w:val="2"/>
              </w:rPr>
              <w:t>5</w:t>
            </w:r>
          </w:p>
        </w:tc>
        <w:tc>
          <w:tcPr>
            <w:tcW w:w="756" w:type="dxa"/>
            <w:vAlign w:val="center"/>
          </w:tcPr>
          <w:p>
            <w:pPr>
              <w:spacing w:line="280" w:lineRule="exact"/>
              <w:jc w:val="center"/>
              <w:rPr>
                <w:rFonts w:ascii="Times New Roman" w:hAnsi="Times New Roman"/>
                <w:kern w:val="2"/>
              </w:rPr>
            </w:pPr>
            <w:r>
              <w:rPr>
                <w:rFonts w:hint="eastAsia" w:ascii="Times New Roman" w:hAnsi="Times New Roman"/>
                <w:kern w:val="2"/>
              </w:rPr>
              <w:t>昼间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8" w:type="dxa"/>
            <w:vAlign w:val="center"/>
          </w:tcPr>
          <w:p>
            <w:pPr>
              <w:spacing w:line="280" w:lineRule="exact"/>
              <w:jc w:val="center"/>
              <w:rPr>
                <w:rFonts w:ascii="Times New Roman" w:hAnsi="Times New Roman"/>
                <w:kern w:val="2"/>
              </w:rPr>
            </w:pPr>
            <w:r>
              <w:rPr>
                <w:rFonts w:hint="eastAsia" w:ascii="Times New Roman" w:hAnsi="Times New Roman"/>
                <w:kern w:val="2"/>
              </w:rPr>
              <w:t>2</w:t>
            </w:r>
          </w:p>
        </w:tc>
        <w:tc>
          <w:tcPr>
            <w:tcW w:w="718" w:type="dxa"/>
            <w:vMerge w:val="continue"/>
            <w:vAlign w:val="center"/>
          </w:tcPr>
          <w:p>
            <w:pPr>
              <w:spacing w:line="280" w:lineRule="exact"/>
              <w:jc w:val="center"/>
              <w:rPr>
                <w:rFonts w:ascii="Times New Roman" w:hAnsi="Times New Roman"/>
                <w:kern w:val="2"/>
              </w:rPr>
            </w:pPr>
          </w:p>
        </w:tc>
        <w:tc>
          <w:tcPr>
            <w:tcW w:w="957" w:type="dxa"/>
          </w:tcPr>
          <w:p>
            <w:pPr>
              <w:spacing w:line="280" w:lineRule="exact"/>
              <w:jc w:val="center"/>
              <w:rPr>
                <w:rFonts w:ascii="Times New Roman" w:hAnsi="Times New Roman"/>
                <w:kern w:val="2"/>
              </w:rPr>
            </w:pPr>
            <w:r>
              <w:rPr>
                <w:rFonts w:hint="eastAsia"/>
              </w:rPr>
              <w:t>水泵</w:t>
            </w:r>
          </w:p>
        </w:tc>
        <w:tc>
          <w:tcPr>
            <w:tcW w:w="1232" w:type="dxa"/>
            <w:vAlign w:val="center"/>
          </w:tcPr>
          <w:p>
            <w:pPr>
              <w:spacing w:line="280" w:lineRule="exact"/>
              <w:jc w:val="center"/>
              <w:rPr>
                <w:rFonts w:ascii="Times New Roman" w:hAnsi="Times New Roman"/>
                <w:kern w:val="2"/>
              </w:rPr>
            </w:pPr>
            <w:r>
              <w:rPr>
                <w:rFonts w:hint="eastAsia" w:ascii="Times New Roman" w:hAnsi="Times New Roman"/>
                <w:kern w:val="2"/>
              </w:rPr>
              <w:t>/</w:t>
            </w:r>
          </w:p>
        </w:tc>
        <w:tc>
          <w:tcPr>
            <w:tcW w:w="1957" w:type="dxa"/>
          </w:tcPr>
          <w:p>
            <w:pPr>
              <w:spacing w:line="280" w:lineRule="exact"/>
              <w:jc w:val="center"/>
              <w:rPr>
                <w:rFonts w:ascii="Times New Roman" w:hAnsi="Times New Roman"/>
                <w:kern w:val="2"/>
              </w:rPr>
            </w:pPr>
            <w:r>
              <w:rPr>
                <w:rFonts w:ascii="Times New Roman" w:hAnsi="Times New Roman"/>
                <w:kern w:val="2"/>
              </w:rPr>
              <w:t>80</w:t>
            </w:r>
          </w:p>
        </w:tc>
        <w:tc>
          <w:tcPr>
            <w:tcW w:w="981" w:type="dxa"/>
            <w:vMerge w:val="continue"/>
            <w:vAlign w:val="center"/>
          </w:tcPr>
          <w:p>
            <w:pPr>
              <w:spacing w:line="280" w:lineRule="exact"/>
              <w:jc w:val="center"/>
              <w:rPr>
                <w:rFonts w:ascii="Times New Roman" w:hAnsi="Times New Roman"/>
                <w:kern w:val="2"/>
              </w:rPr>
            </w:pPr>
          </w:p>
        </w:tc>
        <w:tc>
          <w:tcPr>
            <w:tcW w:w="982" w:type="dxa"/>
            <w:vAlign w:val="center"/>
          </w:tcPr>
          <w:p>
            <w:pPr>
              <w:spacing w:line="280" w:lineRule="exact"/>
              <w:jc w:val="center"/>
              <w:rPr>
                <w:rFonts w:ascii="Times New Roman" w:hAnsi="Times New Roman"/>
                <w:kern w:val="2"/>
              </w:rPr>
            </w:pPr>
            <w:r>
              <w:rPr>
                <w:rFonts w:hint="eastAsia" w:ascii="Times New Roman" w:hAnsi="Times New Roman"/>
                <w:kern w:val="2"/>
              </w:rPr>
              <w:t>5</w:t>
            </w:r>
            <w:r>
              <w:rPr>
                <w:rFonts w:ascii="Times New Roman" w:hAnsi="Times New Roman"/>
                <w:kern w:val="2"/>
              </w:rPr>
              <w:t>166827</w:t>
            </w:r>
          </w:p>
        </w:tc>
        <w:tc>
          <w:tcPr>
            <w:tcW w:w="1056" w:type="dxa"/>
            <w:vAlign w:val="center"/>
          </w:tcPr>
          <w:p>
            <w:pPr>
              <w:spacing w:line="280" w:lineRule="exact"/>
              <w:jc w:val="center"/>
              <w:rPr>
                <w:rFonts w:ascii="Times New Roman" w:hAnsi="Times New Roman"/>
                <w:kern w:val="2"/>
              </w:rPr>
            </w:pPr>
            <w:r>
              <w:rPr>
                <w:rFonts w:hint="eastAsia" w:ascii="Times New Roman" w:hAnsi="Times New Roman"/>
                <w:kern w:val="2"/>
              </w:rPr>
              <w:t>4</w:t>
            </w:r>
            <w:r>
              <w:rPr>
                <w:rFonts w:ascii="Times New Roman" w:hAnsi="Times New Roman"/>
                <w:kern w:val="2"/>
              </w:rPr>
              <w:t>4446496</w:t>
            </w:r>
          </w:p>
        </w:tc>
        <w:tc>
          <w:tcPr>
            <w:tcW w:w="1113" w:type="dxa"/>
            <w:vAlign w:val="center"/>
          </w:tcPr>
          <w:p>
            <w:pPr>
              <w:spacing w:line="280" w:lineRule="exact"/>
              <w:jc w:val="center"/>
              <w:rPr>
                <w:rFonts w:ascii="Times New Roman" w:hAnsi="Times New Roman"/>
                <w:kern w:val="2"/>
              </w:rPr>
            </w:pPr>
            <w:r>
              <w:rPr>
                <w:rFonts w:hint="eastAsia" w:ascii="Times New Roman" w:hAnsi="Times New Roman"/>
                <w:kern w:val="2"/>
              </w:rPr>
              <w:t>2</w:t>
            </w:r>
            <w:r>
              <w:rPr>
                <w:rFonts w:ascii="Times New Roman" w:hAnsi="Times New Roman"/>
                <w:kern w:val="2"/>
              </w:rPr>
              <w:t>23</w:t>
            </w:r>
          </w:p>
        </w:tc>
        <w:tc>
          <w:tcPr>
            <w:tcW w:w="1250" w:type="dxa"/>
            <w:vAlign w:val="center"/>
          </w:tcPr>
          <w:p>
            <w:pPr>
              <w:spacing w:line="280" w:lineRule="exact"/>
              <w:jc w:val="center"/>
              <w:rPr>
                <w:rFonts w:ascii="Times New Roman" w:hAnsi="Times New Roman"/>
                <w:kern w:val="2"/>
              </w:rPr>
            </w:pPr>
            <w:r>
              <w:rPr>
                <w:rFonts w:hint="eastAsia" w:ascii="Times New Roman" w:hAnsi="Times New Roman"/>
                <w:kern w:val="2"/>
              </w:rPr>
              <w:t>4</w:t>
            </w:r>
          </w:p>
        </w:tc>
        <w:tc>
          <w:tcPr>
            <w:tcW w:w="1538" w:type="dxa"/>
            <w:vAlign w:val="center"/>
          </w:tcPr>
          <w:p>
            <w:pPr>
              <w:spacing w:line="280" w:lineRule="exact"/>
              <w:jc w:val="center"/>
              <w:rPr>
                <w:rFonts w:ascii="Times New Roman" w:hAnsi="Times New Roman"/>
                <w:kern w:val="2"/>
              </w:rPr>
            </w:pPr>
            <w:r>
              <w:rPr>
                <w:rFonts w:hint="eastAsia" w:ascii="Times New Roman" w:hAnsi="Times New Roman"/>
                <w:kern w:val="2"/>
              </w:rPr>
              <w:t>5</w:t>
            </w:r>
            <w:r>
              <w:rPr>
                <w:rFonts w:ascii="Times New Roman" w:hAnsi="Times New Roman"/>
                <w:kern w:val="2"/>
              </w:rPr>
              <w:t>5</w:t>
            </w:r>
          </w:p>
        </w:tc>
        <w:tc>
          <w:tcPr>
            <w:tcW w:w="756" w:type="dxa"/>
            <w:vAlign w:val="center"/>
          </w:tcPr>
          <w:p>
            <w:pPr>
              <w:spacing w:line="280" w:lineRule="exact"/>
              <w:jc w:val="center"/>
              <w:rPr>
                <w:rFonts w:ascii="Times New Roman" w:hAnsi="Times New Roman"/>
                <w:kern w:val="2"/>
              </w:rPr>
            </w:pPr>
            <w:r>
              <w:rPr>
                <w:rFonts w:hint="eastAsia" w:ascii="Times New Roman" w:hAnsi="Times New Roman"/>
                <w:kern w:val="2"/>
              </w:rPr>
              <w:t>昼间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trPr>
        <w:tc>
          <w:tcPr>
            <w:tcW w:w="558" w:type="dxa"/>
            <w:vAlign w:val="center"/>
          </w:tcPr>
          <w:p>
            <w:pPr>
              <w:spacing w:line="280" w:lineRule="exact"/>
              <w:jc w:val="center"/>
              <w:rPr>
                <w:rFonts w:ascii="Times New Roman" w:hAnsi="Times New Roman"/>
                <w:kern w:val="2"/>
              </w:rPr>
            </w:pPr>
            <w:r>
              <w:rPr>
                <w:rFonts w:hint="eastAsia" w:ascii="Times New Roman" w:hAnsi="Times New Roman"/>
                <w:kern w:val="2"/>
              </w:rPr>
              <w:t>3</w:t>
            </w:r>
          </w:p>
        </w:tc>
        <w:tc>
          <w:tcPr>
            <w:tcW w:w="718" w:type="dxa"/>
            <w:vMerge w:val="continue"/>
            <w:vAlign w:val="center"/>
          </w:tcPr>
          <w:p>
            <w:pPr>
              <w:spacing w:line="280" w:lineRule="exact"/>
              <w:jc w:val="center"/>
              <w:rPr>
                <w:rFonts w:ascii="Times New Roman" w:hAnsi="Times New Roman"/>
                <w:kern w:val="2"/>
              </w:rPr>
            </w:pPr>
          </w:p>
        </w:tc>
        <w:tc>
          <w:tcPr>
            <w:tcW w:w="957" w:type="dxa"/>
          </w:tcPr>
          <w:p>
            <w:pPr>
              <w:spacing w:line="280" w:lineRule="exact"/>
              <w:jc w:val="center"/>
              <w:rPr>
                <w:rFonts w:ascii="Times New Roman" w:hAnsi="Times New Roman"/>
                <w:kern w:val="2"/>
              </w:rPr>
            </w:pPr>
            <w:r>
              <w:rPr>
                <w:rFonts w:hint="eastAsia"/>
              </w:rPr>
              <w:t>空压机</w:t>
            </w:r>
          </w:p>
        </w:tc>
        <w:tc>
          <w:tcPr>
            <w:tcW w:w="1232" w:type="dxa"/>
            <w:vAlign w:val="center"/>
          </w:tcPr>
          <w:p>
            <w:pPr>
              <w:spacing w:line="280" w:lineRule="exact"/>
              <w:jc w:val="center"/>
              <w:rPr>
                <w:rFonts w:ascii="Times New Roman" w:hAnsi="Times New Roman"/>
                <w:kern w:val="2"/>
              </w:rPr>
            </w:pPr>
            <w:r>
              <w:rPr>
                <w:rFonts w:hint="eastAsia" w:ascii="Times New Roman" w:hAnsi="Times New Roman"/>
                <w:kern w:val="2"/>
              </w:rPr>
              <w:t>/</w:t>
            </w:r>
          </w:p>
        </w:tc>
        <w:tc>
          <w:tcPr>
            <w:tcW w:w="1957" w:type="dxa"/>
          </w:tcPr>
          <w:p>
            <w:pPr>
              <w:spacing w:line="280" w:lineRule="exact"/>
              <w:jc w:val="center"/>
              <w:rPr>
                <w:rFonts w:ascii="Times New Roman" w:hAnsi="Times New Roman"/>
                <w:kern w:val="2"/>
              </w:rPr>
            </w:pPr>
            <w:r>
              <w:rPr>
                <w:rFonts w:ascii="Times New Roman" w:hAnsi="Times New Roman"/>
                <w:kern w:val="2"/>
              </w:rPr>
              <w:t>90</w:t>
            </w:r>
          </w:p>
        </w:tc>
        <w:tc>
          <w:tcPr>
            <w:tcW w:w="981" w:type="dxa"/>
            <w:vMerge w:val="continue"/>
            <w:vAlign w:val="center"/>
          </w:tcPr>
          <w:p>
            <w:pPr>
              <w:spacing w:line="280" w:lineRule="exact"/>
              <w:jc w:val="center"/>
              <w:rPr>
                <w:rFonts w:ascii="Times New Roman" w:hAnsi="Times New Roman"/>
                <w:kern w:val="2"/>
              </w:rPr>
            </w:pPr>
          </w:p>
        </w:tc>
        <w:tc>
          <w:tcPr>
            <w:tcW w:w="982" w:type="dxa"/>
            <w:vAlign w:val="center"/>
          </w:tcPr>
          <w:p>
            <w:pPr>
              <w:spacing w:line="280" w:lineRule="exact"/>
              <w:jc w:val="center"/>
              <w:rPr>
                <w:rFonts w:ascii="Times New Roman" w:hAnsi="Times New Roman"/>
                <w:kern w:val="2"/>
              </w:rPr>
            </w:pPr>
            <w:r>
              <w:rPr>
                <w:rFonts w:hint="eastAsia" w:ascii="Times New Roman" w:hAnsi="Times New Roman"/>
                <w:kern w:val="2"/>
              </w:rPr>
              <w:t>5</w:t>
            </w:r>
            <w:r>
              <w:rPr>
                <w:rFonts w:ascii="Times New Roman" w:hAnsi="Times New Roman"/>
                <w:kern w:val="2"/>
              </w:rPr>
              <w:t>166825</w:t>
            </w:r>
          </w:p>
        </w:tc>
        <w:tc>
          <w:tcPr>
            <w:tcW w:w="1056" w:type="dxa"/>
            <w:vAlign w:val="center"/>
          </w:tcPr>
          <w:p>
            <w:pPr>
              <w:spacing w:line="280" w:lineRule="exact"/>
              <w:jc w:val="center"/>
              <w:rPr>
                <w:rFonts w:ascii="Times New Roman" w:hAnsi="Times New Roman"/>
                <w:kern w:val="2"/>
              </w:rPr>
            </w:pPr>
            <w:r>
              <w:rPr>
                <w:rFonts w:hint="eastAsia" w:ascii="Times New Roman" w:hAnsi="Times New Roman"/>
                <w:kern w:val="2"/>
              </w:rPr>
              <w:t>4</w:t>
            </w:r>
            <w:r>
              <w:rPr>
                <w:rFonts w:ascii="Times New Roman" w:hAnsi="Times New Roman"/>
                <w:kern w:val="2"/>
              </w:rPr>
              <w:t>4446502</w:t>
            </w:r>
          </w:p>
        </w:tc>
        <w:tc>
          <w:tcPr>
            <w:tcW w:w="1113" w:type="dxa"/>
            <w:vAlign w:val="center"/>
          </w:tcPr>
          <w:p>
            <w:pPr>
              <w:spacing w:line="280" w:lineRule="exact"/>
              <w:jc w:val="center"/>
              <w:rPr>
                <w:rFonts w:ascii="Times New Roman" w:hAnsi="Times New Roman"/>
                <w:kern w:val="2"/>
              </w:rPr>
            </w:pPr>
            <w:r>
              <w:rPr>
                <w:rFonts w:hint="eastAsia" w:ascii="Times New Roman" w:hAnsi="Times New Roman"/>
                <w:kern w:val="2"/>
              </w:rPr>
              <w:t>2</w:t>
            </w:r>
            <w:r>
              <w:rPr>
                <w:rFonts w:ascii="Times New Roman" w:hAnsi="Times New Roman"/>
                <w:kern w:val="2"/>
              </w:rPr>
              <w:t>23</w:t>
            </w:r>
          </w:p>
        </w:tc>
        <w:tc>
          <w:tcPr>
            <w:tcW w:w="1250" w:type="dxa"/>
            <w:vAlign w:val="center"/>
          </w:tcPr>
          <w:p>
            <w:pPr>
              <w:spacing w:line="280" w:lineRule="exact"/>
              <w:jc w:val="center"/>
              <w:rPr>
                <w:rFonts w:ascii="Times New Roman" w:hAnsi="Times New Roman"/>
                <w:kern w:val="2"/>
              </w:rPr>
            </w:pPr>
            <w:r>
              <w:rPr>
                <w:rFonts w:hint="eastAsia" w:ascii="Times New Roman" w:hAnsi="Times New Roman"/>
                <w:kern w:val="2"/>
              </w:rPr>
              <w:t>4</w:t>
            </w:r>
          </w:p>
        </w:tc>
        <w:tc>
          <w:tcPr>
            <w:tcW w:w="1538" w:type="dxa"/>
            <w:vAlign w:val="center"/>
          </w:tcPr>
          <w:p>
            <w:pPr>
              <w:spacing w:line="280" w:lineRule="exact"/>
              <w:jc w:val="center"/>
              <w:rPr>
                <w:rFonts w:ascii="Times New Roman" w:hAnsi="Times New Roman"/>
                <w:kern w:val="2"/>
              </w:rPr>
            </w:pPr>
            <w:r>
              <w:rPr>
                <w:rFonts w:hint="eastAsia" w:ascii="Times New Roman" w:hAnsi="Times New Roman"/>
                <w:kern w:val="2"/>
              </w:rPr>
              <w:t>6</w:t>
            </w:r>
            <w:r>
              <w:rPr>
                <w:rFonts w:ascii="Times New Roman" w:hAnsi="Times New Roman"/>
                <w:kern w:val="2"/>
              </w:rPr>
              <w:t>5</w:t>
            </w:r>
          </w:p>
        </w:tc>
        <w:tc>
          <w:tcPr>
            <w:tcW w:w="756" w:type="dxa"/>
            <w:vAlign w:val="center"/>
          </w:tcPr>
          <w:p>
            <w:pPr>
              <w:spacing w:line="280" w:lineRule="exact"/>
              <w:jc w:val="center"/>
              <w:rPr>
                <w:rFonts w:ascii="Times New Roman" w:hAnsi="Times New Roman"/>
                <w:kern w:val="2"/>
              </w:rPr>
            </w:pPr>
            <w:r>
              <w:rPr>
                <w:rFonts w:hint="eastAsia" w:ascii="Times New Roman" w:hAnsi="Times New Roman"/>
                <w:kern w:val="2"/>
              </w:rPr>
              <w:t>昼间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8" w:type="dxa"/>
            <w:vAlign w:val="center"/>
          </w:tcPr>
          <w:p>
            <w:pPr>
              <w:spacing w:line="280" w:lineRule="exact"/>
              <w:jc w:val="center"/>
              <w:rPr>
                <w:rFonts w:ascii="Times New Roman" w:hAnsi="Times New Roman"/>
                <w:kern w:val="2"/>
              </w:rPr>
            </w:pPr>
            <w:r>
              <w:rPr>
                <w:rFonts w:hint="eastAsia" w:ascii="Times New Roman" w:hAnsi="Times New Roman"/>
                <w:kern w:val="2"/>
              </w:rPr>
              <w:t>4</w:t>
            </w:r>
          </w:p>
        </w:tc>
        <w:tc>
          <w:tcPr>
            <w:tcW w:w="718" w:type="dxa"/>
            <w:vMerge w:val="continue"/>
            <w:vAlign w:val="center"/>
          </w:tcPr>
          <w:p>
            <w:pPr>
              <w:spacing w:line="280" w:lineRule="exact"/>
              <w:jc w:val="center"/>
              <w:rPr>
                <w:rFonts w:ascii="Times New Roman" w:hAnsi="Times New Roman"/>
                <w:kern w:val="2"/>
              </w:rPr>
            </w:pPr>
          </w:p>
        </w:tc>
        <w:tc>
          <w:tcPr>
            <w:tcW w:w="957" w:type="dxa"/>
          </w:tcPr>
          <w:p>
            <w:pPr>
              <w:spacing w:line="280" w:lineRule="exact"/>
              <w:jc w:val="center"/>
              <w:rPr>
                <w:rFonts w:ascii="Times New Roman" w:hAnsi="Times New Roman"/>
                <w:kern w:val="2"/>
              </w:rPr>
            </w:pPr>
            <w:r>
              <w:rPr>
                <w:rFonts w:hint="eastAsia"/>
              </w:rPr>
              <w:t>风机</w:t>
            </w:r>
          </w:p>
        </w:tc>
        <w:tc>
          <w:tcPr>
            <w:tcW w:w="1232" w:type="dxa"/>
            <w:vAlign w:val="center"/>
          </w:tcPr>
          <w:p>
            <w:pPr>
              <w:spacing w:line="280" w:lineRule="exact"/>
              <w:jc w:val="center"/>
              <w:rPr>
                <w:rFonts w:ascii="Times New Roman" w:hAnsi="Times New Roman"/>
                <w:kern w:val="2"/>
              </w:rPr>
            </w:pPr>
            <w:r>
              <w:rPr>
                <w:rFonts w:hint="eastAsia" w:ascii="Times New Roman" w:hAnsi="Times New Roman"/>
                <w:kern w:val="2"/>
              </w:rPr>
              <w:t>/</w:t>
            </w:r>
          </w:p>
        </w:tc>
        <w:tc>
          <w:tcPr>
            <w:tcW w:w="1957" w:type="dxa"/>
          </w:tcPr>
          <w:p>
            <w:pPr>
              <w:spacing w:line="280" w:lineRule="exact"/>
              <w:jc w:val="center"/>
              <w:rPr>
                <w:rFonts w:ascii="Times New Roman" w:hAnsi="Times New Roman"/>
                <w:kern w:val="2"/>
              </w:rPr>
            </w:pPr>
            <w:r>
              <w:rPr>
                <w:rFonts w:ascii="Times New Roman" w:hAnsi="Times New Roman"/>
                <w:kern w:val="2"/>
              </w:rPr>
              <w:t>75</w:t>
            </w:r>
          </w:p>
        </w:tc>
        <w:tc>
          <w:tcPr>
            <w:tcW w:w="981" w:type="dxa"/>
            <w:vMerge w:val="continue"/>
            <w:vAlign w:val="center"/>
          </w:tcPr>
          <w:p>
            <w:pPr>
              <w:spacing w:line="280" w:lineRule="exact"/>
              <w:jc w:val="center"/>
              <w:rPr>
                <w:rFonts w:ascii="Times New Roman" w:hAnsi="Times New Roman"/>
                <w:kern w:val="2"/>
              </w:rPr>
            </w:pPr>
          </w:p>
        </w:tc>
        <w:tc>
          <w:tcPr>
            <w:tcW w:w="982" w:type="dxa"/>
            <w:vAlign w:val="center"/>
          </w:tcPr>
          <w:p>
            <w:pPr>
              <w:spacing w:line="280" w:lineRule="exact"/>
              <w:jc w:val="center"/>
              <w:rPr>
                <w:rFonts w:ascii="Times New Roman" w:hAnsi="Times New Roman"/>
                <w:kern w:val="2"/>
              </w:rPr>
            </w:pPr>
            <w:r>
              <w:rPr>
                <w:rFonts w:hint="eastAsia" w:ascii="Times New Roman" w:hAnsi="Times New Roman"/>
                <w:kern w:val="2"/>
              </w:rPr>
              <w:t>5</w:t>
            </w:r>
            <w:r>
              <w:rPr>
                <w:rFonts w:ascii="Times New Roman" w:hAnsi="Times New Roman"/>
                <w:kern w:val="2"/>
              </w:rPr>
              <w:t>166827</w:t>
            </w:r>
          </w:p>
        </w:tc>
        <w:tc>
          <w:tcPr>
            <w:tcW w:w="1056" w:type="dxa"/>
            <w:vAlign w:val="center"/>
          </w:tcPr>
          <w:p>
            <w:pPr>
              <w:spacing w:line="280" w:lineRule="exact"/>
              <w:jc w:val="center"/>
              <w:rPr>
                <w:rFonts w:ascii="Times New Roman" w:hAnsi="Times New Roman"/>
                <w:kern w:val="2"/>
              </w:rPr>
            </w:pPr>
            <w:r>
              <w:rPr>
                <w:rFonts w:hint="eastAsia" w:ascii="Times New Roman" w:hAnsi="Times New Roman"/>
                <w:kern w:val="2"/>
              </w:rPr>
              <w:t>4</w:t>
            </w:r>
            <w:r>
              <w:rPr>
                <w:rFonts w:ascii="Times New Roman" w:hAnsi="Times New Roman"/>
                <w:kern w:val="2"/>
              </w:rPr>
              <w:t>4446504</w:t>
            </w:r>
          </w:p>
        </w:tc>
        <w:tc>
          <w:tcPr>
            <w:tcW w:w="1113" w:type="dxa"/>
            <w:vAlign w:val="center"/>
          </w:tcPr>
          <w:p>
            <w:pPr>
              <w:spacing w:line="280" w:lineRule="exact"/>
              <w:jc w:val="center"/>
              <w:rPr>
                <w:rFonts w:ascii="Times New Roman" w:hAnsi="Times New Roman"/>
                <w:kern w:val="2"/>
              </w:rPr>
            </w:pPr>
            <w:r>
              <w:rPr>
                <w:rFonts w:hint="eastAsia" w:ascii="Times New Roman" w:hAnsi="Times New Roman"/>
                <w:kern w:val="2"/>
              </w:rPr>
              <w:t>2</w:t>
            </w:r>
            <w:r>
              <w:rPr>
                <w:rFonts w:ascii="Times New Roman" w:hAnsi="Times New Roman"/>
                <w:kern w:val="2"/>
              </w:rPr>
              <w:t>23</w:t>
            </w:r>
          </w:p>
        </w:tc>
        <w:tc>
          <w:tcPr>
            <w:tcW w:w="1250" w:type="dxa"/>
            <w:vAlign w:val="center"/>
          </w:tcPr>
          <w:p>
            <w:pPr>
              <w:spacing w:line="280" w:lineRule="exact"/>
              <w:jc w:val="center"/>
              <w:rPr>
                <w:rFonts w:ascii="Times New Roman" w:hAnsi="Times New Roman"/>
                <w:kern w:val="2"/>
              </w:rPr>
            </w:pPr>
            <w:r>
              <w:rPr>
                <w:rFonts w:hint="eastAsia" w:ascii="Times New Roman" w:hAnsi="Times New Roman"/>
                <w:kern w:val="2"/>
              </w:rPr>
              <w:t>4</w:t>
            </w:r>
          </w:p>
        </w:tc>
        <w:tc>
          <w:tcPr>
            <w:tcW w:w="1538" w:type="dxa"/>
            <w:vAlign w:val="center"/>
          </w:tcPr>
          <w:p>
            <w:pPr>
              <w:spacing w:line="280" w:lineRule="exact"/>
              <w:jc w:val="center"/>
              <w:rPr>
                <w:rFonts w:ascii="Times New Roman" w:hAnsi="Times New Roman"/>
                <w:kern w:val="2"/>
              </w:rPr>
            </w:pPr>
            <w:r>
              <w:rPr>
                <w:rFonts w:hint="eastAsia" w:ascii="Times New Roman" w:hAnsi="Times New Roman"/>
                <w:kern w:val="2"/>
              </w:rPr>
              <w:t>5</w:t>
            </w:r>
            <w:r>
              <w:rPr>
                <w:rFonts w:ascii="Times New Roman" w:hAnsi="Times New Roman"/>
                <w:kern w:val="2"/>
              </w:rPr>
              <w:t>0</w:t>
            </w:r>
          </w:p>
        </w:tc>
        <w:tc>
          <w:tcPr>
            <w:tcW w:w="756" w:type="dxa"/>
            <w:vAlign w:val="center"/>
          </w:tcPr>
          <w:p>
            <w:pPr>
              <w:spacing w:line="280" w:lineRule="exact"/>
              <w:jc w:val="center"/>
              <w:rPr>
                <w:rFonts w:ascii="Times New Roman" w:hAnsi="Times New Roman"/>
                <w:kern w:val="2"/>
              </w:rPr>
            </w:pPr>
            <w:r>
              <w:rPr>
                <w:rFonts w:hint="eastAsia" w:ascii="Times New Roman" w:hAnsi="Times New Roman"/>
                <w:kern w:val="2"/>
              </w:rPr>
              <w:t>昼间</w:t>
            </w:r>
          </w:p>
        </w:tc>
      </w:tr>
    </w:tbl>
    <w:p>
      <w:pPr>
        <w:rPr>
          <w:rFonts w:ascii="Times New Roman" w:hAnsi="Times New Roman"/>
        </w:rPr>
        <w:sectPr>
          <w:pgSz w:w="16839" w:h="11907" w:orient="landscape"/>
          <w:pgMar w:top="1440" w:right="1797" w:bottom="1440" w:left="1797" w:header="851" w:footer="850" w:gutter="0"/>
          <w:cols w:space="720" w:num="1"/>
          <w:docGrid w:linePitch="312" w:charSpace="0"/>
        </w:sectPr>
      </w:pPr>
    </w:p>
    <w:p>
      <w:pPr>
        <w:widowControl/>
        <w:spacing w:line="480" w:lineRule="exact"/>
        <w:outlineLvl w:val="3"/>
        <w:rPr>
          <w:rFonts w:ascii="Times New Roman" w:hAnsi="Times New Roman" w:eastAsia="黑体"/>
          <w:sz w:val="24"/>
        </w:rPr>
      </w:pPr>
      <w:r>
        <w:rPr>
          <w:rFonts w:ascii="Times New Roman" w:hAnsi="Times New Roman" w:eastAsia="黑体"/>
          <w:sz w:val="24"/>
        </w:rPr>
        <w:t>5.2.4.2.预测模式</w:t>
      </w:r>
    </w:p>
    <w:p>
      <w:pPr>
        <w:spacing w:line="480" w:lineRule="exact"/>
        <w:ind w:firstLine="480" w:firstLineChars="200"/>
        <w:rPr>
          <w:rFonts w:ascii="Times New Roman" w:hAnsi="Times New Roman"/>
          <w:sz w:val="24"/>
          <w:szCs w:val="24"/>
        </w:rPr>
      </w:pPr>
      <w:r>
        <w:rPr>
          <w:rFonts w:hint="eastAsia" w:ascii="Times New Roman" w:hAnsi="Times New Roman"/>
          <w:sz w:val="24"/>
          <w:szCs w:val="24"/>
        </w:rPr>
        <w:t>根据</w:t>
      </w:r>
      <w:r>
        <w:rPr>
          <w:rFonts w:ascii="Times New Roman" w:hAnsi="Times New Roman"/>
          <w:sz w:val="24"/>
          <w:szCs w:val="24"/>
        </w:rPr>
        <w:t>《环境影响评价技术导则 声环境》（HJ2.4—2021）中</w:t>
      </w:r>
      <w:r>
        <w:rPr>
          <w:rFonts w:hint="eastAsia" w:ascii="Times New Roman" w:hAnsi="Times New Roman"/>
          <w:sz w:val="24"/>
          <w:szCs w:val="24"/>
        </w:rPr>
        <w:t>附录A和B推荐的计算模式：</w:t>
      </w:r>
    </w:p>
    <w:p>
      <w:pPr>
        <w:spacing w:line="480" w:lineRule="exact"/>
        <w:ind w:firstLine="480" w:firstLineChars="200"/>
        <w:rPr>
          <w:rFonts w:ascii="Times New Roman" w:hAnsi="Times New Roman"/>
          <w:sz w:val="24"/>
          <w:szCs w:val="24"/>
        </w:rPr>
      </w:pPr>
      <w:r>
        <w:rPr>
          <w:rFonts w:ascii="Times New Roman" w:hAnsi="Times New Roman"/>
          <w:sz w:val="24"/>
          <w:szCs w:val="24"/>
        </w:rPr>
        <w:t>（1）室外声源</w:t>
      </w:r>
    </w:p>
    <w:p>
      <w:pPr>
        <w:spacing w:line="480" w:lineRule="exact"/>
        <w:ind w:firstLine="480" w:firstLineChars="200"/>
        <w:rPr>
          <w:rFonts w:ascii="Times New Roman" w:hAnsi="Times New Roman"/>
          <w:sz w:val="24"/>
          <w:szCs w:val="24"/>
        </w:rPr>
      </w:pPr>
      <w:r>
        <w:rPr>
          <w:rFonts w:hint="eastAsia" w:cs="宋体"/>
          <w:sz w:val="24"/>
          <w:szCs w:val="24"/>
        </w:rPr>
        <w:t>①</w:t>
      </w:r>
      <w:r>
        <w:rPr>
          <w:rFonts w:ascii="Times New Roman" w:hAnsi="Times New Roman"/>
          <w:sz w:val="24"/>
          <w:szCs w:val="24"/>
        </w:rPr>
        <w:t>计算某个声源在预测点的倍频带声压级：</w:t>
      </w:r>
    </w:p>
    <w:p>
      <w:pPr>
        <w:ind w:firstLine="200"/>
        <w:rPr>
          <w:rFonts w:ascii="Times New Roman" w:hAnsi="Times New Roman"/>
          <w:sz w:val="24"/>
          <w:szCs w:val="24"/>
        </w:rPr>
      </w:pPr>
      <w:r>
        <w:rPr>
          <w:rFonts w:ascii="Times New Roman" w:hAnsi="Times New Roman"/>
          <w:sz w:val="24"/>
          <w:szCs w:val="24"/>
        </w:rPr>
        <w:drawing>
          <wp:inline distT="0" distB="0" distL="114300" distR="114300">
            <wp:extent cx="2276475" cy="419735"/>
            <wp:effectExtent l="0" t="0" r="0" b="8890"/>
            <wp:docPr id="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
                    <pic:cNvPicPr>
                      <a:picLocks noChangeAspect="1"/>
                    </pic:cNvPicPr>
                  </pic:nvPicPr>
                  <pic:blipFill>
                    <a:blip r:embed="rId59"/>
                    <a:stretch>
                      <a:fillRect/>
                    </a:stretch>
                  </pic:blipFill>
                  <pic:spPr>
                    <a:xfrm>
                      <a:off x="0" y="0"/>
                      <a:ext cx="2276475" cy="419735"/>
                    </a:xfrm>
                    <a:prstGeom prst="rect">
                      <a:avLst/>
                    </a:prstGeom>
                    <a:noFill/>
                    <a:ln>
                      <a:noFill/>
                    </a:ln>
                  </pic:spPr>
                </pic:pic>
              </a:graphicData>
            </a:graphic>
          </wp:inline>
        </w:drawing>
      </w:r>
    </w:p>
    <w:p>
      <w:pPr>
        <w:spacing w:line="480" w:lineRule="exact"/>
        <w:ind w:firstLine="480" w:firstLineChars="200"/>
        <w:rPr>
          <w:rFonts w:ascii="Times New Roman" w:hAnsi="Times New Roman"/>
          <w:sz w:val="24"/>
          <w:szCs w:val="24"/>
        </w:rPr>
      </w:pPr>
      <w:r>
        <w:rPr>
          <w:rFonts w:ascii="Times New Roman" w:hAnsi="Times New Roman"/>
          <w:sz w:val="24"/>
          <w:szCs w:val="24"/>
        </w:rPr>
        <w:t>式中：L</w:t>
      </w:r>
      <w:r>
        <w:rPr>
          <w:rFonts w:ascii="Times New Roman" w:hAnsi="Times New Roman"/>
          <w:sz w:val="24"/>
          <w:szCs w:val="24"/>
          <w:vertAlign w:val="subscript"/>
        </w:rPr>
        <w:t>oct(r)</w:t>
      </w:r>
      <w:r>
        <w:rPr>
          <w:rFonts w:ascii="Times New Roman" w:hAnsi="Times New Roman"/>
          <w:sz w:val="24"/>
          <w:szCs w:val="24"/>
        </w:rPr>
        <w:t>—点声源在预测点产生的倍频带声压级；</w:t>
      </w:r>
    </w:p>
    <w:p>
      <w:pPr>
        <w:spacing w:line="480" w:lineRule="exact"/>
        <w:ind w:firstLine="1200" w:firstLineChars="500"/>
        <w:rPr>
          <w:rFonts w:ascii="Times New Roman" w:hAnsi="Times New Roman"/>
          <w:sz w:val="24"/>
          <w:szCs w:val="24"/>
        </w:rPr>
      </w:pPr>
      <w:r>
        <w:rPr>
          <w:rFonts w:ascii="Times New Roman" w:hAnsi="Times New Roman"/>
          <w:sz w:val="24"/>
          <w:szCs w:val="24"/>
        </w:rPr>
        <w:t>L</w:t>
      </w:r>
      <w:r>
        <w:rPr>
          <w:rFonts w:ascii="Times New Roman" w:hAnsi="Times New Roman"/>
          <w:sz w:val="24"/>
          <w:szCs w:val="24"/>
          <w:vertAlign w:val="subscript"/>
        </w:rPr>
        <w:t>oct(r0)</w:t>
      </w:r>
      <w:r>
        <w:rPr>
          <w:rFonts w:ascii="Times New Roman" w:hAnsi="Times New Roman"/>
          <w:sz w:val="24"/>
          <w:szCs w:val="24"/>
        </w:rPr>
        <w:t>—参考位置r</w:t>
      </w:r>
      <w:r>
        <w:rPr>
          <w:rFonts w:ascii="Times New Roman" w:hAnsi="Times New Roman"/>
          <w:sz w:val="24"/>
          <w:szCs w:val="24"/>
          <w:vertAlign w:val="subscript"/>
        </w:rPr>
        <w:t>0</w:t>
      </w:r>
      <w:r>
        <w:rPr>
          <w:rFonts w:ascii="Times New Roman" w:hAnsi="Times New Roman"/>
          <w:sz w:val="24"/>
          <w:szCs w:val="24"/>
        </w:rPr>
        <w:t>处的倍频带声压级；</w:t>
      </w:r>
    </w:p>
    <w:p>
      <w:pPr>
        <w:spacing w:line="480" w:lineRule="exact"/>
        <w:ind w:firstLine="1200" w:firstLineChars="500"/>
        <w:rPr>
          <w:rFonts w:ascii="Times New Roman" w:hAnsi="Times New Roman"/>
          <w:sz w:val="24"/>
          <w:szCs w:val="24"/>
        </w:rPr>
      </w:pPr>
      <w:r>
        <w:rPr>
          <w:rFonts w:ascii="Times New Roman" w:hAnsi="Times New Roman"/>
          <w:sz w:val="24"/>
          <w:szCs w:val="24"/>
        </w:rPr>
        <w:t>r—预测点距声源的距离，m；</w:t>
      </w:r>
    </w:p>
    <w:p>
      <w:pPr>
        <w:spacing w:line="480" w:lineRule="exact"/>
        <w:ind w:firstLine="1200" w:firstLineChars="500"/>
        <w:rPr>
          <w:rFonts w:ascii="Times New Roman" w:hAnsi="Times New Roman"/>
          <w:sz w:val="24"/>
          <w:szCs w:val="24"/>
        </w:rPr>
      </w:pPr>
      <w:r>
        <w:rPr>
          <w:rFonts w:ascii="Times New Roman" w:hAnsi="Times New Roman"/>
          <w:sz w:val="24"/>
          <w:szCs w:val="24"/>
        </w:rPr>
        <w:t>r</w:t>
      </w:r>
      <w:r>
        <w:rPr>
          <w:rFonts w:ascii="Times New Roman" w:hAnsi="Times New Roman"/>
          <w:sz w:val="24"/>
          <w:szCs w:val="24"/>
          <w:vertAlign w:val="subscript"/>
        </w:rPr>
        <w:t>0</w:t>
      </w:r>
      <w:r>
        <w:rPr>
          <w:rFonts w:ascii="Times New Roman" w:hAnsi="Times New Roman"/>
          <w:sz w:val="24"/>
          <w:szCs w:val="24"/>
        </w:rPr>
        <w:t>—参考位置距声源的距离，m；</w:t>
      </w:r>
    </w:p>
    <w:p>
      <w:pPr>
        <w:spacing w:line="480" w:lineRule="exact"/>
        <w:ind w:firstLine="1200" w:firstLineChars="500"/>
        <w:rPr>
          <w:rFonts w:ascii="Times New Roman" w:hAnsi="Times New Roman"/>
          <w:sz w:val="24"/>
          <w:szCs w:val="24"/>
        </w:rPr>
      </w:pPr>
      <w:r>
        <w:rPr>
          <w:rFonts w:ascii="Times New Roman" w:hAnsi="Times New Roman"/>
          <w:sz w:val="24"/>
          <w:szCs w:val="24"/>
        </w:rPr>
        <w:t>ΔL</w:t>
      </w:r>
      <w:r>
        <w:rPr>
          <w:rFonts w:ascii="Times New Roman" w:hAnsi="Times New Roman"/>
          <w:sz w:val="24"/>
          <w:szCs w:val="24"/>
          <w:vertAlign w:val="subscript"/>
        </w:rPr>
        <w:t>oct</w:t>
      </w:r>
      <w:r>
        <w:rPr>
          <w:rFonts w:ascii="Times New Roman" w:hAnsi="Times New Roman"/>
          <w:sz w:val="24"/>
          <w:szCs w:val="24"/>
        </w:rPr>
        <w:t>—各种因素引起的衰减量。</w:t>
      </w:r>
    </w:p>
    <w:p>
      <w:pPr>
        <w:spacing w:line="480" w:lineRule="exact"/>
        <w:ind w:firstLine="480" w:firstLineChars="200"/>
        <w:rPr>
          <w:rFonts w:ascii="Times New Roman" w:hAnsi="Times New Roman"/>
          <w:sz w:val="24"/>
          <w:szCs w:val="24"/>
        </w:rPr>
      </w:pPr>
      <w:r>
        <w:rPr>
          <w:rFonts w:ascii="Times New Roman" w:hAnsi="Times New Roman"/>
          <w:sz w:val="24"/>
          <w:szCs w:val="24"/>
        </w:rPr>
        <w:t>如果已知声源的倍频带声功率级L</w:t>
      </w:r>
      <w:r>
        <w:rPr>
          <w:rFonts w:ascii="Times New Roman" w:hAnsi="Times New Roman"/>
          <w:sz w:val="24"/>
          <w:szCs w:val="24"/>
          <w:vertAlign w:val="subscript"/>
        </w:rPr>
        <w:t>woct</w:t>
      </w:r>
      <w:r>
        <w:rPr>
          <w:rFonts w:ascii="Times New Roman" w:hAnsi="Times New Roman"/>
          <w:sz w:val="24"/>
          <w:szCs w:val="24"/>
        </w:rPr>
        <w:t>，且声源可看作是位于地面上的，则</w:t>
      </w:r>
    </w:p>
    <w:p>
      <w:pPr>
        <w:pStyle w:val="155"/>
        <w:spacing w:line="240" w:lineRule="auto"/>
        <w:ind w:firstLine="200" w:firstLineChars="0"/>
        <w:rPr>
          <w:szCs w:val="24"/>
        </w:rPr>
      </w:pPr>
      <w:r>
        <w:rPr>
          <w:szCs w:val="24"/>
        </w:rPr>
        <w:drawing>
          <wp:inline distT="0" distB="0" distL="114300" distR="114300">
            <wp:extent cx="2072005" cy="396240"/>
            <wp:effectExtent l="0" t="0" r="4445" b="3810"/>
            <wp:docPr id="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
                    <pic:cNvPicPr>
                      <a:picLocks noChangeAspect="1"/>
                    </pic:cNvPicPr>
                  </pic:nvPicPr>
                  <pic:blipFill>
                    <a:blip r:embed="rId60"/>
                    <a:stretch>
                      <a:fillRect/>
                    </a:stretch>
                  </pic:blipFill>
                  <pic:spPr>
                    <a:xfrm>
                      <a:off x="0" y="0"/>
                      <a:ext cx="2072005" cy="396240"/>
                    </a:xfrm>
                    <a:prstGeom prst="rect">
                      <a:avLst/>
                    </a:prstGeom>
                    <a:noFill/>
                    <a:ln>
                      <a:noFill/>
                    </a:ln>
                  </pic:spPr>
                </pic:pic>
              </a:graphicData>
            </a:graphic>
          </wp:inline>
        </w:drawing>
      </w:r>
    </w:p>
    <w:p>
      <w:pPr>
        <w:pStyle w:val="155"/>
        <w:spacing w:line="480" w:lineRule="exact"/>
        <w:ind w:firstLine="480"/>
        <w:rPr>
          <w:szCs w:val="24"/>
        </w:rPr>
      </w:pPr>
      <w:r>
        <w:rPr>
          <w:rFonts w:hint="eastAsia" w:ascii="宋体" w:hAnsi="宋体" w:cs="宋体"/>
          <w:szCs w:val="24"/>
        </w:rPr>
        <w:t>②</w:t>
      </w:r>
      <w:r>
        <w:rPr>
          <w:szCs w:val="24"/>
        </w:rPr>
        <w:t>由各倍频带声压级合成计算出该声源产生的声级L</w:t>
      </w:r>
      <w:r>
        <w:rPr>
          <w:szCs w:val="24"/>
          <w:vertAlign w:val="subscript"/>
        </w:rPr>
        <w:t>A</w:t>
      </w:r>
      <w:r>
        <w:rPr>
          <w:szCs w:val="24"/>
        </w:rPr>
        <w:t>。</w:t>
      </w:r>
    </w:p>
    <w:p>
      <w:pPr>
        <w:pStyle w:val="155"/>
        <w:spacing w:line="480" w:lineRule="exact"/>
        <w:ind w:firstLine="480"/>
        <w:rPr>
          <w:szCs w:val="24"/>
        </w:rPr>
      </w:pPr>
      <w:r>
        <w:rPr>
          <w:szCs w:val="24"/>
        </w:rPr>
        <w:t>（2）室内声源</w:t>
      </w:r>
    </w:p>
    <w:p>
      <w:pPr>
        <w:pStyle w:val="155"/>
        <w:spacing w:line="480" w:lineRule="exact"/>
        <w:ind w:firstLine="480"/>
        <w:rPr>
          <w:szCs w:val="24"/>
        </w:rPr>
      </w:pPr>
      <w:r>
        <w:rPr>
          <w:rFonts w:hint="eastAsia" w:ascii="宋体" w:hAnsi="宋体" w:cs="宋体"/>
          <w:szCs w:val="24"/>
        </w:rPr>
        <w:t>①</w:t>
      </w:r>
      <w:r>
        <w:rPr>
          <w:szCs w:val="24"/>
        </w:rPr>
        <w:t>首先计算出某个室内靠近围护结构处的倍频带声压级：</w:t>
      </w:r>
    </w:p>
    <w:p>
      <w:pPr>
        <w:pStyle w:val="155"/>
        <w:spacing w:line="240" w:lineRule="auto"/>
        <w:ind w:firstLine="200" w:firstLineChars="0"/>
        <w:rPr>
          <w:szCs w:val="24"/>
        </w:rPr>
      </w:pPr>
      <w:r>
        <w:rPr>
          <w:szCs w:val="24"/>
        </w:rPr>
        <w:drawing>
          <wp:inline distT="0" distB="0" distL="114300" distR="114300">
            <wp:extent cx="2277745" cy="469900"/>
            <wp:effectExtent l="0" t="0" r="8255" b="6350"/>
            <wp:docPr id="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
                    <pic:cNvPicPr>
                      <a:picLocks noChangeAspect="1"/>
                    </pic:cNvPicPr>
                  </pic:nvPicPr>
                  <pic:blipFill>
                    <a:blip r:embed="rId61"/>
                    <a:stretch>
                      <a:fillRect/>
                    </a:stretch>
                  </pic:blipFill>
                  <pic:spPr>
                    <a:xfrm>
                      <a:off x="0" y="0"/>
                      <a:ext cx="2277745" cy="469900"/>
                    </a:xfrm>
                    <a:prstGeom prst="rect">
                      <a:avLst/>
                    </a:prstGeom>
                    <a:noFill/>
                    <a:ln>
                      <a:noFill/>
                    </a:ln>
                  </pic:spPr>
                </pic:pic>
              </a:graphicData>
            </a:graphic>
          </wp:inline>
        </w:drawing>
      </w:r>
    </w:p>
    <w:p>
      <w:pPr>
        <w:spacing w:line="480" w:lineRule="exact"/>
        <w:ind w:firstLine="480" w:firstLineChars="200"/>
        <w:rPr>
          <w:rFonts w:ascii="Times New Roman" w:hAnsi="Times New Roman"/>
          <w:sz w:val="24"/>
          <w:szCs w:val="24"/>
        </w:rPr>
      </w:pPr>
      <w:r>
        <w:rPr>
          <w:rFonts w:ascii="Times New Roman" w:hAnsi="Times New Roman"/>
          <w:sz w:val="24"/>
          <w:szCs w:val="24"/>
        </w:rPr>
        <w:t>式中：L</w:t>
      </w:r>
      <w:r>
        <w:rPr>
          <w:rFonts w:ascii="Times New Roman" w:hAnsi="Times New Roman"/>
          <w:sz w:val="24"/>
          <w:szCs w:val="24"/>
          <w:vertAlign w:val="subscript"/>
        </w:rPr>
        <w:t>oct,1</w:t>
      </w:r>
      <w:r>
        <w:rPr>
          <w:rFonts w:ascii="Times New Roman" w:hAnsi="Times New Roman"/>
          <w:sz w:val="24"/>
          <w:szCs w:val="24"/>
        </w:rPr>
        <w:t>为某个室内声源在靠近围护结构处产生的倍频带声压级；</w:t>
      </w:r>
    </w:p>
    <w:p>
      <w:pPr>
        <w:spacing w:line="480" w:lineRule="exact"/>
        <w:ind w:firstLine="1200" w:firstLineChars="500"/>
        <w:rPr>
          <w:rFonts w:ascii="Times New Roman" w:hAnsi="Times New Roman"/>
          <w:sz w:val="24"/>
          <w:szCs w:val="24"/>
        </w:rPr>
      </w:pPr>
      <w:r>
        <w:rPr>
          <w:rFonts w:ascii="Times New Roman" w:hAnsi="Times New Roman"/>
          <w:sz w:val="24"/>
          <w:szCs w:val="24"/>
        </w:rPr>
        <w:t>L</w:t>
      </w:r>
      <w:r>
        <w:rPr>
          <w:rFonts w:ascii="Times New Roman" w:hAnsi="Times New Roman"/>
          <w:sz w:val="24"/>
          <w:szCs w:val="24"/>
          <w:vertAlign w:val="subscript"/>
        </w:rPr>
        <w:t>woct</w:t>
      </w:r>
      <w:r>
        <w:rPr>
          <w:rFonts w:ascii="Times New Roman" w:hAnsi="Times New Roman"/>
          <w:sz w:val="24"/>
          <w:szCs w:val="24"/>
        </w:rPr>
        <w:t>为某个声源的倍频带声功率级；</w:t>
      </w:r>
    </w:p>
    <w:p>
      <w:pPr>
        <w:spacing w:line="480" w:lineRule="exact"/>
        <w:ind w:firstLine="1200" w:firstLineChars="500"/>
        <w:rPr>
          <w:rFonts w:ascii="Times New Roman" w:hAnsi="Times New Roman"/>
          <w:sz w:val="24"/>
          <w:szCs w:val="24"/>
        </w:rPr>
      </w:pPr>
      <w:r>
        <w:rPr>
          <w:rFonts w:ascii="Times New Roman" w:hAnsi="Times New Roman"/>
          <w:sz w:val="24"/>
          <w:szCs w:val="24"/>
        </w:rPr>
        <w:t>r</w:t>
      </w:r>
      <w:r>
        <w:rPr>
          <w:rFonts w:ascii="Times New Roman" w:hAnsi="Times New Roman"/>
          <w:sz w:val="24"/>
          <w:szCs w:val="24"/>
          <w:vertAlign w:val="subscript"/>
        </w:rPr>
        <w:t>1</w:t>
      </w:r>
      <w:r>
        <w:rPr>
          <w:rFonts w:ascii="Times New Roman" w:hAnsi="Times New Roman"/>
          <w:sz w:val="24"/>
          <w:szCs w:val="24"/>
        </w:rPr>
        <w:t>为室内某个声源与靠近围护结构处的距离；</w:t>
      </w:r>
    </w:p>
    <w:p>
      <w:pPr>
        <w:spacing w:line="480" w:lineRule="exact"/>
        <w:ind w:firstLine="1200" w:firstLineChars="500"/>
        <w:rPr>
          <w:rFonts w:ascii="Times New Roman" w:hAnsi="Times New Roman"/>
          <w:sz w:val="24"/>
          <w:szCs w:val="24"/>
        </w:rPr>
      </w:pPr>
      <w:r>
        <w:rPr>
          <w:rFonts w:ascii="Times New Roman" w:hAnsi="Times New Roman"/>
          <w:sz w:val="24"/>
          <w:szCs w:val="24"/>
        </w:rPr>
        <w:t>R为房间常数；</w:t>
      </w:r>
    </w:p>
    <w:p>
      <w:pPr>
        <w:spacing w:line="480" w:lineRule="exact"/>
        <w:ind w:firstLine="1200" w:firstLineChars="500"/>
        <w:rPr>
          <w:rFonts w:ascii="Times New Roman" w:hAnsi="Times New Roman"/>
          <w:sz w:val="24"/>
          <w:szCs w:val="24"/>
        </w:rPr>
      </w:pPr>
      <w:r>
        <w:rPr>
          <w:rFonts w:ascii="Times New Roman" w:hAnsi="Times New Roman"/>
          <w:sz w:val="24"/>
          <w:szCs w:val="24"/>
        </w:rPr>
        <w:t>Q为方向因子。</w:t>
      </w:r>
    </w:p>
    <w:p>
      <w:pPr>
        <w:spacing w:line="480" w:lineRule="exact"/>
        <w:ind w:firstLine="480" w:firstLineChars="200"/>
        <w:rPr>
          <w:rFonts w:ascii="Times New Roman" w:hAnsi="Times New Roman"/>
          <w:sz w:val="24"/>
          <w:szCs w:val="24"/>
        </w:rPr>
      </w:pPr>
      <w:r>
        <w:rPr>
          <w:rFonts w:hint="eastAsia" w:cs="宋体"/>
          <w:sz w:val="24"/>
          <w:szCs w:val="24"/>
        </w:rPr>
        <w:t>②</w:t>
      </w:r>
      <w:r>
        <w:rPr>
          <w:rFonts w:ascii="Times New Roman" w:hAnsi="Times New Roman"/>
          <w:sz w:val="24"/>
          <w:szCs w:val="24"/>
        </w:rPr>
        <w:t>计算出所有室内声源在靠近围护结构处产生的总倍频带声压级</w:t>
      </w:r>
    </w:p>
    <w:p>
      <w:pPr>
        <w:pStyle w:val="155"/>
        <w:spacing w:line="240" w:lineRule="auto"/>
        <w:ind w:firstLine="0" w:firstLineChars="0"/>
        <w:rPr>
          <w:szCs w:val="24"/>
        </w:rPr>
      </w:pPr>
      <w:r>
        <w:rPr>
          <w:szCs w:val="24"/>
        </w:rPr>
        <w:drawing>
          <wp:inline distT="0" distB="0" distL="114300" distR="114300">
            <wp:extent cx="2216150" cy="460375"/>
            <wp:effectExtent l="0" t="0" r="3175" b="6350"/>
            <wp:docPr id="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
                    <pic:cNvPicPr>
                      <a:picLocks noChangeAspect="1"/>
                    </pic:cNvPicPr>
                  </pic:nvPicPr>
                  <pic:blipFill>
                    <a:blip r:embed="rId62"/>
                    <a:stretch>
                      <a:fillRect/>
                    </a:stretch>
                  </pic:blipFill>
                  <pic:spPr>
                    <a:xfrm>
                      <a:off x="0" y="0"/>
                      <a:ext cx="2216150" cy="460375"/>
                    </a:xfrm>
                    <a:prstGeom prst="rect">
                      <a:avLst/>
                    </a:prstGeom>
                    <a:noFill/>
                    <a:ln>
                      <a:noFill/>
                    </a:ln>
                  </pic:spPr>
                </pic:pic>
              </a:graphicData>
            </a:graphic>
          </wp:inline>
        </w:drawing>
      </w:r>
    </w:p>
    <w:p>
      <w:pPr>
        <w:pStyle w:val="155"/>
        <w:spacing w:line="480" w:lineRule="exact"/>
        <w:ind w:firstLine="480"/>
        <w:rPr>
          <w:szCs w:val="24"/>
        </w:rPr>
      </w:pPr>
      <w:r>
        <w:rPr>
          <w:rFonts w:hint="eastAsia" w:ascii="宋体" w:hAnsi="宋体" w:cs="宋体"/>
          <w:szCs w:val="24"/>
        </w:rPr>
        <w:t>③</w:t>
      </w:r>
      <w:r>
        <w:rPr>
          <w:szCs w:val="24"/>
        </w:rPr>
        <w:t>计算出室外靠近围护结构处的声压级：</w:t>
      </w:r>
    </w:p>
    <w:p>
      <w:pPr>
        <w:pStyle w:val="155"/>
        <w:spacing w:line="240" w:lineRule="auto"/>
        <w:ind w:firstLine="0" w:firstLineChars="0"/>
        <w:rPr>
          <w:szCs w:val="24"/>
        </w:rPr>
      </w:pPr>
      <w:r>
        <w:rPr>
          <w:szCs w:val="24"/>
        </w:rPr>
        <w:drawing>
          <wp:inline distT="0" distB="0" distL="114300" distR="114300">
            <wp:extent cx="2345055" cy="337185"/>
            <wp:effectExtent l="0" t="0" r="7620" b="5715"/>
            <wp:docPr id="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
                    <pic:cNvPicPr>
                      <a:picLocks noChangeAspect="1"/>
                    </pic:cNvPicPr>
                  </pic:nvPicPr>
                  <pic:blipFill>
                    <a:blip r:embed="rId63"/>
                    <a:stretch>
                      <a:fillRect/>
                    </a:stretch>
                  </pic:blipFill>
                  <pic:spPr>
                    <a:xfrm>
                      <a:off x="0" y="0"/>
                      <a:ext cx="2345055" cy="337185"/>
                    </a:xfrm>
                    <a:prstGeom prst="rect">
                      <a:avLst/>
                    </a:prstGeom>
                    <a:noFill/>
                    <a:ln>
                      <a:noFill/>
                    </a:ln>
                  </pic:spPr>
                </pic:pic>
              </a:graphicData>
            </a:graphic>
          </wp:inline>
        </w:drawing>
      </w:r>
    </w:p>
    <w:p>
      <w:pPr>
        <w:pStyle w:val="155"/>
        <w:spacing w:line="480" w:lineRule="exact"/>
        <w:ind w:firstLine="480"/>
        <w:rPr>
          <w:szCs w:val="24"/>
        </w:rPr>
      </w:pPr>
      <w:r>
        <w:rPr>
          <w:rFonts w:hint="eastAsia" w:ascii="宋体" w:hAnsi="宋体" w:cs="宋体"/>
          <w:szCs w:val="24"/>
        </w:rPr>
        <w:t>④</w:t>
      </w:r>
      <w:r>
        <w:rPr>
          <w:szCs w:val="24"/>
        </w:rPr>
        <w:t>将室外声级L</w:t>
      </w:r>
      <w:r>
        <w:rPr>
          <w:szCs w:val="24"/>
          <w:vertAlign w:val="subscript"/>
        </w:rPr>
        <w:t>oct,2</w:t>
      </w:r>
      <w:r>
        <w:rPr>
          <w:szCs w:val="24"/>
        </w:rPr>
        <w:t>(T)和透声面积换算成等效的室外声源，计算出等效声源第i个倍频带的声功率级L</w:t>
      </w:r>
      <w:r>
        <w:rPr>
          <w:szCs w:val="24"/>
          <w:vertAlign w:val="subscript"/>
        </w:rPr>
        <w:t>woct</w:t>
      </w:r>
      <w:r>
        <w:rPr>
          <w:szCs w:val="24"/>
        </w:rPr>
        <w:t>：</w:t>
      </w:r>
    </w:p>
    <w:p>
      <w:pPr>
        <w:rPr>
          <w:rFonts w:ascii="Times New Roman" w:hAnsi="Times New Roman"/>
          <w:sz w:val="24"/>
          <w:szCs w:val="24"/>
        </w:rPr>
      </w:pPr>
      <w:r>
        <w:rPr>
          <w:rFonts w:ascii="Times New Roman" w:hAnsi="Times New Roman"/>
          <w:sz w:val="24"/>
          <w:szCs w:val="24"/>
        </w:rPr>
        <w:drawing>
          <wp:inline distT="0" distB="0" distL="114300" distR="114300">
            <wp:extent cx="2037080" cy="397510"/>
            <wp:effectExtent l="0" t="0" r="1270" b="2540"/>
            <wp:docPr id="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
                    <pic:cNvPicPr>
                      <a:picLocks noChangeAspect="1"/>
                    </pic:cNvPicPr>
                  </pic:nvPicPr>
                  <pic:blipFill>
                    <a:blip r:embed="rId64"/>
                    <a:stretch>
                      <a:fillRect/>
                    </a:stretch>
                  </pic:blipFill>
                  <pic:spPr>
                    <a:xfrm>
                      <a:off x="0" y="0"/>
                      <a:ext cx="2037080" cy="397510"/>
                    </a:xfrm>
                    <a:prstGeom prst="rect">
                      <a:avLst/>
                    </a:prstGeom>
                    <a:noFill/>
                    <a:ln>
                      <a:noFill/>
                    </a:ln>
                  </pic:spPr>
                </pic:pic>
              </a:graphicData>
            </a:graphic>
          </wp:inline>
        </w:drawing>
      </w:r>
    </w:p>
    <w:p>
      <w:pPr>
        <w:pStyle w:val="155"/>
        <w:spacing w:line="480" w:lineRule="exact"/>
        <w:ind w:firstLine="480"/>
        <w:rPr>
          <w:szCs w:val="24"/>
        </w:rPr>
      </w:pPr>
      <w:r>
        <w:rPr>
          <w:rFonts w:hint="eastAsia" w:ascii="宋体" w:hAnsi="宋体" w:cs="宋体"/>
          <w:szCs w:val="24"/>
        </w:rPr>
        <w:t>⑤</w:t>
      </w:r>
      <w:r>
        <w:rPr>
          <w:szCs w:val="24"/>
        </w:rPr>
        <w:t>等效室外声源的位置为围护结构的位置，其倍频带声功率级为L</w:t>
      </w:r>
      <w:r>
        <w:rPr>
          <w:szCs w:val="24"/>
          <w:vertAlign w:val="subscript"/>
        </w:rPr>
        <w:t>woct</w:t>
      </w:r>
      <w:r>
        <w:rPr>
          <w:szCs w:val="24"/>
        </w:rPr>
        <w:t>，由此按室外声源方法计算等效室外声源在预测点产生的声级。</w:t>
      </w:r>
    </w:p>
    <w:p>
      <w:pPr>
        <w:pStyle w:val="155"/>
        <w:spacing w:line="480" w:lineRule="exact"/>
        <w:ind w:firstLine="480"/>
        <w:rPr>
          <w:szCs w:val="24"/>
        </w:rPr>
      </w:pPr>
      <w:r>
        <w:rPr>
          <w:szCs w:val="24"/>
        </w:rPr>
        <w:t>（3）计算总声压级</w:t>
      </w:r>
    </w:p>
    <w:p>
      <w:pPr>
        <w:pStyle w:val="155"/>
        <w:spacing w:line="480" w:lineRule="exact"/>
        <w:ind w:firstLine="480"/>
        <w:rPr>
          <w:szCs w:val="24"/>
        </w:rPr>
      </w:pPr>
      <w:r>
        <w:rPr>
          <w:szCs w:val="24"/>
        </w:rPr>
        <w:t>设第i个室外声源在预测点产生的A声级为L</w:t>
      </w:r>
      <w:r>
        <w:rPr>
          <w:szCs w:val="24"/>
          <w:vertAlign w:val="subscript"/>
        </w:rPr>
        <w:t>Ain,i，</w:t>
      </w:r>
      <w:r>
        <w:rPr>
          <w:szCs w:val="24"/>
        </w:rPr>
        <w:t>在T时间内该声源工作时间为tin,i；第j个等效室外声源在预测点产生的A声级为L</w:t>
      </w:r>
      <w:r>
        <w:rPr>
          <w:szCs w:val="24"/>
          <w:vertAlign w:val="subscript"/>
        </w:rPr>
        <w:t>Aout,j</w:t>
      </w:r>
      <w:r>
        <w:rPr>
          <w:szCs w:val="24"/>
        </w:rPr>
        <w:t>，在T时间内该声源工作时间为tout,j，则预测点的总等效声级为：</w:t>
      </w:r>
    </w:p>
    <w:p>
      <w:pPr>
        <w:pStyle w:val="155"/>
        <w:spacing w:line="240" w:lineRule="auto"/>
        <w:ind w:firstLine="0" w:firstLineChars="0"/>
        <w:rPr>
          <w:szCs w:val="24"/>
        </w:rPr>
      </w:pPr>
      <w:r>
        <w:rPr>
          <w:szCs w:val="24"/>
        </w:rPr>
        <w:drawing>
          <wp:inline distT="0" distB="0" distL="114300" distR="114300">
            <wp:extent cx="3337560" cy="554990"/>
            <wp:effectExtent l="0" t="0" r="5715" b="6985"/>
            <wp:docPr id="55"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22"/>
                    <pic:cNvPicPr>
                      <a:picLocks noChangeAspect="1"/>
                    </pic:cNvPicPr>
                  </pic:nvPicPr>
                  <pic:blipFill>
                    <a:blip r:embed="rId65"/>
                    <a:stretch>
                      <a:fillRect/>
                    </a:stretch>
                  </pic:blipFill>
                  <pic:spPr>
                    <a:xfrm>
                      <a:off x="0" y="0"/>
                      <a:ext cx="3337560" cy="554990"/>
                    </a:xfrm>
                    <a:prstGeom prst="rect">
                      <a:avLst/>
                    </a:prstGeom>
                    <a:noFill/>
                    <a:ln>
                      <a:noFill/>
                    </a:ln>
                  </pic:spPr>
                </pic:pic>
              </a:graphicData>
            </a:graphic>
          </wp:inline>
        </w:drawing>
      </w:r>
    </w:p>
    <w:p>
      <w:pPr>
        <w:pStyle w:val="155"/>
        <w:spacing w:line="480" w:lineRule="exact"/>
        <w:ind w:firstLine="480"/>
        <w:rPr>
          <w:szCs w:val="24"/>
        </w:rPr>
      </w:pPr>
      <w:r>
        <w:rPr>
          <w:szCs w:val="24"/>
        </w:rPr>
        <w:t>式中：T为计算等效声级的时间，N为室外声源个数，M为等效室外声源个数。</w:t>
      </w:r>
    </w:p>
    <w:p>
      <w:pPr>
        <w:widowControl/>
        <w:spacing w:line="480" w:lineRule="exact"/>
        <w:outlineLvl w:val="3"/>
        <w:rPr>
          <w:rFonts w:ascii="Times New Roman" w:hAnsi="Times New Roman" w:eastAsia="黑体"/>
          <w:sz w:val="24"/>
        </w:rPr>
      </w:pPr>
      <w:r>
        <w:rPr>
          <w:rFonts w:ascii="Times New Roman" w:hAnsi="Times New Roman" w:eastAsia="黑体"/>
          <w:sz w:val="24"/>
        </w:rPr>
        <w:t>5.2.4.3.预测结果及评价</w:t>
      </w:r>
    </w:p>
    <w:p>
      <w:pPr>
        <w:pStyle w:val="155"/>
        <w:spacing w:line="480" w:lineRule="exact"/>
        <w:ind w:firstLine="480"/>
      </w:pPr>
      <w:r>
        <w:t>本项目运行期厂界噪声预测结果见表5.2-10，噪声预测图见图5.2-6。</w:t>
      </w:r>
    </w:p>
    <w:p>
      <w:pPr>
        <w:adjustRightInd w:val="0"/>
        <w:spacing w:line="480" w:lineRule="exact"/>
        <w:ind w:firstLine="422" w:firstLineChars="200"/>
        <w:jc w:val="center"/>
        <w:rPr>
          <w:rFonts w:ascii="Times New Roman" w:hAnsi="Times New Roman"/>
          <w:b/>
          <w:bCs/>
        </w:rPr>
      </w:pPr>
      <w:r>
        <w:rPr>
          <w:rFonts w:ascii="Times New Roman" w:hAnsi="Times New Roman"/>
          <w:b/>
          <w:bCs/>
        </w:rPr>
        <w:t>表5.2-10 噪声预测结果（单位：dB(A)）</w:t>
      </w:r>
    </w:p>
    <w:tbl>
      <w:tblPr>
        <w:tblStyle w:val="77"/>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2204"/>
        <w:gridCol w:w="2108"/>
        <w:gridCol w:w="2108"/>
        <w:gridCol w:w="2109"/>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1292" w:type="pct"/>
            <w:vAlign w:val="center"/>
          </w:tcPr>
          <w:p>
            <w:pPr>
              <w:jc w:val="center"/>
              <w:rPr>
                <w:rFonts w:ascii="Times New Roman" w:hAnsi="Times New Roman"/>
                <w:b/>
                <w:kern w:val="2"/>
              </w:rPr>
            </w:pPr>
            <w:bookmarkStart w:id="1176" w:name="_Hlk494355214"/>
            <w:r>
              <w:rPr>
                <w:rFonts w:ascii="Times New Roman" w:hAnsi="Times New Roman"/>
                <w:b/>
                <w:kern w:val="2"/>
              </w:rPr>
              <w:t>预测点</w:t>
            </w:r>
          </w:p>
        </w:tc>
        <w:tc>
          <w:tcPr>
            <w:tcW w:w="1236" w:type="pct"/>
            <w:vAlign w:val="center"/>
          </w:tcPr>
          <w:p>
            <w:pPr>
              <w:jc w:val="center"/>
              <w:rPr>
                <w:rFonts w:ascii="Times New Roman" w:hAnsi="Times New Roman"/>
                <w:b/>
                <w:kern w:val="2"/>
              </w:rPr>
            </w:pPr>
            <w:r>
              <w:rPr>
                <w:rFonts w:ascii="Times New Roman" w:hAnsi="Times New Roman"/>
                <w:b/>
                <w:kern w:val="2"/>
              </w:rPr>
              <w:t>贡献值</w:t>
            </w:r>
          </w:p>
        </w:tc>
        <w:tc>
          <w:tcPr>
            <w:tcW w:w="1236" w:type="pct"/>
            <w:vAlign w:val="center"/>
          </w:tcPr>
          <w:p>
            <w:pPr>
              <w:jc w:val="center"/>
              <w:rPr>
                <w:rFonts w:ascii="Times New Roman" w:hAnsi="Times New Roman"/>
                <w:b/>
                <w:kern w:val="2"/>
              </w:rPr>
            </w:pPr>
            <w:r>
              <w:rPr>
                <w:rFonts w:ascii="Times New Roman" w:hAnsi="Times New Roman"/>
                <w:b/>
                <w:kern w:val="2"/>
              </w:rPr>
              <w:t>标准值</w:t>
            </w:r>
          </w:p>
        </w:tc>
        <w:tc>
          <w:tcPr>
            <w:tcW w:w="1236" w:type="pct"/>
          </w:tcPr>
          <w:p>
            <w:pPr>
              <w:jc w:val="center"/>
              <w:rPr>
                <w:rFonts w:ascii="Times New Roman" w:hAnsi="Times New Roman"/>
                <w:b/>
                <w:kern w:val="2"/>
              </w:rPr>
            </w:pPr>
            <w:r>
              <w:rPr>
                <w:rFonts w:ascii="Times New Roman" w:hAnsi="Times New Roman"/>
                <w:b/>
                <w:kern w:val="2"/>
              </w:rPr>
              <w:t>是否超标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257" w:hRule="atLeast"/>
          <w:jc w:val="center"/>
        </w:trPr>
        <w:tc>
          <w:tcPr>
            <w:tcW w:w="1292" w:type="pct"/>
            <w:vAlign w:val="center"/>
          </w:tcPr>
          <w:p>
            <w:pPr>
              <w:jc w:val="center"/>
              <w:rPr>
                <w:rFonts w:ascii="Times New Roman" w:hAnsi="Times New Roman"/>
                <w:kern w:val="2"/>
              </w:rPr>
            </w:pPr>
            <w:r>
              <w:rPr>
                <w:rFonts w:ascii="Times New Roman" w:hAnsi="Times New Roman"/>
                <w:kern w:val="2"/>
              </w:rPr>
              <w:t>项目东厂界</w:t>
            </w:r>
          </w:p>
        </w:tc>
        <w:tc>
          <w:tcPr>
            <w:tcW w:w="1236" w:type="pct"/>
            <w:vAlign w:val="center"/>
          </w:tcPr>
          <w:p>
            <w:pPr>
              <w:jc w:val="center"/>
              <w:rPr>
                <w:rFonts w:ascii="Times New Roman" w:hAnsi="Times New Roman"/>
                <w:kern w:val="2"/>
              </w:rPr>
            </w:pPr>
            <w:r>
              <w:rPr>
                <w:rFonts w:ascii="Times New Roman" w:hAnsi="Times New Roman"/>
                <w:kern w:val="2"/>
              </w:rPr>
              <w:t>46.35</w:t>
            </w:r>
          </w:p>
        </w:tc>
        <w:tc>
          <w:tcPr>
            <w:tcW w:w="1236" w:type="pct"/>
            <w:vMerge w:val="restart"/>
            <w:vAlign w:val="center"/>
          </w:tcPr>
          <w:p>
            <w:pPr>
              <w:jc w:val="center"/>
              <w:rPr>
                <w:rFonts w:ascii="Times New Roman" w:hAnsi="Times New Roman"/>
                <w:kern w:val="2"/>
              </w:rPr>
            </w:pPr>
            <w:r>
              <w:rPr>
                <w:rFonts w:ascii="Times New Roman" w:hAnsi="Times New Roman"/>
                <w:kern w:val="2"/>
              </w:rPr>
              <w:t>65</w:t>
            </w:r>
          </w:p>
        </w:tc>
        <w:tc>
          <w:tcPr>
            <w:tcW w:w="1236" w:type="pct"/>
          </w:tcPr>
          <w:p>
            <w:pPr>
              <w:jc w:val="center"/>
              <w:rPr>
                <w:rFonts w:ascii="Times New Roman" w:hAnsi="Times New Roman"/>
                <w:kern w:val="2"/>
              </w:rPr>
            </w:pPr>
            <w:r>
              <w:rPr>
                <w:rFonts w:ascii="Times New Roman" w:hAnsi="Times New Roman"/>
                <w:kern w:val="2"/>
              </w:rPr>
              <w:t>否</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1292" w:type="pct"/>
          </w:tcPr>
          <w:p>
            <w:pPr>
              <w:jc w:val="center"/>
              <w:rPr>
                <w:rFonts w:ascii="Times New Roman" w:hAnsi="Times New Roman"/>
                <w:kern w:val="2"/>
                <w:szCs w:val="24"/>
              </w:rPr>
            </w:pPr>
            <w:r>
              <w:rPr>
                <w:rFonts w:ascii="Times New Roman" w:hAnsi="Times New Roman"/>
                <w:kern w:val="2"/>
              </w:rPr>
              <w:t>项目南厂界</w:t>
            </w:r>
          </w:p>
        </w:tc>
        <w:tc>
          <w:tcPr>
            <w:tcW w:w="1236" w:type="pct"/>
            <w:vAlign w:val="center"/>
          </w:tcPr>
          <w:p>
            <w:pPr>
              <w:jc w:val="center"/>
              <w:rPr>
                <w:rFonts w:ascii="Times New Roman" w:hAnsi="Times New Roman"/>
                <w:kern w:val="2"/>
              </w:rPr>
            </w:pPr>
            <w:r>
              <w:rPr>
                <w:rFonts w:ascii="Times New Roman" w:hAnsi="Times New Roman"/>
                <w:kern w:val="2"/>
              </w:rPr>
              <w:t>37.86</w:t>
            </w:r>
          </w:p>
        </w:tc>
        <w:tc>
          <w:tcPr>
            <w:tcW w:w="1236" w:type="pct"/>
            <w:vMerge w:val="continue"/>
            <w:vAlign w:val="center"/>
          </w:tcPr>
          <w:p>
            <w:pPr>
              <w:jc w:val="center"/>
              <w:rPr>
                <w:rFonts w:ascii="Times New Roman" w:hAnsi="Times New Roman"/>
                <w:kern w:val="2"/>
              </w:rPr>
            </w:pPr>
          </w:p>
        </w:tc>
        <w:tc>
          <w:tcPr>
            <w:tcW w:w="1236" w:type="pct"/>
          </w:tcPr>
          <w:p>
            <w:pPr>
              <w:jc w:val="center"/>
              <w:rPr>
                <w:rFonts w:ascii="Times New Roman" w:hAnsi="Times New Roman"/>
              </w:rPr>
            </w:pPr>
            <w:r>
              <w:rPr>
                <w:rFonts w:ascii="Times New Roman" w:hAnsi="Times New Roman"/>
                <w:kern w:val="2"/>
              </w:rPr>
              <w:t>否</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1292" w:type="pct"/>
          </w:tcPr>
          <w:p>
            <w:pPr>
              <w:jc w:val="center"/>
              <w:rPr>
                <w:rFonts w:ascii="Times New Roman" w:hAnsi="Times New Roman"/>
                <w:kern w:val="2"/>
                <w:szCs w:val="24"/>
              </w:rPr>
            </w:pPr>
            <w:r>
              <w:rPr>
                <w:rFonts w:ascii="Times New Roman" w:hAnsi="Times New Roman"/>
                <w:kern w:val="2"/>
              </w:rPr>
              <w:t>项目西厂界</w:t>
            </w:r>
          </w:p>
        </w:tc>
        <w:tc>
          <w:tcPr>
            <w:tcW w:w="1236" w:type="pct"/>
            <w:vAlign w:val="center"/>
          </w:tcPr>
          <w:p>
            <w:pPr>
              <w:jc w:val="center"/>
              <w:rPr>
                <w:rFonts w:ascii="Times New Roman" w:hAnsi="Times New Roman"/>
                <w:kern w:val="2"/>
              </w:rPr>
            </w:pPr>
            <w:r>
              <w:rPr>
                <w:rFonts w:ascii="Times New Roman" w:hAnsi="Times New Roman"/>
                <w:kern w:val="2"/>
              </w:rPr>
              <w:t>48.42</w:t>
            </w:r>
          </w:p>
        </w:tc>
        <w:tc>
          <w:tcPr>
            <w:tcW w:w="1236" w:type="pct"/>
            <w:vMerge w:val="continue"/>
            <w:vAlign w:val="center"/>
          </w:tcPr>
          <w:p>
            <w:pPr>
              <w:jc w:val="center"/>
              <w:rPr>
                <w:rFonts w:ascii="Times New Roman" w:hAnsi="Times New Roman"/>
                <w:kern w:val="2"/>
              </w:rPr>
            </w:pPr>
          </w:p>
        </w:tc>
        <w:tc>
          <w:tcPr>
            <w:tcW w:w="1236" w:type="pct"/>
          </w:tcPr>
          <w:p>
            <w:pPr>
              <w:jc w:val="center"/>
              <w:rPr>
                <w:rFonts w:ascii="Times New Roman" w:hAnsi="Times New Roman"/>
              </w:rPr>
            </w:pPr>
            <w:r>
              <w:rPr>
                <w:rFonts w:ascii="Times New Roman" w:hAnsi="Times New Roman"/>
                <w:kern w:val="2"/>
              </w:rPr>
              <w:t>否</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1292" w:type="pct"/>
          </w:tcPr>
          <w:p>
            <w:pPr>
              <w:jc w:val="center"/>
              <w:rPr>
                <w:rFonts w:ascii="Times New Roman" w:hAnsi="Times New Roman"/>
                <w:kern w:val="2"/>
              </w:rPr>
            </w:pPr>
            <w:r>
              <w:rPr>
                <w:rFonts w:ascii="Times New Roman" w:hAnsi="Times New Roman"/>
                <w:kern w:val="2"/>
              </w:rPr>
              <w:t>项目北厂界</w:t>
            </w:r>
          </w:p>
        </w:tc>
        <w:tc>
          <w:tcPr>
            <w:tcW w:w="1236" w:type="pct"/>
            <w:vAlign w:val="center"/>
          </w:tcPr>
          <w:p>
            <w:pPr>
              <w:jc w:val="center"/>
              <w:rPr>
                <w:rFonts w:ascii="Times New Roman" w:hAnsi="Times New Roman"/>
                <w:kern w:val="2"/>
              </w:rPr>
            </w:pPr>
            <w:r>
              <w:rPr>
                <w:rFonts w:ascii="Times New Roman" w:hAnsi="Times New Roman"/>
                <w:kern w:val="2"/>
              </w:rPr>
              <w:t>46.73</w:t>
            </w:r>
          </w:p>
        </w:tc>
        <w:tc>
          <w:tcPr>
            <w:tcW w:w="1236" w:type="pct"/>
            <w:vMerge w:val="continue"/>
            <w:vAlign w:val="center"/>
          </w:tcPr>
          <w:p>
            <w:pPr>
              <w:jc w:val="center"/>
              <w:rPr>
                <w:rFonts w:ascii="Times New Roman" w:hAnsi="Times New Roman"/>
                <w:kern w:val="2"/>
              </w:rPr>
            </w:pPr>
          </w:p>
        </w:tc>
        <w:tc>
          <w:tcPr>
            <w:tcW w:w="1236" w:type="pct"/>
          </w:tcPr>
          <w:p>
            <w:pPr>
              <w:jc w:val="center"/>
              <w:rPr>
                <w:rFonts w:ascii="Times New Roman" w:hAnsi="Times New Roman"/>
                <w:kern w:val="2"/>
              </w:rPr>
            </w:pPr>
            <w:r>
              <w:rPr>
                <w:rFonts w:ascii="Times New Roman" w:hAnsi="Times New Roman"/>
                <w:kern w:val="2"/>
              </w:rPr>
              <w:t>否</w:t>
            </w:r>
          </w:p>
        </w:tc>
      </w:tr>
      <w:bookmarkEnd w:id="1176"/>
    </w:tbl>
    <w:p>
      <w:pPr>
        <w:pStyle w:val="155"/>
        <w:spacing w:line="480" w:lineRule="exact"/>
        <w:ind w:firstLine="480"/>
      </w:pPr>
      <w:r>
        <w:t>由预测结果可知，厂界的昼间、夜间噪声值分别低于65dB（A）和55dB（A），满足《工业企业厂界环境噪声排放标准》（GB12348—2008）2类区标准。</w:t>
      </w:r>
    </w:p>
    <w:p>
      <w:pPr>
        <w:pStyle w:val="155"/>
        <w:spacing w:line="240" w:lineRule="auto"/>
        <w:ind w:firstLine="0" w:firstLineChars="0"/>
        <w:rPr>
          <w:shd w:val="clear" w:color="FFFFFF" w:fill="D9D9D9"/>
        </w:rPr>
      </w:pPr>
      <w:r>
        <w:rPr>
          <w:shd w:val="clear" w:color="FFFFFF" w:fill="D9D9D9"/>
        </w:rPr>
        <w:drawing>
          <wp:inline distT="0" distB="0" distL="0" distR="0">
            <wp:extent cx="5805805" cy="4057650"/>
            <wp:effectExtent l="0" t="0" r="444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5805805" cy="4057650"/>
                    </a:xfrm>
                    <a:prstGeom prst="rect">
                      <a:avLst/>
                    </a:prstGeom>
                    <a:noFill/>
                  </pic:spPr>
                </pic:pic>
              </a:graphicData>
            </a:graphic>
          </wp:inline>
        </w:drawing>
      </w:r>
    </w:p>
    <w:p>
      <w:pPr>
        <w:adjustRightInd w:val="0"/>
        <w:spacing w:line="500" w:lineRule="exact"/>
        <w:ind w:firstLine="422" w:firstLineChars="200"/>
        <w:jc w:val="center"/>
        <w:rPr>
          <w:rFonts w:ascii="Times New Roman" w:hAnsi="Times New Roman"/>
          <w:b/>
          <w:bCs/>
        </w:rPr>
      </w:pPr>
      <w:r>
        <w:rPr>
          <w:rFonts w:ascii="Times New Roman" w:hAnsi="Times New Roman"/>
          <w:b/>
          <w:bCs/>
        </w:rPr>
        <w:t>图5.2-6 噪声预测等值线图</w:t>
      </w:r>
    </w:p>
    <w:bookmarkEnd w:id="1166"/>
    <w:bookmarkEnd w:id="1167"/>
    <w:bookmarkEnd w:id="1168"/>
    <w:bookmarkEnd w:id="1169"/>
    <w:bookmarkEnd w:id="1170"/>
    <w:bookmarkEnd w:id="1171"/>
    <w:bookmarkEnd w:id="1172"/>
    <w:bookmarkEnd w:id="1173"/>
    <w:bookmarkEnd w:id="1174"/>
    <w:bookmarkEnd w:id="1175"/>
    <w:p>
      <w:pPr>
        <w:pStyle w:val="4"/>
        <w:spacing w:before="120" w:beforeLines="50" w:after="120" w:afterLines="50" w:line="480" w:lineRule="exact"/>
        <w:rPr>
          <w:rFonts w:ascii="Times New Roman" w:hAnsi="Times New Roman" w:eastAsia="黑体"/>
          <w:bCs/>
          <w:sz w:val="28"/>
          <w:szCs w:val="28"/>
        </w:rPr>
      </w:pPr>
      <w:bookmarkStart w:id="1177" w:name="_Toc530655996"/>
      <w:bookmarkStart w:id="1178" w:name="_Toc480983912"/>
      <w:bookmarkStart w:id="1179" w:name="_Toc535348503"/>
      <w:bookmarkStart w:id="1180" w:name="_Toc482020694"/>
      <w:bookmarkStart w:id="1181" w:name="_Toc497228863"/>
      <w:bookmarkStart w:id="1182" w:name="_Toc486970415"/>
      <w:bookmarkStart w:id="1183" w:name="_Toc535168949"/>
      <w:bookmarkStart w:id="1184" w:name="_Toc480190531"/>
      <w:bookmarkStart w:id="1185" w:name="_Toc534537663"/>
      <w:bookmarkStart w:id="1186" w:name="_Toc487111533"/>
      <w:bookmarkStart w:id="1187" w:name="_Toc406572547"/>
      <w:bookmarkStart w:id="1188" w:name="_Toc9843839"/>
      <w:bookmarkStart w:id="1189" w:name="_Toc532556645"/>
      <w:bookmarkStart w:id="1190" w:name="_Toc527205761"/>
      <w:bookmarkStart w:id="1191" w:name="_Toc26188057"/>
      <w:bookmarkStart w:id="1192" w:name="_Toc10714"/>
      <w:bookmarkStart w:id="1193" w:name="_Toc27134330"/>
      <w:bookmarkStart w:id="1194" w:name="_Toc22154"/>
      <w:bookmarkStart w:id="1195" w:name="_Toc5834"/>
      <w:bookmarkStart w:id="1196" w:name="_Toc26533"/>
      <w:bookmarkStart w:id="1197" w:name="_Toc21847"/>
      <w:r>
        <w:rPr>
          <w:rFonts w:ascii="Times New Roman" w:hAnsi="Times New Roman" w:eastAsia="黑体"/>
          <w:bCs/>
          <w:sz w:val="28"/>
          <w:szCs w:val="28"/>
        </w:rPr>
        <w:t>运营期固体废物环境影响</w:t>
      </w:r>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r>
        <w:rPr>
          <w:rFonts w:ascii="Times New Roman" w:hAnsi="Times New Roman" w:eastAsia="黑体"/>
          <w:bCs/>
          <w:sz w:val="28"/>
          <w:szCs w:val="28"/>
        </w:rPr>
        <w:t>评价</w:t>
      </w:r>
      <w:bookmarkEnd w:id="1191"/>
      <w:bookmarkEnd w:id="1192"/>
      <w:bookmarkEnd w:id="1193"/>
      <w:bookmarkEnd w:id="1194"/>
      <w:bookmarkEnd w:id="1195"/>
      <w:bookmarkEnd w:id="1196"/>
      <w:bookmarkEnd w:id="1197"/>
    </w:p>
    <w:p>
      <w:pPr>
        <w:adjustRightInd w:val="0"/>
        <w:snapToGrid w:val="0"/>
        <w:spacing w:line="520" w:lineRule="exact"/>
        <w:textAlignment w:val="center"/>
        <w:rPr>
          <w:rFonts w:ascii="Times New Roman" w:hAnsi="Times New Roman" w:eastAsia="黑体"/>
          <w:sz w:val="24"/>
        </w:rPr>
      </w:pPr>
      <w:bookmarkStart w:id="1198" w:name="_Toc30515"/>
      <w:bookmarkStart w:id="1199" w:name="_Toc18838"/>
      <w:bookmarkStart w:id="1200" w:name="_Toc22652"/>
      <w:bookmarkStart w:id="1201" w:name="_Toc29679"/>
      <w:bookmarkStart w:id="1202" w:name="_Toc27134331"/>
      <w:bookmarkStart w:id="1203" w:name="_Toc10452"/>
      <w:bookmarkStart w:id="1204" w:name="_Toc26188058"/>
      <w:r>
        <w:rPr>
          <w:rFonts w:ascii="Times New Roman" w:hAnsi="Times New Roman" w:eastAsia="黑体"/>
          <w:sz w:val="24"/>
        </w:rPr>
        <w:t>5</w:t>
      </w:r>
      <w:r>
        <w:rPr>
          <w:rFonts w:hint="eastAsia" w:ascii="Times New Roman" w:hAnsi="Times New Roman" w:eastAsia="黑体"/>
          <w:sz w:val="24"/>
        </w:rPr>
        <w:t>.2.5.1 固废处置环境影响分析</w:t>
      </w:r>
    </w:p>
    <w:p>
      <w:pPr>
        <w:adjustRightInd w:val="0"/>
        <w:snapToGrid w:val="0"/>
        <w:spacing w:line="520" w:lineRule="exact"/>
        <w:ind w:firstLine="480" w:firstLineChars="200"/>
        <w:rPr>
          <w:rFonts w:ascii="Times New Roman" w:hAnsi="Times New Roman"/>
          <w:kern w:val="2"/>
          <w:sz w:val="24"/>
          <w:szCs w:val="24"/>
        </w:rPr>
      </w:pPr>
      <w:r>
        <w:rPr>
          <w:rFonts w:hint="eastAsia" w:ascii="Times New Roman" w:hAnsi="Times New Roman"/>
          <w:kern w:val="2"/>
          <w:sz w:val="24"/>
          <w:szCs w:val="24"/>
        </w:rPr>
        <w:t>本项目改扩建工程固体废物包括医疗废物消毒破碎处理后的破碎废渣、废导热油、废活性炭和污水处理间污泥、栅渣。</w:t>
      </w:r>
    </w:p>
    <w:p>
      <w:pPr>
        <w:adjustRightInd w:val="0"/>
        <w:snapToGrid w:val="0"/>
        <w:spacing w:line="520" w:lineRule="exact"/>
        <w:ind w:firstLine="480" w:firstLineChars="200"/>
        <w:rPr>
          <w:rFonts w:ascii="Times New Roman" w:hAnsi="Times New Roman"/>
          <w:kern w:val="2"/>
          <w:sz w:val="24"/>
          <w:szCs w:val="24"/>
        </w:rPr>
      </w:pPr>
      <w:r>
        <w:rPr>
          <w:rFonts w:hint="eastAsia" w:ascii="Times New Roman" w:hAnsi="Times New Roman"/>
          <w:kern w:val="2"/>
          <w:sz w:val="24"/>
          <w:szCs w:val="24"/>
        </w:rPr>
        <w:t>（</w:t>
      </w:r>
      <w:r>
        <w:rPr>
          <w:rFonts w:ascii="Times New Roman" w:hAnsi="Times New Roman"/>
          <w:kern w:val="2"/>
          <w:sz w:val="24"/>
          <w:szCs w:val="24"/>
        </w:rPr>
        <w:t>1）医疗废物消毒破碎处理后的破碎废渣</w:t>
      </w:r>
    </w:p>
    <w:p>
      <w:pPr>
        <w:adjustRightInd w:val="0"/>
        <w:snapToGrid w:val="0"/>
        <w:spacing w:line="520" w:lineRule="exact"/>
        <w:ind w:firstLine="480" w:firstLineChars="200"/>
        <w:rPr>
          <w:rFonts w:ascii="Times New Roman" w:hAnsi="Times New Roman"/>
          <w:kern w:val="2"/>
          <w:sz w:val="24"/>
          <w:szCs w:val="24"/>
        </w:rPr>
      </w:pPr>
      <w:r>
        <w:rPr>
          <w:rFonts w:hint="eastAsia" w:ascii="Times New Roman" w:hAnsi="Times New Roman"/>
          <w:kern w:val="2"/>
          <w:sz w:val="24"/>
          <w:szCs w:val="24"/>
        </w:rPr>
        <w:t>根据物料平衡分析，医疗废物破碎处理后的破碎废渣产生量为</w:t>
      </w:r>
      <w:r>
        <w:rPr>
          <w:rFonts w:ascii="Times New Roman" w:hAnsi="Times New Roman"/>
          <w:kern w:val="2"/>
          <w:sz w:val="24"/>
          <w:szCs w:val="24"/>
        </w:rPr>
        <w:t>6.4t/d，运送至厂址东侧双鸭山市生活垃圾填埋场处理。</w:t>
      </w:r>
    </w:p>
    <w:p>
      <w:pPr>
        <w:adjustRightInd w:val="0"/>
        <w:snapToGrid w:val="0"/>
        <w:spacing w:line="520" w:lineRule="exact"/>
        <w:ind w:firstLine="480" w:firstLineChars="200"/>
        <w:rPr>
          <w:rFonts w:ascii="Times New Roman" w:hAnsi="Times New Roman"/>
          <w:kern w:val="2"/>
          <w:sz w:val="24"/>
          <w:szCs w:val="24"/>
        </w:rPr>
      </w:pPr>
      <w:r>
        <w:rPr>
          <w:rFonts w:hint="eastAsia" w:ascii="Times New Roman" w:hAnsi="Times New Roman"/>
          <w:kern w:val="2"/>
          <w:sz w:val="24"/>
          <w:szCs w:val="24"/>
        </w:rPr>
        <w:t>（</w:t>
      </w:r>
      <w:r>
        <w:rPr>
          <w:rFonts w:ascii="Times New Roman" w:hAnsi="Times New Roman"/>
          <w:kern w:val="2"/>
          <w:sz w:val="24"/>
          <w:szCs w:val="24"/>
        </w:rPr>
        <w:t>2）废活性炭、污泥和栅渣</w:t>
      </w:r>
    </w:p>
    <w:p>
      <w:pPr>
        <w:adjustRightInd w:val="0"/>
        <w:snapToGrid w:val="0"/>
        <w:spacing w:line="520" w:lineRule="exact"/>
        <w:ind w:firstLine="480" w:firstLineChars="200"/>
        <w:rPr>
          <w:rFonts w:ascii="Times New Roman" w:hAnsi="Times New Roman"/>
          <w:kern w:val="2"/>
          <w:sz w:val="24"/>
          <w:szCs w:val="24"/>
        </w:rPr>
      </w:pPr>
      <w:r>
        <w:rPr>
          <w:rFonts w:hint="eastAsia" w:ascii="Times New Roman" w:hAnsi="Times New Roman"/>
          <w:kern w:val="2"/>
          <w:sz w:val="24"/>
          <w:szCs w:val="24"/>
        </w:rPr>
        <w:t>本项目废活性炭属于危险废物编号</w:t>
      </w:r>
      <w:r>
        <w:rPr>
          <w:rFonts w:ascii="Times New Roman" w:hAnsi="Times New Roman"/>
          <w:kern w:val="2"/>
          <w:sz w:val="24"/>
          <w:szCs w:val="24"/>
        </w:rPr>
        <w:t>HW49其他废物-非特定行业-900-041-49含有或沾染毒性、感染性危险废物的废弃包装物、容器、过滤吸附介质，根据企业提供的资料，单套装置每半年更换1次，产生量约为9kg/a。本项目污水处理间污泥属于危险废物编号HW01医疗废物-卫生-841-001-01感染性废物，根据企业提供的资料，单套污水处理装置污泥产生量约为0.1t/a，栅渣产生量为0.1t/a。项目废活性炭和污水处理间污泥暂存于危险废物暂存间（占地面积10m</w:t>
      </w:r>
      <w:r>
        <w:rPr>
          <w:rFonts w:ascii="Times New Roman" w:hAnsi="Times New Roman"/>
          <w:kern w:val="2"/>
          <w:sz w:val="24"/>
          <w:szCs w:val="24"/>
          <w:vertAlign w:val="superscript"/>
        </w:rPr>
        <w:t>2</w:t>
      </w:r>
      <w:r>
        <w:rPr>
          <w:rFonts w:ascii="Times New Roman" w:hAnsi="Times New Roman"/>
          <w:kern w:val="2"/>
          <w:sz w:val="24"/>
          <w:szCs w:val="24"/>
        </w:rPr>
        <w:t>），污泥由厂区内危废暂存间暂存后和废活性炭更换后直接交</w:t>
      </w:r>
      <w:r>
        <w:rPr>
          <w:rFonts w:hint="eastAsia" w:ascii="Times New Roman" w:hAnsi="Times New Roman"/>
          <w:kern w:val="2"/>
          <w:sz w:val="24"/>
          <w:szCs w:val="24"/>
        </w:rPr>
        <w:t>由黑龙江京盛华环保科技有限公司处置。栅渣经石灰消毒后在危险废物暂存间内存，交由黑龙江京盛华环保科技有限公司处置。</w:t>
      </w:r>
    </w:p>
    <w:p>
      <w:pPr>
        <w:adjustRightInd w:val="0"/>
        <w:snapToGrid w:val="0"/>
        <w:spacing w:line="520" w:lineRule="exact"/>
        <w:ind w:firstLine="480" w:firstLineChars="200"/>
        <w:rPr>
          <w:rFonts w:ascii="Times New Roman" w:hAnsi="Times New Roman"/>
          <w:kern w:val="2"/>
          <w:sz w:val="24"/>
          <w:szCs w:val="24"/>
        </w:rPr>
      </w:pPr>
      <w:r>
        <w:rPr>
          <w:rFonts w:hint="eastAsia" w:ascii="Times New Roman" w:hAnsi="Times New Roman"/>
          <w:kern w:val="2"/>
          <w:sz w:val="24"/>
          <w:szCs w:val="24"/>
        </w:rPr>
        <w:t>（</w:t>
      </w:r>
      <w:r>
        <w:rPr>
          <w:rFonts w:ascii="Times New Roman" w:hAnsi="Times New Roman"/>
          <w:kern w:val="2"/>
          <w:sz w:val="24"/>
          <w:szCs w:val="24"/>
        </w:rPr>
        <w:t>3）废导热油</w:t>
      </w:r>
    </w:p>
    <w:p>
      <w:pPr>
        <w:adjustRightInd w:val="0"/>
        <w:snapToGrid w:val="0"/>
        <w:spacing w:line="520" w:lineRule="exact"/>
        <w:ind w:firstLine="480" w:firstLineChars="200"/>
        <w:rPr>
          <w:rFonts w:ascii="Times New Roman" w:hAnsi="Times New Roman"/>
          <w:kern w:val="2"/>
          <w:sz w:val="24"/>
          <w:szCs w:val="24"/>
        </w:rPr>
      </w:pPr>
      <w:r>
        <w:rPr>
          <w:rFonts w:hint="eastAsia" w:ascii="Times New Roman" w:hAnsi="Times New Roman"/>
          <w:kern w:val="2"/>
          <w:sz w:val="24"/>
          <w:szCs w:val="24"/>
        </w:rPr>
        <w:t>废导热油危险废物编号为</w:t>
      </w:r>
      <w:r>
        <w:rPr>
          <w:rFonts w:ascii="Times New Roman" w:hAnsi="Times New Roman"/>
          <w:kern w:val="2"/>
          <w:sz w:val="24"/>
          <w:szCs w:val="24"/>
        </w:rPr>
        <w:t>HW10-900-010-10。根据企业提供资料，废导热油主要成分为十二烷基苯， 报废指标每一年测试一次。当粘度变化大于±20%；闪点变化大于±15%；酸值大于0.5mgKOH/g；残炭大于1.5W%；其综合评判指数大于80时，可进行换油。 报告报废周期暂按1年计，此外导热油在使用过程中的消耗率较低，故忽略不计。综上，废导热油产生量为240L/a，由厂区内危废暂存间暂存后及时送往黑龙江京盛华环保科技有限公司进行处理。</w:t>
      </w:r>
    </w:p>
    <w:p>
      <w:pPr>
        <w:adjustRightInd w:val="0"/>
        <w:snapToGrid w:val="0"/>
        <w:spacing w:line="520" w:lineRule="exact"/>
        <w:ind w:firstLine="480" w:firstLineChars="200"/>
        <w:rPr>
          <w:rFonts w:ascii="Times New Roman" w:hAnsi="Times New Roman"/>
          <w:kern w:val="2"/>
          <w:sz w:val="24"/>
          <w:szCs w:val="24"/>
        </w:rPr>
      </w:pPr>
      <w:r>
        <w:rPr>
          <w:rFonts w:hint="eastAsia" w:ascii="Times New Roman" w:hAnsi="Times New Roman"/>
          <w:kern w:val="2"/>
          <w:sz w:val="24"/>
          <w:szCs w:val="24"/>
        </w:rPr>
        <w:t>采取上述措施，本项目运营期产生的固体废物均得到妥善处理，基本不会对周围环境造成不利影响。</w:t>
      </w:r>
    </w:p>
    <w:p>
      <w:pPr>
        <w:adjustRightInd w:val="0"/>
        <w:snapToGrid w:val="0"/>
        <w:spacing w:line="520" w:lineRule="exact"/>
        <w:textAlignment w:val="center"/>
        <w:rPr>
          <w:rFonts w:ascii="Times New Roman" w:hAnsi="Times New Roman" w:eastAsia="黑体"/>
          <w:sz w:val="24"/>
        </w:rPr>
      </w:pPr>
      <w:r>
        <w:rPr>
          <w:rFonts w:ascii="Times New Roman" w:hAnsi="Times New Roman" w:eastAsia="黑体"/>
          <w:sz w:val="24"/>
        </w:rPr>
        <w:t>5</w:t>
      </w:r>
      <w:r>
        <w:rPr>
          <w:rFonts w:hint="eastAsia" w:ascii="Times New Roman" w:hAnsi="Times New Roman" w:eastAsia="黑体"/>
          <w:sz w:val="24"/>
        </w:rPr>
        <w:t>.2.5.2 危险废物储存、运输环境影响分析</w:t>
      </w:r>
    </w:p>
    <w:p>
      <w:pPr>
        <w:adjustRightInd w:val="0"/>
        <w:snapToGrid w:val="0"/>
        <w:spacing w:line="520" w:lineRule="exact"/>
        <w:ind w:firstLine="480" w:firstLineChars="200"/>
        <w:rPr>
          <w:rFonts w:ascii="Times New Roman" w:hAnsi="Times New Roman"/>
          <w:kern w:val="2"/>
          <w:sz w:val="24"/>
          <w:szCs w:val="24"/>
        </w:rPr>
      </w:pPr>
      <w:r>
        <w:rPr>
          <w:rFonts w:hint="eastAsia" w:ascii="Times New Roman" w:hAnsi="Times New Roman"/>
          <w:kern w:val="2"/>
          <w:sz w:val="24"/>
          <w:szCs w:val="24"/>
        </w:rPr>
        <w:t>（1）储存</w:t>
      </w:r>
    </w:p>
    <w:p>
      <w:pPr>
        <w:adjustRightInd w:val="0"/>
        <w:snapToGrid w:val="0"/>
        <w:spacing w:line="520" w:lineRule="exact"/>
        <w:ind w:firstLine="480" w:firstLineChars="200"/>
        <w:rPr>
          <w:rFonts w:ascii="Times New Roman" w:hAnsi="Times New Roman"/>
          <w:kern w:val="2"/>
          <w:sz w:val="24"/>
          <w:szCs w:val="24"/>
        </w:rPr>
      </w:pPr>
      <w:r>
        <w:rPr>
          <w:rFonts w:hint="eastAsia" w:ascii="Times New Roman" w:hAnsi="Times New Roman"/>
          <w:kern w:val="2"/>
          <w:sz w:val="24"/>
          <w:szCs w:val="24"/>
        </w:rPr>
        <w:t>企业现有1座危废暂存间，建筑面积分别为</w:t>
      </w:r>
      <w:r>
        <w:rPr>
          <w:rFonts w:ascii="Times New Roman" w:hAnsi="Times New Roman"/>
          <w:kern w:val="2"/>
          <w:sz w:val="24"/>
          <w:szCs w:val="24"/>
        </w:rPr>
        <w:t>10</w:t>
      </w:r>
      <w:r>
        <w:rPr>
          <w:rFonts w:hint="eastAsia" w:ascii="Times New Roman" w:hAnsi="Times New Roman"/>
          <w:kern w:val="2"/>
          <w:sz w:val="24"/>
          <w:szCs w:val="24"/>
        </w:rPr>
        <w:t>m</w:t>
      </w:r>
      <w:r>
        <w:rPr>
          <w:rFonts w:hint="eastAsia" w:ascii="Times New Roman" w:hAnsi="Times New Roman"/>
          <w:kern w:val="2"/>
          <w:sz w:val="24"/>
          <w:szCs w:val="24"/>
          <w:vertAlign w:val="superscript"/>
        </w:rPr>
        <w:t>2</w:t>
      </w:r>
      <w:r>
        <w:rPr>
          <w:rFonts w:hint="eastAsia" w:ascii="Times New Roman" w:hAnsi="Times New Roman"/>
          <w:kern w:val="2"/>
          <w:sz w:val="24"/>
          <w:szCs w:val="24"/>
        </w:rPr>
        <w:t>，位于配套用房内，设置警示标志，远离生产和办公区，便于危险废物的储存和运输。随着危险废物日产量增多，需提高转运频次，全厂满负荷运行情况下，企业应做到1-2d委托有资质单位转运危险废物。</w:t>
      </w:r>
    </w:p>
    <w:p>
      <w:pPr>
        <w:adjustRightInd w:val="0"/>
        <w:snapToGrid w:val="0"/>
        <w:spacing w:line="520" w:lineRule="exact"/>
        <w:ind w:firstLine="480" w:firstLineChars="200"/>
        <w:rPr>
          <w:rFonts w:ascii="Times New Roman" w:hAnsi="Times New Roman"/>
          <w:kern w:val="2"/>
          <w:sz w:val="24"/>
          <w:szCs w:val="24"/>
        </w:rPr>
      </w:pPr>
      <w:r>
        <w:rPr>
          <w:rFonts w:hint="eastAsia" w:ascii="Times New Roman" w:hAnsi="Times New Roman"/>
          <w:kern w:val="2"/>
          <w:sz w:val="24"/>
          <w:szCs w:val="24"/>
        </w:rPr>
        <w:t>危险废物</w:t>
      </w:r>
      <w:bookmarkStart w:id="1205" w:name="_Hlk114065063"/>
      <w:r>
        <w:rPr>
          <w:rFonts w:hint="eastAsia" w:ascii="Times New Roman" w:hAnsi="Times New Roman"/>
          <w:kern w:val="2"/>
          <w:sz w:val="24"/>
          <w:szCs w:val="24"/>
        </w:rPr>
        <w:t>严格按照《危险废物贮存污染控制标准》（GB18597-2001）（2013年修订）要求进行设计，防风、防雨、防晒，基础防渗，</w:t>
      </w:r>
      <w:bookmarkEnd w:id="1205"/>
      <w:r>
        <w:rPr>
          <w:rFonts w:hint="eastAsia" w:ascii="Times New Roman" w:hAnsi="Times New Roman"/>
          <w:kern w:val="2"/>
          <w:sz w:val="24"/>
          <w:szCs w:val="24"/>
        </w:rPr>
        <w:t>并已通过竣工环境保护验收；本项目危险废物均为固体，不挥发、不水解且互不相容，</w:t>
      </w:r>
      <w:bookmarkStart w:id="1206" w:name="_Hlk114065980"/>
      <w:r>
        <w:rPr>
          <w:rFonts w:hint="eastAsia" w:ascii="Times New Roman" w:hAnsi="Times New Roman"/>
          <w:kern w:val="2"/>
          <w:sz w:val="24"/>
          <w:szCs w:val="24"/>
        </w:rPr>
        <w:t>采用的危</w:t>
      </w:r>
      <w:r>
        <w:rPr>
          <w:rFonts w:ascii="Times New Roman" w:hAnsi="Times New Roman"/>
          <w:kern w:val="2"/>
          <w:sz w:val="24"/>
          <w:szCs w:val="24"/>
        </w:rPr>
        <w:t>险废物贮存容器</w:t>
      </w:r>
      <w:r>
        <w:rPr>
          <w:rFonts w:hint="eastAsia" w:ascii="Times New Roman" w:hAnsi="Times New Roman"/>
          <w:kern w:val="2"/>
          <w:sz w:val="24"/>
          <w:szCs w:val="24"/>
        </w:rPr>
        <w:t>亦满足《危险废物贮存污染控制标准》（GB18597-2001）（2013年修订）中的相关要求</w:t>
      </w:r>
      <w:bookmarkEnd w:id="1206"/>
      <w:r>
        <w:rPr>
          <w:rFonts w:hint="eastAsia" w:ascii="Times New Roman" w:hAnsi="Times New Roman"/>
          <w:kern w:val="2"/>
          <w:sz w:val="24"/>
          <w:szCs w:val="24"/>
        </w:rPr>
        <w:t>；因此，本项目危险物储存基本不会对周围环境空气、地下水环境和土壤环境造成不利影响，可被环境接受。</w:t>
      </w:r>
    </w:p>
    <w:p>
      <w:pPr>
        <w:pStyle w:val="538"/>
        <w:adjustRightInd w:val="0"/>
        <w:snapToGrid w:val="0"/>
        <w:spacing w:line="520" w:lineRule="exact"/>
        <w:ind w:left="284" w:firstLine="0" w:firstLineChars="0"/>
        <w:rPr>
          <w:rFonts w:ascii="仿宋_GB2312" w:eastAsia="仿宋_GB2312"/>
          <w:bCs/>
          <w:sz w:val="28"/>
        </w:rPr>
      </w:pPr>
      <w:r>
        <w:rPr>
          <w:rFonts w:hint="eastAsia" w:ascii="仿宋_GB2312" w:eastAsia="仿宋_GB2312"/>
          <w:bCs/>
          <w:sz w:val="28"/>
        </w:rPr>
        <w:t>（2）运输</w:t>
      </w:r>
    </w:p>
    <w:p>
      <w:pPr>
        <w:adjustRightInd w:val="0"/>
        <w:snapToGrid w:val="0"/>
        <w:spacing w:line="520" w:lineRule="exact"/>
        <w:ind w:firstLine="480" w:firstLineChars="200"/>
        <w:rPr>
          <w:rFonts w:ascii="Times New Roman" w:hAnsi="Times New Roman"/>
          <w:kern w:val="2"/>
          <w:sz w:val="24"/>
          <w:szCs w:val="24"/>
        </w:rPr>
      </w:pPr>
      <w:r>
        <w:rPr>
          <w:rFonts w:hint="eastAsia" w:ascii="Times New Roman" w:hAnsi="Times New Roman"/>
          <w:kern w:val="2"/>
          <w:sz w:val="24"/>
          <w:szCs w:val="24"/>
        </w:rPr>
        <w:t>危险废物内部转运参照《危险废物收集、贮存、运输技术规范》（HJ2025-2012）附录B填写《危险废物厂内转运记录表》，用专门车辆将危险废物运输至危废暂存间，车辆外部需有警示标志，避免在上班、下班、午休等人流较多的时段运输。危险废物内部转运结束后，应对转运路线进行检查和清理，确保无危险废物遗失在转运路线上，并对转运工具进行清洗。本项目项目危险废物场外运输采用转移联单制度，委托有资质单位进行运输。</w:t>
      </w:r>
    </w:p>
    <w:p>
      <w:pPr>
        <w:adjustRightInd w:val="0"/>
        <w:snapToGrid w:val="0"/>
        <w:spacing w:line="520" w:lineRule="exact"/>
        <w:ind w:firstLine="480" w:firstLineChars="200"/>
        <w:rPr>
          <w:rFonts w:ascii="Times New Roman" w:hAnsi="Times New Roman"/>
          <w:kern w:val="2"/>
          <w:sz w:val="24"/>
          <w:szCs w:val="24"/>
        </w:rPr>
      </w:pPr>
      <w:r>
        <w:rPr>
          <w:rFonts w:hint="eastAsia" w:ascii="Times New Roman" w:hAnsi="Times New Roman"/>
          <w:kern w:val="2"/>
          <w:sz w:val="24"/>
          <w:szCs w:val="24"/>
        </w:rPr>
        <w:t>因此，本项目危险物运输基本不会对周围环境造成不利影响，可被环境接受。</w:t>
      </w:r>
    </w:p>
    <w:p>
      <w:pPr>
        <w:adjustRightInd w:val="0"/>
        <w:snapToGrid w:val="0"/>
        <w:spacing w:line="520" w:lineRule="exact"/>
        <w:textAlignment w:val="center"/>
        <w:rPr>
          <w:rFonts w:ascii="Times New Roman" w:hAnsi="Times New Roman" w:eastAsia="黑体"/>
          <w:sz w:val="24"/>
        </w:rPr>
      </w:pPr>
      <w:r>
        <w:rPr>
          <w:rFonts w:ascii="Times New Roman" w:hAnsi="Times New Roman" w:eastAsia="黑体"/>
          <w:sz w:val="24"/>
        </w:rPr>
        <w:t>5</w:t>
      </w:r>
      <w:r>
        <w:rPr>
          <w:rFonts w:hint="eastAsia" w:ascii="Times New Roman" w:hAnsi="Times New Roman" w:eastAsia="黑体"/>
          <w:sz w:val="24"/>
        </w:rPr>
        <w:t>.5.2.3 危险废物委托处置的环境影响分析</w:t>
      </w:r>
    </w:p>
    <w:p>
      <w:pPr>
        <w:pStyle w:val="567"/>
        <w:spacing w:before="0" w:after="0" w:line="480" w:lineRule="exact"/>
        <w:ind w:firstLine="480" w:firstLineChars="200"/>
        <w:rPr>
          <w:rFonts w:cs="Times New Roman"/>
          <w:szCs w:val="24"/>
        </w:rPr>
      </w:pPr>
      <w:r>
        <w:rPr>
          <w:rFonts w:hint="eastAsia" w:cs="Times New Roman"/>
          <w:szCs w:val="24"/>
        </w:rPr>
        <w:t>危险污染物委托处理可行性：黑龙江京盛华环保科技有限公司与北京万邦达环保技术股份有限公司共司投资建设的黑龙江危险废物集中处置与资源化再生利用中心，是集危险废物无害化、减量化与可再生资源综合利用为一体的新型环保产业。项目位于黑龙江省安达市哈大齐工业走廊化工园区，占地面积27万m2，总投资6.5亿元，分二期建设，其中一期项目投资4.2亿元，二期计划投资2.3亿元。一期工程于2019年7月建设完成并投入运行，其危险废物处置单元建设规模为：焚烧2.1万t/a(含医废焚烧)；物化处理废酸3000t/a、废碱2800t/a、废乳化液500t/a、氰化物300t/a、金属表面处理及热处理加工废液300t/a；安全填埋12.7万t/a；医废蒸煮3300t/a。二期工程预计在2021年投入运行，其中，新建3万t/a焚烧系统、危险废物包装桶清洗回收系统50万只/a、废矿物油类回收处置利用6万t/a、废催化剂活化再生利用2万t/a、废有机溶剂回收处置利用1.2t/a。项目建成后可处置的危废种类有：HW01-HW09、HW11-HW40、HW15（267-001-15、267-002-15、267-003-15、900-081-15）、HW16-HW28、HW30-HW37、HW38-HW40、HW45-HW48、HW49-HW50，总计可处置45大类危险废物。危险废物经营许可证编号2312810009，排污许可证编号91231281MA19EBLQXY001V。</w:t>
      </w:r>
    </w:p>
    <w:p>
      <w:pPr>
        <w:pStyle w:val="4"/>
        <w:spacing w:before="120" w:beforeLines="50" w:after="120" w:afterLines="50" w:line="480" w:lineRule="exact"/>
        <w:rPr>
          <w:rFonts w:ascii="Times New Roman" w:hAnsi="Times New Roman" w:eastAsia="黑体"/>
          <w:bCs/>
          <w:sz w:val="28"/>
          <w:szCs w:val="28"/>
        </w:rPr>
      </w:pPr>
      <w:r>
        <w:rPr>
          <w:rFonts w:ascii="Times New Roman" w:hAnsi="Times New Roman" w:eastAsia="黑体"/>
          <w:bCs/>
          <w:sz w:val="28"/>
          <w:szCs w:val="28"/>
        </w:rPr>
        <w:t>运营期土壤环境影响评价</w:t>
      </w:r>
      <w:bookmarkEnd w:id="1198"/>
      <w:bookmarkEnd w:id="1199"/>
      <w:bookmarkEnd w:id="1200"/>
      <w:bookmarkEnd w:id="1201"/>
      <w:bookmarkEnd w:id="1202"/>
      <w:bookmarkEnd w:id="1203"/>
      <w:bookmarkEnd w:id="1204"/>
    </w:p>
    <w:p>
      <w:pPr>
        <w:widowControl/>
        <w:spacing w:line="480" w:lineRule="exact"/>
        <w:outlineLvl w:val="3"/>
        <w:rPr>
          <w:rFonts w:ascii="Times New Roman" w:hAnsi="Times New Roman" w:eastAsia="黑体"/>
          <w:sz w:val="24"/>
        </w:rPr>
      </w:pPr>
      <w:r>
        <w:rPr>
          <w:rFonts w:ascii="Times New Roman" w:hAnsi="Times New Roman" w:eastAsia="黑体"/>
          <w:sz w:val="24"/>
        </w:rPr>
        <w:t>5.2.6.1.污染因子</w:t>
      </w:r>
    </w:p>
    <w:p>
      <w:pPr>
        <w:pStyle w:val="567"/>
        <w:spacing w:before="0" w:after="0" w:line="480" w:lineRule="exact"/>
        <w:ind w:firstLine="480" w:firstLineChars="200"/>
        <w:rPr>
          <w:rFonts w:cs="Times New Roman"/>
          <w:szCs w:val="24"/>
        </w:rPr>
      </w:pPr>
      <w:bookmarkStart w:id="1207" w:name="_Hlk115186312"/>
      <w:r>
        <w:rPr>
          <w:rFonts w:cs="Times New Roman"/>
          <w:szCs w:val="24"/>
        </w:rPr>
        <w:t>本项目对土壤的影响主要为高温干热过程产生的废水未及时收集、地面未及时清洗而造成的垂直入渗对土壤影响；医疗废物储存过程中出现泄漏造成的垂直入渗对土壤影响。</w:t>
      </w:r>
    </w:p>
    <w:bookmarkEnd w:id="1207"/>
    <w:p>
      <w:pPr>
        <w:pStyle w:val="567"/>
        <w:spacing w:before="0" w:after="0" w:line="480" w:lineRule="exact"/>
        <w:ind w:firstLine="480" w:firstLineChars="200"/>
        <w:rPr>
          <w:rFonts w:cs="Times New Roman"/>
          <w:szCs w:val="24"/>
        </w:rPr>
      </w:pPr>
      <w:r>
        <w:rPr>
          <w:rFonts w:cs="Times New Roman"/>
          <w:szCs w:val="24"/>
        </w:rPr>
        <w:t>针对以上土壤污染途径，建设单位应采取以下污染防治措施：</w:t>
      </w:r>
    </w:p>
    <w:p>
      <w:pPr>
        <w:pStyle w:val="567"/>
        <w:spacing w:before="0" w:after="0" w:line="480" w:lineRule="exact"/>
        <w:ind w:firstLine="480" w:firstLineChars="200"/>
        <w:rPr>
          <w:rFonts w:cs="Times New Roman"/>
          <w:szCs w:val="24"/>
        </w:rPr>
      </w:pPr>
      <w:r>
        <w:rPr>
          <w:rFonts w:cs="Times New Roman"/>
          <w:szCs w:val="24"/>
        </w:rPr>
        <w:t>（1）加强环保管理，全厂固废分类收集，储存期间严格按照相应储存要求，设置专用的储存场所。在危险废物的厂内收集运输等过程，注意防止遗撒，发现遗撒及时清理。</w:t>
      </w:r>
    </w:p>
    <w:p>
      <w:pPr>
        <w:pStyle w:val="567"/>
        <w:spacing w:before="0" w:after="0" w:line="480" w:lineRule="exact"/>
        <w:ind w:firstLine="480" w:firstLineChars="200"/>
        <w:rPr>
          <w:rFonts w:cs="Times New Roman"/>
          <w:szCs w:val="24"/>
        </w:rPr>
      </w:pPr>
      <w:r>
        <w:rPr>
          <w:rFonts w:cs="Times New Roman"/>
          <w:szCs w:val="24"/>
        </w:rPr>
        <w:t>（2）项目车间及时清洗，进行相应的防渗处理；医疗废物暂存间（冷库）已按照《危险废物储存污染控制标准》（GB18597-2001）的要求进行设计，本次改扩建将灭菌车间、污水处理间、危险废物暂存间、事故应急池和初期雨水池作为重点防渗区，可减少土壤污染。建设项目土壤环境影响类型与途径见下表。</w:t>
      </w:r>
    </w:p>
    <w:p>
      <w:pPr>
        <w:spacing w:line="480" w:lineRule="exact"/>
        <w:jc w:val="center"/>
        <w:rPr>
          <w:rFonts w:ascii="Times New Roman" w:hAnsi="Times New Roman"/>
          <w:b/>
          <w:snapToGrid w:val="0"/>
        </w:rPr>
      </w:pPr>
      <w:r>
        <w:rPr>
          <w:rFonts w:ascii="Times New Roman" w:hAnsi="Times New Roman"/>
          <w:b/>
          <w:snapToGrid w:val="0"/>
        </w:rPr>
        <w:t>表5.2-11 建设项目土壤环境影响类型与影响途径表</w:t>
      </w:r>
    </w:p>
    <w:tbl>
      <w:tblPr>
        <w:tblStyle w:val="7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04"/>
        <w:gridCol w:w="1706"/>
        <w:gridCol w:w="1706"/>
        <w:gridCol w:w="1706"/>
        <w:gridCol w:w="170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705" w:type="dxa"/>
            <w:vMerge w:val="restart"/>
            <w:tcBorders>
              <w:top w:val="single" w:color="auto" w:sz="12" w:space="0"/>
              <w:left w:val="nil"/>
              <w:right w:val="single" w:color="auto" w:sz="4" w:space="0"/>
            </w:tcBorders>
            <w:vAlign w:val="center"/>
          </w:tcPr>
          <w:p>
            <w:pPr>
              <w:widowControl/>
              <w:spacing w:line="280" w:lineRule="exact"/>
              <w:jc w:val="center"/>
              <w:rPr>
                <w:rFonts w:ascii="Times New Roman" w:hAnsi="Times New Roman"/>
                <w:b/>
                <w:bCs/>
                <w:kern w:val="2"/>
              </w:rPr>
            </w:pPr>
            <w:r>
              <w:rPr>
                <w:rFonts w:ascii="Times New Roman" w:hAnsi="Times New Roman"/>
                <w:b/>
                <w:bCs/>
                <w:kern w:val="2"/>
              </w:rPr>
              <w:t>不同时段</w:t>
            </w:r>
          </w:p>
        </w:tc>
        <w:tc>
          <w:tcPr>
            <w:tcW w:w="6824" w:type="dxa"/>
            <w:gridSpan w:val="4"/>
            <w:tcBorders>
              <w:top w:val="single" w:color="auto" w:sz="12" w:space="0"/>
              <w:left w:val="single" w:color="auto" w:sz="4" w:space="0"/>
              <w:bottom w:val="single" w:color="auto" w:sz="4" w:space="0"/>
              <w:right w:val="nil"/>
            </w:tcBorders>
            <w:vAlign w:val="center"/>
          </w:tcPr>
          <w:p>
            <w:pPr>
              <w:widowControl/>
              <w:spacing w:line="280" w:lineRule="exact"/>
              <w:jc w:val="center"/>
              <w:rPr>
                <w:rFonts w:ascii="Times New Roman" w:hAnsi="Times New Roman"/>
                <w:b/>
                <w:bCs/>
                <w:kern w:val="2"/>
              </w:rPr>
            </w:pPr>
            <w:r>
              <w:rPr>
                <w:rFonts w:ascii="Times New Roman" w:hAnsi="Times New Roman"/>
                <w:b/>
                <w:bCs/>
                <w:kern w:val="2"/>
              </w:rPr>
              <w:t>污染影响型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2" w:hRule="atLeast"/>
          <w:jc w:val="center"/>
        </w:trPr>
        <w:tc>
          <w:tcPr>
            <w:tcW w:w="1705" w:type="dxa"/>
            <w:vMerge w:val="continue"/>
            <w:tcBorders>
              <w:left w:val="nil"/>
              <w:bottom w:val="single" w:color="auto" w:sz="4" w:space="0"/>
              <w:right w:val="single" w:color="auto" w:sz="4" w:space="0"/>
            </w:tcBorders>
            <w:vAlign w:val="center"/>
          </w:tcPr>
          <w:p>
            <w:pPr>
              <w:widowControl/>
              <w:spacing w:line="280" w:lineRule="exact"/>
              <w:jc w:val="center"/>
              <w:rPr>
                <w:rFonts w:ascii="Times New Roman" w:hAnsi="Times New Roman"/>
              </w:rPr>
            </w:pPr>
          </w:p>
        </w:tc>
        <w:tc>
          <w:tcPr>
            <w:tcW w:w="1706" w:type="dxa"/>
            <w:tcBorders>
              <w:top w:val="single" w:color="auto" w:sz="4" w:space="0"/>
              <w:left w:val="single" w:color="auto" w:sz="4" w:space="0"/>
              <w:bottom w:val="single" w:color="auto" w:sz="4" w:space="0"/>
              <w:right w:val="nil"/>
            </w:tcBorders>
            <w:vAlign w:val="center"/>
          </w:tcPr>
          <w:p>
            <w:pPr>
              <w:widowControl/>
              <w:spacing w:line="280" w:lineRule="exact"/>
              <w:jc w:val="center"/>
              <w:rPr>
                <w:rFonts w:ascii="Times New Roman" w:hAnsi="Times New Roman"/>
                <w:b/>
                <w:bCs/>
              </w:rPr>
            </w:pPr>
            <w:r>
              <w:rPr>
                <w:rFonts w:ascii="Times New Roman" w:hAnsi="Times New Roman"/>
                <w:b/>
                <w:bCs/>
              </w:rPr>
              <w:t>大气沉降</w:t>
            </w:r>
          </w:p>
        </w:tc>
        <w:tc>
          <w:tcPr>
            <w:tcW w:w="1706" w:type="dxa"/>
            <w:tcBorders>
              <w:top w:val="single" w:color="auto" w:sz="4" w:space="0"/>
              <w:left w:val="single" w:color="auto" w:sz="4" w:space="0"/>
              <w:bottom w:val="single" w:color="auto" w:sz="4" w:space="0"/>
              <w:right w:val="nil"/>
            </w:tcBorders>
            <w:vAlign w:val="center"/>
          </w:tcPr>
          <w:p>
            <w:pPr>
              <w:widowControl/>
              <w:spacing w:line="280" w:lineRule="exact"/>
              <w:jc w:val="center"/>
              <w:rPr>
                <w:rFonts w:ascii="Times New Roman" w:hAnsi="Times New Roman"/>
                <w:b/>
                <w:bCs/>
              </w:rPr>
            </w:pPr>
            <w:r>
              <w:rPr>
                <w:rFonts w:ascii="Times New Roman" w:hAnsi="Times New Roman"/>
                <w:b/>
                <w:bCs/>
              </w:rPr>
              <w:t>地面漫流</w:t>
            </w:r>
          </w:p>
        </w:tc>
        <w:tc>
          <w:tcPr>
            <w:tcW w:w="1706" w:type="dxa"/>
            <w:tcBorders>
              <w:top w:val="single" w:color="auto" w:sz="4" w:space="0"/>
              <w:left w:val="single" w:color="auto" w:sz="4" w:space="0"/>
              <w:bottom w:val="single" w:color="auto" w:sz="4" w:space="0"/>
              <w:right w:val="nil"/>
            </w:tcBorders>
            <w:vAlign w:val="center"/>
          </w:tcPr>
          <w:p>
            <w:pPr>
              <w:widowControl/>
              <w:spacing w:line="280" w:lineRule="exact"/>
              <w:jc w:val="center"/>
              <w:rPr>
                <w:rFonts w:ascii="Times New Roman" w:hAnsi="Times New Roman"/>
                <w:b/>
                <w:bCs/>
              </w:rPr>
            </w:pPr>
            <w:r>
              <w:rPr>
                <w:rFonts w:ascii="Times New Roman" w:hAnsi="Times New Roman"/>
                <w:b/>
                <w:bCs/>
              </w:rPr>
              <w:t>垂直入渗</w:t>
            </w:r>
          </w:p>
        </w:tc>
        <w:tc>
          <w:tcPr>
            <w:tcW w:w="1706" w:type="dxa"/>
            <w:tcBorders>
              <w:top w:val="single" w:color="auto" w:sz="4" w:space="0"/>
              <w:left w:val="single" w:color="auto" w:sz="4" w:space="0"/>
              <w:bottom w:val="single" w:color="auto" w:sz="4" w:space="0"/>
              <w:right w:val="nil"/>
            </w:tcBorders>
            <w:vAlign w:val="center"/>
          </w:tcPr>
          <w:p>
            <w:pPr>
              <w:widowControl/>
              <w:spacing w:line="280" w:lineRule="exact"/>
              <w:jc w:val="center"/>
              <w:rPr>
                <w:rFonts w:ascii="Times New Roman" w:hAnsi="Times New Roman"/>
                <w:b/>
                <w:bCs/>
              </w:rPr>
            </w:pPr>
            <w:r>
              <w:rPr>
                <w:rFonts w:ascii="Times New Roman" w:hAnsi="Times New Roman"/>
                <w:b/>
                <w:bCs/>
              </w:rPr>
              <w:t>其他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705" w:type="dxa"/>
            <w:tcBorders>
              <w:top w:val="single" w:color="auto" w:sz="4" w:space="0"/>
              <w:left w:val="nil"/>
              <w:bottom w:val="single" w:color="auto" w:sz="4" w:space="0"/>
              <w:right w:val="single" w:color="auto" w:sz="4" w:space="0"/>
            </w:tcBorders>
            <w:vAlign w:val="center"/>
          </w:tcPr>
          <w:p>
            <w:pPr>
              <w:widowControl/>
              <w:spacing w:line="280" w:lineRule="exact"/>
              <w:jc w:val="center"/>
              <w:rPr>
                <w:rFonts w:ascii="Times New Roman" w:hAnsi="Times New Roman"/>
              </w:rPr>
            </w:pPr>
            <w:r>
              <w:rPr>
                <w:rFonts w:ascii="Times New Roman" w:hAnsi="Times New Roman"/>
              </w:rPr>
              <w:t>建设期</w:t>
            </w:r>
          </w:p>
        </w:tc>
        <w:tc>
          <w:tcPr>
            <w:tcW w:w="1706" w:type="dxa"/>
            <w:tcBorders>
              <w:top w:val="single" w:color="auto" w:sz="4" w:space="0"/>
              <w:left w:val="single" w:color="auto" w:sz="4" w:space="0"/>
              <w:bottom w:val="single" w:color="auto" w:sz="4" w:space="0"/>
              <w:right w:val="nil"/>
            </w:tcBorders>
            <w:vAlign w:val="center"/>
          </w:tcPr>
          <w:p>
            <w:pPr>
              <w:widowControl/>
              <w:spacing w:line="280" w:lineRule="exact"/>
              <w:jc w:val="center"/>
              <w:rPr>
                <w:rFonts w:ascii="Times New Roman" w:hAnsi="Times New Roman"/>
              </w:rPr>
            </w:pPr>
            <w:r>
              <w:rPr>
                <w:rFonts w:ascii="Times New Roman" w:hAnsi="Times New Roman"/>
              </w:rPr>
              <w:t>/</w:t>
            </w:r>
          </w:p>
        </w:tc>
        <w:tc>
          <w:tcPr>
            <w:tcW w:w="1706" w:type="dxa"/>
            <w:tcBorders>
              <w:top w:val="single" w:color="auto" w:sz="4" w:space="0"/>
              <w:left w:val="single" w:color="auto" w:sz="4" w:space="0"/>
              <w:bottom w:val="single" w:color="auto" w:sz="4" w:space="0"/>
              <w:right w:val="nil"/>
            </w:tcBorders>
            <w:vAlign w:val="center"/>
          </w:tcPr>
          <w:p>
            <w:pPr>
              <w:widowControl/>
              <w:spacing w:line="280" w:lineRule="exact"/>
              <w:jc w:val="center"/>
              <w:rPr>
                <w:rFonts w:ascii="Times New Roman" w:hAnsi="Times New Roman"/>
              </w:rPr>
            </w:pPr>
            <w:r>
              <w:rPr>
                <w:rFonts w:ascii="Times New Roman" w:hAnsi="Times New Roman"/>
              </w:rPr>
              <w:t>/</w:t>
            </w:r>
          </w:p>
        </w:tc>
        <w:tc>
          <w:tcPr>
            <w:tcW w:w="1706" w:type="dxa"/>
            <w:tcBorders>
              <w:top w:val="single" w:color="auto" w:sz="4" w:space="0"/>
              <w:left w:val="single" w:color="auto" w:sz="4" w:space="0"/>
              <w:bottom w:val="single" w:color="auto" w:sz="4" w:space="0"/>
              <w:right w:val="nil"/>
            </w:tcBorders>
            <w:vAlign w:val="center"/>
          </w:tcPr>
          <w:p>
            <w:pPr>
              <w:widowControl/>
              <w:spacing w:line="280" w:lineRule="exact"/>
              <w:jc w:val="center"/>
              <w:rPr>
                <w:rFonts w:ascii="Times New Roman" w:hAnsi="Times New Roman"/>
              </w:rPr>
            </w:pPr>
            <w:r>
              <w:rPr>
                <w:rFonts w:ascii="Times New Roman" w:hAnsi="Times New Roman"/>
              </w:rPr>
              <w:t>/</w:t>
            </w:r>
          </w:p>
        </w:tc>
        <w:tc>
          <w:tcPr>
            <w:tcW w:w="1706" w:type="dxa"/>
            <w:tcBorders>
              <w:top w:val="single" w:color="auto" w:sz="4" w:space="0"/>
              <w:left w:val="single" w:color="auto" w:sz="4" w:space="0"/>
              <w:bottom w:val="single" w:color="auto" w:sz="4" w:space="0"/>
              <w:right w:val="nil"/>
            </w:tcBorders>
            <w:vAlign w:val="center"/>
          </w:tcPr>
          <w:p>
            <w:pPr>
              <w:widowControl/>
              <w:spacing w:line="280" w:lineRule="exact"/>
              <w:jc w:val="center"/>
              <w:rPr>
                <w:rFonts w:ascii="Times New Roman" w:hAnsi="Times New Roman"/>
              </w:rPr>
            </w:pPr>
            <w:r>
              <w:rPr>
                <w:rFonts w:ascii="Times New Roman" w:hAnsi="Times New Roma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705" w:type="dxa"/>
            <w:tcBorders>
              <w:top w:val="single" w:color="auto" w:sz="4" w:space="0"/>
              <w:left w:val="nil"/>
              <w:bottom w:val="single" w:color="auto" w:sz="12" w:space="0"/>
              <w:right w:val="single" w:color="auto" w:sz="4" w:space="0"/>
            </w:tcBorders>
            <w:vAlign w:val="center"/>
          </w:tcPr>
          <w:p>
            <w:pPr>
              <w:widowControl/>
              <w:spacing w:line="280" w:lineRule="exact"/>
              <w:jc w:val="center"/>
              <w:rPr>
                <w:rFonts w:ascii="Times New Roman" w:hAnsi="Times New Roman"/>
              </w:rPr>
            </w:pPr>
            <w:r>
              <w:rPr>
                <w:rFonts w:ascii="Times New Roman" w:hAnsi="Times New Roman"/>
              </w:rPr>
              <w:t>运营期</w:t>
            </w:r>
          </w:p>
        </w:tc>
        <w:tc>
          <w:tcPr>
            <w:tcW w:w="1706" w:type="dxa"/>
            <w:tcBorders>
              <w:top w:val="single" w:color="auto" w:sz="4" w:space="0"/>
              <w:left w:val="single" w:color="auto" w:sz="4" w:space="0"/>
              <w:bottom w:val="single" w:color="auto" w:sz="12" w:space="0"/>
              <w:right w:val="nil"/>
            </w:tcBorders>
            <w:vAlign w:val="center"/>
          </w:tcPr>
          <w:p>
            <w:pPr>
              <w:widowControl/>
              <w:spacing w:line="280" w:lineRule="exact"/>
              <w:jc w:val="center"/>
              <w:rPr>
                <w:rFonts w:ascii="Times New Roman" w:hAnsi="Times New Roman"/>
              </w:rPr>
            </w:pPr>
            <w:r>
              <w:rPr>
                <w:rFonts w:ascii="Times New Roman" w:hAnsi="Times New Roman"/>
              </w:rPr>
              <w:t>/</w:t>
            </w:r>
          </w:p>
        </w:tc>
        <w:tc>
          <w:tcPr>
            <w:tcW w:w="1706" w:type="dxa"/>
            <w:tcBorders>
              <w:top w:val="single" w:color="auto" w:sz="4" w:space="0"/>
              <w:left w:val="single" w:color="auto" w:sz="4" w:space="0"/>
              <w:bottom w:val="single" w:color="auto" w:sz="12" w:space="0"/>
              <w:right w:val="nil"/>
            </w:tcBorders>
            <w:vAlign w:val="center"/>
          </w:tcPr>
          <w:p>
            <w:pPr>
              <w:widowControl/>
              <w:spacing w:line="280" w:lineRule="exact"/>
              <w:jc w:val="center"/>
              <w:rPr>
                <w:rFonts w:ascii="Times New Roman" w:hAnsi="Times New Roman"/>
              </w:rPr>
            </w:pPr>
            <w:r>
              <w:rPr>
                <w:rFonts w:ascii="Times New Roman" w:hAnsi="Times New Roman"/>
              </w:rPr>
              <w:t>/</w:t>
            </w:r>
          </w:p>
        </w:tc>
        <w:tc>
          <w:tcPr>
            <w:tcW w:w="1706" w:type="dxa"/>
            <w:tcBorders>
              <w:top w:val="single" w:color="auto" w:sz="4" w:space="0"/>
              <w:left w:val="single" w:color="auto" w:sz="4" w:space="0"/>
              <w:bottom w:val="single" w:color="auto" w:sz="12" w:space="0"/>
              <w:right w:val="nil"/>
            </w:tcBorders>
            <w:vAlign w:val="center"/>
          </w:tcPr>
          <w:p>
            <w:pPr>
              <w:widowControl/>
              <w:spacing w:line="280" w:lineRule="exact"/>
              <w:jc w:val="center"/>
              <w:rPr>
                <w:rFonts w:ascii="Times New Roman" w:hAnsi="Times New Roman"/>
              </w:rPr>
            </w:pPr>
            <w:r>
              <w:rPr>
                <w:rFonts w:ascii="Times New Roman" w:hAnsi="Times New Roman"/>
              </w:rPr>
              <w:t>√</w:t>
            </w:r>
          </w:p>
        </w:tc>
        <w:tc>
          <w:tcPr>
            <w:tcW w:w="1706" w:type="dxa"/>
            <w:tcBorders>
              <w:top w:val="single" w:color="auto" w:sz="4" w:space="0"/>
              <w:left w:val="single" w:color="auto" w:sz="4" w:space="0"/>
              <w:bottom w:val="single" w:color="auto" w:sz="12" w:space="0"/>
              <w:right w:val="nil"/>
            </w:tcBorders>
            <w:vAlign w:val="center"/>
          </w:tcPr>
          <w:p>
            <w:pPr>
              <w:widowControl/>
              <w:spacing w:line="280" w:lineRule="exact"/>
              <w:jc w:val="center"/>
              <w:rPr>
                <w:rFonts w:ascii="Times New Roman" w:hAnsi="Times New Roman"/>
              </w:rPr>
            </w:pPr>
            <w:r>
              <w:rPr>
                <w:rFonts w:ascii="Times New Roman" w:hAnsi="Times New Roman"/>
              </w:rPr>
              <w:t>/</w:t>
            </w:r>
          </w:p>
        </w:tc>
      </w:tr>
    </w:tbl>
    <w:p>
      <w:pPr>
        <w:widowControl/>
        <w:spacing w:line="480" w:lineRule="exact"/>
        <w:outlineLvl w:val="3"/>
        <w:rPr>
          <w:rFonts w:ascii="Times New Roman" w:hAnsi="Times New Roman" w:eastAsia="黑体"/>
          <w:sz w:val="24"/>
        </w:rPr>
      </w:pPr>
      <w:r>
        <w:rPr>
          <w:rFonts w:ascii="Times New Roman" w:hAnsi="Times New Roman" w:eastAsia="黑体"/>
          <w:sz w:val="24"/>
        </w:rPr>
        <w:t>5.2.6.2.</w:t>
      </w:r>
      <w:r>
        <w:rPr>
          <w:rFonts w:hint="eastAsia" w:ascii="Times New Roman" w:hAnsi="Times New Roman" w:eastAsia="黑体"/>
          <w:sz w:val="24"/>
        </w:rPr>
        <w:t>影响分析</w:t>
      </w:r>
    </w:p>
    <w:p>
      <w:pPr>
        <w:pStyle w:val="155"/>
        <w:spacing w:line="480" w:lineRule="exact"/>
        <w:ind w:firstLine="480"/>
      </w:pPr>
      <w:r>
        <w:t>本项目垂直入渗途径对土壤的影响采用类比法进行定性分析。本项目现有工程运营多年后，</w:t>
      </w:r>
      <w:r>
        <w:rPr>
          <w:kern w:val="0"/>
        </w:rPr>
        <w:t>项目</w:t>
      </w:r>
      <w:r>
        <w:rPr>
          <w:szCs w:val="24"/>
        </w:rPr>
        <w:t>厂区及周边工业用地</w:t>
      </w:r>
      <w:r>
        <w:rPr>
          <w:kern w:val="0"/>
        </w:rPr>
        <w:t>各监测点各层土壤中各监测因子满足</w:t>
      </w:r>
      <w:r>
        <w:rPr>
          <w:bCs/>
          <w:kern w:val="0"/>
          <w:szCs w:val="32"/>
        </w:rPr>
        <w:t>《土壤环境质量建设用地土壤污染风险管控标准》（试行）（GB36600-2018）中第二类用地筛选值标准</w:t>
      </w:r>
      <w:r>
        <w:rPr>
          <w:kern w:val="0"/>
        </w:rPr>
        <w:t>；</w:t>
      </w:r>
      <w:r>
        <w:rPr>
          <w:bCs/>
          <w:kern w:val="0"/>
          <w:szCs w:val="24"/>
        </w:rPr>
        <w:t>厂区周边草地</w:t>
      </w:r>
      <w:r>
        <w:rPr>
          <w:kern w:val="0"/>
        </w:rPr>
        <w:t>土壤中各监测因子满足</w:t>
      </w:r>
      <w:r>
        <w:rPr>
          <w:bCs/>
          <w:kern w:val="0"/>
          <w:szCs w:val="24"/>
        </w:rPr>
        <w:t>《土壤环境质量 农用地土壤污染风险管控标准》（试行）（GB15618-2018）筛选值标准</w:t>
      </w:r>
      <w:r>
        <w:t>。由此可见，现有工程在采取相应的污染物治理措施后，未对项目地及周边土壤造成明显的不利影响。</w:t>
      </w:r>
    </w:p>
    <w:p>
      <w:pPr>
        <w:spacing w:line="480" w:lineRule="exact"/>
        <w:ind w:firstLine="480" w:firstLineChars="200"/>
        <w:rPr>
          <w:rFonts w:ascii="Times New Roman" w:hAnsi="Times New Roman"/>
        </w:rPr>
      </w:pPr>
      <w:r>
        <w:rPr>
          <w:rFonts w:ascii="Times New Roman" w:hAnsi="Times New Roman"/>
          <w:sz w:val="24"/>
          <w:szCs w:val="24"/>
        </w:rPr>
        <w:t>对于地下或半地下工程构筑物，在事故情况下，会造成污染物泄露通过垂直入渗进一步污染土壤。本项目按照“源头控制、分区防治、污染监控、应急响应”相结合的原则，从污染物的产生、入渗、扩散、应急响应进行控制。医疗废物暂存间（冷库）已按照《危险废物储存污染控制标准》（GB18597-2001）的要求进行设计，本次改扩建将灭菌车间、污水处理间、危险废物暂存间、事故应急池和初期雨水池作为重点防渗区；厂区其余建筑物为一般污染防渗区；厂区地面进行硬化。重点污染防渗区参照《危险废物贮存污染控制标准》（GB18597-2001）及其修改单的相关要求，基础做防渗，采用2mm厚的高密度聚乙烯或其它人工材料，防渗系数≤10</w:t>
      </w:r>
      <w:r>
        <w:rPr>
          <w:rFonts w:ascii="Times New Roman" w:hAnsi="Times New Roman"/>
          <w:sz w:val="24"/>
          <w:szCs w:val="24"/>
          <w:vertAlign w:val="superscript"/>
        </w:rPr>
        <w:t>-10</w:t>
      </w:r>
      <w:r>
        <w:rPr>
          <w:rFonts w:ascii="Times New Roman" w:hAnsi="Times New Roman"/>
          <w:sz w:val="24"/>
          <w:szCs w:val="24"/>
        </w:rPr>
        <w:t>cm/s；一般污染防治区参照《危险废物贮存污染控制标准》（GB18597-2001）及其修改单的相关要求，基础做防渗，采用2mm厚的高密度聚乙烯或其它人工材料，防渗系数≤10</w:t>
      </w:r>
      <w:r>
        <w:rPr>
          <w:rFonts w:ascii="Times New Roman" w:hAnsi="Times New Roman"/>
          <w:sz w:val="24"/>
          <w:szCs w:val="24"/>
          <w:vertAlign w:val="superscript"/>
        </w:rPr>
        <w:t>-7</w:t>
      </w:r>
      <w:r>
        <w:rPr>
          <w:rFonts w:ascii="Times New Roman" w:hAnsi="Times New Roman"/>
          <w:sz w:val="24"/>
          <w:szCs w:val="24"/>
        </w:rPr>
        <w:t>cm/s。建立地下水监测系统，布设3口跟踪监测井，定期进行地下水跟踪监测。在全面落实分区防渗措施的情况下，物料或污染物的垂直入渗对土壤影响较小。</w:t>
      </w:r>
    </w:p>
    <w:p>
      <w:pPr>
        <w:widowControl/>
        <w:spacing w:line="480" w:lineRule="exact"/>
        <w:outlineLvl w:val="3"/>
        <w:rPr>
          <w:rFonts w:ascii="Times New Roman" w:hAnsi="Times New Roman" w:eastAsia="黑体"/>
          <w:sz w:val="24"/>
        </w:rPr>
      </w:pPr>
      <w:r>
        <w:rPr>
          <w:rFonts w:ascii="Times New Roman" w:hAnsi="Times New Roman" w:eastAsia="黑体"/>
          <w:sz w:val="24"/>
        </w:rPr>
        <w:t>5.2.6.3.医疗废物运输的影响分析</w:t>
      </w:r>
    </w:p>
    <w:p>
      <w:pPr>
        <w:spacing w:line="480" w:lineRule="exact"/>
        <w:ind w:firstLine="480" w:firstLineChars="200"/>
        <w:rPr>
          <w:rFonts w:ascii="Times New Roman" w:hAnsi="Times New Roman"/>
          <w:sz w:val="24"/>
          <w:szCs w:val="24"/>
        </w:rPr>
      </w:pPr>
      <w:r>
        <w:rPr>
          <w:rFonts w:ascii="Times New Roman" w:hAnsi="Times New Roman"/>
          <w:sz w:val="24"/>
          <w:szCs w:val="24"/>
        </w:rPr>
        <w:t>本项目按照行政区域划分各服务区，每个区域细分成若干核心干道，并以干道为脉络，确定并落实到每台车辆的收运路线、收运对象和收运承担量。敏感目标主要以道路两侧商业、办公、住宅等为主。</w:t>
      </w:r>
    </w:p>
    <w:p>
      <w:pPr>
        <w:spacing w:line="480" w:lineRule="exact"/>
        <w:ind w:firstLine="480" w:firstLineChars="200"/>
        <w:rPr>
          <w:rFonts w:ascii="Times New Roman" w:hAnsi="Times New Roman"/>
          <w:sz w:val="24"/>
          <w:szCs w:val="24"/>
        </w:rPr>
      </w:pPr>
      <w:r>
        <w:rPr>
          <w:rFonts w:ascii="Times New Roman" w:hAnsi="Times New Roman"/>
          <w:sz w:val="24"/>
          <w:szCs w:val="24"/>
        </w:rPr>
        <w:t>本次项目不变更运输路线，根据现有运输道路通过医疗废物运输车辆对医疗废物进行收集转运，基本不会增加对运输路线沿途敏感目标的环境影响。</w:t>
      </w:r>
    </w:p>
    <w:p>
      <w:pPr>
        <w:spacing w:line="480" w:lineRule="exact"/>
        <w:ind w:firstLine="480" w:firstLineChars="200"/>
        <w:rPr>
          <w:rFonts w:ascii="Times New Roman" w:hAnsi="Times New Roman"/>
          <w:sz w:val="24"/>
          <w:szCs w:val="24"/>
        </w:rPr>
      </w:pPr>
      <w:r>
        <w:rPr>
          <w:rFonts w:ascii="Times New Roman" w:hAnsi="Times New Roman"/>
          <w:sz w:val="24"/>
          <w:szCs w:val="24"/>
        </w:rPr>
        <w:t>但如果出现运输车辆未密闭、路上遗撒、运输车辆噪声大等情况，可能会对运输路线沿线大气、地表水、土壤、声环境造成影响。</w:t>
      </w:r>
    </w:p>
    <w:p>
      <w:pPr>
        <w:spacing w:line="480" w:lineRule="exact"/>
        <w:ind w:firstLine="480" w:firstLineChars="200"/>
        <w:rPr>
          <w:rFonts w:ascii="Times New Roman" w:hAnsi="Times New Roman"/>
          <w:sz w:val="24"/>
          <w:szCs w:val="24"/>
        </w:rPr>
      </w:pPr>
      <w:r>
        <w:rPr>
          <w:rFonts w:ascii="Times New Roman" w:hAnsi="Times New Roman"/>
          <w:sz w:val="24"/>
          <w:szCs w:val="24"/>
        </w:rPr>
        <w:t>本项目采用的医疗废物收集箱均为专用密闭医疗废物收集箱，医疗废物收集车均为全密闭，可以减少对周围环境的影响，为了进一步减少本项目对周围大气环境、水环境、声环境的影响，评价建议项目采取以下污染防治措施：</w:t>
      </w:r>
    </w:p>
    <w:p>
      <w:pPr>
        <w:spacing w:line="480" w:lineRule="exact"/>
        <w:ind w:firstLine="480" w:firstLineChars="200"/>
        <w:rPr>
          <w:rFonts w:ascii="Times New Roman" w:hAnsi="Times New Roman"/>
          <w:sz w:val="24"/>
          <w:szCs w:val="24"/>
        </w:rPr>
      </w:pPr>
      <w:r>
        <w:rPr>
          <w:rFonts w:hint="eastAsia" w:cs="宋体"/>
          <w:sz w:val="24"/>
          <w:szCs w:val="24"/>
        </w:rPr>
        <w:t>①</w:t>
      </w:r>
      <w:r>
        <w:rPr>
          <w:rFonts w:ascii="Times New Roman" w:hAnsi="Times New Roman"/>
          <w:sz w:val="24"/>
          <w:szCs w:val="24"/>
        </w:rPr>
        <w:t>确保车辆在收集和运输过程中密闭，对运输车定期维修保养并及时更新运输车辆，确保运输车的密封性能良好；</w:t>
      </w:r>
    </w:p>
    <w:p>
      <w:pPr>
        <w:spacing w:line="480" w:lineRule="exact"/>
        <w:ind w:firstLine="480" w:firstLineChars="200"/>
        <w:rPr>
          <w:rFonts w:ascii="Times New Roman" w:hAnsi="Times New Roman"/>
          <w:sz w:val="24"/>
          <w:szCs w:val="24"/>
        </w:rPr>
      </w:pPr>
      <w:r>
        <w:rPr>
          <w:rFonts w:hint="eastAsia" w:cs="宋体"/>
          <w:sz w:val="24"/>
          <w:szCs w:val="24"/>
        </w:rPr>
        <w:t>②</w:t>
      </w:r>
      <w:r>
        <w:rPr>
          <w:rFonts w:ascii="Times New Roman" w:hAnsi="Times New Roman"/>
          <w:sz w:val="24"/>
          <w:szCs w:val="24"/>
        </w:rPr>
        <w:t>项目运输车辆出厂前，需对车辆及车辆轮胎等进行彻底的清洁和消毒，避免将病菌等有毒有害物质带入城市道路，并注意对医疗废物运输车辆的检修，谨防运输仓门关闭不严现象的发生；</w:t>
      </w:r>
    </w:p>
    <w:p>
      <w:pPr>
        <w:spacing w:line="480" w:lineRule="exact"/>
        <w:ind w:firstLine="480" w:firstLineChars="200"/>
        <w:rPr>
          <w:rFonts w:ascii="Times New Roman" w:hAnsi="Times New Roman"/>
          <w:sz w:val="24"/>
          <w:szCs w:val="24"/>
        </w:rPr>
      </w:pPr>
      <w:r>
        <w:rPr>
          <w:rFonts w:hint="eastAsia" w:cs="宋体"/>
          <w:sz w:val="24"/>
          <w:szCs w:val="24"/>
        </w:rPr>
        <w:t>③</w:t>
      </w:r>
      <w:r>
        <w:rPr>
          <w:rFonts w:ascii="Times New Roman" w:hAnsi="Times New Roman"/>
          <w:sz w:val="24"/>
          <w:szCs w:val="24"/>
        </w:rPr>
        <w:t>运输车辆选择合理的收集时段及运输车次，且运输过程应避开居民区和交通主干道，尽可能缩短运输车在敏感点附近滞留的时间，减少对周围环境敏感点的影响；</w:t>
      </w:r>
    </w:p>
    <w:p>
      <w:pPr>
        <w:spacing w:line="480" w:lineRule="exact"/>
        <w:ind w:firstLine="480" w:firstLineChars="200"/>
        <w:rPr>
          <w:rFonts w:ascii="Times New Roman" w:hAnsi="Times New Roman"/>
          <w:sz w:val="24"/>
          <w:szCs w:val="24"/>
        </w:rPr>
      </w:pPr>
      <w:r>
        <w:rPr>
          <w:rFonts w:hint="eastAsia" w:cs="宋体"/>
          <w:sz w:val="24"/>
          <w:szCs w:val="24"/>
        </w:rPr>
        <w:t>④</w:t>
      </w:r>
      <w:r>
        <w:rPr>
          <w:rFonts w:ascii="Times New Roman" w:hAnsi="Times New Roman"/>
          <w:sz w:val="24"/>
          <w:szCs w:val="24"/>
        </w:rPr>
        <w:t>严格按照规定路线进行运输，每辆运输车都配备必要的通讯工具，供应急联络用，当运输过程中发生事故，运输人员必须尽快通知有关管理部门进行妥善处理；</w:t>
      </w:r>
    </w:p>
    <w:p>
      <w:pPr>
        <w:spacing w:line="480" w:lineRule="exact"/>
        <w:ind w:firstLine="480" w:firstLineChars="200"/>
        <w:rPr>
          <w:rFonts w:ascii="Times New Roman" w:hAnsi="Times New Roman"/>
          <w:sz w:val="24"/>
          <w:szCs w:val="24"/>
        </w:rPr>
      </w:pPr>
      <w:r>
        <w:rPr>
          <w:rFonts w:hint="eastAsia" w:cs="宋体"/>
          <w:sz w:val="24"/>
          <w:szCs w:val="24"/>
        </w:rPr>
        <w:t>⑤</w:t>
      </w:r>
      <w:r>
        <w:rPr>
          <w:rFonts w:ascii="Times New Roman" w:hAnsi="Times New Roman"/>
          <w:sz w:val="24"/>
          <w:szCs w:val="24"/>
        </w:rPr>
        <w:t>加强对运输司机的思想教育和技术培训，避免交通事故的发生；</w:t>
      </w:r>
    </w:p>
    <w:p>
      <w:pPr>
        <w:spacing w:line="480" w:lineRule="exact"/>
        <w:ind w:firstLine="480" w:firstLineChars="200"/>
        <w:rPr>
          <w:rFonts w:ascii="Times New Roman" w:hAnsi="Times New Roman"/>
          <w:sz w:val="24"/>
          <w:szCs w:val="24"/>
        </w:rPr>
      </w:pPr>
      <w:r>
        <w:rPr>
          <w:rFonts w:hint="eastAsia" w:cs="宋体"/>
          <w:sz w:val="24"/>
          <w:szCs w:val="24"/>
        </w:rPr>
        <w:t>⑥</w:t>
      </w:r>
      <w:r>
        <w:rPr>
          <w:rFonts w:ascii="Times New Roman" w:hAnsi="Times New Roman"/>
          <w:sz w:val="24"/>
          <w:szCs w:val="24"/>
        </w:rPr>
        <w:t>医疗废物运输过程应采取禁止鸣笛及低速行驶等措施，减少噪声对周围环境的影响避免夜间运输发生噪声扰民现象；</w:t>
      </w:r>
    </w:p>
    <w:p>
      <w:pPr>
        <w:spacing w:line="480" w:lineRule="exact"/>
        <w:ind w:firstLine="480" w:firstLineChars="200"/>
        <w:rPr>
          <w:rFonts w:ascii="Times New Roman" w:hAnsi="Times New Roman"/>
          <w:sz w:val="24"/>
          <w:szCs w:val="24"/>
        </w:rPr>
      </w:pPr>
      <w:r>
        <w:rPr>
          <w:rFonts w:hint="eastAsia" w:cs="宋体"/>
          <w:sz w:val="24"/>
          <w:szCs w:val="24"/>
        </w:rPr>
        <w:t>⑦</w:t>
      </w:r>
      <w:r>
        <w:rPr>
          <w:rFonts w:ascii="Times New Roman" w:hAnsi="Times New Roman"/>
          <w:sz w:val="24"/>
          <w:szCs w:val="24"/>
        </w:rPr>
        <w:t>对医疗废物运输车辆注入信息化管理手段；加强运输车辆的跟踪监管；建立运输车辆的信息管理库，实现计量管理和医疗废物运输的信息反馈制度</w:t>
      </w:r>
    </w:p>
    <w:p>
      <w:pPr>
        <w:widowControl/>
        <w:spacing w:line="480" w:lineRule="exact"/>
        <w:outlineLvl w:val="3"/>
        <w:rPr>
          <w:rFonts w:ascii="Times New Roman" w:hAnsi="Times New Roman" w:eastAsia="黑体"/>
          <w:sz w:val="24"/>
        </w:rPr>
      </w:pPr>
      <w:r>
        <w:rPr>
          <w:rFonts w:ascii="Times New Roman" w:hAnsi="Times New Roman" w:eastAsia="黑体"/>
          <w:sz w:val="24"/>
        </w:rPr>
        <w:t>5.2.6.3.预测评价结论</w:t>
      </w:r>
    </w:p>
    <w:p>
      <w:pPr>
        <w:spacing w:line="480" w:lineRule="exact"/>
        <w:ind w:firstLine="480" w:firstLineChars="200"/>
        <w:rPr>
          <w:rFonts w:ascii="Times New Roman" w:hAnsi="Times New Roman"/>
          <w:sz w:val="24"/>
          <w:szCs w:val="24"/>
        </w:rPr>
      </w:pPr>
      <w:r>
        <w:rPr>
          <w:rFonts w:ascii="Times New Roman" w:hAnsi="Times New Roman"/>
          <w:kern w:val="2"/>
          <w:sz w:val="24"/>
          <w:szCs w:val="20"/>
        </w:rPr>
        <w:t>本项目通过定性分析的办法，从垂直入渗的影响途径分析项目运营对土壤环境的影响，</w:t>
      </w:r>
      <w:r>
        <w:rPr>
          <w:rFonts w:ascii="Times New Roman" w:hAnsi="Times New Roman"/>
          <w:sz w:val="24"/>
          <w:szCs w:val="24"/>
        </w:rPr>
        <w:t>项目运营期对土壤的影响较小。</w:t>
      </w:r>
    </w:p>
    <w:p>
      <w:pPr>
        <w:pStyle w:val="3"/>
        <w:spacing w:before="120" w:beforeLines="50" w:after="120" w:afterLines="50" w:line="480" w:lineRule="exact"/>
        <w:ind w:left="-11"/>
        <w:rPr>
          <w:rFonts w:ascii="Times New Roman" w:hAnsi="Times New Roman" w:eastAsia="黑体"/>
          <w:sz w:val="30"/>
          <w:szCs w:val="30"/>
        </w:rPr>
      </w:pPr>
      <w:bookmarkStart w:id="1208" w:name="_Toc116379717"/>
      <w:bookmarkStart w:id="1209" w:name="_Toc30895"/>
      <w:bookmarkStart w:id="1210" w:name="_Toc27134332"/>
      <w:bookmarkStart w:id="1211" w:name="_Toc17090"/>
      <w:bookmarkStart w:id="1212" w:name="_Toc26188059"/>
      <w:bookmarkStart w:id="1213" w:name="_Toc9843840"/>
      <w:r>
        <w:rPr>
          <w:rFonts w:ascii="Times New Roman" w:hAnsi="Times New Roman" w:eastAsia="黑体"/>
          <w:sz w:val="30"/>
          <w:szCs w:val="30"/>
        </w:rPr>
        <w:t>环境风险影响评价</w:t>
      </w:r>
      <w:bookmarkEnd w:id="1208"/>
    </w:p>
    <w:p>
      <w:pPr>
        <w:pStyle w:val="4"/>
        <w:spacing w:before="120" w:beforeLines="50" w:after="120" w:afterLines="50" w:line="480" w:lineRule="exact"/>
        <w:rPr>
          <w:rFonts w:ascii="Times New Roman" w:hAnsi="Times New Roman" w:eastAsia="黑体"/>
          <w:bCs/>
          <w:sz w:val="28"/>
          <w:szCs w:val="28"/>
        </w:rPr>
      </w:pPr>
      <w:bookmarkStart w:id="1214" w:name="_Toc25210"/>
      <w:bookmarkStart w:id="1215" w:name="_Toc16615"/>
      <w:bookmarkStart w:id="1216" w:name="_Toc17656"/>
      <w:bookmarkStart w:id="1217" w:name="_Toc11481"/>
      <w:bookmarkStart w:id="1218" w:name="_Toc22196"/>
      <w:r>
        <w:rPr>
          <w:rFonts w:ascii="Times New Roman" w:hAnsi="Times New Roman" w:eastAsia="黑体"/>
          <w:bCs/>
          <w:sz w:val="28"/>
          <w:szCs w:val="28"/>
        </w:rPr>
        <w:t>环境风险评价目的</w:t>
      </w:r>
      <w:bookmarkEnd w:id="1214"/>
      <w:bookmarkEnd w:id="1215"/>
      <w:bookmarkEnd w:id="1216"/>
      <w:bookmarkEnd w:id="1217"/>
    </w:p>
    <w:p>
      <w:pPr>
        <w:pStyle w:val="155"/>
        <w:spacing w:line="480" w:lineRule="exact"/>
        <w:ind w:firstLine="480"/>
      </w:pPr>
      <w:r>
        <w:t>按照环发[2012]77号《关于进一步加强环境影响评价管理防范环境风险的通知》的精神，以及环发[2012]98号文《关于切实加强风险防范严格环境影响评价管理的通知》的相关要求，本评价采用风险识别、风险分析和对环境后果计算等方法进行环境风险评价，了解其环境风险的可接受程度，提出减少风险的事故应急措施及社会应急预案，为工程设计和环境管理提供资料和依据，以期达到降低风险，减少危害的目的。</w:t>
      </w:r>
    </w:p>
    <w:p>
      <w:pPr>
        <w:pStyle w:val="4"/>
        <w:spacing w:before="120" w:beforeLines="50" w:after="120" w:afterLines="50" w:line="480" w:lineRule="exact"/>
        <w:rPr>
          <w:rFonts w:ascii="Times New Roman" w:hAnsi="Times New Roman" w:eastAsia="黑体"/>
          <w:bCs/>
          <w:sz w:val="28"/>
          <w:szCs w:val="28"/>
        </w:rPr>
      </w:pPr>
      <w:bookmarkStart w:id="1219" w:name="_Toc20145"/>
      <w:bookmarkStart w:id="1220" w:name="_Toc10246"/>
      <w:bookmarkStart w:id="1221" w:name="_Toc28792"/>
      <w:bookmarkStart w:id="1222" w:name="_Toc25102"/>
      <w:r>
        <w:rPr>
          <w:rFonts w:ascii="Times New Roman" w:hAnsi="Times New Roman" w:eastAsia="黑体"/>
          <w:bCs/>
          <w:sz w:val="28"/>
          <w:szCs w:val="28"/>
        </w:rPr>
        <w:t>环境风险评价程序</w:t>
      </w:r>
      <w:bookmarkEnd w:id="1219"/>
      <w:bookmarkEnd w:id="1220"/>
      <w:bookmarkEnd w:id="1221"/>
      <w:bookmarkEnd w:id="1222"/>
    </w:p>
    <w:p>
      <w:pPr>
        <w:pStyle w:val="155"/>
        <w:spacing w:line="480" w:lineRule="exact"/>
        <w:ind w:firstLine="480"/>
      </w:pPr>
      <w:r>
        <w:t>评价工作程序：调整评价工作程序（见图5.3-1）。通过对项目的危险性和项目所在地的环境敏感性识别对建设项目风险潜势进行初判，由此确定风险评价工作的技术内容和深度，细化从风险识别、源项分析、源强设定到事故情形预测分析的工作程序，明确了事故情景设定原则、方法，并补充了相关资料性附录，在此基础上提出风险管理对策措施，给出总体结论和建议。</w:t>
      </w:r>
    </w:p>
    <w:p>
      <w:pPr>
        <w:pStyle w:val="155"/>
        <w:spacing w:line="240" w:lineRule="auto"/>
        <w:ind w:firstLine="0" w:firstLineChars="0"/>
        <w:jc w:val="center"/>
      </w:pPr>
      <w:r>
        <w:drawing>
          <wp:inline distT="0" distB="0" distL="114300" distR="114300">
            <wp:extent cx="3948430" cy="5294630"/>
            <wp:effectExtent l="9525" t="9525" r="13970" b="10795"/>
            <wp:docPr id="57"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29"/>
                    <pic:cNvPicPr>
                      <a:picLocks noChangeAspect="1"/>
                    </pic:cNvPicPr>
                  </pic:nvPicPr>
                  <pic:blipFill>
                    <a:blip r:embed="rId67"/>
                    <a:stretch>
                      <a:fillRect/>
                    </a:stretch>
                  </pic:blipFill>
                  <pic:spPr>
                    <a:xfrm>
                      <a:off x="0" y="0"/>
                      <a:ext cx="3948430" cy="5294630"/>
                    </a:xfrm>
                    <a:prstGeom prst="rect">
                      <a:avLst/>
                    </a:prstGeom>
                    <a:noFill/>
                    <a:ln w="9525" cap="flat" cmpd="sng">
                      <a:solidFill>
                        <a:srgbClr val="000000"/>
                      </a:solidFill>
                      <a:prstDash val="solid"/>
                      <a:miter/>
                      <a:headEnd type="none" w="med" len="med"/>
                      <a:tailEnd type="none" w="med" len="med"/>
                    </a:ln>
                  </pic:spPr>
                </pic:pic>
              </a:graphicData>
            </a:graphic>
          </wp:inline>
        </w:drawing>
      </w:r>
    </w:p>
    <w:p>
      <w:pPr>
        <w:pStyle w:val="155"/>
        <w:spacing w:line="480" w:lineRule="exact"/>
        <w:ind w:firstLine="0" w:firstLineChars="0"/>
        <w:jc w:val="center"/>
        <w:rPr>
          <w:b/>
          <w:bCs/>
          <w:sz w:val="21"/>
          <w:szCs w:val="21"/>
        </w:rPr>
      </w:pPr>
      <w:r>
        <w:rPr>
          <w:b/>
          <w:bCs/>
          <w:sz w:val="21"/>
          <w:szCs w:val="21"/>
        </w:rPr>
        <w:t>图5.3-1 风险评价程序</w:t>
      </w:r>
    </w:p>
    <w:p>
      <w:pPr>
        <w:pStyle w:val="4"/>
        <w:spacing w:before="120" w:beforeLines="50" w:after="120" w:afterLines="50" w:line="480" w:lineRule="exact"/>
        <w:rPr>
          <w:rFonts w:ascii="Times New Roman" w:hAnsi="Times New Roman" w:eastAsia="黑体"/>
          <w:bCs/>
          <w:sz w:val="28"/>
          <w:szCs w:val="28"/>
        </w:rPr>
      </w:pPr>
      <w:bookmarkStart w:id="1223" w:name="_Toc18422"/>
      <w:bookmarkStart w:id="1224" w:name="_Toc29864"/>
      <w:bookmarkStart w:id="1225" w:name="_Toc16024"/>
      <w:bookmarkStart w:id="1226" w:name="_Toc10763"/>
      <w:r>
        <w:rPr>
          <w:rFonts w:ascii="Times New Roman" w:hAnsi="Times New Roman" w:eastAsia="黑体"/>
          <w:bCs/>
          <w:sz w:val="28"/>
          <w:szCs w:val="28"/>
        </w:rPr>
        <w:t>环境风险评价内容</w:t>
      </w:r>
      <w:bookmarkEnd w:id="1223"/>
      <w:bookmarkEnd w:id="1224"/>
      <w:bookmarkEnd w:id="1225"/>
      <w:bookmarkEnd w:id="1226"/>
    </w:p>
    <w:bookmarkEnd w:id="1218"/>
    <w:p>
      <w:pPr>
        <w:spacing w:line="480" w:lineRule="exact"/>
        <w:ind w:firstLine="480" w:firstLineChars="200"/>
        <w:rPr>
          <w:rFonts w:ascii="Times New Roman" w:hAnsi="Times New Roman"/>
          <w:sz w:val="24"/>
          <w:szCs w:val="24"/>
        </w:rPr>
      </w:pPr>
      <w:r>
        <w:rPr>
          <w:rFonts w:ascii="Times New Roman" w:hAnsi="Times New Roman"/>
          <w:sz w:val="24"/>
          <w:szCs w:val="24"/>
        </w:rPr>
        <w:t>通过环境风险识别，本工程环境风险评价内容主要包括：</w:t>
      </w:r>
    </w:p>
    <w:p>
      <w:pPr>
        <w:spacing w:line="480" w:lineRule="exact"/>
        <w:ind w:firstLine="480" w:firstLineChars="200"/>
        <w:rPr>
          <w:rFonts w:ascii="Times New Roman" w:hAnsi="Times New Roman"/>
          <w:sz w:val="24"/>
          <w:szCs w:val="24"/>
        </w:rPr>
      </w:pPr>
      <w:r>
        <w:rPr>
          <w:rFonts w:hint="eastAsia" w:cs="宋体"/>
          <w:sz w:val="24"/>
          <w:szCs w:val="24"/>
        </w:rPr>
        <w:t>①</w:t>
      </w:r>
      <w:r>
        <w:rPr>
          <w:rFonts w:ascii="Times New Roman" w:hAnsi="Times New Roman"/>
          <w:sz w:val="24"/>
          <w:szCs w:val="24"/>
        </w:rPr>
        <w:t>医疗废物暂存、处置产生的环境风险；</w:t>
      </w:r>
    </w:p>
    <w:p>
      <w:pPr>
        <w:spacing w:line="480" w:lineRule="exact"/>
        <w:ind w:firstLine="480" w:firstLineChars="200"/>
        <w:rPr>
          <w:rFonts w:ascii="Times New Roman" w:hAnsi="Times New Roman"/>
          <w:sz w:val="24"/>
          <w:szCs w:val="24"/>
        </w:rPr>
      </w:pPr>
      <w:r>
        <w:rPr>
          <w:rFonts w:hint="eastAsia" w:cs="宋体"/>
          <w:sz w:val="24"/>
          <w:szCs w:val="24"/>
        </w:rPr>
        <w:t>②</w:t>
      </w:r>
      <w:r>
        <w:rPr>
          <w:rFonts w:ascii="Times New Roman" w:hAnsi="Times New Roman"/>
          <w:sz w:val="24"/>
          <w:szCs w:val="24"/>
        </w:rPr>
        <w:t>化学物质泄漏产生的环境风险；</w:t>
      </w:r>
    </w:p>
    <w:p>
      <w:pPr>
        <w:spacing w:line="480" w:lineRule="exact"/>
        <w:ind w:firstLine="480" w:firstLineChars="200"/>
        <w:rPr>
          <w:rFonts w:ascii="Times New Roman" w:hAnsi="Times New Roman"/>
          <w:sz w:val="24"/>
          <w:szCs w:val="24"/>
        </w:rPr>
      </w:pPr>
      <w:r>
        <w:rPr>
          <w:rFonts w:hint="eastAsia" w:cs="宋体"/>
          <w:sz w:val="24"/>
          <w:szCs w:val="24"/>
        </w:rPr>
        <w:t>③</w:t>
      </w:r>
      <w:r>
        <w:rPr>
          <w:rFonts w:ascii="Times New Roman" w:hAnsi="Times New Roman"/>
          <w:sz w:val="24"/>
          <w:szCs w:val="24"/>
        </w:rPr>
        <w:t>医疗废物收集运输产生的环境风险。</w:t>
      </w:r>
    </w:p>
    <w:p>
      <w:pPr>
        <w:widowControl/>
        <w:spacing w:line="480" w:lineRule="exact"/>
        <w:outlineLvl w:val="3"/>
        <w:rPr>
          <w:rFonts w:ascii="Times New Roman" w:hAnsi="Times New Roman" w:eastAsia="黑体"/>
          <w:sz w:val="24"/>
        </w:rPr>
      </w:pPr>
      <w:r>
        <w:rPr>
          <w:rFonts w:ascii="Times New Roman" w:hAnsi="Times New Roman" w:eastAsia="黑体"/>
          <w:sz w:val="24"/>
        </w:rPr>
        <w:t>5.3.3.1.医疗废物储存、处置过程环境风险分析</w:t>
      </w:r>
    </w:p>
    <w:p>
      <w:pPr>
        <w:spacing w:line="480" w:lineRule="exact"/>
        <w:ind w:firstLine="480" w:firstLineChars="200"/>
        <w:rPr>
          <w:rFonts w:ascii="Times New Roman" w:hAnsi="Times New Roman"/>
          <w:sz w:val="24"/>
          <w:szCs w:val="24"/>
        </w:rPr>
      </w:pPr>
      <w:r>
        <w:rPr>
          <w:rFonts w:ascii="Times New Roman" w:hAnsi="Times New Roman"/>
          <w:sz w:val="24"/>
          <w:szCs w:val="24"/>
        </w:rPr>
        <w:t>在医疗废物灭菌处理过程中，高温</w:t>
      </w:r>
      <w:r>
        <w:rPr>
          <w:rFonts w:hint="eastAsia" w:ascii="Times New Roman" w:hAnsi="Times New Roman"/>
          <w:sz w:val="24"/>
          <w:szCs w:val="24"/>
        </w:rPr>
        <w:t>干热</w:t>
      </w:r>
      <w:r>
        <w:rPr>
          <w:rFonts w:ascii="Times New Roman" w:hAnsi="Times New Roman"/>
          <w:sz w:val="24"/>
          <w:szCs w:val="24"/>
        </w:rPr>
        <w:t>装置发生爆炸、或抽气及尾气处理装置发生故障，而导致各种污染物排放大量增加，将会造成废气超标排放，而可能导致周围环境空气受到污染；生产废水未经过处理直接外排对水体造成污染。</w:t>
      </w:r>
    </w:p>
    <w:p>
      <w:pPr>
        <w:spacing w:line="480" w:lineRule="exact"/>
        <w:ind w:firstLine="480" w:firstLineChars="200"/>
        <w:rPr>
          <w:rFonts w:ascii="Times New Roman" w:hAnsi="Times New Roman"/>
          <w:sz w:val="24"/>
          <w:szCs w:val="24"/>
        </w:rPr>
      </w:pPr>
      <w:r>
        <w:rPr>
          <w:rFonts w:ascii="Times New Roman" w:hAnsi="Times New Roman"/>
          <w:sz w:val="24"/>
          <w:szCs w:val="24"/>
        </w:rPr>
        <w:t>（1）储存的风险</w:t>
      </w:r>
    </w:p>
    <w:p>
      <w:pPr>
        <w:spacing w:line="480" w:lineRule="exact"/>
        <w:ind w:firstLine="480" w:firstLineChars="200"/>
        <w:rPr>
          <w:rFonts w:ascii="Times New Roman" w:hAnsi="Times New Roman"/>
          <w:sz w:val="24"/>
          <w:szCs w:val="24"/>
        </w:rPr>
      </w:pPr>
      <w:r>
        <w:rPr>
          <w:rFonts w:ascii="Times New Roman" w:hAnsi="Times New Roman"/>
          <w:sz w:val="24"/>
          <w:szCs w:val="24"/>
        </w:rPr>
        <w:t>由于储存容器密封性不好，医疗废物则有散漏的危险；另外，若项目区域受到大风、暴雨和洪水的袭击，导致所储存的废物散落进入环境造成污染事故。</w:t>
      </w:r>
    </w:p>
    <w:p>
      <w:pPr>
        <w:spacing w:line="480" w:lineRule="exact"/>
        <w:ind w:firstLine="480" w:firstLineChars="200"/>
        <w:rPr>
          <w:rFonts w:ascii="Times New Roman" w:hAnsi="Times New Roman"/>
          <w:sz w:val="24"/>
          <w:szCs w:val="24"/>
        </w:rPr>
      </w:pPr>
      <w:r>
        <w:rPr>
          <w:rFonts w:ascii="Times New Roman" w:hAnsi="Times New Roman"/>
          <w:sz w:val="24"/>
          <w:szCs w:val="24"/>
        </w:rPr>
        <w:t>医疗废物储存应根据国家相关规定设置，并做好防渗处置，危险废物分类收集，定期清运，避免对环境造成二次污染。</w:t>
      </w:r>
    </w:p>
    <w:p>
      <w:pPr>
        <w:spacing w:line="480" w:lineRule="exact"/>
        <w:ind w:firstLine="480" w:firstLineChars="200"/>
        <w:rPr>
          <w:rFonts w:ascii="Times New Roman" w:hAnsi="Times New Roman"/>
          <w:sz w:val="24"/>
          <w:szCs w:val="24"/>
        </w:rPr>
      </w:pPr>
      <w:r>
        <w:rPr>
          <w:rFonts w:ascii="Times New Roman" w:hAnsi="Times New Roman"/>
          <w:sz w:val="24"/>
          <w:szCs w:val="24"/>
        </w:rPr>
        <w:t>本项目医疗废物暂存间一般存储1天的医疗废物处置量，且均是以医疗废物转运箱形式进行储存，若发生泄漏事故，一般是以单箱医疗废物发生泄漏的情况为主，医疗废物泄漏量约为10kg，影响范围仅局限在医疗废物暂存间或车间内，影响可控。</w:t>
      </w:r>
    </w:p>
    <w:p>
      <w:pPr>
        <w:spacing w:line="480" w:lineRule="exact"/>
        <w:ind w:firstLine="480" w:firstLineChars="200"/>
        <w:rPr>
          <w:rFonts w:ascii="Times New Roman" w:hAnsi="Times New Roman"/>
          <w:sz w:val="24"/>
          <w:szCs w:val="24"/>
        </w:rPr>
      </w:pPr>
      <w:r>
        <w:rPr>
          <w:rFonts w:ascii="Times New Roman" w:hAnsi="Times New Roman"/>
          <w:sz w:val="24"/>
          <w:szCs w:val="24"/>
        </w:rPr>
        <w:t>（2）灭菌处理的风险</w:t>
      </w:r>
    </w:p>
    <w:p>
      <w:pPr>
        <w:spacing w:line="480" w:lineRule="exact"/>
        <w:ind w:firstLine="480" w:firstLineChars="200"/>
        <w:rPr>
          <w:rFonts w:ascii="Times New Roman" w:hAnsi="Times New Roman"/>
          <w:sz w:val="24"/>
          <w:szCs w:val="24"/>
        </w:rPr>
      </w:pPr>
      <w:r>
        <w:rPr>
          <w:rFonts w:hint="eastAsia" w:cs="宋体"/>
          <w:sz w:val="24"/>
          <w:szCs w:val="24"/>
        </w:rPr>
        <w:t>①</w:t>
      </w:r>
      <w:r>
        <w:rPr>
          <w:rFonts w:ascii="Times New Roman" w:hAnsi="Times New Roman"/>
          <w:sz w:val="24"/>
          <w:szCs w:val="24"/>
        </w:rPr>
        <w:t>压力容器事故风险分析</w:t>
      </w:r>
    </w:p>
    <w:p>
      <w:pPr>
        <w:spacing w:line="480" w:lineRule="exact"/>
        <w:ind w:firstLine="480" w:firstLineChars="200"/>
        <w:rPr>
          <w:rFonts w:ascii="Times New Roman" w:hAnsi="Times New Roman"/>
          <w:sz w:val="24"/>
          <w:szCs w:val="24"/>
        </w:rPr>
      </w:pPr>
      <w:r>
        <w:rPr>
          <w:rFonts w:ascii="Times New Roman" w:hAnsi="Times New Roman"/>
          <w:sz w:val="24"/>
          <w:szCs w:val="24"/>
        </w:rPr>
        <w:t>高温</w:t>
      </w:r>
      <w:r>
        <w:rPr>
          <w:rFonts w:hint="eastAsia" w:ascii="Times New Roman" w:hAnsi="Times New Roman"/>
          <w:sz w:val="24"/>
          <w:szCs w:val="24"/>
        </w:rPr>
        <w:t>干热</w:t>
      </w:r>
      <w:r>
        <w:rPr>
          <w:rFonts w:ascii="Times New Roman" w:hAnsi="Times New Roman"/>
          <w:sz w:val="24"/>
          <w:szCs w:val="24"/>
        </w:rPr>
        <w:t>装置灭菌压力为220KPa，在使用过程中存在潜在风险，一旦发生爆炸，可能危及人员生命、对环境造成污染。</w:t>
      </w:r>
    </w:p>
    <w:p>
      <w:pPr>
        <w:spacing w:line="480" w:lineRule="exact"/>
        <w:ind w:firstLine="480" w:firstLineChars="200"/>
        <w:rPr>
          <w:rFonts w:ascii="Times New Roman" w:hAnsi="Times New Roman"/>
          <w:sz w:val="24"/>
          <w:szCs w:val="24"/>
        </w:rPr>
      </w:pPr>
      <w:r>
        <w:rPr>
          <w:rFonts w:ascii="Times New Roman" w:hAnsi="Times New Roman"/>
          <w:sz w:val="24"/>
          <w:szCs w:val="24"/>
        </w:rPr>
        <w:t>根据上世纪80年代台湾35种行业统计资料，6807次灾害事故中，因压力容器发生事故的比例为1.18%，即6807次灾害事故中有80次是由于压力容器发生事故引当。项目使用的压力容器压力小，但存在爆炸可能，发生爆炸事故时，可能引起的环境风险是压力容器中的病源体并未完全杀灭，因容器破损随高压气体喷散至四周，使沾染上病源体的人染上疾病，造成疫情。</w:t>
      </w:r>
    </w:p>
    <w:p>
      <w:pPr>
        <w:spacing w:line="480" w:lineRule="exact"/>
        <w:ind w:firstLine="480" w:firstLineChars="200"/>
        <w:rPr>
          <w:rFonts w:ascii="Times New Roman" w:hAnsi="Times New Roman"/>
          <w:sz w:val="24"/>
          <w:szCs w:val="24"/>
        </w:rPr>
      </w:pPr>
      <w:r>
        <w:rPr>
          <w:rFonts w:ascii="Times New Roman" w:hAnsi="Times New Roman"/>
          <w:sz w:val="24"/>
          <w:szCs w:val="24"/>
        </w:rPr>
        <w:t>因此必须保证工艺中所使用的压力容器（高温</w:t>
      </w:r>
      <w:r>
        <w:rPr>
          <w:rFonts w:hint="eastAsia" w:ascii="Times New Roman" w:hAnsi="Times New Roman"/>
          <w:sz w:val="24"/>
          <w:szCs w:val="24"/>
        </w:rPr>
        <w:t>干热装置</w:t>
      </w:r>
      <w:r>
        <w:rPr>
          <w:rFonts w:ascii="Times New Roman" w:hAnsi="Times New Roman"/>
          <w:sz w:val="24"/>
          <w:szCs w:val="24"/>
        </w:rPr>
        <w:t>）安全运行，防止事故发生。</w:t>
      </w:r>
    </w:p>
    <w:p>
      <w:pPr>
        <w:numPr>
          <w:ilvl w:val="0"/>
          <w:numId w:val="12"/>
        </w:numPr>
        <w:spacing w:line="480" w:lineRule="exact"/>
        <w:rPr>
          <w:rFonts w:ascii="Times New Roman" w:hAnsi="Times New Roman"/>
          <w:sz w:val="24"/>
          <w:szCs w:val="24"/>
        </w:rPr>
      </w:pPr>
      <w:r>
        <w:rPr>
          <w:rFonts w:ascii="Times New Roman" w:hAnsi="Times New Roman"/>
          <w:sz w:val="24"/>
          <w:szCs w:val="24"/>
        </w:rPr>
        <w:t>高温干热灭菌废气事故排放风险分析</w:t>
      </w:r>
    </w:p>
    <w:p>
      <w:pPr>
        <w:spacing w:line="480" w:lineRule="exact"/>
        <w:ind w:firstLine="480" w:firstLineChars="200"/>
        <w:rPr>
          <w:rFonts w:ascii="Times New Roman" w:hAnsi="Times New Roman"/>
          <w:sz w:val="24"/>
          <w:szCs w:val="24"/>
        </w:rPr>
      </w:pPr>
      <w:r>
        <w:rPr>
          <w:rFonts w:ascii="Times New Roman" w:hAnsi="Times New Roman"/>
          <w:sz w:val="24"/>
          <w:szCs w:val="24"/>
        </w:rPr>
        <w:t>在高温干热系统控制设计中对于发生突发性事件时，系统设置了自然停机控制程序，并使高温干热灭菌装置进出料门无法打开，以防止人员误入高压蒸汽灭菌装置。由于本工程废气净化采用粉尘阻拦干燥器+低温等离子废气工艺，一旦废气处理系统出现故障，废气超标排放，该废气有一定的危害性，车间内环境空气可能受到污染。</w:t>
      </w:r>
    </w:p>
    <w:p>
      <w:pPr>
        <w:spacing w:line="480" w:lineRule="exact"/>
        <w:ind w:firstLine="480" w:firstLineChars="200"/>
        <w:rPr>
          <w:rFonts w:ascii="Times New Roman" w:hAnsi="Times New Roman"/>
          <w:sz w:val="24"/>
          <w:szCs w:val="24"/>
        </w:rPr>
      </w:pPr>
      <w:r>
        <w:rPr>
          <w:rFonts w:hint="eastAsia" w:cs="宋体"/>
          <w:sz w:val="24"/>
          <w:szCs w:val="24"/>
        </w:rPr>
        <w:t>③</w:t>
      </w:r>
      <w:r>
        <w:rPr>
          <w:rFonts w:ascii="Times New Roman" w:hAnsi="Times New Roman"/>
          <w:sz w:val="24"/>
          <w:szCs w:val="24"/>
        </w:rPr>
        <w:t>废水事故排放风险影响分析</w:t>
      </w:r>
    </w:p>
    <w:p>
      <w:pPr>
        <w:spacing w:line="480" w:lineRule="exact"/>
        <w:ind w:firstLine="480" w:firstLineChars="200"/>
        <w:rPr>
          <w:rFonts w:ascii="Times New Roman" w:hAnsi="Times New Roman"/>
          <w:sz w:val="24"/>
          <w:szCs w:val="24"/>
        </w:rPr>
      </w:pPr>
      <w:r>
        <w:rPr>
          <w:rFonts w:ascii="Times New Roman" w:hAnsi="Times New Roman"/>
          <w:sz w:val="24"/>
          <w:szCs w:val="24"/>
        </w:rPr>
        <w:t>为保护项目周边水体的环境质量，杜绝废水不经处理发生泄漏的情况发生，污水处理站要定期进行维护，保证其运行良好，同时本项目现有115m</w:t>
      </w:r>
      <w:r>
        <w:rPr>
          <w:rFonts w:ascii="Times New Roman" w:hAnsi="Times New Roman"/>
          <w:sz w:val="24"/>
          <w:szCs w:val="24"/>
          <w:vertAlign w:val="superscript"/>
        </w:rPr>
        <w:t>3</w:t>
      </w:r>
      <w:r>
        <w:rPr>
          <w:rFonts w:ascii="Times New Roman" w:hAnsi="Times New Roman"/>
          <w:sz w:val="24"/>
          <w:szCs w:val="24"/>
        </w:rPr>
        <w:t>事故应急池用于收集事故废水。</w:t>
      </w:r>
    </w:p>
    <w:p>
      <w:pPr>
        <w:widowControl/>
        <w:spacing w:line="480" w:lineRule="exact"/>
        <w:outlineLvl w:val="3"/>
        <w:rPr>
          <w:rFonts w:ascii="Times New Roman" w:hAnsi="Times New Roman" w:eastAsia="黑体"/>
          <w:sz w:val="24"/>
        </w:rPr>
      </w:pPr>
      <w:r>
        <w:rPr>
          <w:rFonts w:ascii="Times New Roman" w:hAnsi="Times New Roman" w:eastAsia="黑体"/>
          <w:sz w:val="24"/>
        </w:rPr>
        <w:t>5.3.3.2.化学试剂泄漏风险分析</w:t>
      </w:r>
    </w:p>
    <w:p>
      <w:pPr>
        <w:spacing w:line="480" w:lineRule="exact"/>
        <w:ind w:firstLine="480" w:firstLineChars="200"/>
        <w:rPr>
          <w:rFonts w:ascii="Times New Roman" w:hAnsi="Times New Roman"/>
          <w:sz w:val="24"/>
          <w:szCs w:val="24"/>
        </w:rPr>
      </w:pPr>
      <w:r>
        <w:rPr>
          <w:rFonts w:ascii="Times New Roman" w:hAnsi="Times New Roman"/>
          <w:sz w:val="24"/>
          <w:szCs w:val="24"/>
        </w:rPr>
        <w:t>本项目清洗消毒采用次氯酸钠，污水处理间二氧化氯发生器制备二氧化氯是由盐酸和氯酸钠制备。次氯酸钠、盐酸和氯酸钠分别放置在库房的储存罐内，下方设置围堰，围堰容积可完全收集泄露后的化学试剂，对环境影响很小。</w:t>
      </w:r>
    </w:p>
    <w:p>
      <w:pPr>
        <w:widowControl/>
        <w:spacing w:line="480" w:lineRule="exact"/>
        <w:outlineLvl w:val="3"/>
        <w:rPr>
          <w:rFonts w:ascii="Times New Roman" w:hAnsi="Times New Roman" w:eastAsia="黑体"/>
          <w:sz w:val="24"/>
        </w:rPr>
      </w:pPr>
      <w:r>
        <w:rPr>
          <w:rFonts w:ascii="Times New Roman" w:hAnsi="Times New Roman" w:eastAsia="黑体"/>
          <w:sz w:val="24"/>
        </w:rPr>
        <w:t>5.3.3.3.医疗废物收集运输风险</w:t>
      </w:r>
    </w:p>
    <w:p>
      <w:pPr>
        <w:spacing w:line="480" w:lineRule="exact"/>
        <w:ind w:firstLine="480" w:firstLineChars="200"/>
        <w:rPr>
          <w:rFonts w:ascii="Times New Roman" w:hAnsi="Times New Roman"/>
          <w:sz w:val="24"/>
          <w:szCs w:val="24"/>
        </w:rPr>
      </w:pPr>
      <w:r>
        <w:rPr>
          <w:rFonts w:ascii="Times New Roman" w:hAnsi="Times New Roman"/>
          <w:sz w:val="24"/>
          <w:szCs w:val="24"/>
        </w:rPr>
        <w:t>根据建设单位提供的资料，现有工程建成至今未发生过医疗废物收集及运输过程事故风险情况，未出现运输路线沿线居民投诉事件。</w:t>
      </w:r>
    </w:p>
    <w:p>
      <w:pPr>
        <w:spacing w:line="480" w:lineRule="exact"/>
        <w:ind w:firstLine="480" w:firstLineChars="200"/>
        <w:rPr>
          <w:rFonts w:ascii="Times New Roman" w:hAnsi="Times New Roman"/>
          <w:sz w:val="24"/>
          <w:szCs w:val="24"/>
        </w:rPr>
      </w:pPr>
      <w:r>
        <w:rPr>
          <w:rFonts w:ascii="Times New Roman" w:hAnsi="Times New Roman"/>
          <w:sz w:val="24"/>
          <w:szCs w:val="24"/>
        </w:rPr>
        <w:t>本次改扩建工程依旧处理</w:t>
      </w:r>
      <w:r>
        <w:rPr>
          <w:rFonts w:hint="eastAsia" w:ascii="Times New Roman" w:hAnsi="Times New Roman"/>
          <w:sz w:val="24"/>
          <w:szCs w:val="24"/>
        </w:rPr>
        <w:t>双鸭山市</w:t>
      </w:r>
      <w:r>
        <w:rPr>
          <w:rFonts w:ascii="Times New Roman" w:hAnsi="Times New Roman"/>
          <w:sz w:val="24"/>
          <w:szCs w:val="24"/>
        </w:rPr>
        <w:t>的医疗废物。根据《医疗废物集中处置技术规范（试行）》对运送路线的要求是：尽量避开人口密集区域和交通拥堵道路。收运路线主要依据</w:t>
      </w:r>
      <w:r>
        <w:rPr>
          <w:rFonts w:hint="eastAsia" w:ascii="Times New Roman" w:hAnsi="Times New Roman"/>
          <w:sz w:val="24"/>
          <w:szCs w:val="24"/>
        </w:rPr>
        <w:t>双鸭山市</w:t>
      </w:r>
      <w:r>
        <w:rPr>
          <w:rFonts w:ascii="Times New Roman" w:hAnsi="Times New Roman"/>
          <w:sz w:val="24"/>
          <w:szCs w:val="24"/>
        </w:rPr>
        <w:t>交通图确定。市区道路及乡镇道路的转运车按照30~60km/h时速，在国道和省道的转运车按照60~90km/h时速，在高速公路的转运车按照80~120km/h时速进行设计，并适当考虑医疗废物装卸所需消耗的时间。根据市区及各县市医疗废物产生量，并根据各自的交通条件，拟定5条运输线路。</w:t>
      </w:r>
    </w:p>
    <w:p>
      <w:pPr>
        <w:spacing w:line="480" w:lineRule="exact"/>
        <w:ind w:firstLine="480" w:firstLineChars="200"/>
        <w:rPr>
          <w:rFonts w:ascii="Times New Roman" w:hAnsi="Times New Roman"/>
          <w:sz w:val="24"/>
          <w:szCs w:val="24"/>
        </w:rPr>
      </w:pPr>
      <w:r>
        <w:rPr>
          <w:rFonts w:ascii="Times New Roman" w:hAnsi="Times New Roman"/>
          <w:sz w:val="24"/>
          <w:szCs w:val="24"/>
        </w:rPr>
        <w:t>医疗废物收集运输过程中不慎散落，抛洒到周围环境，会使接触到这类物质的人群传染上疾病，甚至扩大疾病的传染范围，形成疫情。医疗废物收运车辆一旦发生交通事故，致使医疗废物全部或部分倾翻流入环境，可以造成交通干线周围几十米范围的人群感染和土壤污染，甚至渗入到地下引起地下水污染；如果洒落在河道边或受污染地面被水冲刷，污染物质流入地表水域，造成地表水污染。</w:t>
      </w:r>
    </w:p>
    <w:p>
      <w:pPr>
        <w:spacing w:line="480" w:lineRule="exact"/>
        <w:ind w:firstLine="480" w:firstLineChars="200"/>
        <w:rPr>
          <w:rFonts w:ascii="Times New Roman" w:hAnsi="Times New Roman"/>
          <w:sz w:val="24"/>
          <w:szCs w:val="24"/>
        </w:rPr>
      </w:pPr>
      <w:r>
        <w:rPr>
          <w:rFonts w:ascii="Times New Roman" w:hAnsi="Times New Roman"/>
          <w:sz w:val="24"/>
          <w:szCs w:val="24"/>
        </w:rPr>
        <w:t>医疗废物收集运输过程中最易发生风险事故的是公路运输，特别是高速公路交通运输。本工程配备了足够的专用医疗废物收运车辆，必须对运输车的驾驶员进行专业培训，告诫所有医疗废物的专用运输车的驾驶员，途中经过河流、湖泊、城区、集镇、保护区等路段时必须减速、谨慎驾驶，保证安全，杜绝交通事故的发生。</w:t>
      </w:r>
    </w:p>
    <w:p>
      <w:pPr>
        <w:pStyle w:val="4"/>
        <w:spacing w:before="120" w:beforeLines="50" w:after="120" w:afterLines="50" w:line="480" w:lineRule="exact"/>
        <w:rPr>
          <w:rFonts w:ascii="Times New Roman" w:hAnsi="Times New Roman" w:eastAsia="黑体"/>
          <w:bCs/>
          <w:sz w:val="28"/>
          <w:szCs w:val="28"/>
        </w:rPr>
      </w:pPr>
      <w:r>
        <w:rPr>
          <w:rFonts w:ascii="Times New Roman" w:hAnsi="Times New Roman" w:eastAsia="黑体"/>
          <w:bCs/>
          <w:sz w:val="28"/>
          <w:szCs w:val="28"/>
        </w:rPr>
        <w:t>环境风险</w:t>
      </w:r>
      <w:r>
        <w:rPr>
          <w:rFonts w:hint="eastAsia" w:ascii="Times New Roman" w:hAnsi="Times New Roman" w:eastAsia="黑体"/>
          <w:bCs/>
          <w:sz w:val="28"/>
          <w:szCs w:val="28"/>
        </w:rPr>
        <w:t>防范措施</w:t>
      </w:r>
    </w:p>
    <w:p>
      <w:pPr>
        <w:spacing w:line="480" w:lineRule="exact"/>
        <w:ind w:firstLine="480" w:firstLineChars="200"/>
        <w:rPr>
          <w:rFonts w:ascii="Times New Roman" w:hAnsi="Times New Roman"/>
          <w:sz w:val="24"/>
          <w:szCs w:val="24"/>
        </w:rPr>
      </w:pPr>
      <w:r>
        <w:rPr>
          <w:rFonts w:hint="eastAsia" w:ascii="Times New Roman" w:hAnsi="Times New Roman"/>
          <w:sz w:val="24"/>
          <w:szCs w:val="24"/>
        </w:rPr>
        <w:t>（1）</w:t>
      </w:r>
      <w:r>
        <w:rPr>
          <w:rFonts w:ascii="Times New Roman" w:hAnsi="Times New Roman"/>
          <w:sz w:val="24"/>
          <w:szCs w:val="24"/>
        </w:rPr>
        <w:t>工程措施</w:t>
      </w:r>
    </w:p>
    <w:p>
      <w:pPr>
        <w:spacing w:line="480" w:lineRule="exact"/>
        <w:ind w:firstLine="480" w:firstLineChars="200"/>
        <w:rPr>
          <w:rFonts w:ascii="Times New Roman" w:hAnsi="Times New Roman"/>
          <w:sz w:val="24"/>
          <w:szCs w:val="24"/>
        </w:rPr>
      </w:pPr>
      <w:r>
        <w:rPr>
          <w:rFonts w:ascii="Times New Roman" w:hAnsi="Times New Roman"/>
          <w:sz w:val="24"/>
          <w:szCs w:val="24"/>
        </w:rPr>
        <w:t>a、项目总平面布置严格执行 GB50016-2006 《建筑设计防火规范》要求， 各 类建、构筑物的抗震设计应符合 GB50011-2001 《建筑抗震设计规范》的相关规 定；</w:t>
      </w:r>
    </w:p>
    <w:p>
      <w:pPr>
        <w:spacing w:line="480" w:lineRule="exact"/>
        <w:ind w:firstLine="480" w:firstLineChars="200"/>
        <w:rPr>
          <w:rFonts w:ascii="Times New Roman" w:hAnsi="Times New Roman"/>
          <w:sz w:val="24"/>
          <w:szCs w:val="24"/>
        </w:rPr>
      </w:pPr>
      <w:r>
        <w:rPr>
          <w:rFonts w:ascii="Times New Roman" w:hAnsi="Times New Roman"/>
          <w:sz w:val="24"/>
          <w:szCs w:val="24"/>
        </w:rPr>
        <w:t>b、厂区应配置灭火器、消防沙、室内外消防栓或者消防水池等设施，消防 设计应经消防部门审查同意，建成后应进行消防验收；</w:t>
      </w:r>
    </w:p>
    <w:p>
      <w:pPr>
        <w:spacing w:line="480" w:lineRule="exact"/>
        <w:ind w:firstLine="480" w:firstLineChars="200"/>
        <w:rPr>
          <w:rFonts w:ascii="Times New Roman" w:hAnsi="Times New Roman"/>
          <w:sz w:val="24"/>
          <w:szCs w:val="24"/>
        </w:rPr>
      </w:pPr>
      <w:r>
        <w:rPr>
          <w:rFonts w:hint="eastAsia" w:ascii="Times New Roman" w:hAnsi="Times New Roman"/>
          <w:sz w:val="24"/>
          <w:szCs w:val="24"/>
        </w:rPr>
        <w:t>（2）</w:t>
      </w:r>
      <w:r>
        <w:rPr>
          <w:rFonts w:ascii="Times New Roman" w:hAnsi="Times New Roman"/>
          <w:sz w:val="24"/>
          <w:szCs w:val="24"/>
        </w:rPr>
        <w:t>管理措施</w:t>
      </w:r>
    </w:p>
    <w:p>
      <w:pPr>
        <w:spacing w:line="480" w:lineRule="exact"/>
        <w:ind w:firstLine="480" w:firstLineChars="200"/>
        <w:rPr>
          <w:rFonts w:ascii="Times New Roman" w:hAnsi="Times New Roman"/>
          <w:sz w:val="24"/>
          <w:szCs w:val="24"/>
        </w:rPr>
      </w:pPr>
      <w:r>
        <w:rPr>
          <w:rFonts w:ascii="Times New Roman" w:hAnsi="Times New Roman"/>
          <w:sz w:val="24"/>
          <w:szCs w:val="24"/>
        </w:rPr>
        <w:t>a</w:t>
      </w:r>
      <w:r>
        <w:rPr>
          <w:rFonts w:hint="eastAsia" w:ascii="Times New Roman" w:hAnsi="Times New Roman"/>
          <w:sz w:val="24"/>
          <w:szCs w:val="24"/>
        </w:rPr>
        <w:t>、</w:t>
      </w:r>
      <w:r>
        <w:rPr>
          <w:rFonts w:ascii="Times New Roman" w:hAnsi="Times New Roman"/>
          <w:sz w:val="24"/>
          <w:szCs w:val="24"/>
        </w:rPr>
        <w:t>在危险物存放处设置明显的警示性标识；</w:t>
      </w:r>
    </w:p>
    <w:p>
      <w:pPr>
        <w:spacing w:line="480" w:lineRule="exact"/>
        <w:ind w:firstLine="480" w:firstLineChars="200"/>
        <w:rPr>
          <w:rFonts w:ascii="Times New Roman" w:hAnsi="Times New Roman"/>
          <w:sz w:val="24"/>
          <w:szCs w:val="24"/>
        </w:rPr>
      </w:pPr>
      <w:r>
        <w:rPr>
          <w:rFonts w:ascii="Times New Roman" w:hAnsi="Times New Roman"/>
          <w:sz w:val="24"/>
          <w:szCs w:val="24"/>
        </w:rPr>
        <w:t>b、对原料按计划采购，分批入库，严格控制贮存量；</w:t>
      </w:r>
    </w:p>
    <w:p>
      <w:pPr>
        <w:spacing w:line="480" w:lineRule="exact"/>
        <w:ind w:firstLine="480" w:firstLineChars="200"/>
        <w:rPr>
          <w:rFonts w:ascii="Times New Roman" w:hAnsi="Times New Roman"/>
          <w:sz w:val="24"/>
          <w:szCs w:val="24"/>
        </w:rPr>
      </w:pPr>
      <w:r>
        <w:rPr>
          <w:rFonts w:ascii="Times New Roman" w:hAnsi="Times New Roman"/>
          <w:sz w:val="24"/>
          <w:szCs w:val="24"/>
        </w:rPr>
        <w:t>c、对各类火种、火源严格控制和管理；</w:t>
      </w:r>
    </w:p>
    <w:p>
      <w:pPr>
        <w:spacing w:line="480" w:lineRule="exact"/>
        <w:ind w:firstLine="480" w:firstLineChars="200"/>
        <w:rPr>
          <w:rFonts w:ascii="Times New Roman" w:hAnsi="Times New Roman"/>
          <w:sz w:val="24"/>
          <w:szCs w:val="24"/>
        </w:rPr>
      </w:pPr>
      <w:r>
        <w:rPr>
          <w:rFonts w:ascii="Times New Roman" w:hAnsi="Times New Roman"/>
          <w:sz w:val="24"/>
          <w:szCs w:val="24"/>
        </w:rPr>
        <w:t>d、实行安全检查制度，各类安全设施、消防器材，进行各种日常的、定期 的防火安全检查；</w:t>
      </w:r>
    </w:p>
    <w:p>
      <w:pPr>
        <w:spacing w:line="480" w:lineRule="exact"/>
        <w:ind w:firstLine="480" w:firstLineChars="200"/>
        <w:rPr>
          <w:rFonts w:ascii="Times New Roman" w:hAnsi="Times New Roman"/>
          <w:sz w:val="24"/>
          <w:szCs w:val="24"/>
        </w:rPr>
      </w:pPr>
      <w:r>
        <w:rPr>
          <w:rFonts w:ascii="Times New Roman" w:hAnsi="Times New Roman"/>
          <w:sz w:val="24"/>
          <w:szCs w:val="24"/>
        </w:rPr>
        <w:t>e、制定操作规范，加强监督管理；</w:t>
      </w:r>
    </w:p>
    <w:p>
      <w:pPr>
        <w:spacing w:line="480" w:lineRule="exact"/>
        <w:ind w:firstLine="480" w:firstLineChars="200"/>
        <w:rPr>
          <w:rFonts w:ascii="Times New Roman" w:hAnsi="Times New Roman"/>
          <w:sz w:val="24"/>
          <w:szCs w:val="24"/>
        </w:rPr>
      </w:pPr>
      <w:r>
        <w:rPr>
          <w:rFonts w:ascii="Times New Roman" w:hAnsi="Times New Roman"/>
          <w:sz w:val="24"/>
          <w:szCs w:val="24"/>
        </w:rPr>
        <w:t>f、制定、落实事故风险应急预案。</w:t>
      </w:r>
    </w:p>
    <w:p>
      <w:pPr>
        <w:spacing w:line="480" w:lineRule="exact"/>
        <w:ind w:firstLine="480" w:firstLineChars="200"/>
        <w:rPr>
          <w:rFonts w:ascii="Times New Roman" w:hAnsi="Times New Roman"/>
          <w:sz w:val="24"/>
          <w:szCs w:val="24"/>
        </w:rPr>
      </w:pPr>
      <w:r>
        <w:rPr>
          <w:rFonts w:hint="eastAsia" w:ascii="Times New Roman" w:hAnsi="Times New Roman"/>
          <w:sz w:val="24"/>
          <w:szCs w:val="24"/>
        </w:rPr>
        <w:t>除以上管理措施外，</w:t>
      </w:r>
      <w:r>
        <w:rPr>
          <w:rFonts w:ascii="Times New Roman" w:hAnsi="Times New Roman"/>
          <w:sz w:val="24"/>
          <w:szCs w:val="24"/>
        </w:rPr>
        <w:t>企业严格按照《医疗废物集中处置技术规范(试行) 》、 《医疗废物转运车技术要求(试行) 》(GB19217-2003) 及《医疗废物管理条例》</w:t>
      </w:r>
      <w:r>
        <w:rPr>
          <w:rFonts w:hint="eastAsia" w:ascii="Times New Roman" w:hAnsi="Times New Roman"/>
          <w:sz w:val="24"/>
          <w:szCs w:val="24"/>
        </w:rPr>
        <w:t>中的相关要求做好医疗废物的收集、运输、管理、处置等工作，</w:t>
      </w:r>
      <w:r>
        <w:rPr>
          <w:rFonts w:ascii="Times New Roman" w:hAnsi="Times New Roman"/>
          <w:sz w:val="24"/>
          <w:szCs w:val="24"/>
        </w:rPr>
        <w:t xml:space="preserve"> 预防事故的发生。</w:t>
      </w:r>
    </w:p>
    <w:p>
      <w:pPr>
        <w:pStyle w:val="4"/>
        <w:spacing w:before="120" w:beforeLines="50" w:after="120" w:afterLines="50" w:line="480" w:lineRule="exact"/>
        <w:rPr>
          <w:rFonts w:ascii="Times New Roman" w:hAnsi="Times New Roman"/>
        </w:rPr>
      </w:pPr>
      <w:bookmarkStart w:id="1227" w:name="_Toc19859"/>
      <w:bookmarkStart w:id="1228" w:name="_Toc4146"/>
      <w:bookmarkStart w:id="1229" w:name="_Toc26863"/>
      <w:bookmarkStart w:id="1230" w:name="_Toc8565"/>
      <w:r>
        <w:rPr>
          <w:rFonts w:ascii="Times New Roman" w:hAnsi="Times New Roman" w:eastAsia="黑体"/>
          <w:bCs/>
          <w:sz w:val="28"/>
          <w:szCs w:val="28"/>
        </w:rPr>
        <w:t>环境风险评价结论</w:t>
      </w:r>
      <w:bookmarkEnd w:id="1227"/>
      <w:bookmarkEnd w:id="1228"/>
      <w:bookmarkEnd w:id="1229"/>
      <w:bookmarkEnd w:id="1230"/>
    </w:p>
    <w:p>
      <w:pPr>
        <w:pStyle w:val="155"/>
        <w:spacing w:line="480" w:lineRule="exact"/>
        <w:ind w:firstLine="480"/>
      </w:pPr>
      <w:r>
        <w:t>本项目涉及危险物质主要为氯酸钠、次氯酸钠、</w:t>
      </w:r>
      <w:r>
        <w:rPr>
          <w:rFonts w:hint="eastAsia"/>
        </w:rPr>
        <w:t>轻质柴油、导热油</w:t>
      </w:r>
      <w:r>
        <w:t>和</w:t>
      </w:r>
      <w:r>
        <w:rPr>
          <w:rFonts w:hint="eastAsia"/>
        </w:rPr>
        <w:t>废导热油</w:t>
      </w:r>
      <w:r>
        <w:t>，厂区危险物质最大在线量Q值小于1，风险潜势为Ⅰ级。项目风险事故情形设定为项目发生医疗废物暂存、处置产生的环境风险；化学物质泄漏产生的环境风险；医疗废物收集运输产生的环境风险；医疗废物废气、废水处理设施失效产生的事故排放风险。危险物质主要影响方式表现为大气环境、地表水环境、土壤等。基于以上分析，按照《建设项目环境风险评价技术导则》（HJ169-2018）附录A中对环境风险简单分析基本内容的要求，汇总出本项目环境风险简单分析内容下表。环境风险简单分析表见表5.3-1。</w:t>
      </w:r>
    </w:p>
    <w:p>
      <w:pPr>
        <w:spacing w:line="480" w:lineRule="exact"/>
        <w:jc w:val="center"/>
        <w:rPr>
          <w:rFonts w:ascii="Times New Roman" w:hAnsi="Times New Roman"/>
          <w:b/>
        </w:rPr>
      </w:pPr>
      <w:r>
        <w:rPr>
          <w:rFonts w:ascii="Times New Roman" w:hAnsi="Times New Roman"/>
          <w:b/>
        </w:rPr>
        <w:t>表5.3-1 建设项目环境风险简单分析内容表</w:t>
      </w:r>
    </w:p>
    <w:tbl>
      <w:tblPr>
        <w:tblStyle w:val="7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67"/>
        <w:gridCol w:w="1329"/>
        <w:gridCol w:w="1731"/>
        <w:gridCol w:w="1445"/>
        <w:gridCol w:w="235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8" w:type="dxa"/>
            <w:vAlign w:val="center"/>
          </w:tcPr>
          <w:p>
            <w:pPr>
              <w:rPr>
                <w:rFonts w:ascii="Times New Roman" w:hAnsi="Times New Roman"/>
                <w:kern w:val="2"/>
              </w:rPr>
            </w:pPr>
            <w:r>
              <w:rPr>
                <w:rFonts w:ascii="Times New Roman" w:hAnsi="Times New Roman"/>
                <w:kern w:val="2"/>
              </w:rPr>
              <w:t>建设项目名称</w:t>
            </w:r>
          </w:p>
        </w:tc>
        <w:tc>
          <w:tcPr>
            <w:tcW w:w="6861" w:type="dxa"/>
            <w:gridSpan w:val="4"/>
            <w:vAlign w:val="center"/>
          </w:tcPr>
          <w:p>
            <w:pPr>
              <w:rPr>
                <w:rFonts w:ascii="Times New Roman" w:hAnsi="Times New Roman"/>
                <w:kern w:val="2"/>
              </w:rPr>
            </w:pPr>
            <w:r>
              <w:rPr>
                <w:rFonts w:ascii="Times New Roman" w:hAnsi="Times New Roman"/>
                <w:kern w:val="2"/>
              </w:rPr>
              <w:t>黑龙江省双鸭山市医疗废物集中处置中心设备扩建项目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8" w:type="dxa"/>
            <w:vAlign w:val="center"/>
          </w:tcPr>
          <w:p>
            <w:pPr>
              <w:rPr>
                <w:rFonts w:ascii="Times New Roman" w:hAnsi="Times New Roman"/>
                <w:kern w:val="2"/>
              </w:rPr>
            </w:pPr>
            <w:r>
              <w:rPr>
                <w:rFonts w:ascii="Times New Roman" w:hAnsi="Times New Roman"/>
                <w:kern w:val="2"/>
              </w:rPr>
              <w:t>建设地点</w:t>
            </w:r>
          </w:p>
        </w:tc>
        <w:tc>
          <w:tcPr>
            <w:tcW w:w="6861" w:type="dxa"/>
            <w:gridSpan w:val="4"/>
            <w:vAlign w:val="center"/>
          </w:tcPr>
          <w:p>
            <w:pPr>
              <w:rPr>
                <w:rFonts w:ascii="Times New Roman" w:hAnsi="Times New Roman"/>
                <w:kern w:val="2"/>
              </w:rPr>
            </w:pPr>
            <w:r>
              <w:t>双鸭山市四方台梨花盖子沟垃圾处理场院内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8" w:type="dxa"/>
            <w:vAlign w:val="center"/>
          </w:tcPr>
          <w:p>
            <w:pPr>
              <w:rPr>
                <w:rFonts w:ascii="Times New Roman" w:hAnsi="Times New Roman"/>
                <w:kern w:val="2"/>
              </w:rPr>
            </w:pPr>
            <w:r>
              <w:rPr>
                <w:rFonts w:ascii="Times New Roman" w:hAnsi="Times New Roman"/>
                <w:kern w:val="2"/>
              </w:rPr>
              <w:t>地理坐标</w:t>
            </w:r>
          </w:p>
        </w:tc>
        <w:tc>
          <w:tcPr>
            <w:tcW w:w="1327" w:type="dxa"/>
            <w:vAlign w:val="center"/>
          </w:tcPr>
          <w:p>
            <w:pPr>
              <w:rPr>
                <w:rFonts w:ascii="Times New Roman" w:hAnsi="Times New Roman"/>
                <w:kern w:val="2"/>
              </w:rPr>
            </w:pPr>
            <w:r>
              <w:rPr>
                <w:rFonts w:ascii="Times New Roman" w:hAnsi="Times New Roman"/>
                <w:kern w:val="2"/>
              </w:rPr>
              <w:t>经度</w:t>
            </w:r>
          </w:p>
        </w:tc>
        <w:tc>
          <w:tcPr>
            <w:tcW w:w="1731" w:type="dxa"/>
            <w:vAlign w:val="center"/>
          </w:tcPr>
          <w:p>
            <w:pPr>
              <w:rPr>
                <w:rFonts w:ascii="Times New Roman" w:hAnsi="Times New Roman"/>
                <w:kern w:val="2"/>
              </w:rPr>
            </w:pPr>
            <w:r>
              <w:rPr>
                <w:rFonts w:ascii="Times New Roman" w:hAnsi="Times New Roman"/>
                <w:kern w:val="2"/>
              </w:rPr>
              <w:t>131°18'5.01"</w:t>
            </w:r>
          </w:p>
        </w:tc>
        <w:tc>
          <w:tcPr>
            <w:tcW w:w="1443" w:type="dxa"/>
            <w:vAlign w:val="center"/>
          </w:tcPr>
          <w:p>
            <w:pPr>
              <w:rPr>
                <w:rFonts w:ascii="Times New Roman" w:hAnsi="Times New Roman"/>
                <w:kern w:val="2"/>
              </w:rPr>
            </w:pPr>
            <w:r>
              <w:rPr>
                <w:rFonts w:ascii="Times New Roman" w:hAnsi="Times New Roman"/>
                <w:kern w:val="2"/>
              </w:rPr>
              <w:t>纬度</w:t>
            </w:r>
          </w:p>
        </w:tc>
        <w:tc>
          <w:tcPr>
            <w:tcW w:w="2360" w:type="dxa"/>
            <w:vAlign w:val="center"/>
          </w:tcPr>
          <w:p>
            <w:pPr>
              <w:snapToGrid w:val="0"/>
              <w:rPr>
                <w:rFonts w:ascii="Times New Roman" w:hAnsi="Times New Roman"/>
                <w:kern w:val="2"/>
              </w:rPr>
            </w:pPr>
            <w:r>
              <w:rPr>
                <w:rFonts w:ascii="Times New Roman" w:hAnsi="Times New Roman"/>
                <w:kern w:val="2"/>
              </w:rPr>
              <w:t>46°37'59.76"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8" w:type="dxa"/>
            <w:vAlign w:val="center"/>
          </w:tcPr>
          <w:p>
            <w:pPr>
              <w:rPr>
                <w:rFonts w:ascii="Times New Roman" w:hAnsi="Times New Roman"/>
                <w:kern w:val="2"/>
              </w:rPr>
            </w:pPr>
            <w:r>
              <w:rPr>
                <w:rFonts w:ascii="Times New Roman" w:hAnsi="Times New Roman"/>
                <w:kern w:val="2"/>
              </w:rPr>
              <w:t>主要危险物质</w:t>
            </w:r>
          </w:p>
          <w:p>
            <w:pPr>
              <w:rPr>
                <w:rFonts w:ascii="Times New Roman" w:hAnsi="Times New Roman"/>
                <w:kern w:val="2"/>
              </w:rPr>
            </w:pPr>
            <w:r>
              <w:rPr>
                <w:rFonts w:ascii="Times New Roman" w:hAnsi="Times New Roman"/>
                <w:kern w:val="2"/>
              </w:rPr>
              <w:t>及分布</w:t>
            </w:r>
          </w:p>
        </w:tc>
        <w:tc>
          <w:tcPr>
            <w:tcW w:w="6861" w:type="dxa"/>
            <w:gridSpan w:val="4"/>
            <w:vAlign w:val="center"/>
          </w:tcPr>
          <w:p>
            <w:pPr>
              <w:rPr>
                <w:rFonts w:ascii="Times New Roman" w:hAnsi="Times New Roman"/>
                <w:kern w:val="2"/>
              </w:rPr>
            </w:pPr>
            <w:r>
              <w:rPr>
                <w:rFonts w:ascii="Times New Roman" w:hAnsi="Times New Roman"/>
                <w:kern w:val="2"/>
              </w:rPr>
              <w:t>主要危险物质</w:t>
            </w:r>
            <w:r>
              <w:rPr>
                <w:rFonts w:ascii="Times New Roman" w:hAnsi="Times New Roman"/>
              </w:rPr>
              <w:t>氯酸钠和次氯酸钠分别</w:t>
            </w:r>
            <w:r>
              <w:rPr>
                <w:rFonts w:ascii="Times New Roman" w:hAnsi="Times New Roman"/>
                <w:kern w:val="2"/>
              </w:rPr>
              <w:t>属于《建设项目环境风险评价技术导则》（HJ/T169-2018）的附录B表1中第233项和第85项；</w:t>
            </w:r>
            <w:r>
              <w:rPr>
                <w:rFonts w:hint="eastAsia" w:ascii="Times New Roman" w:hAnsi="Times New Roman"/>
                <w:kern w:val="2"/>
              </w:rPr>
              <w:t>导热油、废导热油和轻质柴油属于</w:t>
            </w:r>
            <w:r>
              <w:rPr>
                <w:rFonts w:ascii="Times New Roman" w:hAnsi="Times New Roman"/>
                <w:kern w:val="2"/>
              </w:rPr>
              <w:t xml:space="preserve"> 《建设项目环境风险评价技术导则》（HJ/T169-2018）的附录B表1中第381项</w:t>
            </w:r>
            <w:r>
              <w:rPr>
                <w:rFonts w:hint="eastAsia" w:ascii="Times New Roman" w:hAnsi="Times New Roman"/>
                <w:kern w:val="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8" w:type="dxa"/>
            <w:vAlign w:val="center"/>
          </w:tcPr>
          <w:p>
            <w:pPr>
              <w:rPr>
                <w:rFonts w:ascii="Times New Roman" w:hAnsi="Times New Roman"/>
                <w:kern w:val="2"/>
              </w:rPr>
            </w:pPr>
            <w:r>
              <w:rPr>
                <w:rFonts w:ascii="Times New Roman" w:hAnsi="Times New Roman"/>
                <w:kern w:val="2"/>
              </w:rPr>
              <w:t>环境影响途径及危害结果（大气、地表水、地下水等）</w:t>
            </w:r>
          </w:p>
        </w:tc>
        <w:tc>
          <w:tcPr>
            <w:tcW w:w="6861" w:type="dxa"/>
            <w:gridSpan w:val="4"/>
            <w:vAlign w:val="center"/>
          </w:tcPr>
          <w:p>
            <w:pPr>
              <w:rPr>
                <w:rFonts w:ascii="Times New Roman" w:hAnsi="Times New Roman"/>
                <w:kern w:val="2"/>
              </w:rPr>
            </w:pPr>
            <w:r>
              <w:rPr>
                <w:rFonts w:ascii="Times New Roman" w:hAnsi="Times New Roman"/>
              </w:rPr>
              <w:t>项目风险事故情形设定为项目发生医疗废物暂存、处置产生的环境风险；化学物质泄漏产生的环境风险；医疗废物收集运输产生的环境风险；医疗废物废气、废水处理设施失效产生的事故排放风险。危险物质主要影响方式表现为大气环境、地表水环境、土壤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8" w:type="dxa"/>
            <w:vAlign w:val="center"/>
          </w:tcPr>
          <w:p>
            <w:pPr>
              <w:rPr>
                <w:rFonts w:ascii="Times New Roman" w:hAnsi="Times New Roman"/>
                <w:kern w:val="2"/>
              </w:rPr>
            </w:pPr>
            <w:r>
              <w:rPr>
                <w:rFonts w:ascii="Times New Roman" w:hAnsi="Times New Roman"/>
                <w:kern w:val="2"/>
              </w:rPr>
              <w:t>风险防范措施要求</w:t>
            </w:r>
          </w:p>
        </w:tc>
        <w:tc>
          <w:tcPr>
            <w:tcW w:w="6861" w:type="dxa"/>
            <w:gridSpan w:val="4"/>
            <w:vAlign w:val="center"/>
          </w:tcPr>
          <w:p>
            <w:pPr>
              <w:rPr>
                <w:rFonts w:ascii="Times New Roman" w:hAnsi="Times New Roman"/>
                <w:kern w:val="2"/>
              </w:rPr>
            </w:pPr>
            <w:r>
              <w:rPr>
                <w:rFonts w:ascii="Times New Roman" w:hAnsi="Times New Roman"/>
                <w:kern w:val="2"/>
              </w:rPr>
              <w:t>进行分区防渗，设置1座115m</w:t>
            </w:r>
            <w:r>
              <w:rPr>
                <w:rFonts w:ascii="Times New Roman" w:hAnsi="Times New Roman"/>
                <w:kern w:val="2"/>
                <w:vertAlign w:val="superscript"/>
              </w:rPr>
              <w:t>3</w:t>
            </w:r>
            <w:r>
              <w:rPr>
                <w:rFonts w:ascii="Times New Roman" w:hAnsi="Times New Roman"/>
                <w:kern w:val="2"/>
              </w:rPr>
              <w:t>的事故应急池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8" w:type="dxa"/>
            <w:vAlign w:val="center"/>
          </w:tcPr>
          <w:p>
            <w:pPr>
              <w:rPr>
                <w:rFonts w:ascii="Times New Roman" w:hAnsi="Times New Roman"/>
                <w:kern w:val="2"/>
              </w:rPr>
            </w:pPr>
            <w:r>
              <w:rPr>
                <w:rFonts w:ascii="Times New Roman" w:hAnsi="Times New Roman"/>
                <w:kern w:val="2"/>
              </w:rPr>
              <w:t>填表说明（列出项目相关信息及评级说明）</w:t>
            </w:r>
          </w:p>
        </w:tc>
        <w:tc>
          <w:tcPr>
            <w:tcW w:w="6861" w:type="dxa"/>
            <w:gridSpan w:val="4"/>
            <w:vAlign w:val="center"/>
          </w:tcPr>
          <w:p>
            <w:pPr>
              <w:rPr>
                <w:rFonts w:ascii="Times New Roman" w:hAnsi="Times New Roman" w:eastAsia="黑体"/>
                <w:kern w:val="2"/>
              </w:rPr>
            </w:pPr>
            <w:r>
              <w:rPr>
                <w:rFonts w:ascii="Times New Roman" w:hAnsi="Times New Roman"/>
                <w:kern w:val="2"/>
              </w:rPr>
              <w:t>项目Q&lt;1，该项目环境风险潜势为I，仅进行简单分析。</w:t>
            </w:r>
          </w:p>
        </w:tc>
      </w:tr>
      <w:bookmarkEnd w:id="1209"/>
      <w:bookmarkEnd w:id="1210"/>
      <w:bookmarkEnd w:id="1211"/>
      <w:bookmarkEnd w:id="1212"/>
      <w:bookmarkEnd w:id="1213"/>
    </w:tbl>
    <w:p>
      <w:pPr>
        <w:pStyle w:val="2"/>
        <w:numPr>
          <w:ilvl w:val="0"/>
          <w:numId w:val="2"/>
        </w:numPr>
        <w:ind w:left="0"/>
        <w:jc w:val="both"/>
        <w:rPr>
          <w:color w:val="auto"/>
        </w:rPr>
      </w:pPr>
      <w:bookmarkStart w:id="1231" w:name="_Toc116379718"/>
      <w:r>
        <w:rPr>
          <w:color w:val="auto"/>
        </w:rPr>
        <w:t>环境保护措施及可行性论证</w:t>
      </w:r>
      <w:bookmarkEnd w:id="1231"/>
    </w:p>
    <w:p>
      <w:pPr>
        <w:pStyle w:val="3"/>
        <w:spacing w:before="120" w:beforeLines="50" w:after="120" w:afterLines="50" w:line="480" w:lineRule="exact"/>
        <w:ind w:left="-11"/>
        <w:rPr>
          <w:rFonts w:ascii="Times New Roman" w:hAnsi="Times New Roman" w:eastAsia="黑体"/>
          <w:sz w:val="30"/>
          <w:szCs w:val="30"/>
        </w:rPr>
      </w:pPr>
      <w:bookmarkStart w:id="1232" w:name="_Toc116379719"/>
      <w:r>
        <w:rPr>
          <w:rFonts w:ascii="Times New Roman" w:hAnsi="Times New Roman" w:eastAsia="黑体"/>
          <w:sz w:val="30"/>
          <w:szCs w:val="30"/>
        </w:rPr>
        <w:t>施工期污染防治措施</w:t>
      </w:r>
      <w:bookmarkEnd w:id="1232"/>
    </w:p>
    <w:p>
      <w:pPr>
        <w:adjustRightInd w:val="0"/>
        <w:snapToGrid w:val="0"/>
        <w:spacing w:line="480" w:lineRule="exact"/>
        <w:ind w:firstLine="480" w:firstLineChars="200"/>
        <w:rPr>
          <w:rFonts w:ascii="Times New Roman" w:hAnsi="Times New Roman"/>
          <w:sz w:val="24"/>
        </w:rPr>
      </w:pPr>
      <w:r>
        <w:rPr>
          <w:rFonts w:ascii="Times New Roman" w:hAnsi="Times New Roman"/>
          <w:sz w:val="24"/>
          <w:szCs w:val="24"/>
        </w:rPr>
        <w:t>在施工期间，拟建项目将会对周围环境产生一定的影响，伴随着施工结束，施工期对外界环境的影响也将消失。施工期间，对周围环境的影响是暂时的。</w:t>
      </w:r>
    </w:p>
    <w:p>
      <w:pPr>
        <w:pStyle w:val="4"/>
        <w:spacing w:before="120" w:beforeLines="50" w:after="120" w:afterLines="50" w:line="480" w:lineRule="exact"/>
        <w:rPr>
          <w:rFonts w:ascii="Times New Roman" w:hAnsi="Times New Roman" w:eastAsia="黑体"/>
          <w:bCs/>
          <w:sz w:val="28"/>
          <w:szCs w:val="28"/>
        </w:rPr>
      </w:pPr>
      <w:bookmarkStart w:id="1233" w:name="_Toc406572556"/>
      <w:bookmarkStart w:id="1234" w:name="_Toc416966931"/>
      <w:bookmarkStart w:id="1235" w:name="_Toc486970419"/>
      <w:bookmarkStart w:id="1236" w:name="_Toc487111537"/>
      <w:bookmarkStart w:id="1237" w:name="_Toc534537673"/>
      <w:bookmarkStart w:id="1238" w:name="_Toc3147"/>
      <w:bookmarkStart w:id="1239" w:name="_Toc480190535"/>
      <w:bookmarkStart w:id="1240" w:name="_Toc22169"/>
      <w:bookmarkStart w:id="1241" w:name="_Toc458063884"/>
      <w:bookmarkStart w:id="1242" w:name="_Toc26188065"/>
      <w:bookmarkStart w:id="1243" w:name="_Toc482020698"/>
      <w:bookmarkStart w:id="1244" w:name="_Toc13947"/>
      <w:bookmarkStart w:id="1245" w:name="_Toc535168959"/>
      <w:bookmarkStart w:id="1246" w:name="_Toc530656025"/>
      <w:bookmarkStart w:id="1247" w:name="_Toc527205790"/>
      <w:bookmarkStart w:id="1248" w:name="_Toc409529976"/>
      <w:bookmarkStart w:id="1249" w:name="_Toc453708991"/>
      <w:bookmarkStart w:id="1250" w:name="_Toc9843864"/>
      <w:bookmarkStart w:id="1251" w:name="_Toc464036788"/>
      <w:bookmarkStart w:id="1252" w:name="_Toc406772094"/>
      <w:bookmarkStart w:id="1253" w:name="_Toc480983916"/>
      <w:bookmarkStart w:id="1254" w:name="_Toc407350286"/>
      <w:bookmarkStart w:id="1255" w:name="_Toc27134361"/>
      <w:bookmarkStart w:id="1256" w:name="_Toc532556655"/>
      <w:bookmarkStart w:id="1257" w:name="_Toc12888"/>
      <w:bookmarkStart w:id="1258" w:name="_Toc22297"/>
      <w:bookmarkStart w:id="1259" w:name="_Toc497228867"/>
      <w:bookmarkStart w:id="1260" w:name="_Toc535348514"/>
      <w:bookmarkStart w:id="1261" w:name="_Toc466271438"/>
      <w:r>
        <w:rPr>
          <w:rFonts w:ascii="Times New Roman" w:hAnsi="Times New Roman" w:eastAsia="黑体"/>
          <w:bCs/>
          <w:sz w:val="28"/>
          <w:szCs w:val="28"/>
        </w:rPr>
        <w:t>施工期</w:t>
      </w:r>
      <w:bookmarkEnd w:id="1233"/>
      <w:r>
        <w:rPr>
          <w:rFonts w:ascii="Times New Roman" w:hAnsi="Times New Roman" w:eastAsia="黑体"/>
          <w:bCs/>
          <w:sz w:val="28"/>
          <w:szCs w:val="28"/>
        </w:rPr>
        <w:t>废水防治措施</w:t>
      </w:r>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p>
    <w:p>
      <w:pPr>
        <w:spacing w:line="480" w:lineRule="exact"/>
        <w:ind w:firstLine="480" w:firstLineChars="200"/>
        <w:rPr>
          <w:rFonts w:ascii="Times New Roman" w:hAnsi="Times New Roman"/>
          <w:sz w:val="24"/>
          <w:szCs w:val="24"/>
        </w:rPr>
      </w:pPr>
      <w:r>
        <w:rPr>
          <w:rFonts w:ascii="Times New Roman" w:hAnsi="Times New Roman"/>
          <w:sz w:val="24"/>
        </w:rPr>
        <w:t>工程施工期间，施工单位应严格执行《建设工程施工厂地文明施工及环境管理暂行规定》，对地面污水的排放进行组织设计，严禁乱排和污染道路、环境等，严禁将污水直接排放。</w:t>
      </w:r>
      <w:r>
        <w:rPr>
          <w:rFonts w:ascii="Times New Roman" w:hAnsi="Times New Roman"/>
          <w:sz w:val="24"/>
          <w:szCs w:val="24"/>
        </w:rPr>
        <w:t>施工期总生活污水57.6m</w:t>
      </w:r>
      <w:r>
        <w:rPr>
          <w:rFonts w:ascii="Times New Roman" w:hAnsi="Times New Roman"/>
          <w:sz w:val="24"/>
          <w:szCs w:val="24"/>
          <w:vertAlign w:val="superscript"/>
        </w:rPr>
        <w:t>3</w:t>
      </w:r>
      <w:r>
        <w:rPr>
          <w:rFonts w:ascii="Times New Roman" w:hAnsi="Times New Roman"/>
          <w:sz w:val="24"/>
          <w:szCs w:val="24"/>
        </w:rPr>
        <w:t>，</w:t>
      </w:r>
      <w:r>
        <w:rPr>
          <w:rFonts w:ascii="Times New Roman" w:hAnsi="Times New Roman"/>
          <w:sz w:val="24"/>
        </w:rPr>
        <w:t>施工人员</w:t>
      </w:r>
      <w:r>
        <w:rPr>
          <w:rFonts w:ascii="Times New Roman" w:hAnsi="Times New Roman"/>
          <w:sz w:val="24"/>
          <w:szCs w:val="24"/>
        </w:rPr>
        <w:t>生活污水排入现有防渗化粪池后</w:t>
      </w:r>
      <w:r>
        <w:rPr>
          <w:rFonts w:hint="eastAsia" w:ascii="Times New Roman" w:hAnsi="Times New Roman"/>
          <w:sz w:val="24"/>
          <w:szCs w:val="24"/>
        </w:rPr>
        <w:t>通过罐车运送至双鸭山市污水处理厂处理</w:t>
      </w:r>
      <w:r>
        <w:rPr>
          <w:rFonts w:ascii="Times New Roman" w:hAnsi="Times New Roman"/>
          <w:sz w:val="24"/>
        </w:rPr>
        <w:t>。</w:t>
      </w:r>
    </w:p>
    <w:p>
      <w:pPr>
        <w:spacing w:line="480" w:lineRule="exact"/>
        <w:ind w:firstLine="480" w:firstLineChars="200"/>
        <w:rPr>
          <w:rFonts w:ascii="Times New Roman" w:hAnsi="Times New Roman"/>
        </w:rPr>
      </w:pPr>
      <w:r>
        <w:rPr>
          <w:rFonts w:ascii="Times New Roman" w:hAnsi="Times New Roman"/>
          <w:sz w:val="24"/>
          <w:szCs w:val="24"/>
        </w:rPr>
        <w:t>本项目施工是短期活动，当施工结束后废水对地表水体环境的影响也将消除。评价认为，采取上述措施后，可有效避免</w:t>
      </w:r>
      <w:r>
        <w:rPr>
          <w:rFonts w:ascii="Times New Roman" w:hAnsi="Times New Roman"/>
          <w:sz w:val="24"/>
        </w:rPr>
        <w:t>项目施工对水环境的不利影响，各项措施技术、经济可</w:t>
      </w:r>
      <w:r>
        <w:rPr>
          <w:rFonts w:ascii="Times New Roman" w:hAnsi="Times New Roman"/>
        </w:rPr>
        <w:t>行。</w:t>
      </w:r>
    </w:p>
    <w:p>
      <w:pPr>
        <w:pStyle w:val="4"/>
        <w:spacing w:before="120" w:beforeLines="50" w:after="120" w:afterLines="50" w:line="480" w:lineRule="exact"/>
        <w:rPr>
          <w:rFonts w:ascii="Times New Roman" w:hAnsi="Times New Roman" w:eastAsia="黑体"/>
          <w:bCs/>
          <w:sz w:val="28"/>
          <w:szCs w:val="28"/>
        </w:rPr>
      </w:pPr>
      <w:bookmarkStart w:id="1262" w:name="_Toc406572555"/>
      <w:bookmarkStart w:id="1263" w:name="_Toc24481"/>
      <w:bookmarkStart w:id="1264" w:name="_Toc26188066"/>
      <w:bookmarkStart w:id="1265" w:name="_Toc416966932"/>
      <w:bookmarkStart w:id="1266" w:name="_Toc464036789"/>
      <w:bookmarkStart w:id="1267" w:name="_Toc406772095"/>
      <w:bookmarkStart w:id="1268" w:name="_Toc5117"/>
      <w:bookmarkStart w:id="1269" w:name="_Toc23353"/>
      <w:bookmarkStart w:id="1270" w:name="_Toc530656026"/>
      <w:bookmarkStart w:id="1271" w:name="_Toc497228868"/>
      <w:bookmarkStart w:id="1272" w:name="_Toc535168960"/>
      <w:bookmarkStart w:id="1273" w:name="_Toc12668"/>
      <w:bookmarkStart w:id="1274" w:name="_Toc407350287"/>
      <w:bookmarkStart w:id="1275" w:name="_Toc458063885"/>
      <w:bookmarkStart w:id="1276" w:name="_Toc29299"/>
      <w:bookmarkStart w:id="1277" w:name="_Toc453708992"/>
      <w:bookmarkStart w:id="1278" w:name="_Toc535348515"/>
      <w:bookmarkStart w:id="1279" w:name="_Toc9843865"/>
      <w:bookmarkStart w:id="1280" w:name="_Toc27134362"/>
      <w:bookmarkStart w:id="1281" w:name="_Toc409529977"/>
      <w:bookmarkStart w:id="1282" w:name="_Toc532556656"/>
      <w:bookmarkStart w:id="1283" w:name="_Toc480983917"/>
      <w:bookmarkStart w:id="1284" w:name="_Toc527205791"/>
      <w:bookmarkStart w:id="1285" w:name="_Toc466271439"/>
      <w:bookmarkStart w:id="1286" w:name="_Toc534537674"/>
      <w:bookmarkStart w:id="1287" w:name="_Toc482020699"/>
      <w:bookmarkStart w:id="1288" w:name="_Toc487111538"/>
      <w:bookmarkStart w:id="1289" w:name="_Toc480190536"/>
      <w:bookmarkStart w:id="1290" w:name="_Toc486970420"/>
      <w:r>
        <w:rPr>
          <w:rFonts w:ascii="Times New Roman" w:hAnsi="Times New Roman" w:eastAsia="黑体"/>
          <w:bCs/>
          <w:sz w:val="28"/>
          <w:szCs w:val="28"/>
        </w:rPr>
        <w:t>施工期</w:t>
      </w:r>
      <w:bookmarkEnd w:id="1262"/>
      <w:r>
        <w:rPr>
          <w:rFonts w:ascii="Times New Roman" w:hAnsi="Times New Roman" w:eastAsia="黑体"/>
          <w:bCs/>
          <w:sz w:val="28"/>
          <w:szCs w:val="28"/>
        </w:rPr>
        <w:t>废气防治措施</w:t>
      </w:r>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p>
    <w:p>
      <w:pPr>
        <w:pStyle w:val="155"/>
        <w:spacing w:line="480" w:lineRule="exact"/>
        <w:ind w:firstLine="480"/>
      </w:pPr>
      <w:r>
        <w:t>施工期对环境空气的影响主要是运输车辆产生的尾气和扬尘、</w:t>
      </w:r>
      <w:r>
        <w:rPr>
          <w:szCs w:val="24"/>
        </w:rPr>
        <w:t>设备安装产生的废气</w:t>
      </w:r>
      <w:r>
        <w:t>。为减小施工扬尘对周围环境的影响，必须采取如下防治措施：</w:t>
      </w:r>
    </w:p>
    <w:p>
      <w:pPr>
        <w:pStyle w:val="155"/>
        <w:numPr>
          <w:ilvl w:val="0"/>
          <w:numId w:val="15"/>
        </w:numPr>
        <w:spacing w:line="480" w:lineRule="exact"/>
        <w:ind w:firstLine="480"/>
      </w:pPr>
      <w:r>
        <w:t>加强管理，文明施工，装运物料的车辆要遮盖封闭。</w:t>
      </w:r>
    </w:p>
    <w:p>
      <w:pPr>
        <w:pStyle w:val="155"/>
        <w:spacing w:line="480" w:lineRule="exact"/>
        <w:ind w:firstLine="480"/>
      </w:pPr>
      <w:r>
        <w:t>（2）加强施工车辆运行管理与维护保养。</w:t>
      </w:r>
    </w:p>
    <w:p>
      <w:pPr>
        <w:pStyle w:val="155"/>
        <w:spacing w:line="480" w:lineRule="exact"/>
        <w:ind w:firstLine="480"/>
      </w:pPr>
      <w:r>
        <w:t>（3）施工单位应负责工地周边道路的保洁工作。</w:t>
      </w:r>
    </w:p>
    <w:p>
      <w:pPr>
        <w:pStyle w:val="155"/>
        <w:spacing w:line="480" w:lineRule="exact"/>
        <w:ind w:firstLine="480"/>
      </w:pPr>
      <w:r>
        <w:t>（4）尽量避免在大风天气下进行施工作业。</w:t>
      </w:r>
    </w:p>
    <w:p>
      <w:pPr>
        <w:pStyle w:val="155"/>
        <w:spacing w:line="480" w:lineRule="exact"/>
        <w:ind w:firstLine="480"/>
      </w:pPr>
      <w:r>
        <w:t>（5）在施工场地设置专人负责建筑垃圾、建筑材料的处置、清运和堆放，堆放场地加盖蓬布或洒水，防止二次扬尘。</w:t>
      </w:r>
    </w:p>
    <w:p>
      <w:pPr>
        <w:pStyle w:val="155"/>
        <w:spacing w:line="480" w:lineRule="exact"/>
        <w:ind w:firstLine="480"/>
      </w:pPr>
      <w:r>
        <w:t>（6）对建筑垃圾应及时处理、清运、以减少占地，防止扬尘污染，改善施工场地的环境。</w:t>
      </w:r>
    </w:p>
    <w:p>
      <w:pPr>
        <w:pStyle w:val="155"/>
        <w:spacing w:line="480" w:lineRule="exact"/>
        <w:ind w:firstLine="480"/>
      </w:pPr>
      <w:r>
        <w:t>评价认为，采取上述措施后施工期废气满足《大气污染物综合排放标准》（GB16297-1996）无组织排放监控浓度限值，可有效避免项目施工扬尘对大气环境的不利影响，各项措施技术、经济可行。</w:t>
      </w:r>
    </w:p>
    <w:p>
      <w:pPr>
        <w:pStyle w:val="4"/>
        <w:spacing w:before="120" w:beforeLines="50" w:after="120" w:afterLines="50" w:line="480" w:lineRule="exact"/>
        <w:rPr>
          <w:rFonts w:ascii="Times New Roman" w:hAnsi="Times New Roman" w:eastAsia="黑体"/>
          <w:bCs/>
          <w:sz w:val="28"/>
          <w:szCs w:val="28"/>
        </w:rPr>
      </w:pPr>
      <w:bookmarkStart w:id="1291" w:name="_Toc406572554"/>
      <w:bookmarkStart w:id="1292" w:name="_Toc532556657"/>
      <w:bookmarkStart w:id="1293" w:name="_Toc453708993"/>
      <w:bookmarkStart w:id="1294" w:name="_Toc409529978"/>
      <w:bookmarkStart w:id="1295" w:name="_Toc21916"/>
      <w:bookmarkStart w:id="1296" w:name="_Toc9843866"/>
      <w:bookmarkStart w:id="1297" w:name="_Toc416966933"/>
      <w:bookmarkStart w:id="1298" w:name="_Toc527205792"/>
      <w:bookmarkStart w:id="1299" w:name="_Toc530656027"/>
      <w:bookmarkStart w:id="1300" w:name="_Toc482020700"/>
      <w:bookmarkStart w:id="1301" w:name="_Toc7212"/>
      <w:bookmarkStart w:id="1302" w:name="_Toc480190537"/>
      <w:bookmarkStart w:id="1303" w:name="_Toc535168961"/>
      <w:bookmarkStart w:id="1304" w:name="_Toc27035"/>
      <w:bookmarkStart w:id="1305" w:name="_Toc27134363"/>
      <w:bookmarkStart w:id="1306" w:name="_Toc497228869"/>
      <w:bookmarkStart w:id="1307" w:name="_Toc535348516"/>
      <w:bookmarkStart w:id="1308" w:name="_Toc406772096"/>
      <w:bookmarkStart w:id="1309" w:name="_Toc29715"/>
      <w:bookmarkStart w:id="1310" w:name="_Toc534537675"/>
      <w:bookmarkStart w:id="1311" w:name="_Toc458063886"/>
      <w:bookmarkStart w:id="1312" w:name="_Toc9667"/>
      <w:bookmarkStart w:id="1313" w:name="_Toc26188067"/>
      <w:bookmarkStart w:id="1314" w:name="_Toc486970421"/>
      <w:bookmarkStart w:id="1315" w:name="_Toc480983918"/>
      <w:bookmarkStart w:id="1316" w:name="_Toc466271440"/>
      <w:bookmarkStart w:id="1317" w:name="_Toc407350288"/>
      <w:bookmarkStart w:id="1318" w:name="_Toc487111539"/>
      <w:bookmarkStart w:id="1319" w:name="_Toc464036790"/>
      <w:r>
        <w:rPr>
          <w:rFonts w:ascii="Times New Roman" w:hAnsi="Times New Roman" w:eastAsia="黑体"/>
          <w:bCs/>
          <w:sz w:val="28"/>
          <w:szCs w:val="28"/>
        </w:rPr>
        <w:t>施工期</w:t>
      </w:r>
      <w:bookmarkEnd w:id="1291"/>
      <w:r>
        <w:rPr>
          <w:rFonts w:ascii="Times New Roman" w:hAnsi="Times New Roman" w:eastAsia="黑体"/>
          <w:bCs/>
          <w:sz w:val="28"/>
          <w:szCs w:val="28"/>
        </w:rPr>
        <w:t>噪声防治措施</w:t>
      </w:r>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p>
    <w:p>
      <w:pPr>
        <w:adjustRightInd w:val="0"/>
        <w:snapToGrid w:val="0"/>
        <w:spacing w:line="480" w:lineRule="exact"/>
        <w:ind w:firstLine="480" w:firstLineChars="200"/>
        <w:rPr>
          <w:rFonts w:ascii="Times New Roman" w:hAnsi="Times New Roman"/>
          <w:sz w:val="24"/>
        </w:rPr>
      </w:pPr>
      <w:r>
        <w:rPr>
          <w:rFonts w:ascii="Times New Roman" w:hAnsi="Times New Roman"/>
          <w:sz w:val="24"/>
        </w:rPr>
        <w:t>施工噪声的产生是不可避免的，只要有建设工地就会有施工噪声，为尽可能的防止噪声污染，在具体施工过程中，应严格执行《中华人民共和国环境噪声污染防治条例》和地方的环境噪声污染防治规定。项目施工期间噪声排放必须严格执行《建筑施工场界环境噪声排放标准》（GB12523-2011）。为减少和消除施工期间噪声对周围环境的影响，采取防止噪声的措施具体如下：</w:t>
      </w:r>
    </w:p>
    <w:p>
      <w:pPr>
        <w:adjustRightInd w:val="0"/>
        <w:snapToGrid w:val="0"/>
        <w:spacing w:line="480" w:lineRule="exact"/>
        <w:ind w:firstLine="480" w:firstLineChars="200"/>
        <w:rPr>
          <w:rFonts w:ascii="Times New Roman" w:hAnsi="Times New Roman"/>
          <w:sz w:val="24"/>
        </w:rPr>
      </w:pPr>
      <w:r>
        <w:rPr>
          <w:rFonts w:ascii="Times New Roman" w:hAnsi="Times New Roman"/>
          <w:sz w:val="24"/>
        </w:rPr>
        <w:t>（1）施工开始前进行公示，与周围企业进行有效沟通。</w:t>
      </w:r>
    </w:p>
    <w:p>
      <w:pPr>
        <w:adjustRightInd w:val="0"/>
        <w:snapToGrid w:val="0"/>
        <w:spacing w:line="480" w:lineRule="exact"/>
        <w:ind w:firstLine="480" w:firstLineChars="200"/>
        <w:rPr>
          <w:rFonts w:ascii="Times New Roman" w:hAnsi="Times New Roman"/>
          <w:sz w:val="24"/>
        </w:rPr>
      </w:pPr>
      <w:r>
        <w:rPr>
          <w:rFonts w:ascii="Times New Roman" w:hAnsi="Times New Roman"/>
          <w:sz w:val="24"/>
        </w:rPr>
        <w:t>（2）尽量采用低噪声机械，工程施工采用的施工机械设备应事先对其常规工作状态下的噪声测量，超过国家标准的机械应禁止入场施工。施工过程中还应经常对设备进行维修保养，避免因使用的设备性能差而使噪声增加的现象发生。</w:t>
      </w:r>
    </w:p>
    <w:p>
      <w:pPr>
        <w:adjustRightInd w:val="0"/>
        <w:snapToGrid w:val="0"/>
        <w:spacing w:line="480" w:lineRule="exact"/>
        <w:ind w:firstLine="480" w:firstLineChars="200"/>
        <w:rPr>
          <w:rFonts w:ascii="Times New Roman" w:hAnsi="Times New Roman"/>
          <w:sz w:val="24"/>
        </w:rPr>
      </w:pPr>
      <w:r>
        <w:rPr>
          <w:rFonts w:ascii="Times New Roman" w:hAnsi="Times New Roman"/>
          <w:sz w:val="24"/>
        </w:rPr>
        <w:t>（3）施工应合理安排施工时间。将强噪声作业尽量安排在白天进行，避免夜间（夜间22:00~早上6:00）和午间（12:00~14:00）施工。</w:t>
      </w:r>
    </w:p>
    <w:p>
      <w:pPr>
        <w:adjustRightInd w:val="0"/>
        <w:snapToGrid w:val="0"/>
        <w:spacing w:line="480" w:lineRule="exact"/>
        <w:ind w:firstLine="480" w:firstLineChars="200"/>
        <w:rPr>
          <w:rFonts w:ascii="Times New Roman" w:hAnsi="Times New Roman"/>
          <w:sz w:val="24"/>
        </w:rPr>
      </w:pPr>
      <w:r>
        <w:rPr>
          <w:rFonts w:ascii="Times New Roman" w:hAnsi="Times New Roman"/>
          <w:sz w:val="24"/>
        </w:rPr>
        <w:t>（4）要求施工单位通过文明施工、加强有效管理，以缓解敲击、人的喊叫等作为施工活动的声源。施工方应该制定合理有效的施工计划，提高工作效率，把施工时间控制在最短范围内。</w:t>
      </w:r>
    </w:p>
    <w:p>
      <w:pPr>
        <w:adjustRightInd w:val="0"/>
        <w:snapToGrid w:val="0"/>
        <w:spacing w:line="480" w:lineRule="exact"/>
        <w:ind w:firstLine="480" w:firstLineChars="200"/>
        <w:rPr>
          <w:rFonts w:ascii="Times New Roman" w:hAnsi="Times New Roman"/>
          <w:sz w:val="24"/>
        </w:rPr>
      </w:pPr>
      <w:r>
        <w:rPr>
          <w:rFonts w:ascii="Times New Roman" w:hAnsi="Times New Roman"/>
          <w:sz w:val="24"/>
        </w:rPr>
        <w:t>（5）加强对高噪声施工人员的劳动保护，如佩戴防噪头盔，合理安排作业轮换时间。</w:t>
      </w:r>
    </w:p>
    <w:p>
      <w:pPr>
        <w:adjustRightInd w:val="0"/>
        <w:snapToGrid w:val="0"/>
        <w:spacing w:line="480" w:lineRule="exact"/>
        <w:ind w:firstLine="480" w:firstLineChars="200"/>
        <w:rPr>
          <w:rFonts w:ascii="Times New Roman" w:hAnsi="Times New Roman"/>
          <w:sz w:val="24"/>
        </w:rPr>
      </w:pPr>
      <w:r>
        <w:rPr>
          <w:rFonts w:ascii="Times New Roman" w:hAnsi="Times New Roman"/>
          <w:sz w:val="24"/>
        </w:rPr>
        <w:t>评价认为，施工期的噪声影响是暂时性的，在采取相应的管理措施后施工期噪声满足《建筑施工场界环境噪声排放标准》（GB12523-2011），各项措施及技术经济可行。</w:t>
      </w:r>
    </w:p>
    <w:p>
      <w:pPr>
        <w:pStyle w:val="4"/>
        <w:spacing w:before="120" w:beforeLines="50" w:after="120" w:afterLines="50" w:line="480" w:lineRule="exact"/>
        <w:rPr>
          <w:rFonts w:ascii="Times New Roman" w:hAnsi="Times New Roman" w:eastAsia="黑体"/>
          <w:bCs/>
          <w:sz w:val="28"/>
          <w:szCs w:val="28"/>
        </w:rPr>
      </w:pPr>
      <w:bookmarkStart w:id="1320" w:name="_Toc406572557"/>
      <w:bookmarkStart w:id="1321" w:name="_Toc26188068"/>
      <w:bookmarkStart w:id="1322" w:name="_Toc534537676"/>
      <w:bookmarkStart w:id="1323" w:name="_Toc458063887"/>
      <w:bookmarkStart w:id="1324" w:name="_Toc406772097"/>
      <w:bookmarkStart w:id="1325" w:name="_Toc29107"/>
      <w:bookmarkStart w:id="1326" w:name="_Toc27135"/>
      <w:bookmarkStart w:id="1327" w:name="_Toc407350289"/>
      <w:bookmarkStart w:id="1328" w:name="_Toc527205793"/>
      <w:bookmarkStart w:id="1329" w:name="_Toc30098"/>
      <w:bookmarkStart w:id="1330" w:name="_Toc535168962"/>
      <w:bookmarkStart w:id="1331" w:name="_Toc530656028"/>
      <w:bookmarkStart w:id="1332" w:name="_Toc464036791"/>
      <w:bookmarkStart w:id="1333" w:name="_Toc466271441"/>
      <w:bookmarkStart w:id="1334" w:name="_Toc486970422"/>
      <w:bookmarkStart w:id="1335" w:name="_Toc9843867"/>
      <w:bookmarkStart w:id="1336" w:name="_Toc487111540"/>
      <w:bookmarkStart w:id="1337" w:name="_Toc27134364"/>
      <w:bookmarkStart w:id="1338" w:name="_Toc480190538"/>
      <w:bookmarkStart w:id="1339" w:name="_Toc532556658"/>
      <w:bookmarkStart w:id="1340" w:name="_Toc480983919"/>
      <w:bookmarkStart w:id="1341" w:name="_Toc409529979"/>
      <w:bookmarkStart w:id="1342" w:name="_Toc453708994"/>
      <w:bookmarkStart w:id="1343" w:name="_Toc482020701"/>
      <w:bookmarkStart w:id="1344" w:name="_Toc7724"/>
      <w:bookmarkStart w:id="1345" w:name="_Toc416966934"/>
      <w:bookmarkStart w:id="1346" w:name="_Toc27181"/>
      <w:bookmarkStart w:id="1347" w:name="_Toc535348517"/>
      <w:bookmarkStart w:id="1348" w:name="_Toc497228870"/>
      <w:r>
        <w:rPr>
          <w:rFonts w:ascii="Times New Roman" w:hAnsi="Times New Roman" w:eastAsia="黑体"/>
          <w:bCs/>
          <w:sz w:val="28"/>
          <w:szCs w:val="28"/>
        </w:rPr>
        <w:t>施工期固体废物</w:t>
      </w:r>
      <w:bookmarkEnd w:id="1320"/>
      <w:r>
        <w:rPr>
          <w:rFonts w:ascii="Times New Roman" w:hAnsi="Times New Roman" w:eastAsia="黑体"/>
          <w:bCs/>
          <w:sz w:val="28"/>
          <w:szCs w:val="28"/>
        </w:rPr>
        <w:t>防治措施</w:t>
      </w:r>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p>
    <w:p>
      <w:pPr>
        <w:spacing w:line="480" w:lineRule="exact"/>
        <w:ind w:firstLine="480" w:firstLineChars="200"/>
        <w:rPr>
          <w:rFonts w:ascii="Times New Roman" w:hAnsi="Times New Roman"/>
          <w:sz w:val="24"/>
          <w:szCs w:val="28"/>
        </w:rPr>
      </w:pPr>
      <w:r>
        <w:rPr>
          <w:rFonts w:ascii="Times New Roman" w:hAnsi="Times New Roman"/>
          <w:sz w:val="24"/>
          <w:szCs w:val="28"/>
        </w:rPr>
        <w:t>施工期固体废物主要是施工人员的生活垃圾，具体措施如下：</w:t>
      </w:r>
    </w:p>
    <w:p>
      <w:pPr>
        <w:spacing w:line="480" w:lineRule="exact"/>
        <w:ind w:firstLine="480" w:firstLineChars="200"/>
        <w:rPr>
          <w:rFonts w:ascii="Times New Roman" w:hAnsi="Times New Roman"/>
          <w:sz w:val="24"/>
          <w:szCs w:val="28"/>
        </w:rPr>
      </w:pPr>
      <w:r>
        <w:rPr>
          <w:rFonts w:ascii="Times New Roman" w:hAnsi="Times New Roman"/>
          <w:sz w:val="24"/>
          <w:szCs w:val="28"/>
        </w:rPr>
        <w:t>（1）施工现场设置垃圾桶，生活垃圾集中收集，由市政环卫部门清运。</w:t>
      </w:r>
    </w:p>
    <w:p>
      <w:pPr>
        <w:spacing w:line="480" w:lineRule="exact"/>
        <w:ind w:firstLine="480" w:firstLineChars="200"/>
        <w:rPr>
          <w:rFonts w:ascii="Times New Roman" w:hAnsi="Times New Roman"/>
          <w:sz w:val="24"/>
          <w:szCs w:val="28"/>
        </w:rPr>
      </w:pPr>
      <w:r>
        <w:rPr>
          <w:rFonts w:ascii="Times New Roman" w:hAnsi="Times New Roman"/>
          <w:sz w:val="24"/>
          <w:szCs w:val="28"/>
        </w:rPr>
        <w:t>（2）文明施工，严禁乱堆乱仍，防止产生二次污染。</w:t>
      </w:r>
    </w:p>
    <w:p>
      <w:pPr>
        <w:spacing w:line="480" w:lineRule="exact"/>
        <w:ind w:firstLine="480" w:firstLineChars="200"/>
        <w:rPr>
          <w:rFonts w:ascii="Times New Roman" w:hAnsi="Times New Roman"/>
          <w:sz w:val="24"/>
          <w:szCs w:val="28"/>
        </w:rPr>
      </w:pPr>
      <w:r>
        <w:rPr>
          <w:rFonts w:ascii="Times New Roman" w:hAnsi="Times New Roman"/>
          <w:sz w:val="24"/>
          <w:szCs w:val="28"/>
        </w:rPr>
        <w:t>评价认为，采取上述环保措施后，施工期固体废弃物对环境影响较小，各项措施技术、经济可行。</w:t>
      </w:r>
    </w:p>
    <w:p>
      <w:pPr>
        <w:pStyle w:val="4"/>
        <w:spacing w:before="120" w:beforeLines="50" w:after="120" w:afterLines="50" w:line="480" w:lineRule="exact"/>
        <w:rPr>
          <w:rFonts w:ascii="Times New Roman" w:hAnsi="Times New Roman" w:eastAsia="黑体"/>
          <w:bCs/>
          <w:sz w:val="28"/>
          <w:szCs w:val="28"/>
        </w:rPr>
      </w:pPr>
      <w:bookmarkStart w:id="1349" w:name="_Toc24002"/>
      <w:bookmarkStart w:id="1350" w:name="_Toc18708"/>
      <w:bookmarkStart w:id="1351" w:name="_Toc9843868"/>
      <w:bookmarkStart w:id="1352" w:name="_Toc27134365"/>
      <w:bookmarkStart w:id="1353" w:name="_Toc12652"/>
      <w:bookmarkStart w:id="1354" w:name="_Toc26188069"/>
      <w:bookmarkStart w:id="1355" w:name="_Toc4769"/>
      <w:bookmarkStart w:id="1356" w:name="_Toc30277"/>
      <w:r>
        <w:rPr>
          <w:rFonts w:ascii="Times New Roman" w:hAnsi="Times New Roman" w:eastAsia="黑体"/>
          <w:bCs/>
          <w:sz w:val="28"/>
          <w:szCs w:val="28"/>
        </w:rPr>
        <w:t>施工期生态环境防治措施</w:t>
      </w:r>
      <w:bookmarkEnd w:id="1349"/>
      <w:bookmarkEnd w:id="1350"/>
      <w:bookmarkEnd w:id="1351"/>
      <w:bookmarkEnd w:id="1352"/>
      <w:bookmarkEnd w:id="1353"/>
      <w:bookmarkEnd w:id="1354"/>
      <w:bookmarkEnd w:id="1355"/>
      <w:bookmarkEnd w:id="1356"/>
    </w:p>
    <w:p>
      <w:pPr>
        <w:spacing w:line="480" w:lineRule="exact"/>
        <w:ind w:firstLine="480" w:firstLineChars="200"/>
        <w:rPr>
          <w:rFonts w:ascii="Times New Roman" w:hAnsi="Times New Roman"/>
          <w:sz w:val="24"/>
        </w:rPr>
      </w:pPr>
      <w:r>
        <w:rPr>
          <w:rFonts w:ascii="Times New Roman" w:hAnsi="Times New Roman"/>
          <w:kern w:val="2"/>
          <w:sz w:val="24"/>
          <w:szCs w:val="20"/>
        </w:rPr>
        <w:t>本项目现有工程占地面积3093m</w:t>
      </w:r>
      <w:r>
        <w:rPr>
          <w:rFonts w:ascii="Times New Roman" w:hAnsi="Times New Roman"/>
          <w:kern w:val="2"/>
          <w:sz w:val="24"/>
          <w:szCs w:val="20"/>
          <w:vertAlign w:val="superscript"/>
        </w:rPr>
        <w:t>2</w:t>
      </w:r>
      <w:r>
        <w:rPr>
          <w:rFonts w:ascii="Times New Roman" w:hAnsi="Times New Roman"/>
          <w:kern w:val="2"/>
          <w:sz w:val="24"/>
          <w:szCs w:val="20"/>
        </w:rPr>
        <w:t>，本次改扩建不新增占地。</w:t>
      </w:r>
      <w:r>
        <w:rPr>
          <w:rFonts w:ascii="Times New Roman" w:hAnsi="Times New Roman"/>
          <w:sz w:val="24"/>
        </w:rPr>
        <w:t>项目区周围无自然保护区，无风景名胜区，也未发现珍稀保护动植物。项目工程量较少，污染物能够达标排放，因此对周边生态环境影响较小。</w:t>
      </w:r>
    </w:p>
    <w:p>
      <w:pPr>
        <w:pStyle w:val="3"/>
        <w:spacing w:before="120" w:beforeLines="50" w:after="120" w:afterLines="50" w:line="480" w:lineRule="exact"/>
        <w:ind w:left="-11"/>
        <w:rPr>
          <w:rFonts w:ascii="Times New Roman" w:hAnsi="Times New Roman" w:eastAsia="黑体"/>
          <w:sz w:val="30"/>
          <w:szCs w:val="30"/>
        </w:rPr>
      </w:pPr>
      <w:bookmarkStart w:id="1357" w:name="_Toc116379720"/>
      <w:r>
        <w:rPr>
          <w:rFonts w:ascii="Times New Roman" w:hAnsi="Times New Roman" w:eastAsia="黑体"/>
          <w:sz w:val="30"/>
          <w:szCs w:val="30"/>
        </w:rPr>
        <w:t>运营期污染防治措施</w:t>
      </w:r>
      <w:bookmarkEnd w:id="1357"/>
    </w:p>
    <w:p>
      <w:pPr>
        <w:pStyle w:val="4"/>
        <w:spacing w:before="120" w:beforeLines="50" w:after="120" w:afterLines="50" w:line="480" w:lineRule="exact"/>
        <w:rPr>
          <w:rFonts w:ascii="Times New Roman" w:hAnsi="Times New Roman" w:eastAsia="黑体"/>
          <w:bCs/>
          <w:sz w:val="28"/>
          <w:szCs w:val="28"/>
        </w:rPr>
      </w:pPr>
      <w:bookmarkStart w:id="1358" w:name="_Toc532556661"/>
      <w:bookmarkStart w:id="1359" w:name="_Toc535168965"/>
      <w:bookmarkStart w:id="1360" w:name="_Toc6357"/>
      <w:bookmarkStart w:id="1361" w:name="_Toc534537679"/>
      <w:bookmarkStart w:id="1362" w:name="_Toc17708"/>
      <w:bookmarkStart w:id="1363" w:name="_Toc11624"/>
      <w:bookmarkStart w:id="1364" w:name="_Toc530656030"/>
      <w:bookmarkStart w:id="1365" w:name="_Toc19088"/>
      <w:bookmarkStart w:id="1366" w:name="_Toc535348520"/>
      <w:bookmarkStart w:id="1367" w:name="_Toc27134367"/>
      <w:bookmarkStart w:id="1368" w:name="_Toc26188071"/>
      <w:bookmarkStart w:id="1369" w:name="_Toc9843870"/>
      <w:bookmarkStart w:id="1370" w:name="_Toc527205795"/>
      <w:bookmarkStart w:id="1371" w:name="_Toc19903"/>
      <w:bookmarkStart w:id="1372" w:name="_Toc487111545"/>
      <w:bookmarkStart w:id="1373" w:name="_Toc458063892"/>
      <w:bookmarkStart w:id="1374" w:name="_Toc466271446"/>
      <w:bookmarkStart w:id="1375" w:name="_Toc409529983"/>
      <w:bookmarkStart w:id="1376" w:name="_Toc407350292"/>
      <w:bookmarkStart w:id="1377" w:name="_Toc406772100"/>
      <w:bookmarkStart w:id="1378" w:name="_Toc453708999"/>
      <w:bookmarkStart w:id="1379" w:name="_Toc497228875"/>
      <w:bookmarkStart w:id="1380" w:name="_Toc482020706"/>
      <w:bookmarkStart w:id="1381" w:name="_Toc480190543"/>
      <w:bookmarkStart w:id="1382" w:name="_Toc480983924"/>
      <w:bookmarkStart w:id="1383" w:name="_Toc416966938"/>
      <w:bookmarkStart w:id="1384" w:name="_Toc406572560"/>
      <w:bookmarkStart w:id="1385" w:name="_Toc464036796"/>
      <w:bookmarkStart w:id="1386" w:name="_Toc486970427"/>
      <w:r>
        <w:rPr>
          <w:rFonts w:ascii="Times New Roman" w:hAnsi="Times New Roman" w:eastAsia="黑体"/>
          <w:bCs/>
          <w:sz w:val="28"/>
          <w:szCs w:val="28"/>
        </w:rPr>
        <w:t>地表水污染治理措施</w:t>
      </w:r>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p>
    <w:p>
      <w:pPr>
        <w:widowControl/>
        <w:spacing w:line="480" w:lineRule="exact"/>
        <w:outlineLvl w:val="3"/>
        <w:rPr>
          <w:rFonts w:ascii="Times New Roman" w:hAnsi="Times New Roman" w:eastAsia="黑体"/>
          <w:sz w:val="24"/>
        </w:rPr>
      </w:pPr>
      <w:r>
        <w:rPr>
          <w:rFonts w:ascii="Times New Roman" w:hAnsi="Times New Roman" w:eastAsia="黑体"/>
          <w:sz w:val="24"/>
        </w:rPr>
        <w:t>6.2.1.2.地表水污染防治措施</w:t>
      </w:r>
    </w:p>
    <w:p>
      <w:pPr>
        <w:spacing w:line="480" w:lineRule="exact"/>
        <w:ind w:firstLine="480" w:firstLineChars="200"/>
        <w:rPr>
          <w:rFonts w:ascii="Times New Roman" w:hAnsi="Times New Roman"/>
          <w:sz w:val="24"/>
          <w:szCs w:val="24"/>
        </w:rPr>
      </w:pPr>
      <w:r>
        <w:rPr>
          <w:rFonts w:ascii="Times New Roman" w:hAnsi="Times New Roman"/>
          <w:sz w:val="24"/>
          <w:szCs w:val="24"/>
        </w:rPr>
        <w:t>本项目改扩建工程生产废水包括转运车清洗废水、周转箱清洗废水、灭菌车清洗废水、</w:t>
      </w:r>
      <w:r>
        <w:rPr>
          <w:rFonts w:hint="eastAsia" w:ascii="Times New Roman" w:hAnsi="Times New Roman"/>
          <w:sz w:val="24"/>
          <w:szCs w:val="24"/>
        </w:rPr>
        <w:t>消毒废水</w:t>
      </w:r>
      <w:r>
        <w:rPr>
          <w:rFonts w:ascii="Times New Roman" w:hAnsi="Times New Roman"/>
          <w:sz w:val="24"/>
          <w:szCs w:val="24"/>
        </w:rPr>
        <w:t>和</w:t>
      </w:r>
      <w:r>
        <w:rPr>
          <w:rFonts w:hint="eastAsia" w:ascii="Times New Roman" w:hAnsi="Times New Roman"/>
          <w:sz w:val="24"/>
          <w:szCs w:val="24"/>
        </w:rPr>
        <w:t>残液</w:t>
      </w:r>
      <w:r>
        <w:rPr>
          <w:rFonts w:ascii="Times New Roman" w:hAnsi="Times New Roman"/>
          <w:sz w:val="24"/>
          <w:szCs w:val="24"/>
        </w:rPr>
        <w:t>等。</w:t>
      </w:r>
    </w:p>
    <w:p>
      <w:pPr>
        <w:widowControl/>
        <w:spacing w:line="480" w:lineRule="exact"/>
        <w:ind w:firstLine="480" w:firstLineChars="200"/>
        <w:rPr>
          <w:rFonts w:ascii="Times New Roman" w:hAnsi="Times New Roman"/>
          <w:sz w:val="24"/>
          <w:szCs w:val="24"/>
        </w:rPr>
      </w:pPr>
      <w:r>
        <w:rPr>
          <w:rFonts w:ascii="Times New Roman" w:hAnsi="Times New Roman"/>
          <w:sz w:val="24"/>
          <w:szCs w:val="24"/>
        </w:rPr>
        <w:t>生产废水经企业原有污水处理站（工艺流程：格栅→调节池→一体化污水处理设备(水解酸化池→接触氧化池 →二沉池 →MBR池) →二氧化氯发生器→回用水池）处理后满足《城市污水再生利用城市杂用水水质》( GB/T18920-2002 ) 中“车辆冲洗标准”厂内全部回用 （回用于车间地面消毒清洗用水、转运车消毒清洗用水和周转箱消毒清洗用水），不外排。</w:t>
      </w:r>
      <w:r>
        <w:rPr>
          <w:rFonts w:hint="eastAsia" w:ascii="Times New Roman" w:hAnsi="Times New Roman"/>
          <w:sz w:val="24"/>
          <w:szCs w:val="24"/>
        </w:rPr>
        <w:t>生活污水通过罐车运至双鸭山市城市污水处理厂处理后达到《城镇污水处理厂污染物排放标准》（GB18918-2002）一级A标准后排放。</w:t>
      </w:r>
    </w:p>
    <w:p>
      <w:pPr>
        <w:widowControl/>
        <w:spacing w:line="480" w:lineRule="exact"/>
        <w:ind w:firstLine="480" w:firstLineChars="200"/>
        <w:outlineLvl w:val="3"/>
        <w:rPr>
          <w:rFonts w:ascii="Times New Roman" w:hAnsi="Times New Roman"/>
          <w:sz w:val="24"/>
          <w:szCs w:val="24"/>
        </w:rPr>
      </w:pPr>
      <w:r>
        <w:rPr>
          <w:rFonts w:hint="eastAsia" w:ascii="Times New Roman" w:hAnsi="Times New Roman"/>
          <w:sz w:val="24"/>
          <w:szCs w:val="24"/>
        </w:rPr>
        <w:t>（</w:t>
      </w:r>
      <w:r>
        <w:rPr>
          <w:rFonts w:ascii="Times New Roman" w:hAnsi="Times New Roman"/>
          <w:sz w:val="24"/>
          <w:szCs w:val="24"/>
        </w:rPr>
        <w:t>1）转运车清洗废水</w:t>
      </w:r>
    </w:p>
    <w:p>
      <w:pPr>
        <w:widowControl/>
        <w:spacing w:line="480" w:lineRule="exact"/>
        <w:ind w:firstLine="480" w:firstLineChars="200"/>
        <w:outlineLvl w:val="3"/>
        <w:rPr>
          <w:rFonts w:ascii="Times New Roman" w:hAnsi="Times New Roman"/>
          <w:sz w:val="24"/>
          <w:szCs w:val="24"/>
        </w:rPr>
      </w:pPr>
      <w:r>
        <w:rPr>
          <w:rFonts w:hint="eastAsia" w:ascii="Times New Roman" w:hAnsi="Times New Roman"/>
          <w:sz w:val="24"/>
          <w:szCs w:val="24"/>
        </w:rPr>
        <w:t>本项目转运车清洗消毒用水量为</w:t>
      </w:r>
      <w:r>
        <w:rPr>
          <w:rFonts w:ascii="Times New Roman" w:hAnsi="Times New Roman"/>
          <w:sz w:val="24"/>
          <w:szCs w:val="24"/>
        </w:rPr>
        <w:t>0.4t/d、146t/a，转运车清洗消毒废水排放量按用水量的80%计算，则项目转运车清洗消毒废水排放量为0.32t/d、116.8t/a。</w:t>
      </w:r>
    </w:p>
    <w:p>
      <w:pPr>
        <w:widowControl/>
        <w:spacing w:line="480" w:lineRule="exact"/>
        <w:ind w:firstLine="480" w:firstLineChars="200"/>
        <w:outlineLvl w:val="3"/>
        <w:rPr>
          <w:rFonts w:ascii="Times New Roman" w:hAnsi="Times New Roman"/>
          <w:sz w:val="24"/>
          <w:szCs w:val="24"/>
        </w:rPr>
      </w:pPr>
      <w:r>
        <w:rPr>
          <w:rFonts w:hint="eastAsia" w:ascii="Times New Roman" w:hAnsi="Times New Roman"/>
          <w:sz w:val="24"/>
          <w:szCs w:val="24"/>
        </w:rPr>
        <w:t>（</w:t>
      </w:r>
      <w:r>
        <w:rPr>
          <w:rFonts w:ascii="Times New Roman" w:hAnsi="Times New Roman"/>
          <w:sz w:val="24"/>
          <w:szCs w:val="24"/>
        </w:rPr>
        <w:t>2）周转箱清洗废水</w:t>
      </w:r>
    </w:p>
    <w:p>
      <w:pPr>
        <w:widowControl/>
        <w:spacing w:line="480" w:lineRule="exact"/>
        <w:ind w:firstLine="480" w:firstLineChars="200"/>
        <w:outlineLvl w:val="3"/>
        <w:rPr>
          <w:rFonts w:ascii="Times New Roman" w:hAnsi="Times New Roman"/>
          <w:sz w:val="24"/>
          <w:szCs w:val="24"/>
        </w:rPr>
      </w:pPr>
      <w:r>
        <w:rPr>
          <w:rFonts w:hint="eastAsia" w:ascii="Times New Roman" w:hAnsi="Times New Roman"/>
          <w:sz w:val="24"/>
          <w:szCs w:val="24"/>
        </w:rPr>
        <w:t>根据周转箱清洗消毒用水量为</w:t>
      </w:r>
      <w:r>
        <w:rPr>
          <w:rFonts w:ascii="Times New Roman" w:hAnsi="Times New Roman"/>
          <w:sz w:val="24"/>
          <w:szCs w:val="24"/>
        </w:rPr>
        <w:t>1.5t/d、547.5t/a，周转箱清洗消毒废水排放量按用水量的80%计算，则项目周转箱清洗消毒废水排放量为1.2t/d、438t/a。</w:t>
      </w:r>
    </w:p>
    <w:p>
      <w:pPr>
        <w:widowControl/>
        <w:spacing w:line="480" w:lineRule="exact"/>
        <w:ind w:firstLine="480" w:firstLineChars="200"/>
        <w:outlineLvl w:val="3"/>
        <w:rPr>
          <w:rFonts w:ascii="Times New Roman" w:hAnsi="Times New Roman"/>
          <w:sz w:val="24"/>
          <w:szCs w:val="24"/>
        </w:rPr>
      </w:pPr>
      <w:r>
        <w:rPr>
          <w:rFonts w:hint="eastAsia" w:ascii="Times New Roman" w:hAnsi="Times New Roman"/>
          <w:sz w:val="24"/>
          <w:szCs w:val="24"/>
        </w:rPr>
        <w:t>（</w:t>
      </w:r>
      <w:r>
        <w:rPr>
          <w:rFonts w:ascii="Times New Roman" w:hAnsi="Times New Roman"/>
          <w:sz w:val="24"/>
          <w:szCs w:val="24"/>
        </w:rPr>
        <w:t>3）车间地面清洗废水</w:t>
      </w:r>
    </w:p>
    <w:p>
      <w:pPr>
        <w:widowControl/>
        <w:spacing w:line="480" w:lineRule="exact"/>
        <w:ind w:firstLine="480" w:firstLineChars="200"/>
        <w:outlineLvl w:val="3"/>
        <w:rPr>
          <w:rFonts w:ascii="Times New Roman" w:hAnsi="Times New Roman"/>
          <w:sz w:val="24"/>
          <w:szCs w:val="24"/>
        </w:rPr>
      </w:pPr>
      <w:r>
        <w:rPr>
          <w:rFonts w:hint="eastAsia" w:ascii="Times New Roman" w:hAnsi="Times New Roman"/>
          <w:sz w:val="24"/>
          <w:szCs w:val="24"/>
        </w:rPr>
        <w:t>本项目车间地面清洗用水量为</w:t>
      </w:r>
      <w:r>
        <w:rPr>
          <w:rFonts w:ascii="Times New Roman" w:hAnsi="Times New Roman"/>
          <w:sz w:val="24"/>
          <w:szCs w:val="24"/>
        </w:rPr>
        <w:t xml:space="preserve"> 2.5t/d，912.5t/a。车间地面清洗废水排放量按用水量的80%计算，则项目车间地面清洗废水排放量为2t/d、730t/a。</w:t>
      </w:r>
    </w:p>
    <w:p>
      <w:pPr>
        <w:widowControl/>
        <w:spacing w:line="480" w:lineRule="exact"/>
        <w:ind w:firstLine="480" w:firstLineChars="200"/>
        <w:outlineLvl w:val="3"/>
        <w:rPr>
          <w:rFonts w:ascii="Times New Roman" w:hAnsi="Times New Roman"/>
          <w:sz w:val="24"/>
          <w:szCs w:val="24"/>
        </w:rPr>
      </w:pPr>
      <w:r>
        <w:rPr>
          <w:rFonts w:hint="eastAsia" w:ascii="Times New Roman" w:hAnsi="Times New Roman"/>
          <w:sz w:val="24"/>
          <w:szCs w:val="24"/>
        </w:rPr>
        <w:t>（</w:t>
      </w:r>
      <w:r>
        <w:rPr>
          <w:rFonts w:ascii="Times New Roman" w:hAnsi="Times New Roman"/>
          <w:sz w:val="24"/>
          <w:szCs w:val="24"/>
        </w:rPr>
        <w:t>4）消毒废水</w:t>
      </w:r>
    </w:p>
    <w:p>
      <w:pPr>
        <w:widowControl/>
        <w:spacing w:line="480" w:lineRule="exact"/>
        <w:ind w:firstLine="480" w:firstLineChars="200"/>
        <w:outlineLvl w:val="3"/>
        <w:rPr>
          <w:rFonts w:ascii="Times New Roman" w:hAnsi="Times New Roman"/>
          <w:sz w:val="24"/>
          <w:szCs w:val="24"/>
        </w:rPr>
      </w:pPr>
      <w:r>
        <w:rPr>
          <w:rFonts w:hint="eastAsia" w:ascii="Times New Roman" w:hAnsi="Times New Roman"/>
          <w:sz w:val="24"/>
          <w:szCs w:val="24"/>
        </w:rPr>
        <w:t>医疗废物高温干热处理设备投放消毒液用水量为</w:t>
      </w:r>
      <w:r>
        <w:rPr>
          <w:rFonts w:ascii="Times New Roman" w:hAnsi="Times New Roman"/>
          <w:sz w:val="24"/>
          <w:szCs w:val="24"/>
        </w:rPr>
        <w:t>4.425t/d （1615.13t/a），此部分用水不产生废水，全部在高温干热设备中以水蒸气的形式挥发。其余消毒废水排放量按80%计算，则消毒废水为4.46t/d（1627.9t/a），其中包括了车间消毒废水、转运车消毒废水和周转箱消毒废水。</w:t>
      </w:r>
    </w:p>
    <w:p>
      <w:pPr>
        <w:widowControl/>
        <w:spacing w:line="480" w:lineRule="exact"/>
        <w:ind w:firstLine="480" w:firstLineChars="200"/>
        <w:outlineLvl w:val="3"/>
        <w:rPr>
          <w:rFonts w:ascii="Times New Roman" w:hAnsi="Times New Roman"/>
          <w:sz w:val="24"/>
          <w:szCs w:val="24"/>
        </w:rPr>
      </w:pPr>
      <w:r>
        <w:rPr>
          <w:rFonts w:hint="eastAsia" w:ascii="Times New Roman" w:hAnsi="Times New Roman"/>
          <w:sz w:val="24"/>
          <w:szCs w:val="24"/>
        </w:rPr>
        <w:t>（</w:t>
      </w:r>
      <w:r>
        <w:rPr>
          <w:rFonts w:ascii="Times New Roman" w:hAnsi="Times New Roman"/>
          <w:sz w:val="24"/>
          <w:szCs w:val="24"/>
        </w:rPr>
        <w:t>5）医疗废物残液</w:t>
      </w:r>
    </w:p>
    <w:p>
      <w:pPr>
        <w:widowControl/>
        <w:spacing w:line="480" w:lineRule="exact"/>
        <w:ind w:firstLine="480" w:firstLineChars="200"/>
        <w:outlineLvl w:val="3"/>
        <w:rPr>
          <w:rFonts w:ascii="Times New Roman" w:hAnsi="Times New Roman"/>
          <w:sz w:val="24"/>
          <w:szCs w:val="24"/>
        </w:rPr>
      </w:pPr>
      <w:r>
        <w:rPr>
          <w:rFonts w:hint="eastAsia" w:ascii="Times New Roman" w:hAnsi="Times New Roman"/>
          <w:sz w:val="24"/>
          <w:szCs w:val="24"/>
        </w:rPr>
        <w:t>医疗废物带入水量为</w:t>
      </w:r>
      <w:r>
        <w:rPr>
          <w:rFonts w:ascii="Times New Roman" w:hAnsi="Times New Roman"/>
          <w:sz w:val="24"/>
          <w:szCs w:val="24"/>
        </w:rPr>
        <w:t>1t/d，根据建设单位已有经验类比，残液为其25%，残液量为0.25t/d。</w:t>
      </w:r>
    </w:p>
    <w:p>
      <w:pPr>
        <w:widowControl/>
        <w:spacing w:line="480" w:lineRule="exact"/>
        <w:outlineLvl w:val="3"/>
        <w:rPr>
          <w:rFonts w:ascii="Times New Roman" w:hAnsi="Times New Roman" w:eastAsia="黑体"/>
          <w:sz w:val="24"/>
        </w:rPr>
      </w:pPr>
      <w:r>
        <w:rPr>
          <w:rFonts w:ascii="Times New Roman" w:hAnsi="Times New Roman" w:eastAsia="黑体"/>
          <w:sz w:val="24"/>
        </w:rPr>
        <w:t>6.2.1.2.废水污染防治措施可行性分析</w:t>
      </w:r>
    </w:p>
    <w:p>
      <w:pPr>
        <w:pStyle w:val="155"/>
        <w:spacing w:line="480" w:lineRule="exact"/>
        <w:ind w:firstLine="480"/>
      </w:pPr>
      <w:r>
        <w:t>根据《环境影响评价技术导则 地表水环境》（HJ2.3-2018）中水污染影响型建设项目评价等级判定依据，本项目废水属于间接排放，因此项目地表水环境影响评价等级为三级B。需分析依托污染处理设施环境可行性分析的要求及涉及地表水环境风险的，应覆盖环境风险影响范围所及的水环境保护目标水域。本项目污水水质类型简单，本次主要对依托污染处理设施环境可行性进行分析。</w:t>
      </w:r>
    </w:p>
    <w:p>
      <w:pPr>
        <w:pStyle w:val="155"/>
        <w:spacing w:line="480" w:lineRule="exact"/>
        <w:ind w:firstLine="480"/>
      </w:pPr>
      <w:r>
        <w:t>生产废水经企业原有污水处理站（工艺流程：格栅→调节池→一体化污水处理设备(水解酸化池→接触氧化池 →二沉池 →MBR池) →二氧化氯发生器→回用水池）处理后满足《城市污水再生利用城市杂用水水质》( GB/T18920-2002 ) 中“车辆冲洗标准”厂内全部回用 （回用于车间地面消毒清洗用水、转运车消毒清洗用水和周转箱消毒清洗用水），不外排。</w:t>
      </w:r>
    </w:p>
    <w:p>
      <w:pPr>
        <w:pStyle w:val="155"/>
        <w:spacing w:line="480" w:lineRule="exact"/>
        <w:ind w:firstLine="480"/>
      </w:pPr>
      <w:r>
        <w:rPr>
          <w:rFonts w:hint="eastAsia"/>
        </w:rPr>
        <w:t>现有污水处理站的设计处理能力为1</w:t>
      </w:r>
      <w:r>
        <w:t>5</w:t>
      </w:r>
      <w:r>
        <w:rPr>
          <w:rFonts w:hint="eastAsia"/>
        </w:rPr>
        <w:t>t</w:t>
      </w:r>
      <w:r>
        <w:t>/</w:t>
      </w:r>
      <w:r>
        <w:rPr>
          <w:rFonts w:hint="eastAsia"/>
        </w:rPr>
        <w:t>d，现有污水量为2.81t/d。本项目新增8.32t/d。总排污量为11.13t/d，小于设计处理量15/d，</w:t>
      </w:r>
      <w:r>
        <w:t>本项目为改扩建项目，所以</w:t>
      </w:r>
      <w:r>
        <w:rPr>
          <w:szCs w:val="24"/>
        </w:rPr>
        <w:t>本项目依托可行。</w:t>
      </w:r>
    </w:p>
    <w:p>
      <w:pPr>
        <w:pStyle w:val="4"/>
        <w:spacing w:before="120" w:beforeLines="50" w:after="120" w:afterLines="50" w:line="480" w:lineRule="exact"/>
        <w:rPr>
          <w:rFonts w:ascii="Times New Roman" w:hAnsi="Times New Roman" w:eastAsia="黑体"/>
          <w:bCs/>
          <w:sz w:val="28"/>
          <w:szCs w:val="28"/>
        </w:rPr>
      </w:pPr>
      <w:bookmarkStart w:id="1387" w:name="_Toc11840"/>
      <w:bookmarkStart w:id="1388" w:name="_Toc19119"/>
      <w:bookmarkStart w:id="1389" w:name="_Toc9843871"/>
      <w:bookmarkStart w:id="1390" w:name="_Toc9661"/>
      <w:bookmarkStart w:id="1391" w:name="_Toc22016"/>
      <w:bookmarkStart w:id="1392" w:name="_Toc26188072"/>
      <w:bookmarkStart w:id="1393" w:name="_Toc20268"/>
      <w:bookmarkStart w:id="1394" w:name="_Toc27134368"/>
      <w:r>
        <w:rPr>
          <w:rFonts w:ascii="Times New Roman" w:hAnsi="Times New Roman" w:eastAsia="黑体"/>
          <w:bCs/>
          <w:sz w:val="28"/>
          <w:szCs w:val="28"/>
        </w:rPr>
        <w:t>地下水污染治理措施及其可行性分析</w:t>
      </w:r>
      <w:bookmarkEnd w:id="1387"/>
      <w:bookmarkEnd w:id="1388"/>
      <w:bookmarkEnd w:id="1389"/>
      <w:bookmarkEnd w:id="1390"/>
      <w:bookmarkEnd w:id="1391"/>
      <w:bookmarkEnd w:id="1392"/>
      <w:bookmarkEnd w:id="1393"/>
      <w:bookmarkEnd w:id="1394"/>
    </w:p>
    <w:p>
      <w:pPr>
        <w:widowControl/>
        <w:spacing w:line="480" w:lineRule="exact"/>
        <w:outlineLvl w:val="3"/>
        <w:rPr>
          <w:rFonts w:ascii="Times New Roman" w:hAnsi="Times New Roman" w:eastAsia="黑体"/>
          <w:sz w:val="24"/>
        </w:rPr>
      </w:pPr>
      <w:r>
        <w:rPr>
          <w:rFonts w:ascii="Times New Roman" w:hAnsi="Times New Roman" w:eastAsia="黑体"/>
          <w:sz w:val="24"/>
        </w:rPr>
        <w:t>6.2.2.1.地下水污染治理措施</w:t>
      </w:r>
    </w:p>
    <w:p>
      <w:p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（1）环境管理对策</w:t>
      </w:r>
    </w:p>
    <w:p>
      <w:pPr>
        <w:spacing w:line="480" w:lineRule="exact"/>
        <w:ind w:firstLine="480" w:firstLineChars="200"/>
        <w:rPr>
          <w:rFonts w:ascii="Times New Roman" w:hAnsi="Times New Roman"/>
          <w:kern w:val="2"/>
          <w:sz w:val="24"/>
          <w:szCs w:val="20"/>
        </w:rPr>
      </w:pPr>
      <w:r>
        <w:rPr>
          <w:rFonts w:hint="eastAsia" w:cs="宋体"/>
          <w:kern w:val="2"/>
          <w:sz w:val="24"/>
          <w:szCs w:val="20"/>
        </w:rPr>
        <w:t>①</w:t>
      </w:r>
      <w:r>
        <w:rPr>
          <w:rFonts w:ascii="Times New Roman" w:hAnsi="Times New Roman"/>
          <w:kern w:val="2"/>
          <w:sz w:val="24"/>
          <w:szCs w:val="20"/>
        </w:rPr>
        <w:t>提高环保意识：提高全员的环境风险意识和应急能力，严格执行各项规章制度，避免由于误操作或违章操作带来严重污染后果。</w:t>
      </w:r>
    </w:p>
    <w:p>
      <w:pPr>
        <w:spacing w:line="480" w:lineRule="exact"/>
        <w:ind w:firstLine="480" w:firstLineChars="200"/>
        <w:rPr>
          <w:rFonts w:ascii="Times New Roman" w:hAnsi="Times New Roman"/>
          <w:kern w:val="2"/>
          <w:sz w:val="24"/>
          <w:szCs w:val="20"/>
        </w:rPr>
      </w:pPr>
      <w:r>
        <w:rPr>
          <w:rFonts w:hint="eastAsia" w:cs="宋体"/>
          <w:kern w:val="2"/>
          <w:sz w:val="24"/>
          <w:szCs w:val="20"/>
        </w:rPr>
        <w:t>②</w:t>
      </w:r>
      <w:r>
        <w:rPr>
          <w:rFonts w:ascii="Times New Roman" w:hAnsi="Times New Roman"/>
          <w:kern w:val="2"/>
          <w:sz w:val="24"/>
          <w:szCs w:val="20"/>
        </w:rPr>
        <w:t>健全管理机制：对可能发生泄漏的污染源进行认真排查、登记、建立健全定期巡检制度，及时发现，及时解决。</w:t>
      </w:r>
    </w:p>
    <w:p>
      <w:pPr>
        <w:spacing w:line="480" w:lineRule="exact"/>
        <w:ind w:firstLine="480" w:firstLineChars="200"/>
        <w:rPr>
          <w:rFonts w:ascii="Times New Roman" w:hAnsi="Times New Roman"/>
          <w:kern w:val="2"/>
          <w:sz w:val="24"/>
          <w:szCs w:val="20"/>
        </w:rPr>
      </w:pPr>
      <w:r>
        <w:rPr>
          <w:rFonts w:hint="eastAsia" w:cs="宋体"/>
          <w:kern w:val="2"/>
          <w:sz w:val="24"/>
          <w:szCs w:val="20"/>
        </w:rPr>
        <w:t>③</w:t>
      </w:r>
      <w:r>
        <w:rPr>
          <w:rFonts w:ascii="Times New Roman" w:hAnsi="Times New Roman"/>
          <w:kern w:val="2"/>
          <w:sz w:val="24"/>
          <w:szCs w:val="20"/>
        </w:rPr>
        <w:t>制定应急预案：对可能发生突发事件制定应急预案，采取相应有效的措施，以避免对地下水的污染。</w:t>
      </w:r>
    </w:p>
    <w:p>
      <w:pPr>
        <w:spacing w:line="480" w:lineRule="exact"/>
        <w:ind w:firstLine="480" w:firstLineChars="200"/>
        <w:rPr>
          <w:rFonts w:ascii="Times New Roman" w:hAnsi="Times New Roman"/>
          <w:kern w:val="2"/>
          <w:sz w:val="24"/>
          <w:szCs w:val="20"/>
        </w:rPr>
      </w:pPr>
      <w:r>
        <w:rPr>
          <w:rFonts w:hint="eastAsia" w:cs="宋体"/>
          <w:kern w:val="2"/>
          <w:sz w:val="24"/>
          <w:szCs w:val="20"/>
        </w:rPr>
        <w:t>④</w:t>
      </w:r>
      <w:r>
        <w:rPr>
          <w:rFonts w:ascii="Times New Roman" w:hAnsi="Times New Roman"/>
          <w:kern w:val="2"/>
          <w:sz w:val="24"/>
          <w:szCs w:val="20"/>
        </w:rPr>
        <w:t>定期监测：对监测井定期监测。一旦发现水质污染现象，应及时查明原因采取防范措施，防止污染。</w:t>
      </w:r>
    </w:p>
    <w:p>
      <w:p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（2）地下水防治原则</w:t>
      </w:r>
    </w:p>
    <w:p>
      <w:p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针对项目可能发生的地下水污染，地下水污染防治措施按照“源头控制、分区防治、污染监控、应急响应”相结合的原则，从污染物的产生、入渗、扩散、应急响应全阶段进行控制。</w:t>
      </w:r>
    </w:p>
    <w:p>
      <w:pPr>
        <w:numPr>
          <w:ilvl w:val="0"/>
          <w:numId w:val="16"/>
        </w:numPr>
        <w:spacing w:line="480" w:lineRule="exact"/>
        <w:rPr>
          <w:rFonts w:ascii="Times New Roman" w:hAnsi="Times New Roman"/>
          <w:kern w:val="2"/>
          <w:sz w:val="24"/>
          <w:szCs w:val="20"/>
        </w:rPr>
      </w:pPr>
      <w:r>
        <w:rPr>
          <w:rFonts w:ascii="Times New Roman" w:hAnsi="Times New Roman"/>
          <w:kern w:val="2"/>
          <w:sz w:val="24"/>
          <w:szCs w:val="20"/>
        </w:rPr>
        <w:t>源头控制</w:t>
      </w:r>
    </w:p>
    <w:p>
      <w:p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主要包括在工艺、管道、设备、污水处理构筑物等采取相应措施，防止和降低污染物“跑、冒、滴、漏”，将污染物泄漏的环境风险事故降到最低程度；管线敷设尽量采用“可视化”原则，即管道尽可能地上敷设，做到污染物“早发现、早处理”，减少由于埋地管道泄漏而造成的地下水污染。</w:t>
      </w:r>
    </w:p>
    <w:p>
      <w:pPr>
        <w:spacing w:line="480" w:lineRule="exact"/>
        <w:ind w:firstLine="480" w:firstLineChars="200"/>
        <w:rPr>
          <w:rFonts w:ascii="Times New Roman" w:hAnsi="Times New Roman"/>
          <w:kern w:val="2"/>
          <w:sz w:val="24"/>
          <w:szCs w:val="20"/>
        </w:rPr>
      </w:pPr>
      <w:r>
        <w:rPr>
          <w:rFonts w:hint="eastAsia" w:cs="宋体"/>
          <w:kern w:val="2"/>
          <w:sz w:val="24"/>
          <w:szCs w:val="20"/>
        </w:rPr>
        <w:t>②</w:t>
      </w:r>
      <w:r>
        <w:rPr>
          <w:rFonts w:ascii="Times New Roman" w:hAnsi="Times New Roman"/>
          <w:kern w:val="2"/>
          <w:sz w:val="24"/>
          <w:szCs w:val="20"/>
        </w:rPr>
        <w:t>分区防治</w:t>
      </w:r>
    </w:p>
    <w:p>
      <w:p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主要包括厂内污染区地面的防渗措施和泄漏、渗漏污染物收集措施，即在污染区地面进行防渗处理，防止洒落地面的污染物渗入地下，并把滞留在地面的污染物收集起来，集中送至污水处理场处理；末端控制采取分区防渗原则。</w:t>
      </w:r>
    </w:p>
    <w:p>
      <w:pPr>
        <w:spacing w:line="480" w:lineRule="exact"/>
        <w:ind w:firstLine="480" w:firstLineChars="200"/>
        <w:rPr>
          <w:rFonts w:ascii="Times New Roman" w:hAnsi="Times New Roman"/>
          <w:kern w:val="2"/>
          <w:sz w:val="24"/>
          <w:szCs w:val="20"/>
        </w:rPr>
      </w:pPr>
      <w:r>
        <w:rPr>
          <w:rFonts w:hint="eastAsia" w:cs="宋体"/>
          <w:kern w:val="2"/>
          <w:sz w:val="24"/>
          <w:szCs w:val="20"/>
        </w:rPr>
        <w:t>③</w:t>
      </w:r>
      <w:r>
        <w:rPr>
          <w:rFonts w:ascii="Times New Roman" w:hAnsi="Times New Roman"/>
          <w:kern w:val="2"/>
          <w:sz w:val="24"/>
          <w:szCs w:val="20"/>
        </w:rPr>
        <w:t>污染监控</w:t>
      </w:r>
    </w:p>
    <w:p>
      <w:p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实施覆盖生产区的地下水污染监控系统，包括建立完善的监测制度、配备先进的检测仪器和设备、科学、合理设置地下水污染监控井，及时发现污染、及时控制。</w:t>
      </w:r>
    </w:p>
    <w:p>
      <w:pPr>
        <w:spacing w:line="480" w:lineRule="exact"/>
        <w:ind w:firstLine="480" w:firstLineChars="200"/>
        <w:rPr>
          <w:rFonts w:ascii="Times New Roman" w:hAnsi="Times New Roman"/>
          <w:kern w:val="2"/>
          <w:sz w:val="24"/>
          <w:szCs w:val="20"/>
        </w:rPr>
      </w:pPr>
      <w:r>
        <w:rPr>
          <w:rFonts w:hint="eastAsia" w:cs="宋体"/>
          <w:kern w:val="2"/>
          <w:sz w:val="24"/>
          <w:szCs w:val="20"/>
        </w:rPr>
        <w:t>④</w:t>
      </w:r>
      <w:r>
        <w:rPr>
          <w:rFonts w:ascii="Times New Roman" w:hAnsi="Times New Roman"/>
          <w:kern w:val="2"/>
          <w:sz w:val="24"/>
          <w:szCs w:val="20"/>
        </w:rPr>
        <w:t>应急响应</w:t>
      </w:r>
    </w:p>
    <w:p>
      <w:p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包括一旦发现地下水污染事故，立即启动应急预案、采取应急措施控制地下水污染，并使污染得到治理。</w:t>
      </w:r>
    </w:p>
    <w:p>
      <w:pPr>
        <w:pStyle w:val="538"/>
        <w:numPr>
          <w:ilvl w:val="0"/>
          <w:numId w:val="15"/>
        </w:numPr>
        <w:spacing w:line="480" w:lineRule="exact"/>
        <w:ind w:firstLineChars="0"/>
        <w:rPr>
          <w:rFonts w:ascii="Times New Roman" w:hAnsi="Times New Roman"/>
          <w:kern w:val="2"/>
          <w:sz w:val="24"/>
          <w:szCs w:val="20"/>
        </w:rPr>
      </w:pPr>
      <w:r>
        <w:rPr>
          <w:rFonts w:ascii="Times New Roman" w:hAnsi="Times New Roman"/>
          <w:kern w:val="2"/>
          <w:sz w:val="24"/>
          <w:szCs w:val="20"/>
        </w:rPr>
        <w:t>分区防渗措施</w:t>
      </w:r>
    </w:p>
    <w:p>
      <w:pPr>
        <w:spacing w:line="480" w:lineRule="exact"/>
        <w:ind w:firstLine="480" w:firstLineChars="200"/>
        <w:rPr>
          <w:rFonts w:ascii="Times New Roman" w:hAnsi="Times New Roman"/>
          <w:sz w:val="24"/>
          <w:szCs w:val="24"/>
        </w:rPr>
      </w:pPr>
      <w:r>
        <w:rPr>
          <w:rFonts w:ascii="Times New Roman" w:hAnsi="Times New Roman"/>
          <w:sz w:val="24"/>
          <w:szCs w:val="24"/>
        </w:rPr>
        <w:t>项目依据建设项目场地天然包气带防污性能、污染控制难易程度和污染物特性，结合地下水环境影响评价结果和拟建工程总平面布置情况，将场地分为重点防渗区、一般防渗区和简单防渗区，各级防渗区的防渗技术要求，污染控制难易程度分级和天然包气带防污性能分级见下表。</w:t>
      </w:r>
    </w:p>
    <w:p>
      <w:pPr>
        <w:pStyle w:val="538"/>
        <w:spacing w:line="480" w:lineRule="exact"/>
        <w:ind w:left="420" w:firstLine="0" w:firstLineChars="0"/>
        <w:jc w:val="center"/>
        <w:rPr>
          <w:rFonts w:ascii="Times New Roman" w:hAnsi="Times New Roman"/>
          <w:b/>
          <w:bCs/>
          <w:sz w:val="24"/>
          <w:szCs w:val="24"/>
        </w:rPr>
      </w:pPr>
      <w:r>
        <w:rPr>
          <w:rFonts w:ascii="Times New Roman" w:hAnsi="Times New Roman"/>
          <w:b/>
          <w:bCs/>
        </w:rPr>
        <w:t>表6.2-1 污染控制难易程度分级参照表</w:t>
      </w:r>
    </w:p>
    <w:tbl>
      <w:tblPr>
        <w:tblStyle w:val="7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047"/>
        <w:gridCol w:w="648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00" w:type="pct"/>
          </w:tcPr>
          <w:p>
            <w:pPr>
              <w:jc w:val="center"/>
              <w:rPr>
                <w:rFonts w:ascii="Times New Roman" w:hAnsi="Times New Roman"/>
                <w:b/>
                <w:bCs/>
              </w:rPr>
            </w:pPr>
            <w:r>
              <w:rPr>
                <w:rFonts w:ascii="Times New Roman" w:hAnsi="Times New Roman"/>
                <w:b/>
                <w:bCs/>
              </w:rPr>
              <w:t>污染控制难易程度</w:t>
            </w:r>
          </w:p>
        </w:tc>
        <w:tc>
          <w:tcPr>
            <w:tcW w:w="3799" w:type="pct"/>
          </w:tcPr>
          <w:p>
            <w:pPr>
              <w:jc w:val="center"/>
              <w:rPr>
                <w:rFonts w:ascii="Times New Roman" w:hAnsi="Times New Roman"/>
                <w:b/>
                <w:bCs/>
              </w:rPr>
            </w:pPr>
            <w:r>
              <w:rPr>
                <w:rFonts w:ascii="Times New Roman" w:hAnsi="Times New Roman"/>
                <w:b/>
                <w:bCs/>
              </w:rPr>
              <w:t>主要特征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00" w:type="pct"/>
          </w:tcPr>
          <w:p>
            <w:pPr>
              <w:jc w:val="center"/>
              <w:rPr>
                <w:rFonts w:ascii="Times New Roman" w:hAnsi="Times New Roman"/>
              </w:rPr>
            </w:pPr>
            <w:r>
              <w:rPr>
                <w:rFonts w:ascii="Times New Roman" w:hAnsi="Times New Roman"/>
              </w:rPr>
              <w:t>难</w:t>
            </w:r>
          </w:p>
        </w:tc>
        <w:tc>
          <w:tcPr>
            <w:tcW w:w="3799" w:type="pct"/>
          </w:tcPr>
          <w:p>
            <w:pPr>
              <w:jc w:val="center"/>
              <w:rPr>
                <w:rFonts w:ascii="Times New Roman" w:hAnsi="Times New Roman"/>
              </w:rPr>
            </w:pPr>
            <w:r>
              <w:rPr>
                <w:rFonts w:ascii="Times New Roman" w:hAnsi="Times New Roman"/>
              </w:rPr>
              <w:t>对地下水环境有污染的物料或污染物泄漏后，不能及时发现和处理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00" w:type="pct"/>
          </w:tcPr>
          <w:p>
            <w:pPr>
              <w:jc w:val="center"/>
              <w:rPr>
                <w:rFonts w:ascii="Times New Roman" w:hAnsi="Times New Roman"/>
              </w:rPr>
            </w:pPr>
            <w:r>
              <w:rPr>
                <w:rFonts w:ascii="Times New Roman" w:hAnsi="Times New Roman"/>
              </w:rPr>
              <w:t>易</w:t>
            </w:r>
          </w:p>
        </w:tc>
        <w:tc>
          <w:tcPr>
            <w:tcW w:w="3799" w:type="pct"/>
          </w:tcPr>
          <w:p>
            <w:pPr>
              <w:jc w:val="center"/>
              <w:rPr>
                <w:rFonts w:ascii="Times New Roman" w:hAnsi="Times New Roman"/>
              </w:rPr>
            </w:pPr>
            <w:r>
              <w:rPr>
                <w:rFonts w:ascii="Times New Roman" w:hAnsi="Times New Roman"/>
              </w:rPr>
              <w:t>对地下水环境有污染的物料或污染物泄漏后，可及时发现和处理</w:t>
            </w:r>
          </w:p>
        </w:tc>
      </w:tr>
    </w:tbl>
    <w:p>
      <w:pPr>
        <w:spacing w:line="480" w:lineRule="exact"/>
        <w:jc w:val="center"/>
        <w:rPr>
          <w:rFonts w:ascii="Times New Roman" w:hAnsi="Times New Roman"/>
        </w:rPr>
      </w:pPr>
      <w:r>
        <w:rPr>
          <w:rFonts w:ascii="Times New Roman" w:hAnsi="Times New Roman"/>
          <w:b/>
          <w:bCs/>
        </w:rPr>
        <w:t>表6.2-2 天然包气带防污性能分级参照</w:t>
      </w:r>
      <w:r>
        <w:rPr>
          <w:rFonts w:ascii="Times New Roman" w:hAnsi="Times New Roman"/>
        </w:rPr>
        <w:t>表</w:t>
      </w:r>
    </w:p>
    <w:tbl>
      <w:tblPr>
        <w:tblStyle w:val="7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26"/>
        <w:gridCol w:w="770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4" w:type="pct"/>
            <w:vAlign w:val="center"/>
          </w:tcPr>
          <w:p>
            <w:pPr>
              <w:jc w:val="center"/>
              <w:rPr>
                <w:rFonts w:ascii="Times New Roman" w:hAnsi="Times New Roman"/>
                <w:b/>
                <w:bCs/>
              </w:rPr>
            </w:pPr>
            <w:r>
              <w:rPr>
                <w:rFonts w:ascii="Times New Roman" w:hAnsi="Times New Roman"/>
                <w:b/>
                <w:bCs/>
              </w:rPr>
              <w:t>分级</w:t>
            </w:r>
          </w:p>
        </w:tc>
        <w:tc>
          <w:tcPr>
            <w:tcW w:w="4516" w:type="pct"/>
            <w:vAlign w:val="center"/>
          </w:tcPr>
          <w:p>
            <w:pPr>
              <w:jc w:val="center"/>
              <w:rPr>
                <w:rFonts w:ascii="Times New Roman" w:hAnsi="Times New Roman"/>
                <w:b/>
                <w:bCs/>
              </w:rPr>
            </w:pPr>
            <w:r>
              <w:rPr>
                <w:rFonts w:ascii="Times New Roman" w:hAnsi="Times New Roman"/>
                <w:b/>
                <w:bCs/>
              </w:rPr>
              <w:t>包气带岩土的渗透性能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4" w:type="pct"/>
            <w:vAlign w:val="center"/>
          </w:tcPr>
          <w:p>
            <w:pPr>
              <w:jc w:val="center"/>
              <w:rPr>
                <w:rFonts w:ascii="Times New Roman" w:hAnsi="Times New Roman"/>
              </w:rPr>
            </w:pPr>
            <w:r>
              <w:rPr>
                <w:rFonts w:ascii="Times New Roman" w:hAnsi="Times New Roman"/>
              </w:rPr>
              <w:t>强</w:t>
            </w:r>
          </w:p>
        </w:tc>
        <w:tc>
          <w:tcPr>
            <w:tcW w:w="4516" w:type="pct"/>
            <w:vAlign w:val="center"/>
          </w:tcPr>
          <w:p>
            <w:pPr>
              <w:jc w:val="center"/>
              <w:rPr>
                <w:rFonts w:ascii="Times New Roman" w:hAnsi="Times New Roman"/>
              </w:rPr>
            </w:pPr>
            <w:r>
              <w:rPr>
                <w:rFonts w:ascii="Times New Roman" w:hAnsi="Times New Roman"/>
              </w:rPr>
              <w:t>岩（土）层单层厚度Mb≥1.0m，渗透系数K≤1×10</w:t>
            </w:r>
            <w:r>
              <w:rPr>
                <w:rFonts w:ascii="Times New Roman" w:hAnsi="Times New Roman"/>
                <w:vertAlign w:val="superscript"/>
              </w:rPr>
              <w:t>-6</w:t>
            </w:r>
            <w:r>
              <w:rPr>
                <w:rFonts w:ascii="Times New Roman" w:hAnsi="Times New Roman"/>
              </w:rPr>
              <w:t>cm/s，且分布连续、稳定</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4" w:type="pct"/>
            <w:vAlign w:val="center"/>
          </w:tcPr>
          <w:p>
            <w:pPr>
              <w:jc w:val="center"/>
              <w:rPr>
                <w:rFonts w:ascii="Times New Roman" w:hAnsi="Times New Roman"/>
              </w:rPr>
            </w:pPr>
            <w:r>
              <w:rPr>
                <w:rFonts w:ascii="Times New Roman" w:hAnsi="Times New Roman"/>
              </w:rPr>
              <w:t>中</w:t>
            </w:r>
          </w:p>
        </w:tc>
        <w:tc>
          <w:tcPr>
            <w:tcW w:w="4516" w:type="pct"/>
            <w:vAlign w:val="center"/>
          </w:tcPr>
          <w:p>
            <w:pPr>
              <w:jc w:val="center"/>
              <w:rPr>
                <w:rFonts w:ascii="Times New Roman" w:hAnsi="Times New Roman"/>
              </w:rPr>
            </w:pPr>
            <w:r>
              <w:rPr>
                <w:rFonts w:ascii="Times New Roman" w:hAnsi="Times New Roman"/>
              </w:rPr>
              <w:t>岩（土）层单层厚度0.5m≤Mb≤1.0m，渗透系数K≤1×10</w:t>
            </w:r>
            <w:r>
              <w:rPr>
                <w:rFonts w:ascii="Times New Roman" w:hAnsi="Times New Roman"/>
                <w:vertAlign w:val="superscript"/>
              </w:rPr>
              <w:t>-6</w:t>
            </w:r>
            <w:r>
              <w:rPr>
                <w:rFonts w:ascii="Times New Roman" w:hAnsi="Times New Roman"/>
              </w:rPr>
              <w:t>cm/s，且分布连续、稳定</w:t>
            </w:r>
          </w:p>
          <w:p>
            <w:pPr>
              <w:jc w:val="center"/>
              <w:rPr>
                <w:rFonts w:ascii="Times New Roman" w:hAnsi="Times New Roman"/>
              </w:rPr>
            </w:pPr>
            <w:r>
              <w:rPr>
                <w:rFonts w:ascii="Times New Roman" w:hAnsi="Times New Roman"/>
              </w:rPr>
              <w:t>岩（土）层单层厚度Mb≥1.0m，渗透系数1×10</w:t>
            </w:r>
            <w:r>
              <w:rPr>
                <w:rFonts w:ascii="Times New Roman" w:hAnsi="Times New Roman"/>
                <w:vertAlign w:val="superscript"/>
              </w:rPr>
              <w:t>-6</w:t>
            </w:r>
            <w:r>
              <w:rPr>
                <w:rFonts w:ascii="Times New Roman" w:hAnsi="Times New Roman"/>
              </w:rPr>
              <w:t>cm/s＜K≤1×10</w:t>
            </w:r>
            <w:r>
              <w:rPr>
                <w:rFonts w:ascii="Times New Roman" w:hAnsi="Times New Roman"/>
                <w:vertAlign w:val="superscript"/>
              </w:rPr>
              <w:t>-4</w:t>
            </w:r>
            <w:r>
              <w:rPr>
                <w:rFonts w:ascii="Times New Roman" w:hAnsi="Times New Roman"/>
              </w:rPr>
              <w:t>cm/s，且分布连续、稳定</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4" w:type="pct"/>
            <w:vAlign w:val="center"/>
          </w:tcPr>
          <w:p>
            <w:pPr>
              <w:jc w:val="center"/>
              <w:rPr>
                <w:rFonts w:ascii="Times New Roman" w:hAnsi="Times New Roman"/>
              </w:rPr>
            </w:pPr>
            <w:r>
              <w:rPr>
                <w:rFonts w:ascii="Times New Roman" w:hAnsi="Times New Roman"/>
              </w:rPr>
              <w:t>弱</w:t>
            </w:r>
          </w:p>
        </w:tc>
        <w:tc>
          <w:tcPr>
            <w:tcW w:w="4516" w:type="pct"/>
            <w:vAlign w:val="center"/>
          </w:tcPr>
          <w:p>
            <w:pPr>
              <w:jc w:val="center"/>
              <w:rPr>
                <w:rFonts w:ascii="Times New Roman" w:hAnsi="Times New Roman"/>
              </w:rPr>
            </w:pPr>
            <w:r>
              <w:rPr>
                <w:rFonts w:ascii="Times New Roman" w:hAnsi="Times New Roman"/>
              </w:rPr>
              <w:t>岩（土）层不能满足上述“强”和“中”条件</w:t>
            </w:r>
          </w:p>
        </w:tc>
      </w:tr>
    </w:tbl>
    <w:p>
      <w:pPr>
        <w:spacing w:line="480" w:lineRule="exact"/>
        <w:jc w:val="center"/>
        <w:rPr>
          <w:rFonts w:ascii="Times New Roman" w:hAnsi="Times New Roman"/>
          <w:b/>
          <w:bCs/>
        </w:rPr>
      </w:pPr>
      <w:r>
        <w:rPr>
          <w:rFonts w:ascii="Times New Roman" w:hAnsi="Times New Roman"/>
          <w:b/>
          <w:bCs/>
        </w:rPr>
        <w:t>表6.2-3 地下水污染防渗分区参照表</w:t>
      </w:r>
    </w:p>
    <w:tbl>
      <w:tblPr>
        <w:tblStyle w:val="7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9"/>
        <w:gridCol w:w="1421"/>
        <w:gridCol w:w="1423"/>
        <w:gridCol w:w="1847"/>
        <w:gridCol w:w="25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0" w:type="pct"/>
            <w:tcBorders>
              <w:top w:val="single" w:color="auto" w:sz="12" w:space="0"/>
              <w:left w:val="nil"/>
              <w:bottom w:val="single" w:color="auto" w:sz="4" w:space="0"/>
              <w:right w:val="single" w:color="auto" w:sz="4" w:space="0"/>
            </w:tcBorders>
            <w:vAlign w:val="center"/>
          </w:tcPr>
          <w:p>
            <w:pPr>
              <w:jc w:val="center"/>
              <w:rPr>
                <w:rFonts w:ascii="Times New Roman" w:hAnsi="Times New Roman"/>
                <w:b/>
                <w:bCs/>
              </w:rPr>
            </w:pPr>
            <w:r>
              <w:rPr>
                <w:rFonts w:ascii="Times New Roman" w:hAnsi="Times New Roman"/>
                <w:b/>
                <w:bCs/>
              </w:rPr>
              <w:t>防渗分区</w:t>
            </w:r>
          </w:p>
        </w:tc>
        <w:tc>
          <w:tcPr>
            <w:tcW w:w="833" w:type="pct"/>
            <w:tcBorders>
              <w:top w:val="single" w:color="auto" w:sz="12" w:space="0"/>
              <w:left w:val="single" w:color="auto" w:sz="4" w:space="0"/>
              <w:bottom w:val="single" w:color="auto" w:sz="4" w:space="0"/>
              <w:right w:val="single" w:color="auto" w:sz="4" w:space="0"/>
            </w:tcBorders>
            <w:vAlign w:val="center"/>
          </w:tcPr>
          <w:p>
            <w:pPr>
              <w:jc w:val="center"/>
              <w:rPr>
                <w:rFonts w:ascii="Times New Roman" w:hAnsi="Times New Roman"/>
                <w:b/>
                <w:bCs/>
              </w:rPr>
            </w:pPr>
            <w:r>
              <w:rPr>
                <w:rFonts w:ascii="Times New Roman" w:hAnsi="Times New Roman"/>
                <w:b/>
                <w:bCs/>
              </w:rPr>
              <w:t>天然包气带防污性能</w:t>
            </w:r>
          </w:p>
        </w:tc>
        <w:tc>
          <w:tcPr>
            <w:tcW w:w="834" w:type="pct"/>
            <w:tcBorders>
              <w:top w:val="single" w:color="auto" w:sz="12" w:space="0"/>
              <w:left w:val="single" w:color="auto" w:sz="4" w:space="0"/>
              <w:bottom w:val="single" w:color="auto" w:sz="4" w:space="0"/>
              <w:right w:val="single" w:color="auto" w:sz="4" w:space="0"/>
            </w:tcBorders>
            <w:vAlign w:val="center"/>
          </w:tcPr>
          <w:p>
            <w:pPr>
              <w:jc w:val="center"/>
              <w:rPr>
                <w:rFonts w:ascii="Times New Roman" w:hAnsi="Times New Roman"/>
                <w:b/>
                <w:bCs/>
              </w:rPr>
            </w:pPr>
            <w:r>
              <w:rPr>
                <w:rFonts w:ascii="Times New Roman" w:hAnsi="Times New Roman"/>
                <w:b/>
                <w:bCs/>
              </w:rPr>
              <w:t>污染控制难易程度</w:t>
            </w:r>
          </w:p>
        </w:tc>
        <w:tc>
          <w:tcPr>
            <w:tcW w:w="1083" w:type="pct"/>
            <w:tcBorders>
              <w:top w:val="single" w:color="auto" w:sz="12" w:space="0"/>
              <w:left w:val="single" w:color="auto" w:sz="4" w:space="0"/>
              <w:bottom w:val="single" w:color="auto" w:sz="4" w:space="0"/>
              <w:right w:val="single" w:color="auto" w:sz="4" w:space="0"/>
            </w:tcBorders>
            <w:vAlign w:val="center"/>
          </w:tcPr>
          <w:p>
            <w:pPr>
              <w:jc w:val="center"/>
              <w:rPr>
                <w:rFonts w:ascii="Times New Roman" w:hAnsi="Times New Roman"/>
                <w:b/>
                <w:bCs/>
              </w:rPr>
            </w:pPr>
            <w:r>
              <w:rPr>
                <w:rFonts w:ascii="Times New Roman" w:hAnsi="Times New Roman"/>
                <w:b/>
                <w:bCs/>
              </w:rPr>
              <w:t>污染物类型</w:t>
            </w:r>
          </w:p>
        </w:tc>
        <w:tc>
          <w:tcPr>
            <w:tcW w:w="1500" w:type="pct"/>
            <w:tcBorders>
              <w:top w:val="single" w:color="auto" w:sz="12" w:space="0"/>
              <w:left w:val="single" w:color="auto" w:sz="4" w:space="0"/>
              <w:bottom w:val="single" w:color="auto" w:sz="4" w:space="0"/>
              <w:right w:val="nil"/>
            </w:tcBorders>
            <w:vAlign w:val="center"/>
          </w:tcPr>
          <w:p>
            <w:pPr>
              <w:jc w:val="center"/>
              <w:rPr>
                <w:rFonts w:ascii="Times New Roman" w:hAnsi="Times New Roman"/>
                <w:b/>
                <w:bCs/>
              </w:rPr>
            </w:pPr>
            <w:r>
              <w:rPr>
                <w:rFonts w:ascii="Times New Roman" w:hAnsi="Times New Roman"/>
                <w:b/>
                <w:bCs/>
              </w:rPr>
              <w:t>防渗技术要求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0" w:type="pct"/>
            <w:vMerge w:val="restart"/>
            <w:tcBorders>
              <w:top w:val="single" w:color="auto" w:sz="4" w:space="0"/>
              <w:left w:val="nil"/>
              <w:bottom w:val="single" w:color="auto" w:sz="4" w:space="0"/>
              <w:right w:val="single" w:color="auto" w:sz="4" w:space="0"/>
            </w:tcBorders>
            <w:vAlign w:val="center"/>
          </w:tcPr>
          <w:p>
            <w:pPr>
              <w:jc w:val="center"/>
              <w:rPr>
                <w:rFonts w:ascii="Times New Roman" w:hAnsi="Times New Roman"/>
              </w:rPr>
            </w:pPr>
            <w:r>
              <w:rPr>
                <w:rFonts w:ascii="Times New Roman" w:hAnsi="Times New Roman"/>
              </w:rPr>
              <w:t>重点防渗区</w:t>
            </w:r>
          </w:p>
        </w:tc>
        <w:tc>
          <w:tcPr>
            <w:tcW w:w="833"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rPr>
            </w:pPr>
            <w:r>
              <w:rPr>
                <w:rFonts w:ascii="Times New Roman" w:hAnsi="Times New Roman"/>
              </w:rPr>
              <w:t>弱</w:t>
            </w:r>
          </w:p>
        </w:tc>
        <w:tc>
          <w:tcPr>
            <w:tcW w:w="834"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rPr>
            </w:pPr>
            <w:r>
              <w:rPr>
                <w:rFonts w:ascii="Times New Roman" w:hAnsi="Times New Roman"/>
              </w:rPr>
              <w:t>难</w:t>
            </w:r>
          </w:p>
        </w:tc>
        <w:tc>
          <w:tcPr>
            <w:tcW w:w="1083" w:type="pct"/>
            <w:vMerge w:val="restar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rPr>
            </w:pPr>
            <w:r>
              <w:rPr>
                <w:rFonts w:ascii="Times New Roman" w:hAnsi="Times New Roman"/>
              </w:rPr>
              <w:t>重金属、持久性有机物污染物</w:t>
            </w:r>
          </w:p>
        </w:tc>
        <w:tc>
          <w:tcPr>
            <w:tcW w:w="1500" w:type="pct"/>
            <w:vMerge w:val="restart"/>
            <w:tcBorders>
              <w:top w:val="single" w:color="auto" w:sz="4" w:space="0"/>
              <w:left w:val="single" w:color="auto" w:sz="4" w:space="0"/>
              <w:bottom w:val="single" w:color="auto" w:sz="4" w:space="0"/>
              <w:right w:val="nil"/>
            </w:tcBorders>
            <w:vAlign w:val="center"/>
          </w:tcPr>
          <w:p>
            <w:pPr>
              <w:jc w:val="center"/>
              <w:rPr>
                <w:rFonts w:ascii="Times New Roman" w:hAnsi="Times New Roman"/>
              </w:rPr>
            </w:pPr>
            <w:r>
              <w:rPr>
                <w:rFonts w:ascii="Times New Roman" w:hAnsi="Times New Roman"/>
              </w:rPr>
              <w:t>等效粘土防渗层Mb≥6.0m，K≤1×10</w:t>
            </w:r>
            <w:r>
              <w:rPr>
                <w:rFonts w:ascii="Times New Roman" w:hAnsi="Times New Roman"/>
                <w:vertAlign w:val="superscript"/>
              </w:rPr>
              <w:t>-7</w:t>
            </w:r>
            <w:r>
              <w:rPr>
                <w:rFonts w:ascii="Times New Roman" w:hAnsi="Times New Roman"/>
              </w:rPr>
              <w:t>cm/s；或参照GB18598执行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tcBorders>
              <w:top w:val="single" w:color="auto" w:sz="4" w:space="0"/>
              <w:left w:val="nil"/>
              <w:bottom w:val="single" w:color="auto" w:sz="4" w:space="0"/>
              <w:right w:val="single" w:color="auto" w:sz="4" w:space="0"/>
            </w:tcBorders>
            <w:vAlign w:val="center"/>
          </w:tcPr>
          <w:p>
            <w:pPr>
              <w:widowControl/>
              <w:jc w:val="center"/>
              <w:rPr>
                <w:rFonts w:ascii="Times New Roman" w:hAnsi="Times New Roman"/>
              </w:rPr>
            </w:pPr>
          </w:p>
        </w:tc>
        <w:tc>
          <w:tcPr>
            <w:tcW w:w="833"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rPr>
            </w:pPr>
            <w:r>
              <w:rPr>
                <w:rFonts w:ascii="Times New Roman" w:hAnsi="Times New Roman"/>
              </w:rPr>
              <w:t>中-强</w:t>
            </w:r>
          </w:p>
        </w:tc>
        <w:tc>
          <w:tcPr>
            <w:tcW w:w="834"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rPr>
            </w:pPr>
            <w:r>
              <w:rPr>
                <w:rFonts w:ascii="Times New Roman" w:hAnsi="Times New Roman"/>
              </w:rPr>
              <w:t>难</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rPr>
            </w:pPr>
          </w:p>
        </w:tc>
        <w:tc>
          <w:tcPr>
            <w:tcW w:w="0" w:type="auto"/>
            <w:vMerge w:val="continue"/>
            <w:tcBorders>
              <w:top w:val="single" w:color="auto" w:sz="4" w:space="0"/>
              <w:left w:val="single" w:color="auto" w:sz="4" w:space="0"/>
              <w:bottom w:val="single" w:color="auto" w:sz="4" w:space="0"/>
              <w:right w:val="nil"/>
            </w:tcBorders>
            <w:vAlign w:val="center"/>
          </w:tcPr>
          <w:p>
            <w:pPr>
              <w:widowControl/>
              <w:jc w:val="center"/>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tcBorders>
              <w:top w:val="single" w:color="auto" w:sz="4" w:space="0"/>
              <w:left w:val="nil"/>
              <w:bottom w:val="single" w:color="auto" w:sz="4" w:space="0"/>
              <w:right w:val="single" w:color="auto" w:sz="4" w:space="0"/>
            </w:tcBorders>
            <w:vAlign w:val="center"/>
          </w:tcPr>
          <w:p>
            <w:pPr>
              <w:widowControl/>
              <w:jc w:val="center"/>
              <w:rPr>
                <w:rFonts w:ascii="Times New Roman" w:hAnsi="Times New Roman"/>
              </w:rPr>
            </w:pPr>
          </w:p>
        </w:tc>
        <w:tc>
          <w:tcPr>
            <w:tcW w:w="833"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rPr>
            </w:pPr>
            <w:r>
              <w:rPr>
                <w:rFonts w:ascii="Times New Roman" w:hAnsi="Times New Roman"/>
              </w:rPr>
              <w:t>弱</w:t>
            </w:r>
          </w:p>
        </w:tc>
        <w:tc>
          <w:tcPr>
            <w:tcW w:w="834"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rPr>
            </w:pPr>
            <w:r>
              <w:rPr>
                <w:rFonts w:ascii="Times New Roman" w:hAnsi="Times New Roman"/>
              </w:rPr>
              <w:t>易</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rPr>
            </w:pPr>
          </w:p>
        </w:tc>
        <w:tc>
          <w:tcPr>
            <w:tcW w:w="0" w:type="auto"/>
            <w:vMerge w:val="continue"/>
            <w:tcBorders>
              <w:top w:val="single" w:color="auto" w:sz="4" w:space="0"/>
              <w:left w:val="single" w:color="auto" w:sz="4" w:space="0"/>
              <w:bottom w:val="single" w:color="auto" w:sz="4" w:space="0"/>
              <w:right w:val="nil"/>
            </w:tcBorders>
            <w:vAlign w:val="center"/>
          </w:tcPr>
          <w:p>
            <w:pPr>
              <w:widowControl/>
              <w:jc w:val="center"/>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0" w:type="pct"/>
            <w:vMerge w:val="restart"/>
            <w:tcBorders>
              <w:top w:val="single" w:color="auto" w:sz="4" w:space="0"/>
              <w:left w:val="nil"/>
              <w:bottom w:val="single" w:color="auto" w:sz="4" w:space="0"/>
              <w:right w:val="single" w:color="auto" w:sz="4" w:space="0"/>
            </w:tcBorders>
            <w:vAlign w:val="center"/>
          </w:tcPr>
          <w:p>
            <w:pPr>
              <w:jc w:val="center"/>
              <w:rPr>
                <w:rFonts w:ascii="Times New Roman" w:hAnsi="Times New Roman"/>
              </w:rPr>
            </w:pPr>
            <w:r>
              <w:rPr>
                <w:rFonts w:ascii="Times New Roman" w:hAnsi="Times New Roman"/>
              </w:rPr>
              <w:t>一般防渗区</w:t>
            </w:r>
          </w:p>
        </w:tc>
        <w:tc>
          <w:tcPr>
            <w:tcW w:w="833"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rPr>
            </w:pPr>
            <w:r>
              <w:rPr>
                <w:rFonts w:ascii="Times New Roman" w:hAnsi="Times New Roman"/>
              </w:rPr>
              <w:t>弱</w:t>
            </w:r>
          </w:p>
        </w:tc>
        <w:tc>
          <w:tcPr>
            <w:tcW w:w="834"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rPr>
            </w:pPr>
            <w:r>
              <w:rPr>
                <w:rFonts w:ascii="Times New Roman" w:hAnsi="Times New Roman"/>
              </w:rPr>
              <w:t>易-难</w:t>
            </w:r>
          </w:p>
        </w:tc>
        <w:tc>
          <w:tcPr>
            <w:tcW w:w="1083" w:type="pct"/>
            <w:vMerge w:val="restar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rPr>
            </w:pPr>
            <w:r>
              <w:rPr>
                <w:rFonts w:ascii="Times New Roman" w:hAnsi="Times New Roman"/>
              </w:rPr>
              <w:t>其他类型</w:t>
            </w:r>
          </w:p>
        </w:tc>
        <w:tc>
          <w:tcPr>
            <w:tcW w:w="1500" w:type="pct"/>
            <w:vMerge w:val="restart"/>
            <w:tcBorders>
              <w:top w:val="single" w:color="auto" w:sz="4" w:space="0"/>
              <w:left w:val="single" w:color="auto" w:sz="4" w:space="0"/>
              <w:bottom w:val="single" w:color="auto" w:sz="4" w:space="0"/>
              <w:right w:val="nil"/>
            </w:tcBorders>
            <w:vAlign w:val="center"/>
          </w:tcPr>
          <w:p>
            <w:pPr>
              <w:jc w:val="center"/>
              <w:rPr>
                <w:rFonts w:ascii="Times New Roman" w:hAnsi="Times New Roman"/>
              </w:rPr>
            </w:pPr>
            <w:r>
              <w:rPr>
                <w:rFonts w:ascii="Times New Roman" w:hAnsi="Times New Roman"/>
              </w:rPr>
              <w:t>等效粘土防渗层Mb≥1.5m，K≤1×10</w:t>
            </w:r>
            <w:r>
              <w:rPr>
                <w:rFonts w:ascii="Times New Roman" w:hAnsi="Times New Roman"/>
                <w:vertAlign w:val="superscript"/>
              </w:rPr>
              <w:t>-7</w:t>
            </w:r>
            <w:r>
              <w:rPr>
                <w:rFonts w:ascii="Times New Roman" w:hAnsi="Times New Roman"/>
              </w:rPr>
              <w:t>cm/s；或参照GB16889执行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tcBorders>
              <w:top w:val="single" w:color="auto" w:sz="4" w:space="0"/>
              <w:left w:val="nil"/>
              <w:bottom w:val="single" w:color="auto" w:sz="4" w:space="0"/>
              <w:right w:val="single" w:color="auto" w:sz="4" w:space="0"/>
            </w:tcBorders>
            <w:vAlign w:val="center"/>
          </w:tcPr>
          <w:p>
            <w:pPr>
              <w:widowControl/>
              <w:jc w:val="center"/>
              <w:rPr>
                <w:rFonts w:ascii="Times New Roman" w:hAnsi="Times New Roman"/>
              </w:rPr>
            </w:pPr>
          </w:p>
        </w:tc>
        <w:tc>
          <w:tcPr>
            <w:tcW w:w="833"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rPr>
            </w:pPr>
            <w:r>
              <w:rPr>
                <w:rFonts w:ascii="Times New Roman" w:hAnsi="Times New Roman"/>
              </w:rPr>
              <w:t>中-强</w:t>
            </w:r>
          </w:p>
        </w:tc>
        <w:tc>
          <w:tcPr>
            <w:tcW w:w="834"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rPr>
            </w:pPr>
            <w:r>
              <w:rPr>
                <w:rFonts w:ascii="Times New Roman" w:hAnsi="Times New Roman"/>
              </w:rPr>
              <w:t>难</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rPr>
            </w:pPr>
          </w:p>
        </w:tc>
        <w:tc>
          <w:tcPr>
            <w:tcW w:w="0" w:type="auto"/>
            <w:vMerge w:val="continue"/>
            <w:tcBorders>
              <w:top w:val="single" w:color="auto" w:sz="4" w:space="0"/>
              <w:left w:val="single" w:color="auto" w:sz="4" w:space="0"/>
              <w:bottom w:val="single" w:color="auto" w:sz="4" w:space="0"/>
              <w:right w:val="nil"/>
            </w:tcBorders>
            <w:vAlign w:val="center"/>
          </w:tcPr>
          <w:p>
            <w:pPr>
              <w:widowControl/>
              <w:jc w:val="center"/>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tcBorders>
              <w:top w:val="single" w:color="auto" w:sz="4" w:space="0"/>
              <w:left w:val="nil"/>
              <w:bottom w:val="single" w:color="auto" w:sz="4" w:space="0"/>
              <w:right w:val="single" w:color="auto" w:sz="4" w:space="0"/>
            </w:tcBorders>
            <w:vAlign w:val="center"/>
          </w:tcPr>
          <w:p>
            <w:pPr>
              <w:widowControl/>
              <w:jc w:val="center"/>
              <w:rPr>
                <w:rFonts w:ascii="Times New Roman" w:hAnsi="Times New Roman"/>
              </w:rPr>
            </w:pPr>
          </w:p>
        </w:tc>
        <w:tc>
          <w:tcPr>
            <w:tcW w:w="833"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rPr>
            </w:pPr>
            <w:r>
              <w:rPr>
                <w:rFonts w:ascii="Times New Roman" w:hAnsi="Times New Roman"/>
              </w:rPr>
              <w:t>中</w:t>
            </w:r>
          </w:p>
        </w:tc>
        <w:tc>
          <w:tcPr>
            <w:tcW w:w="834"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rPr>
            </w:pPr>
            <w:r>
              <w:rPr>
                <w:rFonts w:ascii="Times New Roman" w:hAnsi="Times New Roman"/>
              </w:rPr>
              <w:t>易</w:t>
            </w:r>
          </w:p>
        </w:tc>
        <w:tc>
          <w:tcPr>
            <w:tcW w:w="1083" w:type="pct"/>
            <w:vMerge w:val="restar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rPr>
            </w:pPr>
            <w:r>
              <w:rPr>
                <w:rFonts w:ascii="Times New Roman" w:hAnsi="Times New Roman"/>
              </w:rPr>
              <w:t>重金属、持久性有机物污染物</w:t>
            </w:r>
          </w:p>
        </w:tc>
        <w:tc>
          <w:tcPr>
            <w:tcW w:w="0" w:type="auto"/>
            <w:vMerge w:val="continue"/>
            <w:tcBorders>
              <w:top w:val="single" w:color="auto" w:sz="4" w:space="0"/>
              <w:left w:val="single" w:color="auto" w:sz="4" w:space="0"/>
              <w:bottom w:val="single" w:color="auto" w:sz="4" w:space="0"/>
              <w:right w:val="nil"/>
            </w:tcBorders>
            <w:vAlign w:val="center"/>
          </w:tcPr>
          <w:p>
            <w:pPr>
              <w:widowControl/>
              <w:jc w:val="center"/>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tcBorders>
              <w:top w:val="single" w:color="auto" w:sz="4" w:space="0"/>
              <w:left w:val="nil"/>
              <w:bottom w:val="single" w:color="auto" w:sz="4" w:space="0"/>
              <w:right w:val="single" w:color="auto" w:sz="4" w:space="0"/>
            </w:tcBorders>
            <w:vAlign w:val="center"/>
          </w:tcPr>
          <w:p>
            <w:pPr>
              <w:widowControl/>
              <w:jc w:val="center"/>
              <w:rPr>
                <w:rFonts w:ascii="Times New Roman" w:hAnsi="Times New Roman"/>
              </w:rPr>
            </w:pPr>
          </w:p>
        </w:tc>
        <w:tc>
          <w:tcPr>
            <w:tcW w:w="833"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rPr>
            </w:pPr>
            <w:r>
              <w:rPr>
                <w:rFonts w:ascii="Times New Roman" w:hAnsi="Times New Roman"/>
              </w:rPr>
              <w:t>强</w:t>
            </w:r>
          </w:p>
        </w:tc>
        <w:tc>
          <w:tcPr>
            <w:tcW w:w="834"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rPr>
            </w:pPr>
            <w:r>
              <w:rPr>
                <w:rFonts w:ascii="Times New Roman" w:hAnsi="Times New Roman"/>
              </w:rPr>
              <w:t>易</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rPr>
            </w:pPr>
          </w:p>
        </w:tc>
        <w:tc>
          <w:tcPr>
            <w:tcW w:w="0" w:type="auto"/>
            <w:vMerge w:val="continue"/>
            <w:tcBorders>
              <w:top w:val="single" w:color="auto" w:sz="4" w:space="0"/>
              <w:left w:val="single" w:color="auto" w:sz="4" w:space="0"/>
              <w:bottom w:val="single" w:color="auto" w:sz="4" w:space="0"/>
              <w:right w:val="nil"/>
            </w:tcBorders>
            <w:vAlign w:val="center"/>
          </w:tcPr>
          <w:p>
            <w:pPr>
              <w:widowControl/>
              <w:jc w:val="center"/>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0" w:type="pct"/>
            <w:tcBorders>
              <w:top w:val="single" w:color="auto" w:sz="4" w:space="0"/>
              <w:left w:val="nil"/>
              <w:bottom w:val="single" w:color="auto" w:sz="12" w:space="0"/>
              <w:right w:val="single" w:color="auto" w:sz="4" w:space="0"/>
            </w:tcBorders>
            <w:vAlign w:val="center"/>
          </w:tcPr>
          <w:p>
            <w:pPr>
              <w:jc w:val="center"/>
              <w:rPr>
                <w:rFonts w:ascii="Times New Roman" w:hAnsi="Times New Roman"/>
              </w:rPr>
            </w:pPr>
            <w:r>
              <w:rPr>
                <w:rFonts w:ascii="Times New Roman" w:hAnsi="Times New Roman"/>
              </w:rPr>
              <w:t>简单防渗区</w:t>
            </w:r>
          </w:p>
        </w:tc>
        <w:tc>
          <w:tcPr>
            <w:tcW w:w="833" w:type="pct"/>
            <w:tcBorders>
              <w:top w:val="single" w:color="auto" w:sz="4" w:space="0"/>
              <w:left w:val="single" w:color="auto" w:sz="4" w:space="0"/>
              <w:bottom w:val="single" w:color="auto" w:sz="12" w:space="0"/>
              <w:right w:val="single" w:color="auto" w:sz="4" w:space="0"/>
            </w:tcBorders>
            <w:vAlign w:val="center"/>
          </w:tcPr>
          <w:p>
            <w:pPr>
              <w:jc w:val="center"/>
              <w:rPr>
                <w:rFonts w:ascii="Times New Roman" w:hAnsi="Times New Roman"/>
              </w:rPr>
            </w:pPr>
            <w:r>
              <w:rPr>
                <w:rFonts w:ascii="Times New Roman" w:hAnsi="Times New Roman"/>
              </w:rPr>
              <w:t>中-强</w:t>
            </w:r>
          </w:p>
        </w:tc>
        <w:tc>
          <w:tcPr>
            <w:tcW w:w="834" w:type="pct"/>
            <w:tcBorders>
              <w:top w:val="single" w:color="auto" w:sz="4" w:space="0"/>
              <w:left w:val="single" w:color="auto" w:sz="4" w:space="0"/>
              <w:bottom w:val="single" w:color="auto" w:sz="12" w:space="0"/>
              <w:right w:val="single" w:color="auto" w:sz="4" w:space="0"/>
            </w:tcBorders>
            <w:vAlign w:val="center"/>
          </w:tcPr>
          <w:p>
            <w:pPr>
              <w:jc w:val="center"/>
              <w:rPr>
                <w:rFonts w:ascii="Times New Roman" w:hAnsi="Times New Roman"/>
              </w:rPr>
            </w:pPr>
            <w:r>
              <w:rPr>
                <w:rFonts w:ascii="Times New Roman" w:hAnsi="Times New Roman"/>
              </w:rPr>
              <w:t>易</w:t>
            </w:r>
          </w:p>
        </w:tc>
        <w:tc>
          <w:tcPr>
            <w:tcW w:w="1083" w:type="pct"/>
            <w:tcBorders>
              <w:top w:val="single" w:color="auto" w:sz="4" w:space="0"/>
              <w:left w:val="single" w:color="auto" w:sz="4" w:space="0"/>
              <w:bottom w:val="single" w:color="auto" w:sz="12" w:space="0"/>
              <w:right w:val="single" w:color="auto" w:sz="4" w:space="0"/>
            </w:tcBorders>
            <w:vAlign w:val="center"/>
          </w:tcPr>
          <w:p>
            <w:pPr>
              <w:jc w:val="center"/>
              <w:rPr>
                <w:rFonts w:ascii="Times New Roman" w:hAnsi="Times New Roman"/>
              </w:rPr>
            </w:pPr>
            <w:r>
              <w:rPr>
                <w:rFonts w:ascii="Times New Roman" w:hAnsi="Times New Roman"/>
              </w:rPr>
              <w:t>其他类型</w:t>
            </w:r>
          </w:p>
        </w:tc>
        <w:tc>
          <w:tcPr>
            <w:tcW w:w="1500" w:type="pct"/>
            <w:tcBorders>
              <w:top w:val="single" w:color="auto" w:sz="4" w:space="0"/>
              <w:left w:val="single" w:color="auto" w:sz="4" w:space="0"/>
              <w:bottom w:val="single" w:color="auto" w:sz="12" w:space="0"/>
              <w:right w:val="nil"/>
            </w:tcBorders>
            <w:vAlign w:val="center"/>
          </w:tcPr>
          <w:p>
            <w:pPr>
              <w:jc w:val="center"/>
              <w:rPr>
                <w:rFonts w:ascii="Times New Roman" w:hAnsi="Times New Roman"/>
              </w:rPr>
            </w:pPr>
            <w:r>
              <w:rPr>
                <w:rFonts w:ascii="Times New Roman" w:hAnsi="Times New Roman"/>
              </w:rPr>
              <w:t>一般地面硬化</w:t>
            </w:r>
          </w:p>
        </w:tc>
      </w:tr>
    </w:tbl>
    <w:p>
      <w:pPr>
        <w:spacing w:line="480" w:lineRule="exact"/>
        <w:ind w:firstLine="480" w:firstLineChars="200"/>
        <w:rPr>
          <w:rFonts w:ascii="Times New Roman" w:hAnsi="Times New Roman"/>
          <w:kern w:val="2"/>
          <w:sz w:val="24"/>
          <w:szCs w:val="20"/>
        </w:rPr>
      </w:pPr>
      <w:r>
        <w:rPr>
          <w:rFonts w:ascii="Times New Roman" w:hAnsi="Times New Roman"/>
          <w:sz w:val="24"/>
          <w:szCs w:val="24"/>
        </w:rPr>
        <w:t>医疗废物暂存间（冷库）已按照《危险废物储存污染控制标准》（GB18597-2001）的要求进行设计。改扩建工程将灭菌车间、污水处理间、危险废物暂存间、事故应急池和初期雨水池作为重点防渗区；厂区其余建筑物为一般污染防渗区；厂区地面进行硬化。</w:t>
      </w:r>
      <w:r>
        <w:rPr>
          <w:rFonts w:hint="eastAsia" w:ascii="Times New Roman" w:hAnsi="Times New Roman"/>
          <w:sz w:val="24"/>
          <w:szCs w:val="24"/>
        </w:rPr>
        <w:t>本项目厂区均硬化处理，</w:t>
      </w:r>
      <w:r>
        <w:rPr>
          <w:rFonts w:ascii="Times New Roman" w:hAnsi="Times New Roman"/>
          <w:sz w:val="24"/>
          <w:szCs w:val="24"/>
        </w:rPr>
        <w:t>重点污染防渗区</w:t>
      </w:r>
      <w:r>
        <w:rPr>
          <w:rFonts w:hint="eastAsia" w:ascii="Times New Roman" w:hAnsi="Times New Roman"/>
          <w:sz w:val="24"/>
          <w:szCs w:val="24"/>
        </w:rPr>
        <w:t>应</w:t>
      </w:r>
      <w:r>
        <w:rPr>
          <w:rFonts w:ascii="Times New Roman" w:hAnsi="Times New Roman"/>
          <w:sz w:val="24"/>
          <w:szCs w:val="24"/>
        </w:rPr>
        <w:t>参照《危险废物贮存污染控制标准》（GB18597-2001）及其修改单的相关要求，基础做防渗，采用2mm厚的高密度聚乙烯或其它人工材料，防渗系数≤10</w:t>
      </w:r>
      <w:r>
        <w:rPr>
          <w:rFonts w:ascii="Times New Roman" w:hAnsi="Times New Roman"/>
          <w:sz w:val="24"/>
          <w:szCs w:val="24"/>
          <w:vertAlign w:val="superscript"/>
        </w:rPr>
        <w:t>-10</w:t>
      </w:r>
      <w:r>
        <w:rPr>
          <w:rFonts w:ascii="Times New Roman" w:hAnsi="Times New Roman"/>
          <w:sz w:val="24"/>
          <w:szCs w:val="24"/>
        </w:rPr>
        <w:t>cm/s；</w:t>
      </w:r>
      <w:r>
        <w:rPr>
          <w:rFonts w:hint="eastAsia" w:ascii="Times New Roman" w:hAnsi="Times New Roman"/>
          <w:kern w:val="2"/>
          <w:sz w:val="24"/>
          <w:szCs w:val="20"/>
        </w:rPr>
        <w:t>危险废物暂存间严格按照《危险废物贮存污染控制标准》（GB18597-2001）（2013年修订）要求进行设计，防风、防雨、防晒，基础防渗。采用的危险废物贮存容器亦满足《危险废物贮存污染控制标准》（</w:t>
      </w:r>
      <w:r>
        <w:rPr>
          <w:rFonts w:ascii="Times New Roman" w:hAnsi="Times New Roman"/>
          <w:kern w:val="2"/>
          <w:sz w:val="24"/>
          <w:szCs w:val="20"/>
        </w:rPr>
        <w:t>GB18597-2001）（2013年修订）中的相关要求</w:t>
      </w:r>
      <w:r>
        <w:rPr>
          <w:rFonts w:hint="eastAsia" w:ascii="Times New Roman" w:hAnsi="Times New Roman"/>
          <w:kern w:val="2"/>
          <w:sz w:val="24"/>
          <w:szCs w:val="20"/>
        </w:rPr>
        <w:t>。</w:t>
      </w:r>
    </w:p>
    <w:p>
      <w:pPr>
        <w:autoSpaceDE w:val="0"/>
        <w:autoSpaceDN w:val="0"/>
        <w:adjustRightInd w:val="0"/>
        <w:snapToGrid w:val="0"/>
        <w:spacing w:line="480" w:lineRule="exact"/>
        <w:jc w:val="center"/>
        <w:textAlignment w:val="bottom"/>
        <w:rPr>
          <w:rFonts w:ascii="Times New Roman" w:hAnsi="Times New Roman"/>
          <w:b/>
          <w:snapToGrid w:val="0"/>
        </w:rPr>
      </w:pPr>
      <w:r>
        <w:rPr>
          <w:rFonts w:ascii="Times New Roman" w:hAnsi="Times New Roman"/>
          <w:b/>
          <w:snapToGrid w:val="0"/>
        </w:rPr>
        <w:t>表6.2-4 地下水污染防治分区一览表</w:t>
      </w:r>
    </w:p>
    <w:tbl>
      <w:tblPr>
        <w:tblStyle w:val="77"/>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81"/>
        <w:gridCol w:w="2621"/>
        <w:gridCol w:w="1484"/>
        <w:gridCol w:w="364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98" w:hRule="atLeast"/>
          <w:jc w:val="center"/>
        </w:trPr>
        <w:tc>
          <w:tcPr>
            <w:tcW w:w="777" w:type="dxa"/>
            <w:tcBorders>
              <w:top w:val="single" w:color="auto" w:sz="12" w:space="0"/>
            </w:tcBorders>
            <w:vAlign w:val="center"/>
          </w:tcPr>
          <w:p>
            <w:pPr>
              <w:widowControl/>
              <w:spacing w:line="280" w:lineRule="exact"/>
              <w:jc w:val="center"/>
              <w:rPr>
                <w:rFonts w:ascii="Times New Roman" w:hAnsi="Times New Roman"/>
                <w:b/>
              </w:rPr>
            </w:pPr>
            <w:r>
              <w:rPr>
                <w:rFonts w:ascii="Times New Roman" w:hAnsi="Times New Roman"/>
                <w:b/>
              </w:rPr>
              <w:t>序号</w:t>
            </w:r>
          </w:p>
        </w:tc>
        <w:tc>
          <w:tcPr>
            <w:tcW w:w="2623" w:type="dxa"/>
            <w:tcBorders>
              <w:top w:val="single" w:color="auto" w:sz="12" w:space="0"/>
            </w:tcBorders>
            <w:vAlign w:val="center"/>
          </w:tcPr>
          <w:p>
            <w:pPr>
              <w:widowControl/>
              <w:spacing w:line="280" w:lineRule="exact"/>
              <w:jc w:val="center"/>
              <w:rPr>
                <w:rFonts w:ascii="Times New Roman" w:hAnsi="Times New Roman"/>
                <w:b/>
              </w:rPr>
            </w:pPr>
            <w:r>
              <w:rPr>
                <w:rFonts w:ascii="Times New Roman" w:hAnsi="Times New Roman"/>
                <w:b/>
              </w:rPr>
              <w:t>名称</w:t>
            </w:r>
          </w:p>
        </w:tc>
        <w:tc>
          <w:tcPr>
            <w:tcW w:w="1481" w:type="dxa"/>
            <w:tcBorders>
              <w:top w:val="single" w:color="auto" w:sz="12" w:space="0"/>
            </w:tcBorders>
            <w:vAlign w:val="center"/>
          </w:tcPr>
          <w:p>
            <w:pPr>
              <w:widowControl/>
              <w:spacing w:line="280" w:lineRule="exact"/>
              <w:jc w:val="center"/>
              <w:rPr>
                <w:rFonts w:ascii="Times New Roman" w:hAnsi="Times New Roman"/>
                <w:b/>
              </w:rPr>
            </w:pPr>
            <w:r>
              <w:rPr>
                <w:rFonts w:ascii="Times New Roman" w:hAnsi="Times New Roman"/>
                <w:b/>
              </w:rPr>
              <w:t>防渗分区</w:t>
            </w:r>
          </w:p>
        </w:tc>
        <w:tc>
          <w:tcPr>
            <w:tcW w:w="3648" w:type="dxa"/>
            <w:tcBorders>
              <w:top w:val="single" w:color="auto" w:sz="12" w:space="0"/>
            </w:tcBorders>
            <w:vAlign w:val="center"/>
          </w:tcPr>
          <w:p>
            <w:pPr>
              <w:widowControl/>
              <w:spacing w:line="280" w:lineRule="exact"/>
              <w:jc w:val="center"/>
              <w:rPr>
                <w:rFonts w:ascii="Times New Roman" w:hAnsi="Times New Roman"/>
                <w:b/>
              </w:rPr>
            </w:pPr>
            <w:r>
              <w:rPr>
                <w:rFonts w:ascii="Times New Roman" w:hAnsi="Times New Roman"/>
                <w:b/>
              </w:rPr>
              <w:t>防渗要求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085" w:hRule="atLeast"/>
          <w:jc w:val="center"/>
        </w:trPr>
        <w:tc>
          <w:tcPr>
            <w:tcW w:w="777" w:type="dxa"/>
            <w:vAlign w:val="center"/>
          </w:tcPr>
          <w:p>
            <w:pPr>
              <w:widowControl/>
              <w:spacing w:line="280" w:lineRule="exact"/>
              <w:jc w:val="center"/>
              <w:rPr>
                <w:rFonts w:ascii="Times New Roman" w:hAnsi="Times New Roman"/>
              </w:rPr>
            </w:pPr>
            <w:r>
              <w:rPr>
                <w:rFonts w:ascii="Times New Roman" w:hAnsi="Times New Roman"/>
              </w:rPr>
              <w:t>1</w:t>
            </w:r>
          </w:p>
        </w:tc>
        <w:tc>
          <w:tcPr>
            <w:tcW w:w="2623" w:type="dxa"/>
            <w:vAlign w:val="center"/>
          </w:tcPr>
          <w:p>
            <w:pPr>
              <w:widowControl/>
              <w:spacing w:line="280" w:lineRule="exact"/>
              <w:jc w:val="center"/>
              <w:rPr>
                <w:rFonts w:ascii="Times New Roman" w:hAnsi="Times New Roman"/>
              </w:rPr>
            </w:pPr>
            <w:r>
              <w:rPr>
                <w:rFonts w:ascii="Times New Roman" w:hAnsi="Times New Roman"/>
              </w:rPr>
              <w:t>灭菌车间、医疗废物暂存间（冷库）、危险废物暂存间、污水处理间、事故应急池和初期雨水池</w:t>
            </w:r>
          </w:p>
        </w:tc>
        <w:tc>
          <w:tcPr>
            <w:tcW w:w="1481" w:type="dxa"/>
            <w:vAlign w:val="center"/>
          </w:tcPr>
          <w:p>
            <w:pPr>
              <w:widowControl/>
              <w:spacing w:line="280" w:lineRule="exact"/>
              <w:jc w:val="center"/>
              <w:rPr>
                <w:rFonts w:ascii="Times New Roman" w:hAnsi="Times New Roman"/>
              </w:rPr>
            </w:pPr>
            <w:r>
              <w:rPr>
                <w:rFonts w:ascii="Times New Roman" w:hAnsi="Times New Roman"/>
              </w:rPr>
              <w:t>重点防渗区</w:t>
            </w:r>
          </w:p>
        </w:tc>
        <w:tc>
          <w:tcPr>
            <w:tcW w:w="3648" w:type="dxa"/>
            <w:vAlign w:val="center"/>
          </w:tcPr>
          <w:p>
            <w:pPr>
              <w:widowControl/>
              <w:spacing w:line="280" w:lineRule="exact"/>
              <w:jc w:val="center"/>
              <w:rPr>
                <w:rFonts w:ascii="Times New Roman" w:hAnsi="Times New Roman"/>
              </w:rPr>
            </w:pPr>
            <w:r>
              <w:rPr>
                <w:rFonts w:ascii="Times New Roman" w:hAnsi="Times New Roman"/>
              </w:rPr>
              <w:t>参照《危险废物贮存污染控制标准》（GB18597-2001）及其修改单的相关要求，基础做防渗，采用2mm厚的高密度聚乙烯或其它人工材料，防渗系数≤10</w:t>
            </w:r>
            <w:r>
              <w:rPr>
                <w:rFonts w:ascii="Times New Roman" w:hAnsi="Times New Roman"/>
                <w:vertAlign w:val="superscript"/>
              </w:rPr>
              <w:t>-10</w:t>
            </w:r>
            <w:r>
              <w:rPr>
                <w:rFonts w:ascii="Times New Roman" w:hAnsi="Times New Roman"/>
              </w:rPr>
              <w:t>cm/s</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98" w:hRule="atLeast"/>
          <w:jc w:val="center"/>
        </w:trPr>
        <w:tc>
          <w:tcPr>
            <w:tcW w:w="777" w:type="dxa"/>
            <w:vAlign w:val="center"/>
          </w:tcPr>
          <w:p>
            <w:pPr>
              <w:widowControl/>
              <w:spacing w:line="280" w:lineRule="exact"/>
              <w:jc w:val="center"/>
              <w:rPr>
                <w:rFonts w:ascii="Times New Roman" w:hAnsi="Times New Roman"/>
              </w:rPr>
            </w:pPr>
            <w:r>
              <w:rPr>
                <w:rFonts w:ascii="Times New Roman" w:hAnsi="Times New Roman"/>
              </w:rPr>
              <w:t>2</w:t>
            </w:r>
          </w:p>
        </w:tc>
        <w:tc>
          <w:tcPr>
            <w:tcW w:w="2623" w:type="dxa"/>
            <w:vAlign w:val="center"/>
          </w:tcPr>
          <w:p>
            <w:pPr>
              <w:widowControl/>
              <w:spacing w:line="280" w:lineRule="exact"/>
              <w:jc w:val="center"/>
              <w:rPr>
                <w:rFonts w:ascii="Times New Roman" w:hAnsi="Times New Roman"/>
              </w:rPr>
            </w:pPr>
            <w:r>
              <w:rPr>
                <w:rFonts w:ascii="Times New Roman" w:hAnsi="Times New Roman"/>
              </w:rPr>
              <w:t>厂区其余建筑物地面</w:t>
            </w:r>
          </w:p>
        </w:tc>
        <w:tc>
          <w:tcPr>
            <w:tcW w:w="1481" w:type="dxa"/>
            <w:vAlign w:val="center"/>
          </w:tcPr>
          <w:p>
            <w:pPr>
              <w:widowControl/>
              <w:spacing w:line="280" w:lineRule="exact"/>
              <w:jc w:val="center"/>
              <w:rPr>
                <w:rFonts w:ascii="Times New Roman" w:hAnsi="Times New Roman"/>
              </w:rPr>
            </w:pPr>
            <w:r>
              <w:rPr>
                <w:rFonts w:ascii="Times New Roman" w:hAnsi="Times New Roman"/>
              </w:rPr>
              <w:t>一般防渗区</w:t>
            </w:r>
          </w:p>
        </w:tc>
        <w:tc>
          <w:tcPr>
            <w:tcW w:w="3648" w:type="dxa"/>
            <w:vAlign w:val="center"/>
          </w:tcPr>
          <w:p>
            <w:pPr>
              <w:widowControl/>
              <w:spacing w:line="280" w:lineRule="exact"/>
              <w:jc w:val="center"/>
              <w:rPr>
                <w:rFonts w:ascii="Times New Roman" w:hAnsi="Times New Roman"/>
              </w:rPr>
            </w:pPr>
            <w:r>
              <w:rPr>
                <w:rFonts w:ascii="Times New Roman" w:hAnsi="Times New Roman"/>
              </w:rPr>
              <w:t>参照《危险废物贮存污染控制标准》（GB18597-2001）及其修改单的相关要求，基础做防渗，采用2mm厚的高密度聚乙烯或其它人工材料，防渗系数≤10</w:t>
            </w:r>
            <w:r>
              <w:rPr>
                <w:rFonts w:ascii="Times New Roman" w:hAnsi="Times New Roman"/>
                <w:vertAlign w:val="superscript"/>
              </w:rPr>
              <w:t>-7</w:t>
            </w:r>
            <w:r>
              <w:rPr>
                <w:rFonts w:ascii="Times New Roman" w:hAnsi="Times New Roman"/>
              </w:rPr>
              <w:t>cm/s</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98" w:hRule="atLeast"/>
          <w:jc w:val="center"/>
        </w:trPr>
        <w:tc>
          <w:tcPr>
            <w:tcW w:w="777" w:type="dxa"/>
            <w:vAlign w:val="center"/>
          </w:tcPr>
          <w:p>
            <w:pPr>
              <w:widowControl/>
              <w:spacing w:line="280" w:lineRule="exact"/>
              <w:jc w:val="center"/>
              <w:rPr>
                <w:rFonts w:ascii="Times New Roman" w:hAnsi="Times New Roman"/>
              </w:rPr>
            </w:pPr>
            <w:r>
              <w:rPr>
                <w:rFonts w:ascii="Times New Roman" w:hAnsi="Times New Roman"/>
              </w:rPr>
              <w:t>3</w:t>
            </w:r>
          </w:p>
        </w:tc>
        <w:tc>
          <w:tcPr>
            <w:tcW w:w="2623" w:type="dxa"/>
            <w:vAlign w:val="center"/>
          </w:tcPr>
          <w:p>
            <w:pPr>
              <w:widowControl/>
              <w:spacing w:line="280" w:lineRule="exact"/>
              <w:jc w:val="center"/>
              <w:rPr>
                <w:rFonts w:ascii="Times New Roman" w:hAnsi="Times New Roman"/>
              </w:rPr>
            </w:pPr>
            <w:r>
              <w:rPr>
                <w:rFonts w:ascii="Times New Roman" w:hAnsi="Times New Roman"/>
              </w:rPr>
              <w:t>厂区地面</w:t>
            </w:r>
          </w:p>
        </w:tc>
        <w:tc>
          <w:tcPr>
            <w:tcW w:w="5129" w:type="dxa"/>
            <w:gridSpan w:val="2"/>
            <w:vAlign w:val="center"/>
          </w:tcPr>
          <w:p>
            <w:pPr>
              <w:widowControl/>
              <w:spacing w:line="280" w:lineRule="exact"/>
              <w:jc w:val="center"/>
              <w:rPr>
                <w:rFonts w:ascii="Times New Roman" w:hAnsi="Times New Roman"/>
              </w:rPr>
            </w:pPr>
            <w:r>
              <w:rPr>
                <w:rFonts w:ascii="Times New Roman" w:hAnsi="Times New Roman"/>
              </w:rPr>
              <w:t>硬化处理</w:t>
            </w:r>
          </w:p>
        </w:tc>
      </w:tr>
    </w:tbl>
    <w:p>
      <w:pPr>
        <w:pStyle w:val="155"/>
        <w:spacing w:line="240" w:lineRule="auto"/>
        <w:ind w:firstLine="0" w:firstLineChars="0"/>
        <w:rPr>
          <w:b/>
          <w:snapToGrid w:val="0"/>
          <w:sz w:val="21"/>
          <w:szCs w:val="21"/>
        </w:rPr>
        <w:sectPr>
          <w:pgSz w:w="11907" w:h="16839"/>
          <w:pgMar w:top="1440" w:right="1797" w:bottom="1440" w:left="1797" w:header="851" w:footer="850" w:gutter="0"/>
          <w:cols w:space="720" w:num="1"/>
          <w:docGrid w:linePitch="312" w:charSpace="0"/>
        </w:sectPr>
      </w:pPr>
    </w:p>
    <w:p>
      <w:pPr>
        <w:widowControl/>
        <w:rPr>
          <w:rFonts w:ascii="Times New Roman" w:hAnsi="Times New Roman"/>
          <w:sz w:val="24"/>
          <w:szCs w:val="24"/>
        </w:rPr>
      </w:pPr>
      <w:r>
        <w:drawing>
          <wp:inline distT="0" distB="0" distL="0" distR="0">
            <wp:extent cx="8410575" cy="5088890"/>
            <wp:effectExtent l="0" t="0" r="9525"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68"/>
                    <a:stretch>
                      <a:fillRect/>
                    </a:stretch>
                  </pic:blipFill>
                  <pic:spPr>
                    <a:xfrm>
                      <a:off x="0" y="0"/>
                      <a:ext cx="8410575" cy="5088890"/>
                    </a:xfrm>
                    <a:prstGeom prst="rect">
                      <a:avLst/>
                    </a:prstGeom>
                  </pic:spPr>
                </pic:pic>
              </a:graphicData>
            </a:graphic>
          </wp:inline>
        </w:drawing>
      </w:r>
    </w:p>
    <w:p>
      <w:pPr>
        <w:pStyle w:val="155"/>
        <w:spacing w:line="480" w:lineRule="exact"/>
        <w:ind w:firstLine="0" w:firstLineChars="0"/>
        <w:jc w:val="center"/>
        <w:rPr>
          <w:sz w:val="21"/>
          <w:szCs w:val="21"/>
        </w:rPr>
      </w:pPr>
      <w:r>
        <w:rPr>
          <w:b/>
          <w:snapToGrid w:val="0"/>
          <w:sz w:val="21"/>
          <w:szCs w:val="21"/>
        </w:rPr>
        <w:t>图6.2-1 地下水分区防渗图</w:t>
      </w:r>
    </w:p>
    <w:p>
      <w:pPr>
        <w:pStyle w:val="70"/>
        <w:ind w:left="1288" w:leftChars="99" w:hangingChars="450"/>
        <w:rPr>
          <w:rFonts w:ascii="Times New Roman" w:hAnsi="Times New Roman"/>
        </w:rPr>
        <w:sectPr>
          <w:pgSz w:w="16839" w:h="11907" w:orient="landscape"/>
          <w:pgMar w:top="1440" w:right="1797" w:bottom="1440" w:left="1797" w:header="851" w:footer="850" w:gutter="0"/>
          <w:cols w:space="720" w:num="1"/>
          <w:docGrid w:linePitch="312" w:charSpace="0"/>
        </w:sectPr>
      </w:pPr>
    </w:p>
    <w:p>
      <w:pPr>
        <w:pStyle w:val="155"/>
        <w:spacing w:line="480" w:lineRule="exact"/>
        <w:ind w:firstLine="480"/>
      </w:pPr>
      <w:r>
        <w:t>（4）制定地下水跟踪监测与信息公开计划</w:t>
      </w:r>
    </w:p>
    <w:p>
      <w:pPr>
        <w:pStyle w:val="155"/>
        <w:spacing w:line="480" w:lineRule="exact"/>
        <w:ind w:firstLine="480"/>
      </w:pPr>
      <w:r>
        <w:t>建立地下水监测系统，对建设区范围内的地下水实施有效监测是十分必要的。根据《地下水环境监测技术规范》（HJ/T164-2004）和《环境影响评价技术导则 地下水环境》（HJ610-2016）中地下水环境监测与管理要求，对于二级评价的建设项目，一般不少于3个，应至少在建设项目场地，上、下游各布设1个。根据项目所在区域地下水流向，本项目新建3口监测井对厂区地下水进行监控。厂区监测原则：厂区地下水上游新建监测井1#，获取地下水背景值；在装置区附近新建监测井2#作为对比监测井；在下游厂界新建监测井3#作为污染扩散监测点。</w:t>
      </w:r>
    </w:p>
    <w:p>
      <w:pPr>
        <w:autoSpaceDE w:val="0"/>
        <w:autoSpaceDN w:val="0"/>
        <w:adjustRightInd w:val="0"/>
        <w:snapToGrid w:val="0"/>
        <w:spacing w:line="480" w:lineRule="exact"/>
        <w:ind w:firstLine="480" w:firstLineChars="200"/>
        <w:textAlignment w:val="bottom"/>
        <w:rPr>
          <w:rFonts w:ascii="Times New Roman" w:hAnsi="Times New Roman"/>
          <w:kern w:val="2"/>
          <w:sz w:val="24"/>
          <w:szCs w:val="20"/>
        </w:rPr>
      </w:pPr>
      <w:r>
        <w:rPr>
          <w:rFonts w:ascii="Times New Roman" w:hAnsi="Times New Roman"/>
          <w:kern w:val="2"/>
          <w:sz w:val="24"/>
          <w:szCs w:val="20"/>
        </w:rPr>
        <w:t>（5）监测项目</w:t>
      </w:r>
    </w:p>
    <w:p>
      <w:pPr>
        <w:autoSpaceDE w:val="0"/>
        <w:autoSpaceDN w:val="0"/>
        <w:adjustRightInd w:val="0"/>
        <w:snapToGrid w:val="0"/>
        <w:spacing w:line="480" w:lineRule="exact"/>
        <w:ind w:firstLine="480" w:firstLineChars="200"/>
        <w:textAlignment w:val="bottom"/>
        <w:rPr>
          <w:rFonts w:ascii="Times New Roman" w:hAnsi="Times New Roman"/>
          <w:kern w:val="2"/>
          <w:sz w:val="24"/>
          <w:szCs w:val="20"/>
        </w:rPr>
      </w:pPr>
      <w:r>
        <w:rPr>
          <w:rFonts w:ascii="Times New Roman" w:hAnsi="Times New Roman"/>
          <w:kern w:val="2"/>
          <w:sz w:val="24"/>
          <w:szCs w:val="20"/>
        </w:rPr>
        <w:t>根据《排污单位自行监测技术指南总则》（HJ819－2017）及《排污许可证申请与核发技术规范 工业固体废物和危险废物治理》（HJ1033-2019）要求，本建设项目地下水监测点的监测信息见表6.2-5，监测井位置见图6.2-2。</w:t>
      </w:r>
    </w:p>
    <w:p>
      <w:pPr>
        <w:autoSpaceDE w:val="0"/>
        <w:autoSpaceDN w:val="0"/>
        <w:adjustRightInd w:val="0"/>
        <w:snapToGrid w:val="0"/>
        <w:spacing w:line="480" w:lineRule="exact"/>
        <w:jc w:val="center"/>
        <w:textAlignment w:val="bottom"/>
        <w:rPr>
          <w:rFonts w:ascii="Times New Roman" w:hAnsi="Times New Roman"/>
          <w:b/>
          <w:snapToGrid w:val="0"/>
        </w:rPr>
      </w:pPr>
      <w:r>
        <w:rPr>
          <w:rFonts w:ascii="Times New Roman" w:hAnsi="Times New Roman"/>
          <w:b/>
          <w:snapToGrid w:val="0"/>
        </w:rPr>
        <w:t>表6.2-5 地下水监测井位置</w:t>
      </w:r>
    </w:p>
    <w:tbl>
      <w:tblPr>
        <w:tblStyle w:val="7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897"/>
        <w:gridCol w:w="970"/>
        <w:gridCol w:w="750"/>
        <w:gridCol w:w="1418"/>
        <w:gridCol w:w="832"/>
        <w:gridCol w:w="2523"/>
        <w:gridCol w:w="97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916" w:hRule="atLeast"/>
          <w:jc w:val="center"/>
        </w:trPr>
        <w:tc>
          <w:tcPr>
            <w:tcW w:w="898" w:type="dxa"/>
            <w:vAlign w:val="center"/>
          </w:tcPr>
          <w:p>
            <w:pPr>
              <w:widowControl/>
              <w:jc w:val="center"/>
              <w:rPr>
                <w:rFonts w:ascii="Times New Roman" w:hAnsi="Times New Roman"/>
                <w:b/>
              </w:rPr>
            </w:pPr>
            <w:r>
              <w:rPr>
                <w:rFonts w:ascii="Times New Roman" w:hAnsi="Times New Roman"/>
                <w:b/>
              </w:rPr>
              <w:t>监测点编号</w:t>
            </w:r>
          </w:p>
        </w:tc>
        <w:tc>
          <w:tcPr>
            <w:tcW w:w="970" w:type="dxa"/>
            <w:vAlign w:val="center"/>
          </w:tcPr>
          <w:p>
            <w:pPr>
              <w:widowControl/>
              <w:jc w:val="center"/>
              <w:rPr>
                <w:rFonts w:ascii="Times New Roman" w:hAnsi="Times New Roman"/>
                <w:b/>
              </w:rPr>
            </w:pPr>
            <w:r>
              <w:rPr>
                <w:rFonts w:ascii="Times New Roman" w:hAnsi="Times New Roman"/>
                <w:b/>
              </w:rPr>
              <w:t>相对位置及功能</w:t>
            </w:r>
          </w:p>
        </w:tc>
        <w:tc>
          <w:tcPr>
            <w:tcW w:w="750" w:type="dxa"/>
            <w:vAlign w:val="center"/>
          </w:tcPr>
          <w:p>
            <w:pPr>
              <w:widowControl/>
              <w:jc w:val="center"/>
              <w:rPr>
                <w:rFonts w:ascii="Times New Roman" w:hAnsi="Times New Roman"/>
                <w:b/>
              </w:rPr>
            </w:pPr>
            <w:r>
              <w:rPr>
                <w:rFonts w:ascii="Times New Roman" w:hAnsi="Times New Roman"/>
                <w:b/>
              </w:rPr>
              <w:t>井深（m）</w:t>
            </w:r>
          </w:p>
        </w:tc>
        <w:tc>
          <w:tcPr>
            <w:tcW w:w="1419" w:type="dxa"/>
            <w:vAlign w:val="center"/>
          </w:tcPr>
          <w:p>
            <w:pPr>
              <w:widowControl/>
              <w:jc w:val="center"/>
              <w:rPr>
                <w:rFonts w:ascii="Times New Roman" w:hAnsi="Times New Roman"/>
                <w:b/>
              </w:rPr>
            </w:pPr>
            <w:r>
              <w:rPr>
                <w:rFonts w:ascii="Times New Roman" w:hAnsi="Times New Roman"/>
                <w:b/>
              </w:rPr>
              <w:t>点位</w:t>
            </w:r>
          </w:p>
        </w:tc>
        <w:tc>
          <w:tcPr>
            <w:tcW w:w="831" w:type="dxa"/>
            <w:vMerge w:val="restart"/>
            <w:vAlign w:val="center"/>
          </w:tcPr>
          <w:p>
            <w:pPr>
              <w:widowControl/>
              <w:jc w:val="center"/>
              <w:rPr>
                <w:rFonts w:ascii="Times New Roman" w:hAnsi="Times New Roman"/>
                <w:b/>
              </w:rPr>
            </w:pPr>
            <w:r>
              <w:rPr>
                <w:rFonts w:ascii="Times New Roman" w:hAnsi="Times New Roman"/>
                <w:b/>
              </w:rPr>
              <w:t>监测</w:t>
            </w:r>
          </w:p>
          <w:p>
            <w:pPr>
              <w:widowControl/>
              <w:jc w:val="center"/>
              <w:rPr>
                <w:rFonts w:ascii="Times New Roman" w:hAnsi="Times New Roman"/>
                <w:b/>
              </w:rPr>
            </w:pPr>
            <w:r>
              <w:rPr>
                <w:rFonts w:ascii="Times New Roman" w:hAnsi="Times New Roman"/>
                <w:b/>
              </w:rPr>
              <w:t>层位</w:t>
            </w:r>
          </w:p>
        </w:tc>
        <w:tc>
          <w:tcPr>
            <w:tcW w:w="2523" w:type="dxa"/>
            <w:vMerge w:val="restart"/>
            <w:vAlign w:val="center"/>
          </w:tcPr>
          <w:p>
            <w:pPr>
              <w:widowControl/>
              <w:jc w:val="center"/>
              <w:rPr>
                <w:rFonts w:ascii="Times New Roman" w:hAnsi="Times New Roman"/>
                <w:b/>
              </w:rPr>
            </w:pPr>
            <w:r>
              <w:rPr>
                <w:rFonts w:ascii="Times New Roman" w:hAnsi="Times New Roman"/>
                <w:b/>
              </w:rPr>
              <w:t>监测因子</w:t>
            </w:r>
          </w:p>
        </w:tc>
        <w:tc>
          <w:tcPr>
            <w:tcW w:w="978" w:type="dxa"/>
            <w:vMerge w:val="restart"/>
            <w:vAlign w:val="center"/>
          </w:tcPr>
          <w:p>
            <w:pPr>
              <w:widowControl/>
              <w:jc w:val="center"/>
              <w:rPr>
                <w:rFonts w:ascii="Times New Roman" w:hAnsi="Times New Roman"/>
                <w:b/>
              </w:rPr>
            </w:pPr>
            <w:r>
              <w:rPr>
                <w:rFonts w:ascii="Times New Roman" w:hAnsi="Times New Roman"/>
                <w:b/>
              </w:rPr>
              <w:t>监测频次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0" w:hRule="atLeast"/>
          <w:jc w:val="center"/>
        </w:trPr>
        <w:tc>
          <w:tcPr>
            <w:tcW w:w="898" w:type="dxa"/>
            <w:vAlign w:val="center"/>
          </w:tcPr>
          <w:p>
            <w:pPr>
              <w:widowControl/>
              <w:jc w:val="center"/>
              <w:rPr>
                <w:rFonts w:ascii="Times New Roman" w:hAnsi="Times New Roman"/>
              </w:rPr>
            </w:pPr>
            <w:r>
              <w:rPr>
                <w:rFonts w:ascii="Times New Roman" w:hAnsi="Times New Roman"/>
              </w:rPr>
              <w:t>监测井1</w:t>
            </w:r>
          </w:p>
        </w:tc>
        <w:tc>
          <w:tcPr>
            <w:tcW w:w="970" w:type="dxa"/>
            <w:vAlign w:val="center"/>
          </w:tcPr>
          <w:p>
            <w:pPr>
              <w:widowControl/>
              <w:jc w:val="center"/>
              <w:rPr>
                <w:rFonts w:ascii="Times New Roman" w:hAnsi="Times New Roman"/>
              </w:rPr>
            </w:pPr>
            <w:r>
              <w:rPr>
                <w:rFonts w:ascii="Times New Roman" w:hAnsi="Times New Roman"/>
              </w:rPr>
              <w:t>上游背景监测井</w:t>
            </w:r>
          </w:p>
        </w:tc>
        <w:tc>
          <w:tcPr>
            <w:tcW w:w="750" w:type="dxa"/>
            <w:vAlign w:val="center"/>
          </w:tcPr>
          <w:p>
            <w:pPr>
              <w:widowControl/>
              <w:jc w:val="center"/>
              <w:rPr>
                <w:rFonts w:ascii="Times New Roman" w:hAnsi="Times New Roman"/>
              </w:rPr>
            </w:pPr>
            <w:r>
              <w:rPr>
                <w:rFonts w:ascii="Times New Roman" w:hAnsi="Times New Roman"/>
              </w:rPr>
              <w:t>25</w:t>
            </w:r>
          </w:p>
        </w:tc>
        <w:tc>
          <w:tcPr>
            <w:tcW w:w="1419" w:type="dxa"/>
            <w:vAlign w:val="center"/>
          </w:tcPr>
          <w:p>
            <w:pPr>
              <w:widowControl/>
              <w:jc w:val="center"/>
              <w:rPr>
                <w:rFonts w:ascii="Times New Roman" w:hAnsi="Times New Roman"/>
              </w:rPr>
            </w:pPr>
            <w:r>
              <w:rPr>
                <w:rFonts w:ascii="Times New Roman" w:hAnsi="Times New Roman"/>
              </w:rPr>
              <w:t>131.300805°；46.633047°</w:t>
            </w:r>
          </w:p>
        </w:tc>
        <w:tc>
          <w:tcPr>
            <w:tcW w:w="831" w:type="dxa"/>
            <w:vMerge w:val="restart"/>
            <w:vAlign w:val="center"/>
          </w:tcPr>
          <w:p>
            <w:pPr>
              <w:widowControl/>
              <w:jc w:val="center"/>
              <w:rPr>
                <w:rFonts w:ascii="Times New Roman" w:hAnsi="Times New Roman"/>
              </w:rPr>
            </w:pPr>
            <w:r>
              <w:rPr>
                <w:rFonts w:ascii="Times New Roman" w:hAnsi="Times New Roman"/>
              </w:rPr>
              <w:t>潜水</w:t>
            </w:r>
            <w:r>
              <w:rPr>
                <w:rFonts w:hint="eastAsia" w:ascii="Times New Roman" w:hAnsi="Times New Roman"/>
              </w:rPr>
              <w:t>含水</w:t>
            </w:r>
            <w:r>
              <w:rPr>
                <w:rFonts w:ascii="Times New Roman" w:hAnsi="Times New Roman"/>
              </w:rPr>
              <w:t>层</w:t>
            </w:r>
          </w:p>
        </w:tc>
        <w:tc>
          <w:tcPr>
            <w:tcW w:w="2523" w:type="dxa"/>
            <w:vMerge w:val="restart"/>
            <w:vAlign w:val="center"/>
          </w:tcPr>
          <w:p>
            <w:pPr>
              <w:widowControl/>
              <w:rPr>
                <w:rFonts w:ascii="Times New Roman" w:hAnsi="Times New Roman"/>
              </w:rPr>
            </w:pPr>
            <w:r>
              <w:rPr>
                <w:rFonts w:ascii="Times New Roman" w:hAnsi="Times New Roman"/>
              </w:rPr>
              <w:t>pH、氨氮、硝酸盐氮、亚硝酸盐氮、挥发性酚类、氟化物、砷、汞、铁、锰、铅、镉、氰化物、总硬度、硫酸盐、六价铬、氯化物、溶解性总固体、耗氧量、总大肠菌群、菌落总数</w:t>
            </w:r>
          </w:p>
        </w:tc>
        <w:tc>
          <w:tcPr>
            <w:tcW w:w="978" w:type="dxa"/>
            <w:vMerge w:val="restart"/>
            <w:vAlign w:val="center"/>
          </w:tcPr>
          <w:p>
            <w:pPr>
              <w:widowControl/>
              <w:rPr>
                <w:rFonts w:ascii="Times New Roman" w:hAnsi="Times New Roman"/>
              </w:rPr>
            </w:pPr>
            <w:r>
              <w:rPr>
                <w:rFonts w:hint="eastAsia" w:ascii="Times New Roman" w:hAnsi="Times New Roman"/>
              </w:rPr>
              <w:t>一年一测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0" w:hRule="atLeast"/>
          <w:jc w:val="center"/>
        </w:trPr>
        <w:tc>
          <w:tcPr>
            <w:tcW w:w="898" w:type="dxa"/>
            <w:vAlign w:val="center"/>
          </w:tcPr>
          <w:p>
            <w:pPr>
              <w:widowControl/>
              <w:jc w:val="center"/>
              <w:rPr>
                <w:rFonts w:ascii="Times New Roman" w:hAnsi="Times New Roman"/>
              </w:rPr>
            </w:pPr>
            <w:r>
              <w:rPr>
                <w:rFonts w:ascii="Times New Roman" w:hAnsi="Times New Roman"/>
              </w:rPr>
              <w:t>监测井2</w:t>
            </w:r>
          </w:p>
        </w:tc>
        <w:tc>
          <w:tcPr>
            <w:tcW w:w="970" w:type="dxa"/>
            <w:vAlign w:val="center"/>
          </w:tcPr>
          <w:p>
            <w:pPr>
              <w:widowControl/>
              <w:jc w:val="center"/>
              <w:rPr>
                <w:rFonts w:ascii="Times New Roman" w:hAnsi="Times New Roman"/>
              </w:rPr>
            </w:pPr>
            <w:r>
              <w:rPr>
                <w:rFonts w:ascii="Times New Roman" w:hAnsi="Times New Roman"/>
              </w:rPr>
              <w:t>对比</w:t>
            </w:r>
          </w:p>
          <w:p>
            <w:pPr>
              <w:widowControl/>
              <w:jc w:val="center"/>
              <w:rPr>
                <w:rFonts w:ascii="Times New Roman" w:hAnsi="Times New Roman"/>
              </w:rPr>
            </w:pPr>
            <w:r>
              <w:rPr>
                <w:rFonts w:ascii="Times New Roman" w:hAnsi="Times New Roman"/>
              </w:rPr>
              <w:t>监测井</w:t>
            </w:r>
          </w:p>
        </w:tc>
        <w:tc>
          <w:tcPr>
            <w:tcW w:w="750" w:type="dxa"/>
            <w:vAlign w:val="center"/>
          </w:tcPr>
          <w:p>
            <w:pPr>
              <w:widowControl/>
              <w:jc w:val="center"/>
              <w:rPr>
                <w:rFonts w:ascii="Times New Roman" w:hAnsi="Times New Roman"/>
              </w:rPr>
            </w:pPr>
            <w:r>
              <w:rPr>
                <w:rFonts w:ascii="Times New Roman" w:hAnsi="Times New Roman"/>
              </w:rPr>
              <w:t>25</w:t>
            </w:r>
          </w:p>
        </w:tc>
        <w:tc>
          <w:tcPr>
            <w:tcW w:w="1419" w:type="dxa"/>
            <w:vAlign w:val="center"/>
          </w:tcPr>
          <w:p>
            <w:pPr>
              <w:widowControl/>
              <w:jc w:val="center"/>
              <w:rPr>
                <w:rFonts w:ascii="Times New Roman" w:hAnsi="Times New Roman"/>
              </w:rPr>
            </w:pPr>
            <w:r>
              <w:rPr>
                <w:rFonts w:ascii="Times New Roman" w:hAnsi="Times New Roman"/>
              </w:rPr>
              <w:t>131.301706°；46.633349°</w:t>
            </w:r>
          </w:p>
        </w:tc>
        <w:tc>
          <w:tcPr>
            <w:tcW w:w="831" w:type="dxa"/>
            <w:vMerge w:val="continue"/>
            <w:vAlign w:val="center"/>
          </w:tcPr>
          <w:p>
            <w:pPr>
              <w:rPr>
                <w:rFonts w:ascii="Times New Roman" w:hAnsi="Times New Roman"/>
              </w:rPr>
            </w:pPr>
          </w:p>
        </w:tc>
        <w:tc>
          <w:tcPr>
            <w:tcW w:w="2523" w:type="dxa"/>
            <w:vMerge w:val="continue"/>
            <w:vAlign w:val="center"/>
          </w:tcPr>
          <w:p>
            <w:pPr>
              <w:rPr>
                <w:rFonts w:ascii="Times New Roman" w:hAnsi="Times New Roman"/>
              </w:rPr>
            </w:pPr>
          </w:p>
        </w:tc>
        <w:tc>
          <w:tcPr>
            <w:tcW w:w="978" w:type="dxa"/>
            <w:vMerge w:val="continue"/>
            <w:vAlign w:val="center"/>
          </w:tcPr>
          <w:p>
            <w:pPr>
              <w:rPr>
                <w:rFonts w:ascii="Times New Roman" w:hAnsi="Times New Roma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0" w:hRule="atLeast"/>
          <w:jc w:val="center"/>
        </w:trPr>
        <w:tc>
          <w:tcPr>
            <w:tcW w:w="898" w:type="dxa"/>
            <w:vAlign w:val="center"/>
          </w:tcPr>
          <w:p>
            <w:pPr>
              <w:widowControl/>
              <w:jc w:val="center"/>
              <w:rPr>
                <w:rFonts w:ascii="Times New Roman" w:hAnsi="Times New Roman"/>
              </w:rPr>
            </w:pPr>
            <w:r>
              <w:rPr>
                <w:rFonts w:ascii="Times New Roman" w:hAnsi="Times New Roman"/>
              </w:rPr>
              <w:t>监测井3</w:t>
            </w:r>
          </w:p>
        </w:tc>
        <w:tc>
          <w:tcPr>
            <w:tcW w:w="970" w:type="dxa"/>
            <w:vAlign w:val="center"/>
          </w:tcPr>
          <w:p>
            <w:pPr>
              <w:widowControl/>
              <w:jc w:val="center"/>
              <w:rPr>
                <w:rFonts w:ascii="Times New Roman" w:hAnsi="Times New Roman"/>
              </w:rPr>
            </w:pPr>
            <w:r>
              <w:rPr>
                <w:rFonts w:ascii="Times New Roman" w:hAnsi="Times New Roman"/>
              </w:rPr>
              <w:t>下游污染扩散井</w:t>
            </w:r>
          </w:p>
        </w:tc>
        <w:tc>
          <w:tcPr>
            <w:tcW w:w="750" w:type="dxa"/>
            <w:vAlign w:val="center"/>
          </w:tcPr>
          <w:p>
            <w:pPr>
              <w:widowControl/>
              <w:jc w:val="center"/>
              <w:rPr>
                <w:rFonts w:ascii="Times New Roman" w:hAnsi="Times New Roman"/>
              </w:rPr>
            </w:pPr>
            <w:r>
              <w:rPr>
                <w:rFonts w:ascii="Times New Roman" w:hAnsi="Times New Roman"/>
              </w:rPr>
              <w:t>25</w:t>
            </w:r>
          </w:p>
        </w:tc>
        <w:tc>
          <w:tcPr>
            <w:tcW w:w="1419" w:type="dxa"/>
            <w:vAlign w:val="center"/>
          </w:tcPr>
          <w:p>
            <w:pPr>
              <w:widowControl/>
              <w:jc w:val="center"/>
              <w:rPr>
                <w:rFonts w:ascii="Times New Roman" w:hAnsi="Times New Roman"/>
              </w:rPr>
            </w:pPr>
            <w:r>
              <w:rPr>
                <w:rFonts w:ascii="Times New Roman" w:hAnsi="Times New Roman"/>
              </w:rPr>
              <w:t>131.301706°；46.633577°</w:t>
            </w:r>
          </w:p>
        </w:tc>
        <w:tc>
          <w:tcPr>
            <w:tcW w:w="831" w:type="dxa"/>
            <w:vMerge w:val="continue"/>
            <w:vAlign w:val="center"/>
          </w:tcPr>
          <w:p>
            <w:pPr>
              <w:rPr>
                <w:rFonts w:ascii="Times New Roman" w:hAnsi="Times New Roman"/>
              </w:rPr>
            </w:pPr>
          </w:p>
        </w:tc>
        <w:tc>
          <w:tcPr>
            <w:tcW w:w="2523" w:type="dxa"/>
            <w:vMerge w:val="continue"/>
            <w:vAlign w:val="center"/>
          </w:tcPr>
          <w:p>
            <w:pPr>
              <w:rPr>
                <w:rFonts w:ascii="Times New Roman" w:hAnsi="Times New Roman"/>
              </w:rPr>
            </w:pPr>
          </w:p>
        </w:tc>
        <w:tc>
          <w:tcPr>
            <w:tcW w:w="978" w:type="dxa"/>
            <w:vMerge w:val="continue"/>
            <w:vAlign w:val="center"/>
          </w:tcPr>
          <w:p>
            <w:pPr>
              <w:rPr>
                <w:rFonts w:ascii="Times New Roman" w:hAnsi="Times New Roman"/>
              </w:rPr>
            </w:pPr>
          </w:p>
        </w:tc>
      </w:tr>
    </w:tbl>
    <w:p>
      <w:pPr>
        <w:pStyle w:val="155"/>
        <w:spacing w:line="240" w:lineRule="auto"/>
        <w:ind w:firstLine="0" w:firstLineChars="0"/>
        <w:jc w:val="center"/>
      </w:pPr>
      <w:r>
        <w:drawing>
          <wp:inline distT="0" distB="0" distL="114300" distR="114300">
            <wp:extent cx="4966970" cy="3962400"/>
            <wp:effectExtent l="0" t="0" r="5080" b="0"/>
            <wp:docPr id="1" name="图片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68"/>
                    <pic:cNvPicPr>
                      <a:picLocks noChangeAspect="1"/>
                    </pic:cNvPicPr>
                  </pic:nvPicPr>
                  <pic:blipFill>
                    <a:blip r:embed="rId69"/>
                    <a:stretch>
                      <a:fillRect/>
                    </a:stretch>
                  </pic:blipFill>
                  <pic:spPr>
                    <a:xfrm>
                      <a:off x="0" y="0"/>
                      <a:ext cx="4966970" cy="3962400"/>
                    </a:xfrm>
                    <a:prstGeom prst="rect">
                      <a:avLst/>
                    </a:prstGeom>
                    <a:noFill/>
                    <a:ln>
                      <a:noFill/>
                    </a:ln>
                  </pic:spPr>
                </pic:pic>
              </a:graphicData>
            </a:graphic>
          </wp:inline>
        </w:drawing>
      </w:r>
    </w:p>
    <w:p>
      <w:pPr>
        <w:pStyle w:val="155"/>
        <w:spacing w:line="480" w:lineRule="exact"/>
        <w:ind w:firstLine="0" w:firstLineChars="0"/>
        <w:jc w:val="center"/>
        <w:rPr>
          <w:sz w:val="21"/>
          <w:szCs w:val="21"/>
        </w:rPr>
      </w:pPr>
      <w:r>
        <w:rPr>
          <w:b/>
          <w:snapToGrid w:val="0"/>
          <w:sz w:val="21"/>
          <w:szCs w:val="21"/>
        </w:rPr>
        <w:t>表6.2-2 地下水监测井位置图</w:t>
      </w:r>
    </w:p>
    <w:p>
      <w:pPr>
        <w:pStyle w:val="155"/>
        <w:spacing w:line="480" w:lineRule="exact"/>
        <w:ind w:left="420" w:leftChars="200" w:firstLine="0" w:firstLineChars="0"/>
      </w:pPr>
      <w:r>
        <w:t>（6）制定应急响应</w:t>
      </w:r>
    </w:p>
    <w:p>
      <w:pPr>
        <w:pStyle w:val="155"/>
        <w:spacing w:line="480" w:lineRule="exact"/>
        <w:ind w:firstLine="480"/>
      </w:pPr>
      <w:r>
        <w:t>无论预防工作如何周密，风险事故总是难以根本杜绝，制定风险事故应急预案是要迅速而有效地将事故损失减至最小，事故发生后，迅速成立由企业、生态环境局、公安、交通、消防、安全等部门参与的协调领导小组，启动应急预案，组织有关技术人员赴现场勘查、分析情况、开展监测，制定解决消除污染方案。</w:t>
      </w:r>
    </w:p>
    <w:p>
      <w:pPr>
        <w:widowControl/>
        <w:spacing w:line="480" w:lineRule="exact"/>
        <w:outlineLvl w:val="3"/>
        <w:rPr>
          <w:rFonts w:ascii="Times New Roman" w:hAnsi="Times New Roman" w:eastAsia="黑体"/>
          <w:sz w:val="24"/>
        </w:rPr>
      </w:pPr>
      <w:r>
        <w:rPr>
          <w:rFonts w:ascii="Times New Roman" w:hAnsi="Times New Roman" w:eastAsia="黑体"/>
          <w:sz w:val="24"/>
        </w:rPr>
        <w:t>6.2.2.2.地下水治理措施可行性分析</w:t>
      </w:r>
    </w:p>
    <w:p>
      <w:pPr>
        <w:pStyle w:val="155"/>
        <w:spacing w:line="480" w:lineRule="exact"/>
        <w:ind w:firstLine="480"/>
      </w:pPr>
      <w:r>
        <w:t>本项目通过采取污染源头控制、分区防渗、跟踪监测措施后，能够有效预防拟建项目对地下水环境的影响，从技术、经济上都是可行的。</w:t>
      </w:r>
    </w:p>
    <w:p>
      <w:pPr>
        <w:pStyle w:val="4"/>
        <w:spacing w:before="120" w:beforeLines="50" w:after="120" w:afterLines="50" w:line="480" w:lineRule="exact"/>
        <w:rPr>
          <w:rFonts w:ascii="Times New Roman" w:hAnsi="Times New Roman" w:eastAsia="黑体"/>
          <w:bCs/>
          <w:sz w:val="28"/>
          <w:szCs w:val="28"/>
        </w:rPr>
      </w:pPr>
      <w:bookmarkStart w:id="1395" w:name="_Toc527205796"/>
      <w:bookmarkStart w:id="1396" w:name="_Toc26188073"/>
      <w:bookmarkStart w:id="1397" w:name="_Toc3734"/>
      <w:bookmarkStart w:id="1398" w:name="_Toc27134369"/>
      <w:bookmarkStart w:id="1399" w:name="_Toc18445"/>
      <w:bookmarkStart w:id="1400" w:name="_Toc20737"/>
      <w:bookmarkStart w:id="1401" w:name="_Toc534537680"/>
      <w:bookmarkStart w:id="1402" w:name="_Toc535168966"/>
      <w:bookmarkStart w:id="1403" w:name="_Toc530656031"/>
      <w:bookmarkStart w:id="1404" w:name="_Toc532556662"/>
      <w:bookmarkStart w:id="1405" w:name="_Toc535348521"/>
      <w:bookmarkStart w:id="1406" w:name="_Toc9843872"/>
      <w:bookmarkStart w:id="1407" w:name="_Toc29522"/>
      <w:bookmarkStart w:id="1408" w:name="_Toc17041"/>
      <w:r>
        <w:rPr>
          <w:rFonts w:ascii="Times New Roman" w:hAnsi="Times New Roman" w:eastAsia="黑体"/>
          <w:bCs/>
          <w:sz w:val="28"/>
          <w:szCs w:val="28"/>
        </w:rPr>
        <w:t>废气污染治理措施</w:t>
      </w:r>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p>
    <w:p>
      <w:pPr>
        <w:pStyle w:val="155"/>
        <w:spacing w:line="480" w:lineRule="exact"/>
        <w:ind w:firstLine="480"/>
      </w:pPr>
      <w:r>
        <w:t>（1）医疗废物无害化处置设备废气净化系统</w:t>
      </w:r>
    </w:p>
    <w:p>
      <w:pPr>
        <w:pStyle w:val="155"/>
        <w:spacing w:line="480" w:lineRule="exact"/>
        <w:ind w:firstLine="480"/>
      </w:pPr>
      <w:r>
        <w:t>本项目医疗废物无害化处置设备为成套的医疗废物高温干热处理设备，配套的废气净化系统为粉尘阻拦干燥器+低温等离子废气净化器。</w:t>
      </w:r>
    </w:p>
    <w:p>
      <w:pPr>
        <w:rPr>
          <w:rFonts w:ascii="Times New Roman" w:hAnsi="Times New Roman"/>
        </w:rPr>
      </w:pPr>
      <w:r>
        <w:rPr>
          <w:rFonts w:ascii="Times New Roman" w:hAnsi="Times New Roman"/>
        </w:rPr>
        <w:t xml:space="preserve"> </w:t>
      </w:r>
    </w:p>
    <w:p>
      <w:pPr>
        <w:jc w:val="center"/>
        <w:rPr>
          <w:rFonts w:ascii="Times New Roman" w:hAnsi="Times New Roman"/>
          <w:b/>
          <w:bCs/>
        </w:rPr>
      </w:pPr>
      <w:r>
        <w:rPr>
          <w:rFonts w:ascii="Times New Roman" w:hAnsi="Times New Roman"/>
        </w:rPr>
        <w:drawing>
          <wp:inline distT="0" distB="0" distL="114300" distR="114300">
            <wp:extent cx="5394325" cy="5033010"/>
            <wp:effectExtent l="0" t="0" r="3175" b="8890"/>
            <wp:docPr id="59" name="IM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 132"/>
                    <pic:cNvPicPr>
                      <a:picLocks noChangeAspect="1"/>
                    </pic:cNvPicPr>
                  </pic:nvPicPr>
                  <pic:blipFill>
                    <a:blip r:embed="rId70"/>
                    <a:stretch>
                      <a:fillRect/>
                    </a:stretch>
                  </pic:blipFill>
                  <pic:spPr>
                    <a:xfrm>
                      <a:off x="0" y="0"/>
                      <a:ext cx="5394325" cy="5033010"/>
                    </a:xfrm>
                    <a:prstGeom prst="rect">
                      <a:avLst/>
                    </a:prstGeom>
                    <a:noFill/>
                    <a:ln>
                      <a:noFill/>
                    </a:ln>
                  </pic:spPr>
                </pic:pic>
              </a:graphicData>
            </a:graphic>
          </wp:inline>
        </w:drawing>
      </w:r>
    </w:p>
    <w:p>
      <w:pPr>
        <w:jc w:val="center"/>
        <w:rPr>
          <w:rFonts w:ascii="Times New Roman" w:hAnsi="Times New Roman"/>
          <w:b/>
          <w:bCs/>
        </w:rPr>
      </w:pPr>
      <w:r>
        <w:rPr>
          <w:rFonts w:ascii="Times New Roman" w:hAnsi="Times New Roman"/>
          <w:b/>
          <w:bCs/>
        </w:rPr>
        <w:t>图 6.2-3  废气净化系统</w:t>
      </w:r>
    </w:p>
    <w:p>
      <w:pPr>
        <w:pStyle w:val="155"/>
        <w:spacing w:line="480" w:lineRule="exact"/>
        <w:ind w:firstLine="480"/>
      </w:pPr>
      <w:r>
        <w:rPr>
          <w:rFonts w:hint="eastAsia" w:ascii="宋体" w:hAnsi="宋体" w:cs="宋体"/>
        </w:rPr>
        <w:t>①</w:t>
      </w:r>
      <w:r>
        <w:t>粉尘阻拦干燥器</w:t>
      </w:r>
    </w:p>
    <w:p>
      <w:pPr>
        <w:pStyle w:val="155"/>
        <w:spacing w:line="480" w:lineRule="exact"/>
        <w:ind w:firstLine="480"/>
      </w:pPr>
      <w:r>
        <w:t>粉尘阻拦干燥器采用了先进的过滤技术，设计为四级过滤，一级为大颗粒粉尘的过滤、二级为冷却雾化颗粒、冷凝液滴、水蒸气和小颗粒粉尘的过滤，三级为冷却雾化颗粒、冷凝液滴和水蒸气的过滤，四级为较大细微粉尘颗粒的过滤。</w:t>
      </w:r>
    </w:p>
    <w:p>
      <w:pPr>
        <w:pStyle w:val="155"/>
        <w:spacing w:line="480" w:lineRule="exact"/>
        <w:ind w:firstLine="480"/>
      </w:pPr>
      <w:r>
        <w:t>工作原理：粉尘阻拦干燥器+低温等离子废气净化器是由直径为Φ 150 镀锌螺旋风管连接在一起的，当低温等离子废气净化器内部的离心风机工作时会通过镀锌螺旋风管、粉尘阻拦干燥等部件和设备在吸尘口处产生真空吸力，这种真空吸力会促使医疗废物高温干热处理设备工作时产生的大气污染物（颗粒物、NH</w:t>
      </w:r>
      <w:r>
        <w:rPr>
          <w:vertAlign w:val="subscript"/>
        </w:rPr>
        <w:t>3</w:t>
      </w:r>
      <w:r>
        <w:t>和H</w:t>
      </w:r>
      <w:r>
        <w:rPr>
          <w:vertAlign w:val="subscript"/>
        </w:rPr>
        <w:t>2</w:t>
      </w:r>
      <w:r>
        <w:t>S等恶臭污染物、挥发性有机物等）迅速聚集在吸尘口的周围，并且在低温等离子废气净化器的强吸力的作用下沿吸尘管道回聚到粉尘阻拦干燥器内部进行净化。进入粉尘阻拦干燥器的大气污染物会在风力的作用下进入到粉尘阻拦干燥器的下壳体，下壳体是容纳污染的地方，空间比较大。空间的突然变化会使过滤风速迅速下降到2m/s 以下， 较低的过滤风速不能把废气中的大颗粒粉尘和粘性物质吸走，其在下行的过程中会碰到导流板并在导流板的作用下改变方向和废气分离掉入下壳体的底部，小颗粒 粉尘和气态污染物会随着废气经过第一级过滤组件，第一级过滤组件主要由九块相互交错的分流版组成。风力的作用会促使废气继续上升进入第二级过滤组件，第二级过滤组件是由气液分离网和板框组成，气液分离网是由不锈钢网经过 PTFE 热覆膜而成，对气体和液体有较强的分离作用。第三级过滤组件主要由挡水板组成，对水汽和液滴有极强的阻留作用，是空气干燥的主要元件，经过第三级过滤组件过滤后的废气会变成相对较为干燥且含有气态污染物和极少粉尘的废气。第四级过滤组件主要由金属填料和板框组成，金属填料具有防水防油和水洗去污的优点。</w:t>
      </w:r>
    </w:p>
    <w:p>
      <w:pPr>
        <w:spacing w:line="480" w:lineRule="exact"/>
        <w:ind w:firstLine="480" w:firstLineChars="200"/>
        <w:rPr>
          <w:rFonts w:ascii="Times New Roman" w:hAnsi="Times New Roman"/>
          <w:kern w:val="2"/>
          <w:sz w:val="24"/>
          <w:szCs w:val="20"/>
        </w:rPr>
      </w:pPr>
      <w:r>
        <w:rPr>
          <w:rFonts w:hint="eastAsia" w:cs="宋体"/>
          <w:kern w:val="2"/>
          <w:sz w:val="24"/>
          <w:szCs w:val="20"/>
        </w:rPr>
        <w:t>②</w:t>
      </w:r>
      <w:r>
        <w:rPr>
          <w:rFonts w:ascii="Times New Roman" w:hAnsi="Times New Roman"/>
          <w:kern w:val="2"/>
          <w:sz w:val="24"/>
          <w:szCs w:val="20"/>
        </w:rPr>
        <w:t>低温等离子废气净化器</w:t>
      </w:r>
    </w:p>
    <w:p>
      <w:p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等离子体化学反应过程中，等离子体传递化学能量的反应过程中 能量的传递大致如下：</w:t>
      </w:r>
    </w:p>
    <w:p>
      <w:p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( 1 ) 电场+电子→高能电子</w:t>
      </w:r>
    </w:p>
    <w:p>
      <w:p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( 2 ) 高能电子+分子(或原子)→ (受激原子、受激基团、游离基 团 ) 活性基团</w:t>
      </w:r>
    </w:p>
    <w:p>
      <w:p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( 3 ) 活性基团+分子 (原子) →生成物+热</w:t>
      </w:r>
    </w:p>
    <w:p>
      <w:p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( 4 ) 活性基团+活性基团→生成物+热</w:t>
      </w:r>
    </w:p>
    <w:p>
      <w:p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从以上过程可以看出，电子首先从电场获得能量，通过激发或电 离将能量转移到分子或原子中去，获得能量的分子或原子被激发，同 时有部分分子被电离，从而成为活性基团；之后这些活性基团与分子或原子、活性基团与活性基团之间相互碰撞后生成稳定产物和热。另外，高能电子也能被卤素和氧气等电子亲和力较强的物质俘获，成为负离子。这类负离子具有很好的化学活性，在化学反应中起着重要的 作用。</w:t>
      </w:r>
    </w:p>
    <w:p>
      <w:p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低温等离子体技术处理污染物的原理为：在外加电场的作用下，介质放电产生的大量携能电子轰击污染物分子，使其电离、解离和激发，然后便引发了一系列复杂的物理、化学反应，使复杂大分子污染物转变为简单小分子安全物质，或使有毒有害物质转变成无毒无害或低毒低害的物质，从而使污染物得以降解去除。如氨、 三甲胺、硫化 氢、 甲硫氢、甲硫醇、 甲硫醚、二甲二硫、二硫化碳、苯乙烯、苯、甲苯、二甲苯等。等离子体中包含大量的高能电子、正负离子、激发 态粒子和具有强氧化性的自由基，这些活性粒子和部分废气分子碰撞结合，在电场作用下，废气分子处于激发态，当废气分子获得的能量大于其分子键能的结合能时，废气分子的分子键断裂，直接分解成单质原子或由单一原子构成得无 害气体分子；同时产生的大量·OH、HO</w:t>
      </w:r>
      <w:r>
        <w:rPr>
          <w:rFonts w:ascii="Times New Roman" w:hAnsi="Times New Roman"/>
          <w:kern w:val="2"/>
          <w:sz w:val="24"/>
          <w:szCs w:val="20"/>
          <w:vertAlign w:val="subscript"/>
        </w:rPr>
        <w:t>2</w:t>
      </w:r>
      <w:r>
        <w:rPr>
          <w:rFonts w:ascii="Times New Roman" w:hAnsi="Times New Roman"/>
          <w:kern w:val="2"/>
          <w:sz w:val="24"/>
          <w:szCs w:val="20"/>
        </w:rPr>
        <w:t>、·O等活性自由基和氧化性极强的O</w:t>
      </w:r>
      <w:r>
        <w:rPr>
          <w:rFonts w:ascii="Times New Roman" w:hAnsi="Times New Roman"/>
          <w:kern w:val="2"/>
          <w:sz w:val="24"/>
          <w:szCs w:val="20"/>
          <w:vertAlign w:val="subscript"/>
        </w:rPr>
        <w:t>3</w:t>
      </w:r>
      <w:r>
        <w:rPr>
          <w:rFonts w:ascii="Times New Roman" w:hAnsi="Times New Roman"/>
          <w:kern w:val="2"/>
          <w:sz w:val="24"/>
          <w:szCs w:val="20"/>
        </w:rPr>
        <w:t>，能与有害气体分子发生化学反应，最后生成无害产物。物理作用表现在具有荷电集尘作用，等离子体中的大量电子与颗粒污染物发生非弹性碰撞并粘附其表面从而使其荷电，在电场作用下，颗粒污染物被集尘极收集。生物作用表现在具有消毒杀菌之功效，等离子体中的正负粒子使微生物表面产生的电能剪切力大于其细胞膜表面张力，致使细胞膜遭到破坏而导致微生物死亡。</w:t>
      </w:r>
    </w:p>
    <w:p>
      <w:pPr>
        <w:spacing w:line="480" w:lineRule="exact"/>
        <w:ind w:firstLine="480" w:firstLineChars="200"/>
        <w:rPr>
          <w:rFonts w:ascii="Times New Roman" w:hAnsi="Times New Roman"/>
        </w:rPr>
      </w:pPr>
      <w:r>
        <w:rPr>
          <w:rFonts w:ascii="Times New Roman" w:hAnsi="Times New Roman"/>
          <w:kern w:val="2"/>
          <w:sz w:val="24"/>
          <w:szCs w:val="20"/>
        </w:rPr>
        <w:t>降解挥发性有机污染物传统的处理方法如吸收、吸附、冷凝和燃烧等，对于低浓度的VOCs很难实现，而光催化降解 VOCs又存在催化剂容易失活的问题，利用低温等离子体处理VOCs 可以不受上述条件的限制具有潜在的优势。</w:t>
      </w:r>
    </w:p>
    <w:p>
      <w:pPr>
        <w:pStyle w:val="538"/>
        <w:numPr>
          <w:ilvl w:val="0"/>
          <w:numId w:val="16"/>
        </w:numPr>
        <w:spacing w:line="480" w:lineRule="exact"/>
        <w:ind w:firstLineChars="0"/>
        <w:rPr>
          <w:rFonts w:ascii="Times New Roman" w:hAnsi="Times New Roman"/>
          <w:kern w:val="2"/>
          <w:sz w:val="24"/>
          <w:szCs w:val="20"/>
        </w:rPr>
      </w:pPr>
      <w:r>
        <w:rPr>
          <w:rFonts w:ascii="Times New Roman" w:hAnsi="Times New Roman"/>
          <w:kern w:val="2"/>
          <w:sz w:val="24"/>
          <w:szCs w:val="20"/>
        </w:rPr>
        <w:t>可行性分析</w:t>
      </w:r>
    </w:p>
    <w:p>
      <w:p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根据</w:t>
      </w:r>
      <w:r>
        <w:rPr>
          <w:rFonts w:hint="eastAsia" w:ascii="Times New Roman" w:hAnsi="Times New Roman"/>
          <w:kern w:val="2"/>
          <w:sz w:val="24"/>
          <w:szCs w:val="20"/>
        </w:rPr>
        <w:t>相似企业尚志市医疗废物处置中心提供资料，尚志市医疗废物处理处置工艺与本项目相同，废气处理工艺与本项目相同，尚志市干热处理设备已经成功运行2年，并且</w:t>
      </w:r>
      <w:r>
        <w:rPr>
          <w:rFonts w:ascii="Times New Roman" w:hAnsi="Times New Roman"/>
          <w:kern w:val="2"/>
          <w:sz w:val="24"/>
          <w:szCs w:val="20"/>
        </w:rPr>
        <w:t>医疗废物无害化处置设备废气排放达标</w:t>
      </w:r>
      <w:r>
        <w:rPr>
          <w:rFonts w:hint="eastAsia" w:ascii="Times New Roman" w:hAnsi="Times New Roman"/>
          <w:kern w:val="2"/>
          <w:sz w:val="24"/>
          <w:szCs w:val="20"/>
        </w:rPr>
        <w:t>（2</w:t>
      </w:r>
      <w:r>
        <w:rPr>
          <w:rFonts w:ascii="Times New Roman" w:hAnsi="Times New Roman"/>
          <w:kern w:val="2"/>
          <w:sz w:val="24"/>
          <w:szCs w:val="20"/>
        </w:rPr>
        <w:t>1</w:t>
      </w:r>
      <w:r>
        <w:rPr>
          <w:rFonts w:hint="eastAsia" w:ascii="Times New Roman" w:hAnsi="Times New Roman"/>
          <w:kern w:val="2"/>
          <w:sz w:val="24"/>
          <w:szCs w:val="20"/>
        </w:rPr>
        <w:t>年监测数据见附件1</w:t>
      </w:r>
      <w:r>
        <w:rPr>
          <w:rFonts w:ascii="Times New Roman" w:hAnsi="Times New Roman"/>
          <w:kern w:val="2"/>
          <w:sz w:val="24"/>
          <w:szCs w:val="20"/>
        </w:rPr>
        <w:t>0</w:t>
      </w:r>
      <w:r>
        <w:rPr>
          <w:rFonts w:hint="eastAsia" w:ascii="Times New Roman" w:hAnsi="Times New Roman"/>
          <w:kern w:val="2"/>
          <w:sz w:val="24"/>
          <w:szCs w:val="20"/>
        </w:rPr>
        <w:t>）</w:t>
      </w:r>
      <w:r>
        <w:rPr>
          <w:rFonts w:ascii="Times New Roman" w:hAnsi="Times New Roman"/>
          <w:kern w:val="2"/>
          <w:sz w:val="24"/>
          <w:szCs w:val="20"/>
        </w:rPr>
        <w:t>。大气污染物颗粒物排放浓度和排放速率可满足《大气污染物综合排放标准》(GB16297-1996)表 2 中二级标准要求， NH</w:t>
      </w:r>
      <w:r>
        <w:rPr>
          <w:rFonts w:ascii="Times New Roman" w:hAnsi="Times New Roman"/>
          <w:kern w:val="2"/>
          <w:sz w:val="24"/>
          <w:szCs w:val="20"/>
          <w:vertAlign w:val="subscript"/>
        </w:rPr>
        <w:t>3</w:t>
      </w:r>
      <w:r>
        <w:rPr>
          <w:rFonts w:hint="eastAsia" w:ascii="Times New Roman" w:hAnsi="Times New Roman"/>
          <w:kern w:val="2"/>
          <w:sz w:val="24"/>
          <w:szCs w:val="20"/>
        </w:rPr>
        <w:t>、</w:t>
      </w:r>
      <w:r>
        <w:rPr>
          <w:rFonts w:ascii="Times New Roman" w:hAnsi="Times New Roman"/>
          <w:kern w:val="2"/>
          <w:sz w:val="24"/>
          <w:szCs w:val="20"/>
        </w:rPr>
        <w:t>H</w:t>
      </w:r>
      <w:r>
        <w:rPr>
          <w:rFonts w:ascii="Times New Roman" w:hAnsi="Times New Roman"/>
          <w:kern w:val="2"/>
          <w:sz w:val="24"/>
          <w:szCs w:val="20"/>
          <w:vertAlign w:val="subscript"/>
        </w:rPr>
        <w:t>2</w:t>
      </w:r>
      <w:r>
        <w:rPr>
          <w:rFonts w:ascii="Times New Roman" w:hAnsi="Times New Roman"/>
          <w:kern w:val="2"/>
          <w:sz w:val="24"/>
          <w:szCs w:val="20"/>
        </w:rPr>
        <w:t>S 和臭气浓度排放量可满足《恶臭污染物排放标准》(GB14554-93)表</w:t>
      </w:r>
      <w:r>
        <w:rPr>
          <w:rFonts w:hint="eastAsia" w:ascii="Times New Roman" w:hAnsi="Times New Roman"/>
          <w:kern w:val="2"/>
          <w:sz w:val="24"/>
          <w:szCs w:val="20"/>
        </w:rPr>
        <w:t>2</w:t>
      </w:r>
      <w:r>
        <w:rPr>
          <w:rFonts w:ascii="Times New Roman" w:hAnsi="Times New Roman"/>
          <w:kern w:val="2"/>
          <w:sz w:val="24"/>
          <w:szCs w:val="20"/>
        </w:rPr>
        <w:t>中二级标准要求；导热油锅炉(燃料采用车用柴油)产生的大气污染物颗粒物、 SO</w:t>
      </w:r>
      <w:r>
        <w:rPr>
          <w:rFonts w:ascii="Times New Roman" w:hAnsi="Times New Roman"/>
          <w:kern w:val="2"/>
          <w:sz w:val="24"/>
          <w:szCs w:val="20"/>
          <w:vertAlign w:val="subscript"/>
        </w:rPr>
        <w:t>2</w:t>
      </w:r>
      <w:r>
        <w:rPr>
          <w:rFonts w:ascii="Times New Roman" w:hAnsi="Times New Roman"/>
          <w:kern w:val="2"/>
          <w:sz w:val="24"/>
          <w:szCs w:val="20"/>
        </w:rPr>
        <w:t xml:space="preserve"> 和 NO</w:t>
      </w:r>
      <w:r>
        <w:rPr>
          <w:rFonts w:ascii="Times New Roman" w:hAnsi="Times New Roman"/>
          <w:kern w:val="2"/>
          <w:sz w:val="24"/>
          <w:szCs w:val="20"/>
          <w:vertAlign w:val="subscript"/>
        </w:rPr>
        <w:t>x</w:t>
      </w:r>
      <w:r>
        <w:rPr>
          <w:rFonts w:ascii="Times New Roman" w:hAnsi="Times New Roman"/>
          <w:kern w:val="2"/>
          <w:sz w:val="24"/>
          <w:szCs w:val="20"/>
        </w:rPr>
        <w:t>排放浓度可满足《锅炉大气污染物排放标准》 (GB13271-2014)表 2 要求。</w:t>
      </w:r>
      <w:r>
        <w:rPr>
          <w:rFonts w:hint="eastAsia" w:ascii="Times New Roman" w:hAnsi="Times New Roman"/>
          <w:kern w:val="2"/>
          <w:sz w:val="24"/>
          <w:szCs w:val="20"/>
        </w:rPr>
        <w:t>本项目导热油锅炉与</w:t>
      </w:r>
      <w:r>
        <w:rPr>
          <w:rFonts w:ascii="Times New Roman" w:hAnsi="Times New Roman"/>
          <w:kern w:val="2"/>
          <w:sz w:val="24"/>
          <w:szCs w:val="20"/>
        </w:rPr>
        <w:t>Simplex500型高温干热医疗废物处置设备</w:t>
      </w:r>
      <w:r>
        <w:rPr>
          <w:rFonts w:hint="eastAsia" w:ascii="Times New Roman" w:hAnsi="Times New Roman"/>
          <w:kern w:val="2"/>
          <w:sz w:val="24"/>
          <w:szCs w:val="20"/>
        </w:rPr>
        <w:t>为一体式的，产生的大气污染物颗粒物、</w:t>
      </w:r>
      <w:r>
        <w:rPr>
          <w:rFonts w:ascii="Times New Roman" w:hAnsi="Times New Roman"/>
          <w:kern w:val="2"/>
          <w:sz w:val="24"/>
          <w:szCs w:val="20"/>
        </w:rPr>
        <w:t>SO</w:t>
      </w:r>
      <w:r>
        <w:rPr>
          <w:rFonts w:ascii="Times New Roman" w:hAnsi="Times New Roman"/>
          <w:kern w:val="2"/>
          <w:sz w:val="24"/>
          <w:szCs w:val="20"/>
          <w:vertAlign w:val="subscript"/>
        </w:rPr>
        <w:t>2</w:t>
      </w:r>
      <w:r>
        <w:rPr>
          <w:rFonts w:ascii="Times New Roman" w:hAnsi="Times New Roman"/>
          <w:kern w:val="2"/>
          <w:sz w:val="24"/>
          <w:szCs w:val="20"/>
        </w:rPr>
        <w:t>和 NOx</w:t>
      </w:r>
      <w:r>
        <w:rPr>
          <w:rFonts w:hint="eastAsia" w:ascii="Times New Roman" w:hAnsi="Times New Roman"/>
          <w:kern w:val="2"/>
          <w:sz w:val="24"/>
          <w:szCs w:val="20"/>
        </w:rPr>
        <w:t>一同经过此设备的废气净化系统后排放。废气净化系统为粉尘阻拦干燥器</w:t>
      </w:r>
      <w:r>
        <w:rPr>
          <w:rFonts w:ascii="Times New Roman" w:hAnsi="Times New Roman"/>
          <w:kern w:val="2"/>
          <w:sz w:val="24"/>
          <w:szCs w:val="20"/>
        </w:rPr>
        <w:t>+低温等离子废气净化器</w:t>
      </w:r>
      <w:r>
        <w:rPr>
          <w:rFonts w:hint="eastAsia" w:ascii="Times New Roman" w:hAnsi="Times New Roman"/>
          <w:kern w:val="2"/>
          <w:sz w:val="24"/>
          <w:szCs w:val="20"/>
        </w:rPr>
        <w:t>，除尘效率可达到9</w:t>
      </w:r>
      <w:r>
        <w:rPr>
          <w:rFonts w:ascii="Times New Roman" w:hAnsi="Times New Roman"/>
          <w:kern w:val="2"/>
          <w:sz w:val="24"/>
          <w:szCs w:val="20"/>
        </w:rPr>
        <w:t>9</w:t>
      </w:r>
      <w:r>
        <w:rPr>
          <w:rFonts w:hint="eastAsia" w:ascii="Times New Roman" w:hAnsi="Times New Roman"/>
          <w:kern w:val="2"/>
          <w:sz w:val="24"/>
          <w:szCs w:val="20"/>
        </w:rPr>
        <w:t>%。并且，与本项目使用相同型号设备的尚志市医疗废物处置中心已经成功运行2年，医疗废物无害化处置设备废气均能够达标排放。</w:t>
      </w:r>
    </w:p>
    <w:p>
      <w:p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（2）活性炭吸附装置</w:t>
      </w:r>
    </w:p>
    <w:p>
      <w:p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医疗废物处置间、医疗废物暂存间(冷库) 、转运车消毒间和周转箱消毒间封闭、微负压设计，室内换出的空气经活性炭吸附装置处理后通过15m高排气筒排放，大气污染物 NH</w:t>
      </w:r>
      <w:r>
        <w:rPr>
          <w:rFonts w:ascii="Times New Roman" w:hAnsi="Times New Roman"/>
          <w:kern w:val="2"/>
          <w:sz w:val="24"/>
          <w:szCs w:val="20"/>
          <w:vertAlign w:val="subscript"/>
        </w:rPr>
        <w:t xml:space="preserve">3 </w:t>
      </w:r>
      <w:r>
        <w:rPr>
          <w:rFonts w:ascii="Times New Roman" w:hAnsi="Times New Roman"/>
          <w:kern w:val="2"/>
          <w:sz w:val="24"/>
          <w:szCs w:val="20"/>
        </w:rPr>
        <w:t>、H</w:t>
      </w:r>
      <w:r>
        <w:rPr>
          <w:rFonts w:ascii="Times New Roman" w:hAnsi="Times New Roman"/>
          <w:kern w:val="2"/>
          <w:sz w:val="24"/>
          <w:szCs w:val="20"/>
          <w:vertAlign w:val="subscript"/>
        </w:rPr>
        <w:t>2</w:t>
      </w:r>
      <w:r>
        <w:rPr>
          <w:rFonts w:ascii="Times New Roman" w:hAnsi="Times New Roman"/>
          <w:kern w:val="2"/>
          <w:sz w:val="24"/>
          <w:szCs w:val="20"/>
        </w:rPr>
        <w:t>S和臭气浓度排放量可满足《恶臭污染物排放标准》(GB14554-93)表2中二级标准要求；污水处理站位于地下，封闭、微负压设计，室内换出的空气经活性炭吸附装置处理后通过 15m 高排气筒排放，大气污染物NH</w:t>
      </w:r>
      <w:r>
        <w:rPr>
          <w:rFonts w:ascii="Times New Roman" w:hAnsi="Times New Roman"/>
          <w:kern w:val="2"/>
          <w:sz w:val="24"/>
          <w:szCs w:val="20"/>
          <w:vertAlign w:val="subscript"/>
        </w:rPr>
        <w:t>3</w:t>
      </w:r>
      <w:r>
        <w:rPr>
          <w:rFonts w:ascii="Times New Roman" w:hAnsi="Times New Roman"/>
          <w:kern w:val="2"/>
          <w:sz w:val="24"/>
          <w:szCs w:val="20"/>
        </w:rPr>
        <w:t xml:space="preserve"> 、H</w:t>
      </w:r>
      <w:r>
        <w:rPr>
          <w:rFonts w:ascii="Times New Roman" w:hAnsi="Times New Roman"/>
          <w:kern w:val="2"/>
          <w:sz w:val="24"/>
          <w:szCs w:val="20"/>
          <w:vertAlign w:val="subscript"/>
        </w:rPr>
        <w:t>2</w:t>
      </w:r>
      <w:r>
        <w:rPr>
          <w:rFonts w:ascii="Times New Roman" w:hAnsi="Times New Roman"/>
          <w:kern w:val="2"/>
          <w:sz w:val="24"/>
          <w:szCs w:val="20"/>
        </w:rPr>
        <w:t>S和臭气浓度排放量可满足 《恶臭污染物排放标准》(GB14554-93)表 2 中二级标准要求。</w:t>
      </w:r>
    </w:p>
    <w:p>
      <w:p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工作原理：气体吸附式利用某些多孔性固体物质表面上未平衡或未饱和的分子力，就像磁力一样，所有的分子之间都具有相互引力。正因为如此，活性炭孔壁上的大量的分子可以产生强大的引力，从而达到将介质中的杂质吸引到孔径中的目的，把气体混合物中的一种或几种有害组分吸留在固体表面上，然后将其从气流中分离并除去的净化操作过程。采用柱状活性炭为吸附介质，柱状活性炭比表面积大，当含有恶臭气体和有机气体的空气穿过活性炭净化装置吸层时，气体 中的这些污染物就会被活性炭微孔拦截、阻滞、吸附，并由气相被转移到固相，从而达到气体净化的目的。</w:t>
      </w:r>
    </w:p>
    <w:p>
      <w:pPr>
        <w:pStyle w:val="4"/>
        <w:spacing w:before="120" w:beforeLines="50" w:after="120" w:afterLines="50" w:line="480" w:lineRule="exact"/>
        <w:rPr>
          <w:rFonts w:ascii="Times New Roman" w:hAnsi="Times New Roman" w:eastAsia="黑体"/>
          <w:bCs/>
          <w:sz w:val="28"/>
          <w:szCs w:val="28"/>
        </w:rPr>
      </w:pPr>
      <w:bookmarkStart w:id="1409" w:name="_Toc464036797"/>
      <w:bookmarkStart w:id="1410" w:name="_Toc532556663"/>
      <w:bookmarkStart w:id="1411" w:name="_Toc453709000"/>
      <w:bookmarkStart w:id="1412" w:name="_Toc527205797"/>
      <w:bookmarkStart w:id="1413" w:name="_Toc480190544"/>
      <w:bookmarkStart w:id="1414" w:name="_Toc486970428"/>
      <w:bookmarkStart w:id="1415" w:name="_Toc487111546"/>
      <w:bookmarkStart w:id="1416" w:name="_Toc416966939"/>
      <w:bookmarkStart w:id="1417" w:name="_Toc480983925"/>
      <w:bookmarkStart w:id="1418" w:name="_Toc466271447"/>
      <w:bookmarkStart w:id="1419" w:name="_Toc482020707"/>
      <w:bookmarkStart w:id="1420" w:name="_Toc497228876"/>
      <w:bookmarkStart w:id="1421" w:name="_Toc530656032"/>
      <w:bookmarkStart w:id="1422" w:name="_Toc9843873"/>
      <w:bookmarkStart w:id="1423" w:name="_Toc409529984"/>
      <w:bookmarkStart w:id="1424" w:name="_Toc534537681"/>
      <w:bookmarkStart w:id="1425" w:name="_Toc535168967"/>
      <w:bookmarkStart w:id="1426" w:name="_Toc407350293"/>
      <w:bookmarkStart w:id="1427" w:name="_Toc458063893"/>
      <w:bookmarkStart w:id="1428" w:name="_Toc535348522"/>
      <w:bookmarkStart w:id="1429" w:name="_Toc406572561"/>
      <w:bookmarkStart w:id="1430" w:name="_Toc406772101"/>
      <w:bookmarkStart w:id="1431" w:name="_Toc6758"/>
      <w:bookmarkStart w:id="1432" w:name="_Toc11621"/>
      <w:bookmarkStart w:id="1433" w:name="_Toc8989"/>
      <w:bookmarkStart w:id="1434" w:name="_Toc26188074"/>
      <w:bookmarkStart w:id="1435" w:name="_Toc24363"/>
      <w:bookmarkStart w:id="1436" w:name="_Toc27134370"/>
      <w:bookmarkStart w:id="1437" w:name="_Toc16230"/>
      <w:r>
        <w:rPr>
          <w:rFonts w:ascii="Times New Roman" w:hAnsi="Times New Roman" w:eastAsia="黑体"/>
          <w:bCs/>
          <w:sz w:val="28"/>
          <w:szCs w:val="28"/>
        </w:rPr>
        <w:t>噪声污染治理措施</w:t>
      </w:r>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r>
        <w:rPr>
          <w:rFonts w:ascii="Times New Roman" w:hAnsi="Times New Roman" w:eastAsia="黑体"/>
          <w:bCs/>
          <w:sz w:val="28"/>
          <w:szCs w:val="28"/>
        </w:rPr>
        <w:t>及其可行性分析</w:t>
      </w:r>
      <w:bookmarkEnd w:id="1431"/>
      <w:bookmarkEnd w:id="1432"/>
      <w:bookmarkEnd w:id="1433"/>
      <w:bookmarkEnd w:id="1434"/>
      <w:bookmarkEnd w:id="1435"/>
      <w:bookmarkEnd w:id="1436"/>
      <w:bookmarkEnd w:id="1437"/>
    </w:p>
    <w:p>
      <w:pPr>
        <w:widowControl/>
        <w:spacing w:line="480" w:lineRule="exact"/>
        <w:outlineLvl w:val="3"/>
        <w:rPr>
          <w:rFonts w:ascii="Times New Roman" w:hAnsi="Times New Roman" w:eastAsia="黑体"/>
          <w:sz w:val="24"/>
        </w:rPr>
      </w:pPr>
      <w:r>
        <w:rPr>
          <w:rFonts w:ascii="Times New Roman" w:hAnsi="Times New Roman" w:eastAsia="黑体"/>
          <w:sz w:val="24"/>
        </w:rPr>
        <w:t>6.2.4.1.噪声污染治理措施</w:t>
      </w:r>
    </w:p>
    <w:p>
      <w:pPr>
        <w:spacing w:line="480" w:lineRule="exact"/>
        <w:ind w:firstLine="480" w:firstLineChars="200"/>
        <w:rPr>
          <w:rFonts w:ascii="Times New Roman" w:hAnsi="Times New Roman"/>
          <w:sz w:val="24"/>
        </w:rPr>
      </w:pPr>
      <w:r>
        <w:rPr>
          <w:rFonts w:ascii="Times New Roman" w:hAnsi="Times New Roman"/>
          <w:sz w:val="24"/>
        </w:rPr>
        <w:t>本项目主要噪声源为设备噪声，主要通过设备基础减振减小噪声向环境排放。</w:t>
      </w:r>
    </w:p>
    <w:p>
      <w:pPr>
        <w:spacing w:line="480" w:lineRule="exact"/>
        <w:ind w:firstLine="480"/>
        <w:rPr>
          <w:rFonts w:ascii="Times New Roman" w:hAnsi="Times New Roman"/>
          <w:sz w:val="24"/>
        </w:rPr>
      </w:pPr>
      <w:r>
        <w:rPr>
          <w:rFonts w:hint="eastAsia" w:cs="宋体"/>
          <w:sz w:val="24"/>
        </w:rPr>
        <w:t>①</w:t>
      </w:r>
      <w:r>
        <w:rPr>
          <w:rFonts w:ascii="Times New Roman" w:hAnsi="Times New Roman"/>
          <w:sz w:val="24"/>
        </w:rPr>
        <w:t>从总平面布置上，在工艺合理的前提下，优化布置，充分考虑重点噪声源的均匀布置，将噪声较大的设备尽可能布置在远离办公室和职工宿舍等人员较集中的地方，以防噪声对工作环境的影响。</w:t>
      </w:r>
    </w:p>
    <w:p>
      <w:pPr>
        <w:spacing w:line="480" w:lineRule="exact"/>
        <w:ind w:firstLine="480" w:firstLineChars="200"/>
        <w:rPr>
          <w:rFonts w:ascii="Times New Roman" w:hAnsi="Times New Roman"/>
          <w:sz w:val="24"/>
        </w:rPr>
      </w:pPr>
      <w:r>
        <w:rPr>
          <w:rFonts w:hint="eastAsia" w:cs="宋体"/>
          <w:sz w:val="24"/>
        </w:rPr>
        <w:t>②</w:t>
      </w:r>
      <w:r>
        <w:rPr>
          <w:rFonts w:ascii="Times New Roman" w:hAnsi="Times New Roman"/>
          <w:sz w:val="24"/>
        </w:rPr>
        <w:t>对重点噪声源严格控制，向设备制造厂家提出噪声控制要求。</w:t>
      </w:r>
    </w:p>
    <w:p>
      <w:pPr>
        <w:spacing w:line="480" w:lineRule="exact"/>
        <w:ind w:firstLine="480" w:firstLineChars="200"/>
        <w:rPr>
          <w:rFonts w:ascii="Times New Roman" w:hAnsi="Times New Roman"/>
          <w:sz w:val="24"/>
        </w:rPr>
      </w:pPr>
      <w:r>
        <w:rPr>
          <w:rFonts w:hint="eastAsia" w:cs="宋体"/>
          <w:sz w:val="24"/>
        </w:rPr>
        <w:t>③</w:t>
      </w:r>
      <w:r>
        <w:rPr>
          <w:rFonts w:ascii="Times New Roman" w:hAnsi="Times New Roman"/>
          <w:sz w:val="24"/>
        </w:rPr>
        <w:t>生产车间均采用低噪声型风机进行强制机械通风，进排风口加消声弯头，设备基础进行相应减震处理。</w:t>
      </w:r>
    </w:p>
    <w:p>
      <w:pPr>
        <w:widowControl/>
        <w:spacing w:line="480" w:lineRule="exact"/>
        <w:outlineLvl w:val="3"/>
        <w:rPr>
          <w:rFonts w:ascii="Times New Roman" w:hAnsi="Times New Roman" w:eastAsia="黑体"/>
          <w:sz w:val="24"/>
        </w:rPr>
      </w:pPr>
      <w:r>
        <w:rPr>
          <w:rFonts w:ascii="Times New Roman" w:hAnsi="Times New Roman" w:eastAsia="黑体"/>
          <w:sz w:val="24"/>
        </w:rPr>
        <w:t>6.2.4.2.噪声污染治理措施可行性分析</w:t>
      </w:r>
    </w:p>
    <w:p>
      <w:pPr>
        <w:tabs>
          <w:tab w:val="left" w:pos="360"/>
          <w:tab w:val="left" w:pos="540"/>
        </w:tabs>
        <w:spacing w:line="480" w:lineRule="exact"/>
        <w:ind w:firstLine="480" w:firstLineChars="200"/>
        <w:rPr>
          <w:rFonts w:ascii="Times New Roman" w:hAnsi="Times New Roman"/>
          <w:sz w:val="24"/>
        </w:rPr>
      </w:pPr>
      <w:r>
        <w:rPr>
          <w:rFonts w:ascii="Times New Roman" w:hAnsi="Times New Roman"/>
          <w:sz w:val="24"/>
        </w:rPr>
        <w:t>通过采取以上措施，运营期厂界噪声排放满足《工业企业厂界环境噪声排放标准》（GB12348-2008）2类标准，运输车辆对沿线村屯声环境影响较小，本项目所采取的措施可行。</w:t>
      </w:r>
    </w:p>
    <w:p>
      <w:pPr>
        <w:pStyle w:val="4"/>
        <w:spacing w:before="120" w:beforeLines="50" w:after="120" w:afterLines="50" w:line="480" w:lineRule="exact"/>
        <w:rPr>
          <w:rFonts w:ascii="Times New Roman" w:hAnsi="Times New Roman" w:eastAsia="黑体"/>
          <w:bCs/>
          <w:sz w:val="28"/>
          <w:szCs w:val="28"/>
        </w:rPr>
      </w:pPr>
      <w:bookmarkStart w:id="1438" w:name="_Toc527205798"/>
      <w:bookmarkStart w:id="1439" w:name="_Toc453709001"/>
      <w:bookmarkStart w:id="1440" w:name="_Toc458063894"/>
      <w:bookmarkStart w:id="1441" w:name="_Toc416966940"/>
      <w:bookmarkStart w:id="1442" w:name="_Toc480190545"/>
      <w:bookmarkStart w:id="1443" w:name="_Toc482020708"/>
      <w:bookmarkStart w:id="1444" w:name="_Toc497228877"/>
      <w:bookmarkStart w:id="1445" w:name="_Toc480983926"/>
      <w:bookmarkStart w:id="1446" w:name="_Toc406772102"/>
      <w:bookmarkStart w:id="1447" w:name="_Toc406572562"/>
      <w:bookmarkStart w:id="1448" w:name="_Toc535348524"/>
      <w:bookmarkStart w:id="1449" w:name="_Toc534537683"/>
      <w:bookmarkStart w:id="1450" w:name="_Toc487111547"/>
      <w:bookmarkStart w:id="1451" w:name="_Toc530656034"/>
      <w:bookmarkStart w:id="1452" w:name="_Toc407350294"/>
      <w:bookmarkStart w:id="1453" w:name="_Toc466271448"/>
      <w:bookmarkStart w:id="1454" w:name="_Toc9843874"/>
      <w:bookmarkStart w:id="1455" w:name="_Toc532556665"/>
      <w:bookmarkStart w:id="1456" w:name="_Toc535168969"/>
      <w:bookmarkStart w:id="1457" w:name="_Toc486970429"/>
      <w:bookmarkStart w:id="1458" w:name="_Toc409529985"/>
      <w:bookmarkStart w:id="1459" w:name="_Toc464036798"/>
      <w:bookmarkStart w:id="1460" w:name="_Toc11837"/>
      <w:bookmarkStart w:id="1461" w:name="_Toc26188075"/>
      <w:bookmarkStart w:id="1462" w:name="_Toc25169"/>
      <w:bookmarkStart w:id="1463" w:name="_Toc18367"/>
      <w:bookmarkStart w:id="1464" w:name="_Toc27134371"/>
      <w:bookmarkStart w:id="1465" w:name="_Toc2104"/>
      <w:bookmarkStart w:id="1466" w:name="_Toc17550"/>
      <w:r>
        <w:rPr>
          <w:rFonts w:ascii="Times New Roman" w:hAnsi="Times New Roman" w:eastAsia="黑体"/>
          <w:bCs/>
          <w:sz w:val="28"/>
          <w:szCs w:val="28"/>
        </w:rPr>
        <w:t>固体废物治理措施</w:t>
      </w:r>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r>
        <w:rPr>
          <w:rFonts w:ascii="Times New Roman" w:hAnsi="Times New Roman" w:eastAsia="黑体"/>
          <w:bCs/>
          <w:sz w:val="28"/>
          <w:szCs w:val="28"/>
        </w:rPr>
        <w:t>及其可行性分析</w:t>
      </w:r>
      <w:bookmarkEnd w:id="1460"/>
      <w:bookmarkEnd w:id="1461"/>
      <w:bookmarkEnd w:id="1462"/>
      <w:bookmarkEnd w:id="1463"/>
      <w:bookmarkEnd w:id="1464"/>
      <w:bookmarkEnd w:id="1465"/>
      <w:bookmarkEnd w:id="1466"/>
    </w:p>
    <w:p>
      <w:pPr>
        <w:widowControl/>
        <w:spacing w:line="480" w:lineRule="exact"/>
        <w:outlineLvl w:val="3"/>
        <w:rPr>
          <w:rFonts w:ascii="Times New Roman" w:hAnsi="Times New Roman" w:eastAsia="黑体"/>
          <w:sz w:val="24"/>
        </w:rPr>
      </w:pPr>
      <w:r>
        <w:rPr>
          <w:rFonts w:ascii="Times New Roman" w:hAnsi="Times New Roman" w:eastAsia="黑体"/>
          <w:sz w:val="24"/>
        </w:rPr>
        <w:t>6.2.5.1.</w:t>
      </w:r>
      <w:r>
        <w:rPr>
          <w:rFonts w:ascii="Times New Roman" w:hAnsi="Times New Roman" w:eastAsia="黑体"/>
          <w:bCs/>
          <w:sz w:val="24"/>
        </w:rPr>
        <w:t>固体废物</w:t>
      </w:r>
      <w:r>
        <w:rPr>
          <w:rFonts w:ascii="Times New Roman" w:hAnsi="Times New Roman" w:eastAsia="黑体"/>
          <w:sz w:val="24"/>
        </w:rPr>
        <w:t>污染治理措施</w:t>
      </w:r>
    </w:p>
    <w:p>
      <w:pPr>
        <w:pStyle w:val="567"/>
        <w:spacing w:line="480" w:lineRule="exact"/>
        <w:ind w:firstLine="480" w:firstLineChars="200"/>
        <w:rPr>
          <w:rFonts w:cs="Times New Roman"/>
          <w:szCs w:val="24"/>
        </w:rPr>
      </w:pPr>
      <w:r>
        <w:rPr>
          <w:rFonts w:cs="Times New Roman"/>
          <w:szCs w:val="24"/>
        </w:rPr>
        <w:t>本项目改扩建工程固体废物包括医疗废物消毒破碎处理后的破碎废渣、废导热油、废活性炭和污水处理间污泥。</w:t>
      </w:r>
    </w:p>
    <w:p>
      <w:pPr>
        <w:pStyle w:val="567"/>
        <w:spacing w:line="480" w:lineRule="exact"/>
        <w:ind w:firstLine="480" w:firstLineChars="200"/>
        <w:rPr>
          <w:rFonts w:cs="Times New Roman"/>
          <w:szCs w:val="24"/>
        </w:rPr>
      </w:pPr>
      <w:r>
        <w:rPr>
          <w:rFonts w:cs="Times New Roman"/>
          <w:szCs w:val="24"/>
        </w:rPr>
        <w:t>（1）医疗废物消毒破碎处理后的破碎废渣</w:t>
      </w:r>
    </w:p>
    <w:p>
      <w:pPr>
        <w:pStyle w:val="567"/>
        <w:spacing w:line="480" w:lineRule="exact"/>
        <w:ind w:firstLine="480" w:firstLineChars="200"/>
        <w:rPr>
          <w:rFonts w:cs="Times New Roman"/>
          <w:szCs w:val="24"/>
        </w:rPr>
      </w:pPr>
      <w:r>
        <w:rPr>
          <w:rFonts w:cs="Times New Roman"/>
          <w:szCs w:val="24"/>
        </w:rPr>
        <w:t>根据物料平衡分析，医疗废物破碎处理后的破碎废渣产生量为6.4t/d，运送至厂址东侧双鸭山市垃圾填埋场处理。</w:t>
      </w:r>
    </w:p>
    <w:p>
      <w:pPr>
        <w:spacing w:line="480" w:lineRule="exact"/>
        <w:ind w:firstLine="480" w:firstLineChars="200"/>
        <w:rPr>
          <w:rFonts w:ascii="Times New Roman" w:hAnsi="Times New Roman"/>
          <w:sz w:val="24"/>
          <w:szCs w:val="24"/>
        </w:rPr>
      </w:pPr>
      <w:r>
        <w:rPr>
          <w:rFonts w:ascii="Times New Roman" w:hAnsi="Times New Roman"/>
          <w:sz w:val="24"/>
          <w:szCs w:val="24"/>
        </w:rPr>
        <w:t>（2）废活性炭</w:t>
      </w:r>
      <w:r>
        <w:rPr>
          <w:rFonts w:hint="eastAsia" w:ascii="Times New Roman" w:hAnsi="Times New Roman"/>
          <w:sz w:val="24"/>
          <w:szCs w:val="24"/>
        </w:rPr>
        <w:t>、</w:t>
      </w:r>
      <w:r>
        <w:rPr>
          <w:rFonts w:ascii="Times New Roman" w:hAnsi="Times New Roman"/>
          <w:sz w:val="24"/>
          <w:szCs w:val="24"/>
        </w:rPr>
        <w:t>污泥</w:t>
      </w:r>
      <w:r>
        <w:rPr>
          <w:rFonts w:hint="eastAsia" w:ascii="Times New Roman" w:hAnsi="Times New Roman"/>
          <w:sz w:val="24"/>
          <w:szCs w:val="24"/>
        </w:rPr>
        <w:t>和</w:t>
      </w:r>
      <w:r>
        <w:rPr>
          <w:rFonts w:ascii="Times New Roman" w:hAnsi="Times New Roman"/>
          <w:sz w:val="24"/>
          <w:szCs w:val="24"/>
        </w:rPr>
        <w:t>栅渣</w:t>
      </w:r>
    </w:p>
    <w:p>
      <w:pPr>
        <w:spacing w:line="480" w:lineRule="exact"/>
        <w:ind w:firstLine="480" w:firstLineChars="200"/>
        <w:rPr>
          <w:rFonts w:ascii="Times New Roman" w:hAnsi="Times New Roman"/>
          <w:sz w:val="24"/>
          <w:szCs w:val="24"/>
        </w:rPr>
      </w:pPr>
      <w:r>
        <w:rPr>
          <w:rFonts w:ascii="Times New Roman" w:hAnsi="Times New Roman"/>
          <w:sz w:val="24"/>
          <w:szCs w:val="24"/>
        </w:rPr>
        <w:t>本项目废活性炭属于危险废物编号HW49其他废物-非特定行业-900-041-49含有或沾染毒性、感染性危险废物的废弃包装物、容器、过滤吸附介质，根据企业提供的资料，单套装置每半年更换1次，产生量约为9kg/a。本项目污水处理间污泥属于危险废物编号HW01医疗废物-卫生-841-001-01感染性废物，根据企业提供的资料，单套污水处理装置污泥产生量约为0.1t/a</w:t>
      </w:r>
      <w:r>
        <w:rPr>
          <w:rFonts w:hint="eastAsia" w:ascii="Times New Roman" w:hAnsi="Times New Roman"/>
          <w:sz w:val="24"/>
          <w:szCs w:val="24"/>
        </w:rPr>
        <w:t>，</w:t>
      </w:r>
      <w:r>
        <w:rPr>
          <w:rFonts w:ascii="Times New Roman" w:hAnsi="Times New Roman"/>
          <w:sz w:val="24"/>
          <w:szCs w:val="24"/>
        </w:rPr>
        <w:t>栅渣</w:t>
      </w:r>
      <w:r>
        <w:rPr>
          <w:rFonts w:hint="eastAsia" w:ascii="Times New Roman" w:hAnsi="Times New Roman"/>
          <w:sz w:val="24"/>
          <w:szCs w:val="24"/>
        </w:rPr>
        <w:t>产生量为0</w:t>
      </w:r>
      <w:r>
        <w:rPr>
          <w:rFonts w:ascii="Times New Roman" w:hAnsi="Times New Roman"/>
          <w:sz w:val="24"/>
          <w:szCs w:val="24"/>
        </w:rPr>
        <w:t>.1</w:t>
      </w:r>
      <w:r>
        <w:rPr>
          <w:rFonts w:hint="eastAsia" w:ascii="Times New Roman" w:hAnsi="Times New Roman"/>
          <w:sz w:val="24"/>
          <w:szCs w:val="24"/>
        </w:rPr>
        <w:t>t</w:t>
      </w:r>
      <w:r>
        <w:rPr>
          <w:rFonts w:ascii="Times New Roman" w:hAnsi="Times New Roman"/>
          <w:sz w:val="24"/>
          <w:szCs w:val="24"/>
        </w:rPr>
        <w:t>/</w:t>
      </w:r>
      <w:r>
        <w:rPr>
          <w:rFonts w:hint="eastAsia" w:ascii="Times New Roman" w:hAnsi="Times New Roman"/>
          <w:sz w:val="24"/>
          <w:szCs w:val="24"/>
        </w:rPr>
        <w:t>a</w:t>
      </w:r>
      <w:r>
        <w:rPr>
          <w:rFonts w:ascii="Times New Roman" w:hAnsi="Times New Roman"/>
          <w:sz w:val="24"/>
          <w:szCs w:val="24"/>
        </w:rPr>
        <w:t>。项目废活性炭和污水处理间污泥暂存于危险废物暂存间（占地面积10m</w:t>
      </w:r>
      <w:r>
        <w:rPr>
          <w:rFonts w:ascii="Times New Roman" w:hAnsi="Times New Roman"/>
          <w:sz w:val="24"/>
          <w:szCs w:val="24"/>
          <w:vertAlign w:val="superscript"/>
        </w:rPr>
        <w:t>2</w:t>
      </w:r>
      <w:r>
        <w:rPr>
          <w:rFonts w:ascii="Times New Roman" w:hAnsi="Times New Roman"/>
          <w:sz w:val="24"/>
          <w:szCs w:val="24"/>
        </w:rPr>
        <w:t>），污泥由厂区内危废暂存间暂存后和废活性炭更换后直接交由黑龙江京盛华环保科技有限公司处置。栅渣</w:t>
      </w:r>
      <w:r>
        <w:rPr>
          <w:rFonts w:hint="eastAsia" w:ascii="Times New Roman" w:hAnsi="Times New Roman"/>
          <w:sz w:val="24"/>
          <w:szCs w:val="24"/>
        </w:rPr>
        <w:t>经石灰消毒后在危险废物暂存间内存，交由黑龙江京盛华环保科技有限公司处置。</w:t>
      </w:r>
    </w:p>
    <w:p>
      <w:pPr>
        <w:pStyle w:val="567"/>
        <w:spacing w:line="480" w:lineRule="exact"/>
        <w:ind w:firstLine="480" w:firstLineChars="200"/>
        <w:rPr>
          <w:rFonts w:cs="Times New Roman"/>
          <w:szCs w:val="24"/>
        </w:rPr>
      </w:pPr>
      <w:r>
        <w:rPr>
          <w:rFonts w:cs="Times New Roman"/>
          <w:szCs w:val="24"/>
        </w:rPr>
        <w:t>（3）废导热油</w:t>
      </w:r>
    </w:p>
    <w:p>
      <w:pPr>
        <w:pStyle w:val="567"/>
        <w:spacing w:before="0" w:after="0" w:line="480" w:lineRule="exact"/>
        <w:ind w:firstLine="480" w:firstLineChars="200"/>
        <w:rPr>
          <w:rFonts w:cs="Times New Roman"/>
          <w:szCs w:val="24"/>
        </w:rPr>
      </w:pPr>
      <w:r>
        <w:rPr>
          <w:rFonts w:cs="Times New Roman"/>
          <w:szCs w:val="24"/>
        </w:rPr>
        <w:t>废导热油危险废物编号为HW10-900-010-10。根据企业提供资料，废导热油主要成分为十二烷基苯， 报废指标每一年测试一次。当粘度变化大于±20%；闪点变化大于±15%；酸值大于0.5mgKOH/g；残炭大于1.5W%；其综合评判指数大于80时，可进行换油。 报告报废周期暂按1年计，此外导热油在使用过程中的消耗率较低，故忽略不计。综上，废导热油产生量为240L/a，由厂区内危废暂存间暂存后及时送往黑龙江京盛华环保科技有限公司进行处理。</w:t>
      </w:r>
    </w:p>
    <w:p>
      <w:pPr>
        <w:pStyle w:val="567"/>
        <w:spacing w:before="0" w:after="0" w:line="480" w:lineRule="exact"/>
        <w:ind w:firstLine="480" w:firstLineChars="200"/>
        <w:rPr>
          <w:rFonts w:cs="Times New Roman"/>
          <w:szCs w:val="24"/>
        </w:rPr>
      </w:pPr>
      <w:r>
        <w:rPr>
          <w:rFonts w:cs="Times New Roman"/>
          <w:szCs w:val="24"/>
        </w:rPr>
        <w:t>综上所述，本项目产生的固体废物经有效处理和处置后不会产生二次污染问题。</w:t>
      </w:r>
    </w:p>
    <w:p>
      <w:pPr>
        <w:pStyle w:val="155"/>
        <w:spacing w:line="480" w:lineRule="exact"/>
        <w:ind w:firstLine="480"/>
      </w:pPr>
      <w:r>
        <w:t>本项目坚持减量化、资源化、无害化原则，固体均得到了妥善处置，处置率100%。</w:t>
      </w:r>
    </w:p>
    <w:p>
      <w:pPr>
        <w:pStyle w:val="155"/>
        <w:numPr>
          <w:ilvl w:val="0"/>
          <w:numId w:val="17"/>
        </w:numPr>
        <w:spacing w:line="480" w:lineRule="exact"/>
        <w:ind w:firstLine="480"/>
      </w:pPr>
      <w:r>
        <w:t>危险废物收集过程污染防治措施</w:t>
      </w:r>
    </w:p>
    <w:p>
      <w:pPr>
        <w:pStyle w:val="155"/>
        <w:spacing w:line="480" w:lineRule="exact"/>
        <w:ind w:firstLine="480"/>
      </w:pPr>
      <w:r>
        <w:t>按照《危险废物鉴别标准 通则》（GB5085.7）在产生场所对危险废物分类收集，以减少污染，便于运输和生产调度。</w:t>
      </w:r>
    </w:p>
    <w:p>
      <w:pPr>
        <w:pStyle w:val="155"/>
        <w:spacing w:line="480" w:lineRule="exact"/>
        <w:ind w:firstLine="480"/>
      </w:pPr>
      <w:r>
        <w:t>（1）严格遵循《危险废物专用包装物、容器标准和警示标识规定》（环发[2003]188号）进行包装；盛装危险废物的容器在醒目位置必须粘贴符合《危险废物贮存污染物控制标准》（GB18598-2001）及2013修改单公告中标签，并标明危险废物的名称重量、成分、特性以及发生泄漏、扩散污染事故时的应急措施和补救方法；收集场所醒目的地方设置危险废物警告标识。</w:t>
      </w:r>
    </w:p>
    <w:p>
      <w:pPr>
        <w:pStyle w:val="155"/>
        <w:spacing w:line="480" w:lineRule="exact"/>
        <w:ind w:firstLine="480"/>
      </w:pPr>
      <w:r>
        <w:t>（2）装运危险废物的容器应不易破损、变形、老化，能有效地防止渗漏、扩散，盛装危险废物的容器材质和衬里要与危险废物相容（不相互反应）。</w:t>
      </w:r>
    </w:p>
    <w:p>
      <w:pPr>
        <w:pStyle w:val="155"/>
        <w:spacing w:line="480" w:lineRule="exact"/>
        <w:ind w:firstLine="480"/>
      </w:pPr>
      <w:r>
        <w:t>（3）运输前应确保危险废物的包装容器完好无损。</w:t>
      </w:r>
    </w:p>
    <w:p>
      <w:pPr>
        <w:pStyle w:val="155"/>
        <w:spacing w:line="480" w:lineRule="exact"/>
        <w:ind w:firstLine="480"/>
      </w:pPr>
      <w:r>
        <w:t>采取以上措施后，危险废物收集包装过程的污染防治和控制措施。</w:t>
      </w:r>
    </w:p>
    <w:p>
      <w:pPr>
        <w:pStyle w:val="155"/>
        <w:spacing w:line="480" w:lineRule="exact"/>
        <w:ind w:firstLine="480"/>
      </w:pPr>
      <w:r>
        <w:t>2、危险废物贮存过程污染防治措施</w:t>
      </w:r>
    </w:p>
    <w:p>
      <w:pPr>
        <w:pStyle w:val="155"/>
        <w:spacing w:line="480" w:lineRule="exact"/>
        <w:ind w:firstLine="480"/>
      </w:pPr>
      <w:r>
        <w:t>（1）危险废物贮存设施的设计、建设除符合危险废物贮存设计原则外，还应符合有关消防和危险品贮存设计规范；</w:t>
      </w:r>
    </w:p>
    <w:p>
      <w:pPr>
        <w:pStyle w:val="155"/>
        <w:spacing w:line="480" w:lineRule="exact"/>
        <w:ind w:firstLine="480"/>
      </w:pPr>
      <w:r>
        <w:t>（2）贮存场所必须有专用标志；</w:t>
      </w:r>
    </w:p>
    <w:p>
      <w:pPr>
        <w:pStyle w:val="155"/>
        <w:spacing w:line="480" w:lineRule="exact"/>
        <w:ind w:firstLine="480"/>
      </w:pPr>
      <w:r>
        <w:t>（3）贮存区应远离火源，并避免高温和阳光直射；</w:t>
      </w:r>
    </w:p>
    <w:p>
      <w:pPr>
        <w:pStyle w:val="155"/>
        <w:spacing w:line="480" w:lineRule="exact"/>
        <w:ind w:firstLine="480"/>
      </w:pPr>
      <w:r>
        <w:t>（4）贮存区地面与裙脚要用坚固、防渗的材料建造，建筑材料必须与矿物油相容；贮存区必须有耐腐蚀的硬化地面，且表面无裂隙；</w:t>
      </w:r>
    </w:p>
    <w:p>
      <w:pPr>
        <w:pStyle w:val="155"/>
        <w:spacing w:line="480" w:lineRule="exact"/>
        <w:ind w:firstLine="480"/>
      </w:pPr>
      <w:r>
        <w:t>（5）贮存区必须建设危险废物收集系统，用于收集不慎泄露的危险废物；</w:t>
      </w:r>
    </w:p>
    <w:p>
      <w:pPr>
        <w:pStyle w:val="155"/>
        <w:spacing w:line="480" w:lineRule="exact"/>
        <w:ind w:firstLine="480"/>
      </w:pPr>
      <w:r>
        <w:t>（6）贮存区应设计堵截泄漏的裙脚，地面与裙脚所围建的容积不低于堵截最大容积的最大储量或总储量的五分之一；</w:t>
      </w:r>
    </w:p>
    <w:p>
      <w:pPr>
        <w:pStyle w:val="155"/>
        <w:spacing w:line="480" w:lineRule="exact"/>
        <w:ind w:firstLine="480"/>
      </w:pPr>
      <w:r>
        <w:t>（7）建设单位均须作好危险废物情况的记录，记录上须注明危险废物的来源、数量、特性和包装容器的类别、入库日期、存放库位；</w:t>
      </w:r>
    </w:p>
    <w:p>
      <w:pPr>
        <w:pStyle w:val="155"/>
        <w:spacing w:line="480" w:lineRule="exact"/>
        <w:ind w:firstLine="480"/>
      </w:pPr>
      <w:r>
        <w:t>（8）必须定期对危险废物贮存区设施进行检查，发现破损，应及时采取措施清理更换；</w:t>
      </w:r>
    </w:p>
    <w:p>
      <w:pPr>
        <w:pStyle w:val="155"/>
        <w:spacing w:line="480" w:lineRule="exact"/>
        <w:ind w:firstLine="480"/>
      </w:pPr>
      <w:r>
        <w:t>（9）危险废物暂存间做防腐、防渗处理，以满足《危险废物贮存污染控制标准》（GB18597-2001）及2013修改单公告中防渗、防风、防雨、防晒等相关要求。建设项目危险废物贮存场所（设施）基本情况见表6.2-6。</w:t>
      </w:r>
    </w:p>
    <w:p>
      <w:pPr>
        <w:pStyle w:val="155"/>
        <w:spacing w:line="480" w:lineRule="exact"/>
        <w:ind w:firstLine="0" w:firstLineChars="0"/>
        <w:jc w:val="center"/>
        <w:rPr>
          <w:b/>
          <w:bCs/>
          <w:sz w:val="21"/>
          <w:szCs w:val="21"/>
        </w:rPr>
      </w:pPr>
    </w:p>
    <w:p>
      <w:pPr>
        <w:pStyle w:val="155"/>
        <w:spacing w:line="480" w:lineRule="exact"/>
        <w:ind w:firstLine="0" w:firstLineChars="0"/>
        <w:jc w:val="center"/>
        <w:rPr>
          <w:b/>
          <w:bCs/>
          <w:sz w:val="21"/>
          <w:szCs w:val="21"/>
        </w:rPr>
      </w:pPr>
      <w:r>
        <w:rPr>
          <w:b/>
          <w:bCs/>
          <w:sz w:val="21"/>
          <w:szCs w:val="21"/>
        </w:rPr>
        <w:t>表6.2-6 建设项目危险废物贮存场所（设施）基本情况表</w:t>
      </w:r>
    </w:p>
    <w:tbl>
      <w:tblPr>
        <w:tblStyle w:val="7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84"/>
        <w:gridCol w:w="1160"/>
        <w:gridCol w:w="1056"/>
        <w:gridCol w:w="1352"/>
        <w:gridCol w:w="858"/>
        <w:gridCol w:w="973"/>
        <w:gridCol w:w="973"/>
        <w:gridCol w:w="97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54" w:type="dxa"/>
            <w:vAlign w:val="center"/>
          </w:tcPr>
          <w:p>
            <w:pPr>
              <w:spacing w:line="280" w:lineRule="exact"/>
              <w:jc w:val="center"/>
              <w:rPr>
                <w:rFonts w:ascii="Times New Roman" w:hAnsi="Times New Roman"/>
                <w:b/>
              </w:rPr>
            </w:pPr>
            <w:r>
              <w:rPr>
                <w:rFonts w:ascii="Times New Roman" w:hAnsi="Times New Roman"/>
                <w:b/>
              </w:rPr>
              <w:t>贮存场所名称</w:t>
            </w:r>
          </w:p>
        </w:tc>
        <w:tc>
          <w:tcPr>
            <w:tcW w:w="1131" w:type="dxa"/>
            <w:vAlign w:val="center"/>
          </w:tcPr>
          <w:p>
            <w:pPr>
              <w:spacing w:line="280" w:lineRule="exact"/>
              <w:jc w:val="center"/>
              <w:rPr>
                <w:rFonts w:ascii="Times New Roman" w:hAnsi="Times New Roman"/>
                <w:b/>
              </w:rPr>
            </w:pPr>
            <w:r>
              <w:rPr>
                <w:rFonts w:ascii="Times New Roman" w:hAnsi="Times New Roman"/>
                <w:b/>
              </w:rPr>
              <w:t>危险废物名称</w:t>
            </w:r>
          </w:p>
        </w:tc>
        <w:tc>
          <w:tcPr>
            <w:tcW w:w="1029" w:type="dxa"/>
            <w:vAlign w:val="center"/>
          </w:tcPr>
          <w:p>
            <w:pPr>
              <w:spacing w:line="280" w:lineRule="exact"/>
              <w:jc w:val="center"/>
              <w:rPr>
                <w:rFonts w:ascii="Times New Roman" w:hAnsi="Times New Roman"/>
                <w:b/>
              </w:rPr>
            </w:pPr>
            <w:r>
              <w:rPr>
                <w:rFonts w:ascii="Times New Roman" w:hAnsi="Times New Roman"/>
                <w:b/>
              </w:rPr>
              <w:t>危险废物类别</w:t>
            </w:r>
          </w:p>
        </w:tc>
        <w:tc>
          <w:tcPr>
            <w:tcW w:w="1318" w:type="dxa"/>
            <w:vAlign w:val="center"/>
          </w:tcPr>
          <w:p>
            <w:pPr>
              <w:spacing w:line="280" w:lineRule="exact"/>
              <w:jc w:val="center"/>
              <w:rPr>
                <w:rFonts w:ascii="Times New Roman" w:hAnsi="Times New Roman"/>
                <w:b/>
              </w:rPr>
            </w:pPr>
            <w:r>
              <w:rPr>
                <w:rFonts w:ascii="Times New Roman" w:hAnsi="Times New Roman"/>
                <w:b/>
              </w:rPr>
              <w:t>危险废物</w:t>
            </w:r>
          </w:p>
          <w:p>
            <w:pPr>
              <w:spacing w:line="280" w:lineRule="exact"/>
              <w:jc w:val="center"/>
              <w:rPr>
                <w:rFonts w:ascii="Times New Roman" w:hAnsi="Times New Roman"/>
                <w:b/>
              </w:rPr>
            </w:pPr>
            <w:r>
              <w:rPr>
                <w:rFonts w:ascii="Times New Roman" w:hAnsi="Times New Roman"/>
                <w:b/>
              </w:rPr>
              <w:t>代码</w:t>
            </w:r>
          </w:p>
        </w:tc>
        <w:tc>
          <w:tcPr>
            <w:tcW w:w="836" w:type="dxa"/>
            <w:vAlign w:val="center"/>
          </w:tcPr>
          <w:p>
            <w:pPr>
              <w:spacing w:line="280" w:lineRule="exact"/>
              <w:jc w:val="center"/>
              <w:rPr>
                <w:rFonts w:ascii="Times New Roman" w:hAnsi="Times New Roman"/>
                <w:b/>
              </w:rPr>
            </w:pPr>
            <w:r>
              <w:rPr>
                <w:rFonts w:ascii="Times New Roman" w:hAnsi="Times New Roman"/>
                <w:b/>
              </w:rPr>
              <w:t>位置</w:t>
            </w:r>
          </w:p>
        </w:tc>
        <w:tc>
          <w:tcPr>
            <w:tcW w:w="948" w:type="dxa"/>
            <w:vAlign w:val="center"/>
          </w:tcPr>
          <w:p>
            <w:pPr>
              <w:spacing w:line="280" w:lineRule="exact"/>
              <w:jc w:val="center"/>
              <w:rPr>
                <w:rFonts w:ascii="Times New Roman" w:hAnsi="Times New Roman"/>
                <w:b/>
              </w:rPr>
            </w:pPr>
            <w:r>
              <w:rPr>
                <w:rFonts w:ascii="Times New Roman" w:hAnsi="Times New Roman"/>
                <w:b/>
              </w:rPr>
              <w:t>占地</w:t>
            </w:r>
          </w:p>
          <w:p>
            <w:pPr>
              <w:spacing w:line="280" w:lineRule="exact"/>
              <w:jc w:val="center"/>
              <w:rPr>
                <w:rFonts w:ascii="Times New Roman" w:hAnsi="Times New Roman"/>
                <w:b/>
              </w:rPr>
            </w:pPr>
            <w:r>
              <w:rPr>
                <w:rFonts w:ascii="Times New Roman" w:hAnsi="Times New Roman"/>
                <w:b/>
              </w:rPr>
              <w:t>面积</w:t>
            </w:r>
          </w:p>
        </w:tc>
        <w:tc>
          <w:tcPr>
            <w:tcW w:w="948" w:type="dxa"/>
            <w:vAlign w:val="center"/>
          </w:tcPr>
          <w:p>
            <w:pPr>
              <w:spacing w:line="280" w:lineRule="exact"/>
              <w:jc w:val="center"/>
              <w:rPr>
                <w:rFonts w:ascii="Times New Roman" w:hAnsi="Times New Roman"/>
                <w:b/>
              </w:rPr>
            </w:pPr>
            <w:r>
              <w:rPr>
                <w:rFonts w:ascii="Times New Roman" w:hAnsi="Times New Roman"/>
                <w:b/>
              </w:rPr>
              <w:t>贮存</w:t>
            </w:r>
          </w:p>
          <w:p>
            <w:pPr>
              <w:spacing w:line="280" w:lineRule="exact"/>
              <w:jc w:val="center"/>
              <w:rPr>
                <w:rFonts w:ascii="Times New Roman" w:hAnsi="Times New Roman"/>
                <w:b/>
              </w:rPr>
            </w:pPr>
            <w:r>
              <w:rPr>
                <w:rFonts w:ascii="Times New Roman" w:hAnsi="Times New Roman"/>
                <w:b/>
              </w:rPr>
              <w:t>能力</w:t>
            </w:r>
          </w:p>
        </w:tc>
        <w:tc>
          <w:tcPr>
            <w:tcW w:w="949" w:type="dxa"/>
            <w:vAlign w:val="center"/>
          </w:tcPr>
          <w:p>
            <w:pPr>
              <w:spacing w:line="280" w:lineRule="exact"/>
              <w:jc w:val="center"/>
              <w:rPr>
                <w:rFonts w:ascii="Times New Roman" w:hAnsi="Times New Roman"/>
                <w:b/>
              </w:rPr>
            </w:pPr>
            <w:r>
              <w:rPr>
                <w:rFonts w:ascii="Times New Roman" w:hAnsi="Times New Roman"/>
                <w:b/>
              </w:rPr>
              <w:t>贮存</w:t>
            </w:r>
          </w:p>
          <w:p>
            <w:pPr>
              <w:spacing w:line="280" w:lineRule="exact"/>
              <w:jc w:val="center"/>
              <w:rPr>
                <w:rFonts w:ascii="Times New Roman" w:hAnsi="Times New Roman"/>
                <w:b/>
              </w:rPr>
            </w:pPr>
            <w:r>
              <w:rPr>
                <w:rFonts w:ascii="Times New Roman" w:hAnsi="Times New Roman"/>
                <w:b/>
              </w:rPr>
              <w:t>周期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1154" w:type="dxa"/>
            <w:vMerge w:val="restart"/>
            <w:vAlign w:val="center"/>
          </w:tcPr>
          <w:p>
            <w:pPr>
              <w:spacing w:line="280" w:lineRule="exact"/>
              <w:jc w:val="center"/>
              <w:rPr>
                <w:rFonts w:ascii="Times New Roman" w:hAnsi="Times New Roman"/>
                <w:bCs/>
              </w:rPr>
            </w:pPr>
            <w:r>
              <w:rPr>
                <w:rFonts w:ascii="Times New Roman" w:hAnsi="Times New Roman"/>
                <w:bCs/>
              </w:rPr>
              <w:t>危废</w:t>
            </w:r>
          </w:p>
          <w:p>
            <w:pPr>
              <w:spacing w:line="280" w:lineRule="exact"/>
              <w:jc w:val="center"/>
              <w:rPr>
                <w:rFonts w:ascii="Times New Roman" w:hAnsi="Times New Roman"/>
                <w:bCs/>
              </w:rPr>
            </w:pPr>
            <w:r>
              <w:rPr>
                <w:rFonts w:ascii="Times New Roman" w:hAnsi="Times New Roman"/>
                <w:bCs/>
              </w:rPr>
              <w:t>暂存间</w:t>
            </w:r>
          </w:p>
        </w:tc>
        <w:tc>
          <w:tcPr>
            <w:tcW w:w="1131" w:type="dxa"/>
            <w:vAlign w:val="center"/>
          </w:tcPr>
          <w:p>
            <w:pPr>
              <w:spacing w:line="280" w:lineRule="exact"/>
              <w:jc w:val="center"/>
              <w:rPr>
                <w:rFonts w:ascii="Times New Roman" w:hAnsi="Times New Roman"/>
                <w:bCs/>
              </w:rPr>
            </w:pPr>
            <w:r>
              <w:rPr>
                <w:rFonts w:ascii="Times New Roman" w:hAnsi="Times New Roman"/>
                <w:bCs/>
              </w:rPr>
              <w:t>废活性炭</w:t>
            </w:r>
          </w:p>
        </w:tc>
        <w:tc>
          <w:tcPr>
            <w:tcW w:w="1029" w:type="dxa"/>
            <w:vAlign w:val="center"/>
          </w:tcPr>
          <w:p>
            <w:pPr>
              <w:spacing w:line="280" w:lineRule="exact"/>
              <w:jc w:val="center"/>
              <w:rPr>
                <w:rFonts w:ascii="Times New Roman" w:hAnsi="Times New Roman"/>
                <w:bCs/>
              </w:rPr>
            </w:pPr>
            <w:r>
              <w:rPr>
                <w:rFonts w:ascii="Times New Roman" w:hAnsi="Times New Roman"/>
                <w:bCs/>
              </w:rPr>
              <w:t>HW49</w:t>
            </w:r>
          </w:p>
        </w:tc>
        <w:tc>
          <w:tcPr>
            <w:tcW w:w="1318" w:type="dxa"/>
            <w:vAlign w:val="center"/>
          </w:tcPr>
          <w:p>
            <w:pPr>
              <w:spacing w:line="280" w:lineRule="exact"/>
              <w:jc w:val="center"/>
              <w:rPr>
                <w:rFonts w:ascii="Times New Roman" w:hAnsi="Times New Roman"/>
                <w:bCs/>
              </w:rPr>
            </w:pPr>
            <w:r>
              <w:rPr>
                <w:rFonts w:ascii="Times New Roman" w:hAnsi="Times New Roman"/>
                <w:bCs/>
              </w:rPr>
              <w:t>900-041-49</w:t>
            </w:r>
          </w:p>
        </w:tc>
        <w:tc>
          <w:tcPr>
            <w:tcW w:w="836" w:type="dxa"/>
            <w:vMerge w:val="restart"/>
            <w:vAlign w:val="center"/>
          </w:tcPr>
          <w:p>
            <w:pPr>
              <w:spacing w:line="280" w:lineRule="exact"/>
              <w:jc w:val="center"/>
              <w:rPr>
                <w:rFonts w:ascii="Times New Roman" w:hAnsi="Times New Roman"/>
                <w:bCs/>
              </w:rPr>
            </w:pPr>
            <w:r>
              <w:rPr>
                <w:rFonts w:ascii="Times New Roman" w:hAnsi="Times New Roman"/>
                <w:bCs/>
              </w:rPr>
              <w:t>厂区</w:t>
            </w:r>
          </w:p>
          <w:p>
            <w:pPr>
              <w:spacing w:line="280" w:lineRule="exact"/>
              <w:jc w:val="center"/>
              <w:rPr>
                <w:rFonts w:ascii="Times New Roman" w:hAnsi="Times New Roman"/>
                <w:bCs/>
              </w:rPr>
            </w:pPr>
            <w:r>
              <w:rPr>
                <w:rFonts w:ascii="Times New Roman" w:hAnsi="Times New Roman"/>
                <w:bCs/>
              </w:rPr>
              <w:t>中侧</w:t>
            </w:r>
          </w:p>
        </w:tc>
        <w:tc>
          <w:tcPr>
            <w:tcW w:w="948" w:type="dxa"/>
            <w:vMerge w:val="restart"/>
            <w:vAlign w:val="center"/>
          </w:tcPr>
          <w:p>
            <w:pPr>
              <w:spacing w:line="280" w:lineRule="exact"/>
              <w:jc w:val="center"/>
              <w:rPr>
                <w:rFonts w:ascii="Times New Roman" w:hAnsi="Times New Roman"/>
                <w:bCs/>
              </w:rPr>
            </w:pPr>
            <w:r>
              <w:rPr>
                <w:rFonts w:ascii="Times New Roman" w:hAnsi="Times New Roman"/>
                <w:bCs/>
              </w:rPr>
              <w:t>10m</w:t>
            </w:r>
            <w:r>
              <w:rPr>
                <w:rFonts w:ascii="Times New Roman" w:hAnsi="Times New Roman"/>
                <w:bCs/>
                <w:vertAlign w:val="superscript"/>
              </w:rPr>
              <w:t>2</w:t>
            </w:r>
          </w:p>
        </w:tc>
        <w:tc>
          <w:tcPr>
            <w:tcW w:w="948" w:type="dxa"/>
            <w:vMerge w:val="restart"/>
            <w:vAlign w:val="center"/>
          </w:tcPr>
          <w:p>
            <w:pPr>
              <w:spacing w:line="280" w:lineRule="exact"/>
              <w:jc w:val="center"/>
              <w:rPr>
                <w:rFonts w:ascii="Times New Roman" w:hAnsi="Times New Roman"/>
                <w:bCs/>
              </w:rPr>
            </w:pPr>
            <w:r>
              <w:rPr>
                <w:rFonts w:ascii="Times New Roman" w:hAnsi="Times New Roman"/>
                <w:bCs/>
              </w:rPr>
              <w:t>6t</w:t>
            </w:r>
          </w:p>
        </w:tc>
        <w:tc>
          <w:tcPr>
            <w:tcW w:w="949" w:type="dxa"/>
            <w:vMerge w:val="restart"/>
            <w:vAlign w:val="center"/>
          </w:tcPr>
          <w:p>
            <w:pPr>
              <w:spacing w:line="280" w:lineRule="exact"/>
              <w:jc w:val="center"/>
              <w:rPr>
                <w:rFonts w:ascii="Times New Roman" w:hAnsi="Times New Roman"/>
                <w:bCs/>
              </w:rPr>
            </w:pPr>
            <w:r>
              <w:rPr>
                <w:rFonts w:ascii="Times New Roman" w:hAnsi="Times New Roman"/>
                <w:bCs/>
              </w:rPr>
              <w:t>5天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1154" w:type="dxa"/>
            <w:vMerge w:val="continue"/>
            <w:vAlign w:val="center"/>
          </w:tcPr>
          <w:p>
            <w:pPr>
              <w:spacing w:line="280" w:lineRule="exact"/>
              <w:rPr>
                <w:rFonts w:ascii="Times New Roman" w:hAnsi="Times New Roman"/>
              </w:rPr>
            </w:pPr>
          </w:p>
        </w:tc>
        <w:tc>
          <w:tcPr>
            <w:tcW w:w="1131" w:type="dxa"/>
            <w:vAlign w:val="center"/>
          </w:tcPr>
          <w:p>
            <w:pPr>
              <w:spacing w:line="280" w:lineRule="exact"/>
              <w:jc w:val="center"/>
              <w:rPr>
                <w:rFonts w:ascii="Times New Roman" w:hAnsi="Times New Roman"/>
                <w:bCs/>
              </w:rPr>
            </w:pPr>
            <w:r>
              <w:rPr>
                <w:rFonts w:ascii="Times New Roman" w:hAnsi="Times New Roman"/>
                <w:bCs/>
              </w:rPr>
              <w:t>污泥</w:t>
            </w:r>
          </w:p>
        </w:tc>
        <w:tc>
          <w:tcPr>
            <w:tcW w:w="1029" w:type="dxa"/>
            <w:vAlign w:val="center"/>
          </w:tcPr>
          <w:p>
            <w:pPr>
              <w:spacing w:line="280" w:lineRule="exact"/>
              <w:jc w:val="center"/>
              <w:rPr>
                <w:rFonts w:ascii="Times New Roman" w:hAnsi="Times New Roman"/>
                <w:bCs/>
              </w:rPr>
            </w:pPr>
            <w:r>
              <w:rPr>
                <w:rFonts w:ascii="Times New Roman" w:hAnsi="Times New Roman"/>
                <w:bCs/>
              </w:rPr>
              <w:t>HW01</w:t>
            </w:r>
          </w:p>
        </w:tc>
        <w:tc>
          <w:tcPr>
            <w:tcW w:w="1318" w:type="dxa"/>
            <w:vAlign w:val="center"/>
          </w:tcPr>
          <w:p>
            <w:pPr>
              <w:spacing w:line="280" w:lineRule="exact"/>
              <w:jc w:val="center"/>
              <w:rPr>
                <w:rFonts w:ascii="Times New Roman" w:hAnsi="Times New Roman"/>
                <w:bCs/>
              </w:rPr>
            </w:pPr>
            <w:r>
              <w:rPr>
                <w:rFonts w:ascii="Times New Roman" w:hAnsi="Times New Roman"/>
                <w:bCs/>
              </w:rPr>
              <w:t>841-001-01</w:t>
            </w:r>
          </w:p>
        </w:tc>
        <w:tc>
          <w:tcPr>
            <w:tcW w:w="836" w:type="dxa"/>
            <w:vMerge w:val="continue"/>
            <w:vAlign w:val="center"/>
          </w:tcPr>
          <w:p>
            <w:pPr>
              <w:spacing w:line="280" w:lineRule="exact"/>
              <w:rPr>
                <w:rFonts w:ascii="Times New Roman" w:hAnsi="Times New Roman"/>
                <w:bCs/>
              </w:rPr>
            </w:pPr>
          </w:p>
        </w:tc>
        <w:tc>
          <w:tcPr>
            <w:tcW w:w="948" w:type="dxa"/>
            <w:vMerge w:val="continue"/>
            <w:vAlign w:val="center"/>
          </w:tcPr>
          <w:p>
            <w:pPr>
              <w:spacing w:line="280" w:lineRule="exact"/>
              <w:rPr>
                <w:rFonts w:ascii="Times New Roman" w:hAnsi="Times New Roman"/>
                <w:bCs/>
              </w:rPr>
            </w:pPr>
          </w:p>
        </w:tc>
        <w:tc>
          <w:tcPr>
            <w:tcW w:w="948" w:type="dxa"/>
            <w:vMerge w:val="continue"/>
            <w:vAlign w:val="center"/>
          </w:tcPr>
          <w:p>
            <w:pPr>
              <w:spacing w:line="280" w:lineRule="exact"/>
              <w:rPr>
                <w:rFonts w:ascii="Times New Roman" w:hAnsi="Times New Roman"/>
                <w:bCs/>
              </w:rPr>
            </w:pPr>
          </w:p>
        </w:tc>
        <w:tc>
          <w:tcPr>
            <w:tcW w:w="949" w:type="dxa"/>
            <w:vMerge w:val="continue"/>
            <w:vAlign w:val="center"/>
          </w:tcPr>
          <w:p>
            <w:pPr>
              <w:spacing w:line="280" w:lineRule="exact"/>
              <w:rPr>
                <w:rFonts w:ascii="Times New Roman" w:hAnsi="Times New Roman"/>
                <w:bCs/>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1154" w:type="dxa"/>
            <w:vMerge w:val="continue"/>
            <w:vAlign w:val="center"/>
          </w:tcPr>
          <w:p>
            <w:pPr>
              <w:spacing w:line="280" w:lineRule="exact"/>
              <w:rPr>
                <w:rFonts w:ascii="Times New Roman" w:hAnsi="Times New Roman"/>
              </w:rPr>
            </w:pPr>
          </w:p>
        </w:tc>
        <w:tc>
          <w:tcPr>
            <w:tcW w:w="1131" w:type="dxa"/>
            <w:vAlign w:val="center"/>
          </w:tcPr>
          <w:p>
            <w:pPr>
              <w:spacing w:line="280" w:lineRule="exact"/>
              <w:jc w:val="center"/>
              <w:rPr>
                <w:rFonts w:ascii="Times New Roman" w:hAnsi="Times New Roman"/>
                <w:bCs/>
              </w:rPr>
            </w:pPr>
            <w:r>
              <w:rPr>
                <w:rFonts w:hint="eastAsia" w:ascii="Calibri" w:hAnsi="Calibri"/>
                <w:sz w:val="24"/>
                <w:szCs w:val="24"/>
              </w:rPr>
              <w:t>栅渣</w:t>
            </w:r>
          </w:p>
        </w:tc>
        <w:tc>
          <w:tcPr>
            <w:tcW w:w="1029" w:type="dxa"/>
            <w:vAlign w:val="center"/>
          </w:tcPr>
          <w:p>
            <w:pPr>
              <w:spacing w:line="280" w:lineRule="exact"/>
              <w:jc w:val="center"/>
              <w:rPr>
                <w:rFonts w:ascii="Times New Roman" w:hAnsi="Times New Roman"/>
                <w:bCs/>
              </w:rPr>
            </w:pPr>
            <w:r>
              <w:rPr>
                <w:rFonts w:ascii="Times New Roman" w:hAnsi="Times New Roman"/>
                <w:bCs/>
              </w:rPr>
              <w:t>HW01</w:t>
            </w:r>
          </w:p>
        </w:tc>
        <w:tc>
          <w:tcPr>
            <w:tcW w:w="1318" w:type="dxa"/>
            <w:vAlign w:val="center"/>
          </w:tcPr>
          <w:p>
            <w:pPr>
              <w:spacing w:line="280" w:lineRule="exact"/>
              <w:jc w:val="center"/>
              <w:rPr>
                <w:rFonts w:ascii="Times New Roman" w:hAnsi="Times New Roman"/>
                <w:bCs/>
              </w:rPr>
            </w:pPr>
            <w:r>
              <w:rPr>
                <w:rFonts w:ascii="Times New Roman" w:hAnsi="Times New Roman"/>
                <w:bCs/>
              </w:rPr>
              <w:t>841-001-01</w:t>
            </w:r>
          </w:p>
        </w:tc>
        <w:tc>
          <w:tcPr>
            <w:tcW w:w="836" w:type="dxa"/>
            <w:vMerge w:val="continue"/>
            <w:vAlign w:val="center"/>
          </w:tcPr>
          <w:p>
            <w:pPr>
              <w:spacing w:line="280" w:lineRule="exact"/>
              <w:rPr>
                <w:rFonts w:ascii="Times New Roman" w:hAnsi="Times New Roman"/>
                <w:bCs/>
              </w:rPr>
            </w:pPr>
          </w:p>
        </w:tc>
        <w:tc>
          <w:tcPr>
            <w:tcW w:w="948" w:type="dxa"/>
            <w:vMerge w:val="continue"/>
            <w:vAlign w:val="center"/>
          </w:tcPr>
          <w:p>
            <w:pPr>
              <w:spacing w:line="280" w:lineRule="exact"/>
              <w:rPr>
                <w:rFonts w:ascii="Times New Roman" w:hAnsi="Times New Roman"/>
                <w:bCs/>
              </w:rPr>
            </w:pPr>
          </w:p>
        </w:tc>
        <w:tc>
          <w:tcPr>
            <w:tcW w:w="948" w:type="dxa"/>
            <w:vMerge w:val="continue"/>
            <w:vAlign w:val="center"/>
          </w:tcPr>
          <w:p>
            <w:pPr>
              <w:spacing w:line="280" w:lineRule="exact"/>
              <w:rPr>
                <w:rFonts w:ascii="Times New Roman" w:hAnsi="Times New Roman"/>
                <w:bCs/>
              </w:rPr>
            </w:pPr>
          </w:p>
        </w:tc>
        <w:tc>
          <w:tcPr>
            <w:tcW w:w="949" w:type="dxa"/>
            <w:vMerge w:val="continue"/>
            <w:vAlign w:val="center"/>
          </w:tcPr>
          <w:p>
            <w:pPr>
              <w:spacing w:line="280" w:lineRule="exact"/>
              <w:rPr>
                <w:rFonts w:ascii="Times New Roman" w:hAnsi="Times New Roman"/>
                <w:bCs/>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1154" w:type="dxa"/>
            <w:vMerge w:val="continue"/>
            <w:vAlign w:val="center"/>
          </w:tcPr>
          <w:p>
            <w:pPr>
              <w:spacing w:line="280" w:lineRule="exact"/>
              <w:rPr>
                <w:rFonts w:ascii="Times New Roman" w:hAnsi="Times New Roman"/>
              </w:rPr>
            </w:pPr>
          </w:p>
        </w:tc>
        <w:tc>
          <w:tcPr>
            <w:tcW w:w="1131" w:type="dxa"/>
            <w:vAlign w:val="center"/>
          </w:tcPr>
          <w:p>
            <w:pPr>
              <w:spacing w:line="280" w:lineRule="exact"/>
              <w:jc w:val="center"/>
              <w:rPr>
                <w:rFonts w:ascii="Times New Roman" w:hAnsi="Times New Roman"/>
                <w:bCs/>
              </w:rPr>
            </w:pPr>
            <w:r>
              <w:rPr>
                <w:rFonts w:ascii="Times New Roman" w:hAnsi="Times New Roman"/>
                <w:bCs/>
              </w:rPr>
              <w:t>废导热油</w:t>
            </w:r>
          </w:p>
        </w:tc>
        <w:tc>
          <w:tcPr>
            <w:tcW w:w="1029" w:type="dxa"/>
            <w:vAlign w:val="center"/>
          </w:tcPr>
          <w:p>
            <w:pPr>
              <w:spacing w:line="280" w:lineRule="exact"/>
              <w:jc w:val="center"/>
              <w:rPr>
                <w:rFonts w:ascii="Times New Roman" w:hAnsi="Times New Roman"/>
                <w:bCs/>
              </w:rPr>
            </w:pPr>
            <w:r>
              <w:rPr>
                <w:rFonts w:ascii="Times New Roman" w:hAnsi="Times New Roman"/>
                <w:bCs/>
              </w:rPr>
              <w:t>HW08</w:t>
            </w:r>
          </w:p>
        </w:tc>
        <w:tc>
          <w:tcPr>
            <w:tcW w:w="1318" w:type="dxa"/>
            <w:vAlign w:val="center"/>
          </w:tcPr>
          <w:p>
            <w:pPr>
              <w:spacing w:line="280" w:lineRule="exact"/>
              <w:jc w:val="center"/>
              <w:rPr>
                <w:rFonts w:ascii="Times New Roman" w:hAnsi="Times New Roman"/>
                <w:bCs/>
              </w:rPr>
            </w:pPr>
            <w:r>
              <w:rPr>
                <w:rFonts w:ascii="Times New Roman" w:hAnsi="Times New Roman"/>
                <w:szCs w:val="24"/>
              </w:rPr>
              <w:t>900-249-08</w:t>
            </w:r>
          </w:p>
        </w:tc>
        <w:tc>
          <w:tcPr>
            <w:tcW w:w="836" w:type="dxa"/>
            <w:vMerge w:val="continue"/>
            <w:vAlign w:val="center"/>
          </w:tcPr>
          <w:p>
            <w:pPr>
              <w:spacing w:line="280" w:lineRule="exact"/>
              <w:rPr>
                <w:rFonts w:ascii="Times New Roman" w:hAnsi="Times New Roman"/>
                <w:bCs/>
              </w:rPr>
            </w:pPr>
          </w:p>
        </w:tc>
        <w:tc>
          <w:tcPr>
            <w:tcW w:w="948" w:type="dxa"/>
            <w:vMerge w:val="continue"/>
            <w:vAlign w:val="center"/>
          </w:tcPr>
          <w:p>
            <w:pPr>
              <w:spacing w:line="280" w:lineRule="exact"/>
              <w:rPr>
                <w:rFonts w:ascii="Times New Roman" w:hAnsi="Times New Roman"/>
                <w:bCs/>
              </w:rPr>
            </w:pPr>
          </w:p>
        </w:tc>
        <w:tc>
          <w:tcPr>
            <w:tcW w:w="948" w:type="dxa"/>
            <w:vMerge w:val="continue"/>
            <w:vAlign w:val="center"/>
          </w:tcPr>
          <w:p>
            <w:pPr>
              <w:spacing w:line="280" w:lineRule="exact"/>
              <w:rPr>
                <w:rFonts w:ascii="Times New Roman" w:hAnsi="Times New Roman"/>
                <w:bCs/>
              </w:rPr>
            </w:pPr>
          </w:p>
        </w:tc>
        <w:tc>
          <w:tcPr>
            <w:tcW w:w="949" w:type="dxa"/>
            <w:vMerge w:val="continue"/>
            <w:vAlign w:val="center"/>
          </w:tcPr>
          <w:p>
            <w:pPr>
              <w:spacing w:line="280" w:lineRule="exact"/>
              <w:rPr>
                <w:rFonts w:ascii="Times New Roman" w:hAnsi="Times New Roman"/>
                <w:bCs/>
              </w:rPr>
            </w:pPr>
          </w:p>
        </w:tc>
      </w:tr>
    </w:tbl>
    <w:p>
      <w:pPr>
        <w:pStyle w:val="155"/>
        <w:spacing w:line="480" w:lineRule="exact"/>
        <w:ind w:firstLine="480"/>
      </w:pPr>
      <w:r>
        <w:t>3、危险废物运输过程污染防治措施</w:t>
      </w:r>
    </w:p>
    <w:p>
      <w:pPr>
        <w:pStyle w:val="155"/>
        <w:spacing w:line="480" w:lineRule="exact"/>
        <w:ind w:firstLine="480"/>
      </w:pPr>
      <w:r>
        <w:t>（1）应按照《道路危险货物运输管理规定》、《危险废物收集贮存运输技术规范》（HJ2025）等进行危险废物的运输，并按照《危险废物转移联单管理办法》的规定执行；</w:t>
      </w:r>
    </w:p>
    <w:p>
      <w:pPr>
        <w:pStyle w:val="155"/>
        <w:spacing w:line="480" w:lineRule="exact"/>
        <w:ind w:firstLine="480"/>
      </w:pPr>
      <w:r>
        <w:t>（2）随车携带文件，配置橡胶手套、工作手套、口罩、消毒水、急救药箱、灭火器、通讯工具、紧急应变手册及紧急处理工具等；</w:t>
      </w:r>
    </w:p>
    <w:p>
      <w:pPr>
        <w:pStyle w:val="155"/>
        <w:spacing w:line="480" w:lineRule="exact"/>
        <w:ind w:firstLine="480"/>
      </w:pPr>
      <w:r>
        <w:t>（3）在运输过程中，采取专车专用的方式，禁止将危险废物与旅客及其它货物同车运输；</w:t>
      </w:r>
    </w:p>
    <w:p>
      <w:pPr>
        <w:pStyle w:val="155"/>
        <w:spacing w:line="480" w:lineRule="exact"/>
        <w:ind w:firstLine="480"/>
      </w:pPr>
      <w:r>
        <w:t>（4）在实际运输过程中，对每条运输路线所经过的江河、大桥入口处和距离路边较近的居民集中区和学校等敏感点进行标注，并对从事危险品运输的驾驶员进行提醒及监督。如有必要应尽量避免雨天运输；</w:t>
      </w:r>
    </w:p>
    <w:p>
      <w:pPr>
        <w:pStyle w:val="155"/>
        <w:spacing w:line="480" w:lineRule="exact"/>
        <w:ind w:firstLine="480"/>
      </w:pPr>
      <w:r>
        <w:t>（5）危险废物运输途经城市时，应尽量绕城行驶，不得停留，不得穿越中心城区；</w:t>
      </w:r>
    </w:p>
    <w:p>
      <w:pPr>
        <w:pStyle w:val="155"/>
        <w:spacing w:line="480" w:lineRule="exact"/>
        <w:ind w:firstLine="480"/>
      </w:pPr>
      <w:r>
        <w:t>（6）对运输车进行严格管理，须备有车辆里程登记表并做好每日登记，做好车辆日常的维护；</w:t>
      </w:r>
    </w:p>
    <w:p>
      <w:pPr>
        <w:pStyle w:val="155"/>
        <w:spacing w:line="480" w:lineRule="exact"/>
        <w:ind w:firstLine="480"/>
      </w:pPr>
      <w:r>
        <w:t>（7）从事危险废物运输的人员（包括司机），应当定期进行排除危险品运输车辆交通事故的业务培训和接受专业培训，增强忧患意识，经考核合格，方可从事该项工作；运输车辆须有特殊标志，以引起关注；危险废物运输车辆需持有危险废物运输通行证；</w:t>
      </w:r>
    </w:p>
    <w:p>
      <w:pPr>
        <w:pStyle w:val="155"/>
        <w:spacing w:line="480" w:lineRule="exact"/>
        <w:ind w:firstLine="480"/>
      </w:pPr>
      <w:r>
        <w:t>（8）加强汽车运输及装卸管理，作好运输工具的密封。不应超载（或物料装得过满）。车在厂区内行驶速度应小于10km/h；</w:t>
      </w:r>
    </w:p>
    <w:p>
      <w:pPr>
        <w:pStyle w:val="155"/>
        <w:spacing w:line="480" w:lineRule="exact"/>
        <w:ind w:firstLine="480"/>
      </w:pPr>
      <w:r>
        <w:t>（9）装卸时间尽量要避免大风及下雨天气，同时应尽量降低落差，同时要加强管理，装卸场所应采取经常洒水及清扫，使含水量在3%，有效抑止装卸和堆场的扬尘；</w:t>
      </w:r>
    </w:p>
    <w:p>
      <w:pPr>
        <w:pStyle w:val="155"/>
        <w:spacing w:line="480" w:lineRule="exact"/>
        <w:ind w:firstLine="480"/>
      </w:pPr>
      <w:r>
        <w:t>（10）运输车辆应遵守交通规则，禁止超载、超速和酒后驾车，行驶过程中要避免急速转弯、紧急刹车和急速加速；</w:t>
      </w:r>
    </w:p>
    <w:p>
      <w:pPr>
        <w:pStyle w:val="155"/>
        <w:spacing w:line="480" w:lineRule="exact"/>
        <w:ind w:firstLine="480"/>
      </w:pPr>
      <w:r>
        <w:t>（12）运输前应检查危险废物转移联单，核对品名、数量和标志等；</w:t>
      </w:r>
    </w:p>
    <w:p>
      <w:pPr>
        <w:pStyle w:val="155"/>
        <w:spacing w:line="480" w:lineRule="exact"/>
        <w:ind w:firstLine="480"/>
      </w:pPr>
      <w:r>
        <w:t>（13）</w:t>
      </w:r>
      <w:r>
        <w:rPr>
          <w:rFonts w:hint="eastAsia"/>
        </w:rPr>
        <w:t>根据《危险废物经营单位编制应急预案指南》编制应急预案</w:t>
      </w:r>
      <w:r>
        <w:t>。</w:t>
      </w:r>
    </w:p>
    <w:p>
      <w:pPr>
        <w:pStyle w:val="155"/>
        <w:spacing w:line="480" w:lineRule="exact"/>
        <w:ind w:firstLine="480"/>
      </w:pPr>
      <w:r>
        <w:t>4、管理</w:t>
      </w:r>
    </w:p>
    <w:p>
      <w:pPr>
        <w:pStyle w:val="155"/>
        <w:spacing w:line="480" w:lineRule="exact"/>
        <w:ind w:firstLine="480"/>
      </w:pPr>
      <w:r>
        <w:t>为了进一步降低危险固体废物的影响，在此建议建设单位按照近二三十年来，在实践中逐步确定的新的废物管理模式对所有危险固体废物进行监控管理。按照危险废物规范化管理考核指标体系对本项目危险废物实施有效的环境管理。</w:t>
      </w:r>
    </w:p>
    <w:p>
      <w:pPr>
        <w:pStyle w:val="155"/>
        <w:numPr>
          <w:ilvl w:val="0"/>
          <w:numId w:val="18"/>
        </w:numPr>
        <w:spacing w:line="480" w:lineRule="exact"/>
        <w:ind w:firstLine="480"/>
      </w:pPr>
      <w:r>
        <w:t>设立专门的废物管理机构建立责任制度，负责人明确，责任清晰；负责人熟悉危险废物管理相关法规、制度、标准、规范；制定的制度得到落实。执行危险废物污染防治责任信息公开制度，在显著位置张贴危险废物防治责任信息。要对全公司每年排放的所有固体废物设置专门的管理机构，其职责是对废物的产生和运输、贮存、加工处理、最终处置实行监督管理。在全公司推广固体废物经营管理经验。</w:t>
      </w:r>
    </w:p>
    <w:p>
      <w:pPr>
        <w:pStyle w:val="155"/>
        <w:numPr>
          <w:ilvl w:val="0"/>
          <w:numId w:val="18"/>
        </w:numPr>
        <w:spacing w:line="480" w:lineRule="exact"/>
        <w:ind w:firstLine="480"/>
      </w:pPr>
      <w:r>
        <w:t>设置危险废物识别标志</w:t>
      </w:r>
    </w:p>
    <w:p>
      <w:pPr>
        <w:pStyle w:val="155"/>
        <w:spacing w:line="480" w:lineRule="exact"/>
        <w:ind w:firstLine="480"/>
      </w:pPr>
      <w:r>
        <w:rPr>
          <w:rFonts w:hint="eastAsia" w:ascii="宋体" w:hAnsi="宋体" w:cs="宋体"/>
        </w:rPr>
        <w:t>①</w:t>
      </w:r>
      <w:r>
        <w:t>危险废物的容器和包装物必须设置危险废物识别标志。</w:t>
      </w:r>
    </w:p>
    <w:p>
      <w:pPr>
        <w:pStyle w:val="155"/>
        <w:spacing w:line="480" w:lineRule="exact"/>
        <w:ind w:firstLine="480"/>
      </w:pPr>
      <w:r>
        <w:rPr>
          <w:rFonts w:hint="eastAsia" w:ascii="宋体" w:hAnsi="宋体" w:cs="宋体"/>
        </w:rPr>
        <w:t>②</w:t>
      </w:r>
      <w:r>
        <w:t>收集、贮存、运输、利用、处置危险废物的设施、场所，必须设置危险废物识别标志。</w:t>
      </w:r>
    </w:p>
    <w:p>
      <w:pPr>
        <w:pStyle w:val="155"/>
        <w:numPr>
          <w:ilvl w:val="0"/>
          <w:numId w:val="18"/>
        </w:numPr>
        <w:spacing w:line="480" w:lineRule="exact"/>
        <w:ind w:firstLine="480"/>
      </w:pPr>
      <w:r>
        <w:t>管理计划制度制定危险废物管理计划；危险废物管理计划包括减少危险废物产生量和危害性的措施，以及危险废物贮存、利用、处置措施。主要包括危险废物的产生环节、种类、危害特性、产生量、利用处置方式描述清晰。</w:t>
      </w:r>
    </w:p>
    <w:p>
      <w:pPr>
        <w:pStyle w:val="155"/>
        <w:spacing w:line="480" w:lineRule="exact"/>
        <w:ind w:firstLine="480"/>
      </w:pPr>
      <w:r>
        <w:t>即对废物从“初生”那一时刻起对废物的产生、收集、运输、贮存、再循环、再利用、加工处理直至最终处置实行全过程管理，以实现废物减量化、资源化和无害化。</w:t>
      </w:r>
    </w:p>
    <w:p>
      <w:pPr>
        <w:pStyle w:val="155"/>
        <w:spacing w:line="480" w:lineRule="exact"/>
        <w:ind w:firstLine="480"/>
      </w:pPr>
      <w:r>
        <w:t>报所在地县级以上地方人民政府环境保护行政主管部门备案。如实地向所在地县级以上地方人民政府环境保护行政主管部门申报危险废物的种类、产生量、流向、贮存、处置等有关资料。申报事项有重大改变的，应当及时申报。</w:t>
      </w:r>
    </w:p>
    <w:p>
      <w:pPr>
        <w:pStyle w:val="155"/>
        <w:spacing w:line="480" w:lineRule="exact"/>
        <w:ind w:firstLine="480"/>
      </w:pPr>
      <w:r>
        <w:t>（4）源头分类制度</w:t>
      </w:r>
    </w:p>
    <w:p>
      <w:pPr>
        <w:pStyle w:val="155"/>
        <w:spacing w:line="480" w:lineRule="exact"/>
        <w:ind w:firstLine="480"/>
      </w:pPr>
      <w:r>
        <w:t>按照危险废物特性分类进行收集。危险废物按种类分别存放，且不同类废物间有明显的间隔（如过道等）。</w:t>
      </w:r>
    </w:p>
    <w:p>
      <w:pPr>
        <w:pStyle w:val="155"/>
        <w:spacing w:line="480" w:lineRule="exact"/>
        <w:ind w:firstLine="480"/>
      </w:pPr>
      <w:r>
        <w:t>（5）固体废物最小量化</w:t>
      </w:r>
    </w:p>
    <w:p>
      <w:pPr>
        <w:pStyle w:val="155"/>
        <w:spacing w:line="480" w:lineRule="exact"/>
        <w:ind w:firstLine="480"/>
      </w:pPr>
      <w:r>
        <w:t>废物管理的基点是使废物最小量化。最小量化是针对固体废物最终体积而言的，其内容包括：</w:t>
      </w:r>
    </w:p>
    <w:p>
      <w:pPr>
        <w:pStyle w:val="155"/>
        <w:spacing w:line="480" w:lineRule="exact"/>
        <w:ind w:firstLine="480"/>
      </w:pPr>
      <w:r>
        <w:rPr>
          <w:rFonts w:hint="eastAsia" w:ascii="宋体" w:hAnsi="宋体" w:cs="宋体"/>
        </w:rPr>
        <w:t>①</w:t>
      </w:r>
      <w:r>
        <w:t>培养每个生产即生产管理人员，在每岗位、每个工段、每个环节树立废物最小量化意识，负起最小量化责任，建立废物最小量化制度和操作规范。</w:t>
      </w:r>
    </w:p>
    <w:p>
      <w:pPr>
        <w:pStyle w:val="155"/>
        <w:spacing w:line="480" w:lineRule="exact"/>
        <w:ind w:firstLine="480"/>
      </w:pPr>
      <w:r>
        <w:rPr>
          <w:rFonts w:hint="eastAsia" w:ascii="宋体" w:hAnsi="宋体" w:cs="宋体"/>
        </w:rPr>
        <w:t>②</w:t>
      </w:r>
      <w:r>
        <w:t>改进生产工艺或设计、选择适当原料，使生产过程不产生废物或少产生废物。</w:t>
      </w:r>
    </w:p>
    <w:p>
      <w:pPr>
        <w:pStyle w:val="155"/>
        <w:spacing w:line="480" w:lineRule="exact"/>
        <w:ind w:firstLine="480"/>
      </w:pPr>
      <w:r>
        <w:rPr>
          <w:rFonts w:hint="eastAsia" w:ascii="宋体" w:hAnsi="宋体" w:cs="宋体"/>
        </w:rPr>
        <w:t>③</w:t>
      </w:r>
      <w:r>
        <w:t>制订科学的运行操作程序使废物实现合理可达到的尽可能少。</w:t>
      </w:r>
    </w:p>
    <w:p>
      <w:pPr>
        <w:pStyle w:val="155"/>
        <w:spacing w:line="480" w:lineRule="exact"/>
        <w:ind w:firstLine="480"/>
      </w:pPr>
      <w:r>
        <w:rPr>
          <w:rFonts w:hint="eastAsia" w:ascii="宋体" w:hAnsi="宋体" w:cs="宋体"/>
        </w:rPr>
        <w:t>④</w:t>
      </w:r>
      <w:r>
        <w:t>对有可能利用的废物进行循环和回收利用。</w:t>
      </w:r>
    </w:p>
    <w:p>
      <w:pPr>
        <w:pStyle w:val="155"/>
        <w:spacing w:line="480" w:lineRule="exact"/>
        <w:ind w:firstLine="480"/>
      </w:pPr>
      <w:r>
        <w:rPr>
          <w:rFonts w:hint="eastAsia" w:ascii="宋体" w:hAnsi="宋体" w:cs="宋体"/>
        </w:rPr>
        <w:t>⑤</w:t>
      </w:r>
      <w:r>
        <w:t>采用压缩、焚烧等技术，减少处置废物体积。</w:t>
      </w:r>
    </w:p>
    <w:p>
      <w:pPr>
        <w:pStyle w:val="155"/>
        <w:spacing w:line="480" w:lineRule="exact"/>
        <w:ind w:firstLine="480"/>
      </w:pPr>
      <w:r>
        <w:rPr>
          <w:rFonts w:hint="eastAsia" w:ascii="宋体" w:hAnsi="宋体" w:cs="宋体"/>
        </w:rPr>
        <w:t>⑥</w:t>
      </w:r>
      <w:r>
        <w:t>实行奖惩制度，提高员工废物最小量化的积极性和创新精神。</w:t>
      </w:r>
    </w:p>
    <w:p>
      <w:pPr>
        <w:pStyle w:val="155"/>
        <w:numPr>
          <w:ilvl w:val="0"/>
          <w:numId w:val="19"/>
        </w:numPr>
        <w:spacing w:line="480" w:lineRule="exact"/>
        <w:ind w:firstLine="480"/>
      </w:pPr>
      <w:r>
        <w:t>转移联单制度</w:t>
      </w:r>
    </w:p>
    <w:p>
      <w:pPr>
        <w:pStyle w:val="155"/>
        <w:spacing w:line="480" w:lineRule="exact"/>
        <w:ind w:firstLine="480"/>
      </w:pPr>
      <w:r>
        <w:t>转移危险废物的，按照《危险废物转移联单管理办法》有关规定，如实填写转移联单中产生单位栏目，并加盖公章。转移联单保存齐全。</w:t>
      </w:r>
    </w:p>
    <w:p>
      <w:pPr>
        <w:pStyle w:val="155"/>
        <w:spacing w:line="480" w:lineRule="exact"/>
        <w:ind w:firstLine="480"/>
      </w:pPr>
      <w:r>
        <w:t>除贮存和自行利用处置的，转移的危险废物，全部提供或委托给持危险废物经营许可证的单位从事收集、贮存、利用、处置的活动。有与持危险废物经营许可证的单位签订的合同。</w:t>
      </w:r>
    </w:p>
    <w:p>
      <w:pPr>
        <w:pStyle w:val="155"/>
        <w:numPr>
          <w:ilvl w:val="0"/>
          <w:numId w:val="19"/>
        </w:numPr>
        <w:spacing w:line="480" w:lineRule="exact"/>
        <w:ind w:firstLine="480"/>
      </w:pPr>
      <w:r>
        <w:t>应急预案备案制度</w:t>
      </w:r>
    </w:p>
    <w:p>
      <w:pPr>
        <w:pStyle w:val="155"/>
        <w:spacing w:line="480" w:lineRule="exact"/>
        <w:ind w:firstLine="480"/>
      </w:pPr>
      <w:r>
        <w:t>制定意外事故的防范措施和应急预案。向所在地县级以上地方人民政府环境保护行政主管部门备案。按照预案要求每年组织应急演练。</w:t>
      </w:r>
    </w:p>
    <w:p>
      <w:pPr>
        <w:pStyle w:val="155"/>
        <w:numPr>
          <w:ilvl w:val="0"/>
          <w:numId w:val="19"/>
        </w:numPr>
        <w:spacing w:line="480" w:lineRule="exact"/>
        <w:ind w:firstLine="480"/>
      </w:pPr>
      <w:r>
        <w:t>员工培训</w:t>
      </w:r>
    </w:p>
    <w:p>
      <w:pPr>
        <w:pStyle w:val="155"/>
        <w:spacing w:line="480" w:lineRule="exact"/>
        <w:ind w:firstLine="480"/>
      </w:pPr>
      <w:r>
        <w:t>危险废物产生单位应当对本单位工作人员进行培训。相关管理人员和从事危险废物收集、运输、暂存、利用和处置等工作的人员掌握国家相关法律法规、规章和有关规范性文件的规定；熟悉本单位制定的危险废物管理规章制度、工作流程和应急预案等各项要求；掌握危险废物分类收集、运输、暂存的正确方法和操作程序。</w:t>
      </w:r>
    </w:p>
    <w:p>
      <w:pPr>
        <w:pStyle w:val="155"/>
        <w:numPr>
          <w:ilvl w:val="0"/>
          <w:numId w:val="19"/>
        </w:numPr>
        <w:spacing w:line="480" w:lineRule="exact"/>
        <w:ind w:firstLine="480"/>
      </w:pPr>
      <w:r>
        <w:t>贮存设施管理</w:t>
      </w:r>
    </w:p>
    <w:p>
      <w:pPr>
        <w:pStyle w:val="155"/>
        <w:spacing w:line="480" w:lineRule="exact"/>
        <w:ind w:firstLine="480"/>
      </w:pPr>
      <w:r>
        <w:rPr>
          <w:rFonts w:hint="eastAsia" w:ascii="宋体" w:hAnsi="宋体" w:cs="宋体"/>
        </w:rPr>
        <w:t>①</w:t>
      </w:r>
      <w:r>
        <w:t>有环评材料，并完成“三同时”验收。</w:t>
      </w:r>
    </w:p>
    <w:p>
      <w:pPr>
        <w:pStyle w:val="155"/>
        <w:spacing w:line="480" w:lineRule="exact"/>
        <w:ind w:firstLine="480"/>
      </w:pPr>
      <w:r>
        <w:rPr>
          <w:rFonts w:hint="eastAsia" w:ascii="宋体" w:hAnsi="宋体" w:cs="宋体"/>
        </w:rPr>
        <w:t>②</w:t>
      </w:r>
      <w:r>
        <w:t>符合《危险废物贮存污染控制标准》的有关要求。贮存场所地面作硬化及防渗处理；场所应有雨棚、围堰或围墙；设置废水导排管道或渠道，将冲洗废水纳入企业废水处理设施处理或危险废物管理；贮存液态或半固态废物的，需设置泄露液体收集装置；装载危险废物的容器完好无损。</w:t>
      </w:r>
    </w:p>
    <w:p>
      <w:pPr>
        <w:pStyle w:val="155"/>
        <w:spacing w:line="480" w:lineRule="exact"/>
        <w:ind w:firstLine="480"/>
      </w:pPr>
      <w:r>
        <w:rPr>
          <w:rFonts w:hint="eastAsia" w:ascii="宋体" w:hAnsi="宋体" w:cs="宋体"/>
        </w:rPr>
        <w:t>③</w:t>
      </w:r>
      <w:r>
        <w:t>做到分类贮存。</w:t>
      </w:r>
    </w:p>
    <w:p>
      <w:pPr>
        <w:pStyle w:val="155"/>
        <w:spacing w:line="480" w:lineRule="exact"/>
        <w:ind w:firstLine="480"/>
      </w:pPr>
      <w:r>
        <w:rPr>
          <w:rFonts w:hint="eastAsia" w:ascii="宋体" w:hAnsi="宋体" w:cs="宋体"/>
        </w:rPr>
        <w:t>④</w:t>
      </w:r>
      <w:r>
        <w:t>建立危险废物贮存台账，并如实和规范记录危险废物贮存情况。</w:t>
      </w:r>
    </w:p>
    <w:p>
      <w:pPr>
        <w:pStyle w:val="155"/>
        <w:numPr>
          <w:ilvl w:val="0"/>
          <w:numId w:val="19"/>
        </w:numPr>
        <w:spacing w:line="480" w:lineRule="exact"/>
        <w:ind w:firstLine="480"/>
      </w:pPr>
      <w:r>
        <w:t>利用设施管理</w:t>
      </w:r>
    </w:p>
    <w:p>
      <w:pPr>
        <w:pStyle w:val="155"/>
        <w:spacing w:line="480" w:lineRule="exact"/>
        <w:ind w:firstLine="480"/>
      </w:pPr>
      <w:r>
        <w:rPr>
          <w:rFonts w:hint="eastAsia" w:ascii="宋体" w:hAnsi="宋体" w:cs="宋体"/>
        </w:rPr>
        <w:t>①</w:t>
      </w:r>
      <w:r>
        <w:t>有环评材料，并完成“三同时”验收。</w:t>
      </w:r>
    </w:p>
    <w:p>
      <w:pPr>
        <w:pStyle w:val="155"/>
        <w:spacing w:line="480" w:lineRule="exact"/>
        <w:ind w:firstLine="480"/>
      </w:pPr>
      <w:r>
        <w:rPr>
          <w:rFonts w:hint="eastAsia" w:ascii="宋体" w:hAnsi="宋体" w:cs="宋体"/>
        </w:rPr>
        <w:t>②</w:t>
      </w:r>
      <w:r>
        <w:t>建立危险废物利用台账，并如实和规范记录危险废物利用情况。</w:t>
      </w:r>
    </w:p>
    <w:p>
      <w:pPr>
        <w:pStyle w:val="155"/>
        <w:spacing w:line="480" w:lineRule="exact"/>
        <w:ind w:firstLine="480"/>
      </w:pPr>
      <w:r>
        <w:rPr>
          <w:rFonts w:hint="eastAsia" w:ascii="宋体" w:hAnsi="宋体" w:cs="宋体"/>
        </w:rPr>
        <w:t>③</w:t>
      </w:r>
      <w:r>
        <w:t>定期对利用设施污染物排放进行环境监测，并符合相关标准要求。</w:t>
      </w:r>
    </w:p>
    <w:p>
      <w:pPr>
        <w:pStyle w:val="155"/>
        <w:numPr>
          <w:ilvl w:val="0"/>
          <w:numId w:val="19"/>
        </w:numPr>
        <w:spacing w:line="480" w:lineRule="exact"/>
        <w:ind w:firstLine="480"/>
      </w:pPr>
      <w:r>
        <w:t>处置设施管理</w:t>
      </w:r>
    </w:p>
    <w:p>
      <w:pPr>
        <w:pStyle w:val="155"/>
        <w:spacing w:line="480" w:lineRule="exact"/>
        <w:ind w:firstLine="480"/>
      </w:pPr>
      <w:r>
        <w:rPr>
          <w:rFonts w:hint="eastAsia" w:ascii="宋体" w:hAnsi="宋体" w:cs="宋体"/>
        </w:rPr>
        <w:t>①</w:t>
      </w:r>
      <w:r>
        <w:t>有环评材料，并完成“三同时”验收。</w:t>
      </w:r>
    </w:p>
    <w:p>
      <w:pPr>
        <w:pStyle w:val="155"/>
        <w:spacing w:line="480" w:lineRule="exact"/>
        <w:ind w:firstLine="480"/>
      </w:pPr>
      <w:r>
        <w:rPr>
          <w:rFonts w:hint="eastAsia" w:ascii="宋体" w:hAnsi="宋体" w:cs="宋体"/>
        </w:rPr>
        <w:t>②</w:t>
      </w:r>
      <w:r>
        <w:t>建立危险废物处置台账，并如实和规范记录危险废物处置情况。</w:t>
      </w:r>
    </w:p>
    <w:p>
      <w:pPr>
        <w:pStyle w:val="155"/>
        <w:spacing w:line="480" w:lineRule="exact"/>
        <w:ind w:firstLine="480"/>
      </w:pPr>
      <w:r>
        <w:rPr>
          <w:rFonts w:hint="eastAsia" w:ascii="宋体" w:hAnsi="宋体" w:cs="宋体"/>
        </w:rPr>
        <w:t>③</w:t>
      </w:r>
      <w:r>
        <w:t>有环境监测报告，并且污染物排放符合相关标准要求。</w:t>
      </w:r>
    </w:p>
    <w:p>
      <w:pPr>
        <w:pStyle w:val="155"/>
        <w:numPr>
          <w:ilvl w:val="0"/>
          <w:numId w:val="19"/>
        </w:numPr>
        <w:spacing w:line="480" w:lineRule="exact"/>
        <w:ind w:firstLine="480"/>
      </w:pPr>
      <w:r>
        <w:t>实行废物交换</w:t>
      </w:r>
    </w:p>
    <w:p>
      <w:pPr>
        <w:pStyle w:val="155"/>
        <w:spacing w:line="480" w:lineRule="exact"/>
        <w:ind w:firstLine="480"/>
      </w:pPr>
      <w:r>
        <w:t>通常，一个行业或企业的废物有可能是另一个行业或企业的原料，通过现代信息系统对废物进行交换。这是利用现代信息技术对废物资源化实行合理配置的一种系统工程处理方法。</w:t>
      </w:r>
    </w:p>
    <w:p>
      <w:pPr>
        <w:pStyle w:val="155"/>
        <w:numPr>
          <w:ilvl w:val="0"/>
          <w:numId w:val="19"/>
        </w:numPr>
        <w:spacing w:line="480" w:lineRule="exact"/>
        <w:ind w:firstLine="480"/>
      </w:pPr>
      <w:r>
        <w:t>对排放废物进行审计</w:t>
      </w:r>
    </w:p>
    <w:p>
      <w:pPr>
        <w:pStyle w:val="155"/>
        <w:spacing w:line="480" w:lineRule="exact"/>
        <w:ind w:firstLine="480"/>
      </w:pPr>
      <w:r>
        <w:t>废物审计制度是对废物从产生、处理到处置排放实行全过程监督的有效手段。其主要内容有：</w:t>
      </w:r>
    </w:p>
    <w:p>
      <w:pPr>
        <w:pStyle w:val="155"/>
        <w:spacing w:line="480" w:lineRule="exact"/>
        <w:ind w:firstLine="480"/>
      </w:pPr>
      <w:r>
        <w:rPr>
          <w:rFonts w:hint="eastAsia" w:ascii="宋体" w:hAnsi="宋体" w:cs="宋体"/>
        </w:rPr>
        <w:t>①</w:t>
      </w:r>
      <w:r>
        <w:t>废物合理的产生量；</w:t>
      </w:r>
    </w:p>
    <w:p>
      <w:pPr>
        <w:pStyle w:val="155"/>
        <w:spacing w:line="480" w:lineRule="exact"/>
        <w:ind w:firstLine="480"/>
      </w:pPr>
      <w:r>
        <w:rPr>
          <w:rFonts w:hint="eastAsia" w:ascii="宋体" w:hAnsi="宋体" w:cs="宋体"/>
        </w:rPr>
        <w:t>②</w:t>
      </w:r>
      <w:r>
        <w:t>废物流向和分配及监测记录；</w:t>
      </w:r>
    </w:p>
    <w:p>
      <w:pPr>
        <w:pStyle w:val="155"/>
        <w:spacing w:line="480" w:lineRule="exact"/>
        <w:ind w:firstLine="480"/>
      </w:pPr>
      <w:r>
        <w:rPr>
          <w:rFonts w:hint="eastAsia" w:ascii="宋体" w:hAnsi="宋体" w:cs="宋体"/>
        </w:rPr>
        <w:t>③</w:t>
      </w:r>
      <w:r>
        <w:t>废物处理和转化；</w:t>
      </w:r>
    </w:p>
    <w:p>
      <w:pPr>
        <w:pStyle w:val="155"/>
        <w:spacing w:line="480" w:lineRule="exact"/>
        <w:ind w:firstLine="480"/>
      </w:pPr>
      <w:r>
        <w:rPr>
          <w:rFonts w:hint="eastAsia" w:ascii="宋体" w:hAnsi="宋体" w:cs="宋体"/>
        </w:rPr>
        <w:t>④</w:t>
      </w:r>
      <w:r>
        <w:t>废物有效排放和废物总量衡算；</w:t>
      </w:r>
    </w:p>
    <w:p>
      <w:pPr>
        <w:pStyle w:val="155"/>
        <w:spacing w:line="480" w:lineRule="exact"/>
        <w:ind w:firstLine="480"/>
      </w:pPr>
      <w:r>
        <w:rPr>
          <w:rFonts w:hint="eastAsia" w:ascii="宋体" w:hAnsi="宋体" w:cs="宋体"/>
        </w:rPr>
        <w:t>⑤</w:t>
      </w:r>
      <w:r>
        <w:t>废物从产生到处理的全过程评估。</w:t>
      </w:r>
    </w:p>
    <w:p>
      <w:pPr>
        <w:pStyle w:val="567"/>
        <w:spacing w:before="0" w:after="0" w:line="480" w:lineRule="exact"/>
        <w:ind w:firstLine="480" w:firstLineChars="200"/>
        <w:rPr>
          <w:rFonts w:cs="Times New Roman"/>
          <w:szCs w:val="24"/>
        </w:rPr>
      </w:pPr>
      <w:r>
        <w:rPr>
          <w:rFonts w:cs="Times New Roman"/>
        </w:rPr>
        <w:t>总之，健全高效的管理体制，是搞好固体废物处理的有效保证。因此，本项目在建设固废硬件设施的同时，也应注意建设相应的配套体制</w:t>
      </w:r>
      <w:r>
        <w:rPr>
          <w:rFonts w:cs="Times New Roman"/>
          <w:szCs w:val="24"/>
        </w:rPr>
        <w:t>。</w:t>
      </w:r>
    </w:p>
    <w:p>
      <w:pPr>
        <w:widowControl/>
        <w:spacing w:line="480" w:lineRule="exact"/>
        <w:outlineLvl w:val="3"/>
        <w:rPr>
          <w:rFonts w:ascii="Times New Roman" w:hAnsi="Times New Roman" w:eastAsia="黑体"/>
          <w:sz w:val="24"/>
        </w:rPr>
      </w:pPr>
      <w:r>
        <w:rPr>
          <w:rFonts w:ascii="Times New Roman" w:hAnsi="Times New Roman" w:eastAsia="黑体"/>
          <w:sz w:val="24"/>
        </w:rPr>
        <w:t>6.2.5.2.固体废物污染治理措施可行性分析</w:t>
      </w:r>
    </w:p>
    <w:p>
      <w:pPr>
        <w:pStyle w:val="567"/>
        <w:spacing w:before="0" w:after="0" w:line="480" w:lineRule="exact"/>
        <w:ind w:firstLine="480" w:firstLineChars="200"/>
        <w:rPr>
          <w:rFonts w:cs="Times New Roman"/>
          <w:szCs w:val="24"/>
        </w:rPr>
      </w:pPr>
      <w:r>
        <w:rPr>
          <w:rFonts w:cs="Times New Roman"/>
          <w:szCs w:val="24"/>
        </w:rPr>
        <w:t>本项目职工生活垃圾集中收集，交由环卫部门处置；医疗废物消毒破碎处理后的破碎废渣运送至厂址西侧双鸭山市生活垃圾填埋场处理；废油、废活性炭和污水处理间污泥</w:t>
      </w:r>
      <w:r>
        <w:rPr>
          <w:rFonts w:hint="eastAsia" w:cs="Times New Roman"/>
          <w:szCs w:val="24"/>
        </w:rPr>
        <w:t>、栅渣</w:t>
      </w:r>
      <w:r>
        <w:rPr>
          <w:rFonts w:cs="Times New Roman"/>
          <w:szCs w:val="24"/>
        </w:rPr>
        <w:t>暂存于危险废物暂存间（占地面积10m</w:t>
      </w:r>
      <w:r>
        <w:rPr>
          <w:rFonts w:cs="Times New Roman"/>
          <w:szCs w:val="24"/>
          <w:vertAlign w:val="superscript"/>
        </w:rPr>
        <w:t>2</w:t>
      </w:r>
      <w:r>
        <w:rPr>
          <w:rFonts w:cs="Times New Roman"/>
          <w:szCs w:val="24"/>
        </w:rPr>
        <w:t>），运送至黑龙江京盛华环保科技有限公司处置。在落实以上措施后，本项目产生的固体废物不会对外环境产生不良的影响，防治措施可行。</w:t>
      </w:r>
    </w:p>
    <w:p>
      <w:pPr>
        <w:pStyle w:val="4"/>
        <w:spacing w:before="120" w:beforeLines="50" w:after="120" w:afterLines="50" w:line="480" w:lineRule="exact"/>
        <w:rPr>
          <w:rFonts w:ascii="Times New Roman" w:hAnsi="Times New Roman" w:eastAsia="黑体"/>
          <w:bCs/>
          <w:sz w:val="28"/>
          <w:szCs w:val="28"/>
        </w:rPr>
      </w:pPr>
      <w:bookmarkStart w:id="1467" w:name="_Toc26188076"/>
      <w:bookmarkStart w:id="1468" w:name="_Toc25262"/>
      <w:bookmarkStart w:id="1469" w:name="_Toc1000"/>
      <w:bookmarkStart w:id="1470" w:name="_Toc3684"/>
      <w:bookmarkStart w:id="1471" w:name="_Toc27134372"/>
      <w:bookmarkStart w:id="1472" w:name="_Toc19447"/>
      <w:bookmarkStart w:id="1473" w:name="_Toc21429"/>
      <w:r>
        <w:rPr>
          <w:rFonts w:ascii="Times New Roman" w:hAnsi="Times New Roman" w:eastAsia="黑体"/>
          <w:bCs/>
          <w:sz w:val="28"/>
          <w:szCs w:val="28"/>
        </w:rPr>
        <w:t>土壤污染治理措施及其可行性分析</w:t>
      </w:r>
      <w:bookmarkEnd w:id="1467"/>
      <w:bookmarkEnd w:id="1468"/>
      <w:bookmarkEnd w:id="1469"/>
      <w:bookmarkEnd w:id="1470"/>
      <w:bookmarkEnd w:id="1471"/>
      <w:bookmarkEnd w:id="1472"/>
      <w:bookmarkEnd w:id="1473"/>
    </w:p>
    <w:p>
      <w:pPr>
        <w:widowControl/>
        <w:spacing w:line="480" w:lineRule="exact"/>
        <w:outlineLvl w:val="3"/>
        <w:rPr>
          <w:rFonts w:ascii="Times New Roman" w:hAnsi="Times New Roman" w:eastAsia="黑体"/>
          <w:sz w:val="24"/>
        </w:rPr>
      </w:pPr>
      <w:r>
        <w:rPr>
          <w:rFonts w:ascii="Times New Roman" w:hAnsi="Times New Roman" w:eastAsia="黑体"/>
          <w:sz w:val="24"/>
        </w:rPr>
        <w:t>6.2.6.1.土壤污染治理措施</w:t>
      </w:r>
    </w:p>
    <w:p>
      <w:pPr>
        <w:spacing w:line="480" w:lineRule="exact"/>
        <w:ind w:firstLine="480" w:firstLineChars="200"/>
        <w:rPr>
          <w:rFonts w:ascii="Times New Roman" w:hAnsi="Times New Roman"/>
          <w:sz w:val="24"/>
          <w:szCs w:val="24"/>
        </w:rPr>
      </w:pPr>
      <w:r>
        <w:rPr>
          <w:rFonts w:ascii="Times New Roman" w:hAnsi="Times New Roman"/>
          <w:sz w:val="24"/>
          <w:szCs w:val="24"/>
        </w:rPr>
        <w:t>（1）本项目涉及有毒有害物质的生产装置和管道，或者建设初期雨水池、事故应急池等存在土壤污染风险的设施，应当按照国家有关标准和规范的要求，设计、建设和安装有关防腐蚀、防泄漏设施和泄漏监测装置，防止有毒有害物质污染土壤和地下水。</w:t>
      </w:r>
    </w:p>
    <w:p>
      <w:pPr>
        <w:spacing w:line="480" w:lineRule="exact"/>
        <w:ind w:firstLine="480" w:firstLineChars="200"/>
        <w:rPr>
          <w:rFonts w:ascii="Times New Roman" w:hAnsi="Times New Roman"/>
          <w:sz w:val="24"/>
          <w:szCs w:val="24"/>
        </w:rPr>
      </w:pPr>
      <w:r>
        <w:rPr>
          <w:rFonts w:ascii="Times New Roman" w:hAnsi="Times New Roman"/>
          <w:sz w:val="24"/>
          <w:szCs w:val="24"/>
        </w:rPr>
        <w:t>（2）本项目应当建立土壤和地下水污染隐患排查治理制度，定期对重点区域、重点设施开展隐患排查。发现污染隐患的，应当制定整改方案，及时采取技术、管理措施消除隐患。隐患排查、治理情况应当如实记录并建立档案。本项目重点区域包括灭菌车间、医疗废物暂存间（冷库）、污水处理间、危废暂存间、事故应急池和初期雨水池等。</w:t>
      </w:r>
    </w:p>
    <w:p>
      <w:pPr>
        <w:spacing w:line="480" w:lineRule="exact"/>
        <w:ind w:firstLine="480" w:firstLineChars="200"/>
        <w:rPr>
          <w:rFonts w:ascii="Times New Roman" w:hAnsi="Times New Roman"/>
          <w:sz w:val="24"/>
          <w:szCs w:val="24"/>
        </w:rPr>
      </w:pPr>
      <w:r>
        <w:rPr>
          <w:rFonts w:ascii="Times New Roman" w:hAnsi="Times New Roman"/>
          <w:sz w:val="24"/>
          <w:szCs w:val="24"/>
        </w:rPr>
        <w:t>（3）企业应当按照相关技术规范要求，自行或者委托第三方定期开展土壤和地下水监测，重点监测存在污染隐患的区域和设施周边的土壤、地下水，并按照规定公开相关信息。在隐患排查、监测等活动中发现用地土壤和地下水存在污染迹象的，应当排查污染源，查明污染原因，采取措施防止新增污染，并参照污染地块土壤环境管理有关规定及时开展土壤和地下水环境调查与风险评估，根据调查与风险评估结果采取风险管控或者治理与修复等措施。</w:t>
      </w:r>
    </w:p>
    <w:p>
      <w:pPr>
        <w:spacing w:line="480" w:lineRule="exact"/>
        <w:ind w:firstLine="480" w:firstLineChars="200"/>
        <w:rPr>
          <w:rFonts w:ascii="Times New Roman" w:hAnsi="Times New Roman"/>
          <w:sz w:val="24"/>
          <w:szCs w:val="24"/>
        </w:rPr>
      </w:pPr>
      <w:r>
        <w:rPr>
          <w:rFonts w:ascii="Times New Roman" w:hAnsi="Times New Roman"/>
          <w:sz w:val="24"/>
          <w:szCs w:val="24"/>
        </w:rPr>
        <w:t>（4）企业突发环境事件应急预案应当包括防止土壤和地下水污染相关内容。突发环境事件造成或者可能造成土壤和地下水污染的，应当采取应急措施避免或者减少土壤和地下水污染；应急处置结束后，应当立即组织开展环境影响和损害评估工作，评估认为需要开展治理与修复的，应当制定并落实污染土壤和地下水治理与修复方案。</w:t>
      </w:r>
    </w:p>
    <w:p>
      <w:pPr>
        <w:pStyle w:val="155"/>
        <w:spacing w:line="480" w:lineRule="exact"/>
        <w:ind w:firstLine="480"/>
      </w:pPr>
      <w:r>
        <w:t>（5）跟踪监测计划</w:t>
      </w:r>
    </w:p>
    <w:p>
      <w:pPr>
        <w:pStyle w:val="155"/>
        <w:spacing w:line="480" w:lineRule="exact"/>
        <w:ind w:firstLine="480"/>
      </w:pPr>
      <w:r>
        <w:t>对厂区土壤定期监测，发现土壤污染时，及时查找污水泄漏源防治污水的进一步下渗，必要时对污染的土壤进行替换或修复，其布点见表6.2-7。</w:t>
      </w:r>
    </w:p>
    <w:p>
      <w:pPr>
        <w:autoSpaceDE w:val="0"/>
        <w:autoSpaceDN w:val="0"/>
        <w:adjustRightInd w:val="0"/>
        <w:snapToGrid w:val="0"/>
        <w:spacing w:line="480" w:lineRule="exact"/>
        <w:jc w:val="center"/>
        <w:textAlignment w:val="bottom"/>
        <w:rPr>
          <w:rFonts w:ascii="Times New Roman" w:hAnsi="Times New Roman"/>
          <w:b/>
          <w:snapToGrid w:val="0"/>
        </w:rPr>
      </w:pPr>
      <w:r>
        <w:rPr>
          <w:rFonts w:ascii="Times New Roman" w:hAnsi="Times New Roman"/>
          <w:b/>
          <w:snapToGrid w:val="0"/>
        </w:rPr>
        <w:t>表6.2-7 运营期土壤监测计划表</w:t>
      </w:r>
    </w:p>
    <w:tbl>
      <w:tblPr>
        <w:tblStyle w:val="77"/>
        <w:tblW w:w="5000" w:type="pct"/>
        <w:jc w:val="center"/>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1808"/>
        <w:gridCol w:w="1984"/>
        <w:gridCol w:w="1277"/>
        <w:gridCol w:w="1137"/>
        <w:gridCol w:w="2323"/>
      </w:tblGrid>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09" w:type="dxa"/>
            <w:tcBorders>
              <w:top w:val="single" w:color="auto" w:sz="12" w:space="0"/>
              <w:left w:val="nil"/>
              <w:bottom w:val="single" w:color="auto" w:sz="4" w:space="0"/>
              <w:right w:val="single" w:color="auto" w:sz="4" w:space="0"/>
            </w:tcBorders>
            <w:vAlign w:val="center"/>
          </w:tcPr>
          <w:p>
            <w:pPr>
              <w:widowControl/>
              <w:jc w:val="center"/>
              <w:rPr>
                <w:rFonts w:ascii="Times New Roman" w:hAnsi="Times New Roman"/>
                <w:b/>
              </w:rPr>
            </w:pPr>
            <w:r>
              <w:rPr>
                <w:rFonts w:ascii="Times New Roman" w:hAnsi="Times New Roman"/>
                <w:b/>
              </w:rPr>
              <w:t>监测点位</w:t>
            </w:r>
          </w:p>
        </w:tc>
        <w:tc>
          <w:tcPr>
            <w:tcW w:w="1985" w:type="dxa"/>
            <w:tcBorders>
              <w:top w:val="single" w:color="auto" w:sz="12" w:space="0"/>
              <w:left w:val="single" w:color="auto" w:sz="4" w:space="0"/>
              <w:bottom w:val="single" w:color="auto" w:sz="4" w:space="0"/>
              <w:right w:val="single" w:color="auto" w:sz="4" w:space="0"/>
            </w:tcBorders>
            <w:vAlign w:val="center"/>
          </w:tcPr>
          <w:p>
            <w:pPr>
              <w:widowControl/>
              <w:jc w:val="center"/>
              <w:rPr>
                <w:rFonts w:ascii="Times New Roman" w:hAnsi="Times New Roman"/>
                <w:b/>
              </w:rPr>
            </w:pPr>
            <w:r>
              <w:rPr>
                <w:rFonts w:ascii="Times New Roman" w:hAnsi="Times New Roman"/>
                <w:b/>
              </w:rPr>
              <w:t>样品要求</w:t>
            </w:r>
          </w:p>
        </w:tc>
        <w:tc>
          <w:tcPr>
            <w:tcW w:w="1276" w:type="dxa"/>
            <w:tcBorders>
              <w:top w:val="single" w:color="auto" w:sz="12" w:space="0"/>
              <w:left w:val="single" w:color="auto" w:sz="4" w:space="0"/>
              <w:bottom w:val="single" w:color="auto" w:sz="4" w:space="0"/>
              <w:right w:val="single" w:color="auto" w:sz="4" w:space="0"/>
            </w:tcBorders>
            <w:vAlign w:val="center"/>
          </w:tcPr>
          <w:p>
            <w:pPr>
              <w:widowControl/>
              <w:jc w:val="center"/>
              <w:rPr>
                <w:rFonts w:ascii="Times New Roman" w:hAnsi="Times New Roman"/>
                <w:b/>
              </w:rPr>
            </w:pPr>
            <w:r>
              <w:rPr>
                <w:rFonts w:ascii="Times New Roman" w:hAnsi="Times New Roman"/>
                <w:b/>
              </w:rPr>
              <w:t>监测因子</w:t>
            </w:r>
          </w:p>
        </w:tc>
        <w:tc>
          <w:tcPr>
            <w:tcW w:w="1134" w:type="dxa"/>
            <w:tcBorders>
              <w:top w:val="single" w:color="auto" w:sz="12" w:space="0"/>
              <w:left w:val="single" w:color="auto" w:sz="4" w:space="0"/>
              <w:bottom w:val="single" w:color="auto" w:sz="4" w:space="0"/>
              <w:right w:val="single" w:color="auto" w:sz="4" w:space="0"/>
            </w:tcBorders>
            <w:vAlign w:val="center"/>
          </w:tcPr>
          <w:p>
            <w:pPr>
              <w:widowControl/>
              <w:jc w:val="center"/>
              <w:rPr>
                <w:rFonts w:ascii="Times New Roman" w:hAnsi="Times New Roman"/>
                <w:b/>
              </w:rPr>
            </w:pPr>
            <w:r>
              <w:rPr>
                <w:rFonts w:ascii="Times New Roman" w:hAnsi="Times New Roman"/>
                <w:b/>
              </w:rPr>
              <w:t>监测频次</w:t>
            </w:r>
          </w:p>
        </w:tc>
        <w:tc>
          <w:tcPr>
            <w:tcW w:w="2325" w:type="dxa"/>
            <w:tcBorders>
              <w:top w:val="single" w:color="auto" w:sz="12" w:space="0"/>
              <w:left w:val="single" w:color="auto" w:sz="4" w:space="0"/>
              <w:bottom w:val="single" w:color="auto" w:sz="4" w:space="0"/>
              <w:right w:val="nil"/>
            </w:tcBorders>
            <w:vAlign w:val="center"/>
          </w:tcPr>
          <w:p>
            <w:pPr>
              <w:widowControl/>
              <w:jc w:val="center"/>
              <w:rPr>
                <w:rFonts w:ascii="Times New Roman" w:hAnsi="Times New Roman"/>
                <w:b/>
              </w:rPr>
            </w:pPr>
            <w:r>
              <w:rPr>
                <w:rFonts w:ascii="Times New Roman" w:hAnsi="Times New Roman"/>
                <w:b/>
              </w:rPr>
              <w:t>执行标准</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09" w:type="dxa"/>
            <w:tcBorders>
              <w:top w:val="single" w:color="auto" w:sz="4" w:space="0"/>
              <w:left w:val="nil"/>
              <w:bottom w:val="single" w:color="auto" w:sz="4" w:space="0"/>
              <w:right w:val="single" w:color="auto" w:sz="4" w:space="0"/>
            </w:tcBorders>
            <w:vAlign w:val="center"/>
          </w:tcPr>
          <w:p>
            <w:pPr>
              <w:adjustRightInd w:val="0"/>
              <w:snapToGrid w:val="0"/>
              <w:jc w:val="center"/>
              <w:rPr>
                <w:rFonts w:ascii="Times New Roman" w:hAnsi="Times New Roman"/>
              </w:rPr>
            </w:pPr>
            <w:r>
              <w:rPr>
                <w:rFonts w:ascii="Times New Roman" w:hAnsi="Times New Roman"/>
              </w:rPr>
              <w:t>厂区内灭菌车间附近</w:t>
            </w:r>
          </w:p>
        </w:tc>
        <w:tc>
          <w:tcPr>
            <w:tcW w:w="198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rPr>
            </w:pPr>
            <w:r>
              <w:rPr>
                <w:rFonts w:ascii="Times New Roman" w:hAnsi="Times New Roman"/>
              </w:rPr>
              <w:t>柱状样0~0.5m、0.5~1.5m、1.5~3m分别取样</w:t>
            </w:r>
          </w:p>
        </w:tc>
        <w:tc>
          <w:tcPr>
            <w:tcW w:w="1276" w:type="dxa"/>
            <w:vMerge w:val="restart"/>
            <w:tcBorders>
              <w:top w:val="single" w:color="auto" w:sz="4" w:space="0"/>
              <w:left w:val="single" w:color="auto" w:sz="4" w:space="0"/>
              <w:right w:val="single" w:color="auto" w:sz="4" w:space="0"/>
            </w:tcBorders>
            <w:vAlign w:val="center"/>
          </w:tcPr>
          <w:p>
            <w:pPr>
              <w:widowControl/>
              <w:jc w:val="center"/>
              <w:rPr>
                <w:rFonts w:ascii="Times New Roman" w:hAnsi="Times New Roman"/>
                <w:kern w:val="2"/>
                <w:szCs w:val="22"/>
              </w:rPr>
            </w:pPr>
            <w:r>
              <w:rPr>
                <w:rFonts w:ascii="Times New Roman" w:hAnsi="Times New Roman"/>
              </w:rPr>
              <w:t>pH、铬、汞、砷、铅、镉、铜、锌、镍</w:t>
            </w:r>
          </w:p>
        </w:tc>
        <w:tc>
          <w:tcPr>
            <w:tcW w:w="1134" w:type="dxa"/>
            <w:vMerge w:val="restart"/>
            <w:tcBorders>
              <w:top w:val="single" w:color="auto" w:sz="4" w:space="0"/>
              <w:left w:val="single" w:color="auto" w:sz="4" w:space="0"/>
              <w:right w:val="single" w:color="auto" w:sz="4" w:space="0"/>
            </w:tcBorders>
            <w:vAlign w:val="center"/>
          </w:tcPr>
          <w:p>
            <w:pPr>
              <w:widowControl/>
              <w:jc w:val="center"/>
              <w:rPr>
                <w:rFonts w:ascii="Times New Roman" w:hAnsi="Times New Roman"/>
                <w:kern w:val="2"/>
                <w:szCs w:val="22"/>
              </w:rPr>
            </w:pPr>
            <w:r>
              <w:rPr>
                <w:rFonts w:ascii="Times New Roman" w:hAnsi="Times New Roman"/>
              </w:rPr>
              <w:t>项目投产运行后每3年监测一次</w:t>
            </w:r>
          </w:p>
        </w:tc>
        <w:tc>
          <w:tcPr>
            <w:tcW w:w="2325" w:type="dxa"/>
            <w:vMerge w:val="restart"/>
            <w:tcBorders>
              <w:left w:val="single" w:color="auto" w:sz="4" w:space="0"/>
              <w:right w:val="nil"/>
            </w:tcBorders>
            <w:vAlign w:val="center"/>
          </w:tcPr>
          <w:p>
            <w:pPr>
              <w:adjustRightInd w:val="0"/>
              <w:snapToGrid w:val="0"/>
              <w:rPr>
                <w:rFonts w:ascii="Times New Roman" w:hAnsi="Times New Roman"/>
                <w:kern w:val="2"/>
                <w:szCs w:val="22"/>
              </w:rPr>
            </w:pPr>
            <w:r>
              <w:rPr>
                <w:rFonts w:ascii="Times New Roman" w:hAnsi="Times New Roman"/>
              </w:rPr>
              <w:t>《土壤环境质量 建设用地土壤污染风险筛选标准（试行）》（GB36600-2018）筛选值中第二类用地要求</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09" w:type="dxa"/>
            <w:tcBorders>
              <w:top w:val="single" w:color="auto" w:sz="4" w:space="0"/>
              <w:left w:val="nil"/>
              <w:bottom w:val="single" w:color="auto" w:sz="12" w:space="0"/>
              <w:right w:val="single" w:color="auto" w:sz="4" w:space="0"/>
            </w:tcBorders>
            <w:vAlign w:val="center"/>
          </w:tcPr>
          <w:p>
            <w:pPr>
              <w:adjustRightInd w:val="0"/>
              <w:snapToGrid w:val="0"/>
              <w:jc w:val="center"/>
              <w:rPr>
                <w:rFonts w:ascii="Times New Roman" w:hAnsi="Times New Roman"/>
              </w:rPr>
            </w:pPr>
            <w:r>
              <w:rPr>
                <w:rFonts w:ascii="Times New Roman" w:hAnsi="Times New Roman"/>
              </w:rPr>
              <w:t>厂区外</w:t>
            </w:r>
          </w:p>
        </w:tc>
        <w:tc>
          <w:tcPr>
            <w:tcW w:w="1985" w:type="dxa"/>
            <w:tcBorders>
              <w:top w:val="single" w:color="auto" w:sz="4" w:space="0"/>
              <w:left w:val="single" w:color="auto" w:sz="4" w:space="0"/>
              <w:bottom w:val="single" w:color="auto" w:sz="12" w:space="0"/>
              <w:right w:val="single" w:color="auto" w:sz="4" w:space="0"/>
            </w:tcBorders>
            <w:vAlign w:val="center"/>
          </w:tcPr>
          <w:p>
            <w:pPr>
              <w:adjustRightInd w:val="0"/>
              <w:snapToGrid w:val="0"/>
              <w:rPr>
                <w:rFonts w:ascii="Times New Roman" w:hAnsi="Times New Roman"/>
              </w:rPr>
            </w:pPr>
            <w:r>
              <w:rPr>
                <w:rFonts w:ascii="Times New Roman" w:hAnsi="Times New Roman"/>
              </w:rPr>
              <w:t>表层样0~0.2m</w:t>
            </w:r>
          </w:p>
        </w:tc>
        <w:tc>
          <w:tcPr>
            <w:tcW w:w="1276" w:type="dxa"/>
            <w:vMerge w:val="continue"/>
            <w:tcBorders>
              <w:left w:val="single" w:color="auto" w:sz="4" w:space="0"/>
              <w:bottom w:val="single" w:color="auto" w:sz="12" w:space="0"/>
              <w:right w:val="single" w:color="auto" w:sz="4" w:space="0"/>
            </w:tcBorders>
            <w:vAlign w:val="center"/>
          </w:tcPr>
          <w:p>
            <w:pPr>
              <w:adjustRightInd w:val="0"/>
              <w:snapToGrid w:val="0"/>
              <w:rPr>
                <w:rFonts w:ascii="Times New Roman" w:hAnsi="Times New Roman"/>
                <w:kern w:val="2"/>
                <w:szCs w:val="22"/>
              </w:rPr>
            </w:pPr>
          </w:p>
        </w:tc>
        <w:tc>
          <w:tcPr>
            <w:tcW w:w="1134" w:type="dxa"/>
            <w:vMerge w:val="continue"/>
            <w:tcBorders>
              <w:left w:val="single" w:color="auto" w:sz="4" w:space="0"/>
              <w:bottom w:val="single" w:color="auto" w:sz="12" w:space="0"/>
              <w:right w:val="single" w:color="auto" w:sz="4" w:space="0"/>
            </w:tcBorders>
            <w:vAlign w:val="center"/>
          </w:tcPr>
          <w:p>
            <w:pPr>
              <w:adjustRightInd w:val="0"/>
              <w:snapToGrid w:val="0"/>
              <w:rPr>
                <w:rFonts w:ascii="Times New Roman" w:hAnsi="Times New Roman"/>
                <w:kern w:val="2"/>
                <w:szCs w:val="22"/>
              </w:rPr>
            </w:pPr>
          </w:p>
        </w:tc>
        <w:tc>
          <w:tcPr>
            <w:tcW w:w="2325" w:type="dxa"/>
            <w:vMerge w:val="continue"/>
            <w:tcBorders>
              <w:left w:val="single" w:color="auto" w:sz="4" w:space="0"/>
              <w:bottom w:val="single" w:color="auto" w:sz="12" w:space="0"/>
              <w:right w:val="nil"/>
            </w:tcBorders>
            <w:vAlign w:val="center"/>
          </w:tcPr>
          <w:p>
            <w:pPr>
              <w:adjustRightInd w:val="0"/>
              <w:snapToGrid w:val="0"/>
              <w:rPr>
                <w:rFonts w:ascii="Times New Roman" w:hAnsi="Times New Roman"/>
                <w:kern w:val="2"/>
                <w:szCs w:val="22"/>
              </w:rPr>
            </w:pPr>
          </w:p>
        </w:tc>
      </w:tr>
    </w:tbl>
    <w:p>
      <w:p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上述监测结果应按项目有关规定及时建立档案，并定期向厂安全环保部门汇报，对于常规监测数据应该进行公开，特别是对项目所在区域的公众进行公开，满足法律中关于知情权的要求。如发现异常或发生事故，加密监测频次，改为每天监测一次，并分析污染原因，确定泄漏污染源，及时采取对应应急措施。</w:t>
      </w:r>
    </w:p>
    <w:p>
      <w:pPr>
        <w:widowControl/>
        <w:spacing w:line="480" w:lineRule="exact"/>
        <w:outlineLvl w:val="3"/>
        <w:rPr>
          <w:rFonts w:ascii="Times New Roman" w:hAnsi="Times New Roman" w:eastAsia="黑体"/>
          <w:sz w:val="24"/>
        </w:rPr>
      </w:pPr>
      <w:r>
        <w:rPr>
          <w:rFonts w:ascii="Times New Roman" w:hAnsi="Times New Roman" w:eastAsia="黑体"/>
          <w:sz w:val="24"/>
        </w:rPr>
        <w:t>6.2.6.2.土壤污染治理措施可行性分析</w:t>
      </w:r>
    </w:p>
    <w:p>
      <w:pPr>
        <w:pStyle w:val="155"/>
        <w:spacing w:line="480" w:lineRule="exact"/>
        <w:ind w:firstLine="480"/>
      </w:pPr>
      <w:r>
        <w:t>土壤污染治理措施以预防为主，加强企业管理措施，本项目</w:t>
      </w:r>
      <w:r>
        <w:rPr>
          <w:szCs w:val="24"/>
        </w:rPr>
        <w:t>在严格按照通知要求落实的前提下，运营期对周边土壤环境影响预计可控</w:t>
      </w:r>
      <w:r>
        <w:t>。本项目土壤防治措施可行。</w:t>
      </w:r>
    </w:p>
    <w:p>
      <w:pPr>
        <w:pStyle w:val="4"/>
        <w:spacing w:before="120" w:beforeLines="50" w:after="120" w:afterLines="50" w:line="480" w:lineRule="exact"/>
        <w:rPr>
          <w:rFonts w:ascii="Times New Roman" w:hAnsi="Times New Roman" w:eastAsia="黑体"/>
          <w:bCs/>
          <w:sz w:val="28"/>
          <w:szCs w:val="28"/>
        </w:rPr>
      </w:pPr>
      <w:bookmarkStart w:id="1474" w:name="_Toc24547"/>
      <w:bookmarkStart w:id="1475" w:name="_Toc3015"/>
      <w:bookmarkStart w:id="1476" w:name="_Toc31892"/>
      <w:bookmarkStart w:id="1477" w:name="_Toc27134373"/>
      <w:bookmarkStart w:id="1478" w:name="_Toc21510"/>
      <w:bookmarkStart w:id="1479" w:name="_Toc8317"/>
      <w:bookmarkStart w:id="1480" w:name="_Toc26188077"/>
      <w:r>
        <w:rPr>
          <w:rFonts w:ascii="Times New Roman" w:hAnsi="Times New Roman" w:eastAsia="黑体"/>
          <w:bCs/>
          <w:sz w:val="28"/>
          <w:szCs w:val="28"/>
        </w:rPr>
        <w:t>非正常工况下环境应急措施</w:t>
      </w:r>
      <w:bookmarkEnd w:id="1474"/>
      <w:bookmarkEnd w:id="1475"/>
      <w:bookmarkEnd w:id="1476"/>
      <w:bookmarkEnd w:id="1477"/>
      <w:bookmarkEnd w:id="1478"/>
      <w:bookmarkEnd w:id="1479"/>
      <w:bookmarkEnd w:id="1480"/>
    </w:p>
    <w:p>
      <w:pPr>
        <w:pStyle w:val="155"/>
        <w:spacing w:line="480" w:lineRule="exact"/>
        <w:ind w:firstLine="480"/>
      </w:pPr>
      <w:r>
        <w:t>本项目的非正常排放主要来自于装置开、停工况，检修等。为了避免非正常工况排污，拟采取以下措施：</w:t>
      </w:r>
    </w:p>
    <w:p>
      <w:pPr>
        <w:pStyle w:val="155"/>
        <w:spacing w:line="480" w:lineRule="exact"/>
        <w:ind w:firstLine="480"/>
      </w:pPr>
      <w:r>
        <w:rPr>
          <w:rFonts w:hint="eastAsia" w:ascii="宋体" w:hAnsi="宋体" w:cs="宋体"/>
        </w:rPr>
        <w:t>①</w:t>
      </w:r>
      <w:r>
        <w:t>加强日常维护管理，防微杜渐，是杜绝事故排放的前提。因此，需注重废气净化系统设备、设施的维护，使其长期保持最佳工作状况。在定期检修工程主体设备时，同时检查和维护各主要废气净化系统的正常运行。</w:t>
      </w:r>
    </w:p>
    <w:p>
      <w:pPr>
        <w:pStyle w:val="155"/>
        <w:spacing w:line="480" w:lineRule="exact"/>
        <w:ind w:firstLine="480"/>
      </w:pPr>
      <w:r>
        <w:rPr>
          <w:rFonts w:hint="eastAsia" w:ascii="宋体" w:hAnsi="宋体" w:cs="宋体"/>
        </w:rPr>
        <w:t>②</w:t>
      </w:r>
      <w:r>
        <w:t>一旦发现废气净化设施运行不正常时，应及时予以处理或维修，如确定短时间内不能恢复正常运行的，应立即停产检修，以避免对环境造成更大的污染影响，待废气处理设施运行正常后恢复生产。</w:t>
      </w:r>
    </w:p>
    <w:p>
      <w:pPr>
        <w:pStyle w:val="155"/>
        <w:spacing w:line="480" w:lineRule="exact"/>
        <w:ind w:firstLine="480"/>
      </w:pPr>
      <w:r>
        <w:rPr>
          <w:rFonts w:hint="eastAsia" w:ascii="宋体" w:hAnsi="宋体" w:cs="宋体"/>
        </w:rPr>
        <w:t>③</w:t>
      </w:r>
      <w:r>
        <w:t>加强对日常设备的检修。开车前要将所用生产设备进行认真检查，检查水电气设备及仪表是否达到使用要求，操作人员要熟练掌握本岗位操作规程，充分做好开车前的准备，停车要按每个岗位实际要求按顺序停车。</w:t>
      </w:r>
    </w:p>
    <w:p>
      <w:pPr>
        <w:pStyle w:val="155"/>
        <w:spacing w:line="480" w:lineRule="exact"/>
        <w:ind w:firstLine="480"/>
      </w:pPr>
      <w:r>
        <w:rPr>
          <w:rFonts w:hint="eastAsia" w:ascii="宋体" w:hAnsi="宋体" w:cs="宋体"/>
        </w:rPr>
        <w:t>④</w:t>
      </w:r>
      <w:r>
        <w:t>本项目发生非正常工况时，事故废水进入115m</w:t>
      </w:r>
      <w:r>
        <w:rPr>
          <w:vertAlign w:val="superscript"/>
        </w:rPr>
        <w:t>3</w:t>
      </w:r>
      <w:r>
        <w:t>的事故应急池，待事故排除后事故废水</w:t>
      </w:r>
      <w:r>
        <w:rPr>
          <w:szCs w:val="24"/>
        </w:rPr>
        <w:t>经企业污水处理站（工艺流程：格栅→调节池→一体化污水处理设备(水解酸化池→接触氧化池 →二沉池 →MBR池) →二氧化氯发生器→回用水池）处理后满足《城市污水再生利用城市杂用水水质》( GB/T18920-2002 ) 中“车辆冲洗标准”厂内全部回用 （回用于车间地面消毒清洗用水、转运车消毒清洗用水和周转箱消毒清洗用水），不外排。</w:t>
      </w:r>
    </w:p>
    <w:p>
      <w:pPr>
        <w:pStyle w:val="3"/>
        <w:spacing w:before="120" w:beforeLines="50" w:after="120" w:afterLines="50" w:line="480" w:lineRule="exact"/>
        <w:ind w:left="-11"/>
        <w:rPr>
          <w:rFonts w:ascii="Times New Roman" w:hAnsi="Times New Roman" w:eastAsia="黑体"/>
          <w:sz w:val="30"/>
          <w:szCs w:val="30"/>
        </w:rPr>
      </w:pPr>
      <w:bookmarkStart w:id="1481" w:name="_Toc116379721"/>
      <w:r>
        <w:rPr>
          <w:rFonts w:ascii="Times New Roman" w:hAnsi="Times New Roman" w:eastAsia="黑体"/>
          <w:sz w:val="30"/>
          <w:szCs w:val="30"/>
        </w:rPr>
        <w:t>环境风险防范措施</w:t>
      </w:r>
      <w:bookmarkEnd w:id="1481"/>
    </w:p>
    <w:p>
      <w:pPr>
        <w:pStyle w:val="4"/>
        <w:spacing w:before="120" w:beforeLines="50" w:after="120" w:afterLines="50" w:line="480" w:lineRule="exact"/>
        <w:rPr>
          <w:rFonts w:ascii="Times New Roman" w:hAnsi="Times New Roman" w:eastAsia="黑体"/>
          <w:bCs/>
          <w:sz w:val="28"/>
          <w:szCs w:val="28"/>
        </w:rPr>
      </w:pPr>
      <w:bookmarkStart w:id="1482" w:name="_Toc30650"/>
      <w:r>
        <w:rPr>
          <w:rFonts w:ascii="Times New Roman" w:hAnsi="Times New Roman" w:eastAsia="黑体"/>
          <w:bCs/>
          <w:sz w:val="28"/>
          <w:szCs w:val="28"/>
        </w:rPr>
        <w:t>收集运输风险防范措施</w:t>
      </w:r>
      <w:bookmarkEnd w:id="1482"/>
    </w:p>
    <w:p>
      <w:pPr>
        <w:numPr>
          <w:ilvl w:val="0"/>
          <w:numId w:val="20"/>
        </w:num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本项目负责统一收集服务区域内各类医疗卫生机构所产生的医疗废物。医疗废物必须据其成分，用符合国家标准的专门装置分类收集；在医疗废物的收集运输过程中必须做好废物的密封包装，严禁将具有反应性的不相容的废物、或者性质不明的废物进行混合，防止在运输过程中的反应、渗漏、溢出、抛洒或挥发等情况。</w:t>
      </w:r>
    </w:p>
    <w:p>
      <w:pPr>
        <w:numPr>
          <w:ilvl w:val="0"/>
          <w:numId w:val="20"/>
        </w:num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医疗废物的包装采用专用包装袋、周转箱，并采用专用收集运输车辆。</w:t>
      </w:r>
    </w:p>
    <w:p>
      <w:pPr>
        <w:numPr>
          <w:ilvl w:val="0"/>
          <w:numId w:val="20"/>
        </w:num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在医疗废物运输车的前部、后部、车厢两侧设置医疗废物专用警示标识。在驾驶室两侧喷涂处理中心的名称和运送车辆编号。</w:t>
      </w:r>
    </w:p>
    <w:p>
      <w:pPr>
        <w:numPr>
          <w:ilvl w:val="0"/>
          <w:numId w:val="20"/>
        </w:num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医疗废物运输车辆必须保证运输中医疗废物处于密闭状态。医疗废物运输车辆和专用转运箱完成一次运输周转后必须清洗消毒。</w:t>
      </w:r>
    </w:p>
    <w:p>
      <w:pPr>
        <w:numPr>
          <w:ilvl w:val="0"/>
          <w:numId w:val="20"/>
        </w:num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对运输医疗废物的车辆必须定期进行检查，及时发现安全隐患，确保运输的安全。负责运输的司机必须通过专业技能和职业卫生防护的培训，并达到如下要求：</w:t>
      </w:r>
    </w:p>
    <w:p>
      <w:pPr>
        <w:spacing w:line="480" w:lineRule="exact"/>
        <w:ind w:firstLine="480" w:firstLineChars="200"/>
        <w:rPr>
          <w:rFonts w:ascii="Times New Roman" w:hAnsi="Times New Roman"/>
          <w:kern w:val="2"/>
          <w:sz w:val="24"/>
          <w:szCs w:val="20"/>
        </w:rPr>
      </w:pPr>
      <w:r>
        <w:rPr>
          <w:rFonts w:hint="eastAsia" w:cs="宋体"/>
          <w:kern w:val="2"/>
          <w:sz w:val="24"/>
          <w:szCs w:val="20"/>
        </w:rPr>
        <w:t>①</w:t>
      </w:r>
      <w:r>
        <w:rPr>
          <w:rFonts w:ascii="Times New Roman" w:hAnsi="Times New Roman"/>
          <w:kern w:val="2"/>
          <w:sz w:val="24"/>
          <w:szCs w:val="20"/>
        </w:rPr>
        <w:t>熟悉有关的环保法律法规，掌握主管部门制订的医疗废物管理的规章度；</w:t>
      </w:r>
    </w:p>
    <w:p>
      <w:pPr>
        <w:spacing w:line="480" w:lineRule="exact"/>
        <w:ind w:firstLine="480" w:firstLineChars="200"/>
        <w:rPr>
          <w:rFonts w:ascii="Times New Roman" w:hAnsi="Times New Roman"/>
          <w:kern w:val="2"/>
          <w:sz w:val="24"/>
          <w:szCs w:val="20"/>
        </w:rPr>
      </w:pPr>
      <w:r>
        <w:rPr>
          <w:rFonts w:hint="eastAsia" w:cs="宋体"/>
          <w:kern w:val="2"/>
          <w:sz w:val="24"/>
          <w:szCs w:val="20"/>
        </w:rPr>
        <w:t>②</w:t>
      </w:r>
      <w:r>
        <w:rPr>
          <w:rFonts w:ascii="Times New Roman" w:hAnsi="Times New Roman"/>
          <w:kern w:val="2"/>
          <w:sz w:val="24"/>
          <w:szCs w:val="20"/>
        </w:rPr>
        <w:t>熟知本岗位的职责并理解《医疗废物集中处置技术规范》（试行）的重要性；</w:t>
      </w:r>
    </w:p>
    <w:p>
      <w:pPr>
        <w:spacing w:line="480" w:lineRule="exact"/>
        <w:ind w:firstLine="480" w:firstLineChars="200"/>
        <w:rPr>
          <w:rFonts w:ascii="Times New Roman" w:hAnsi="Times New Roman"/>
          <w:kern w:val="2"/>
          <w:sz w:val="24"/>
          <w:szCs w:val="20"/>
        </w:rPr>
      </w:pPr>
      <w:r>
        <w:rPr>
          <w:rFonts w:hint="eastAsia" w:cs="宋体"/>
          <w:kern w:val="2"/>
          <w:sz w:val="24"/>
          <w:szCs w:val="20"/>
        </w:rPr>
        <w:t>③</w:t>
      </w:r>
      <w:r>
        <w:rPr>
          <w:rFonts w:ascii="Times New Roman" w:hAnsi="Times New Roman"/>
          <w:kern w:val="2"/>
          <w:sz w:val="24"/>
          <w:szCs w:val="20"/>
        </w:rPr>
        <w:t>熟悉医疗废物分类与包装标识要求，熟悉装卸、搬运医疗废物容器（如包装袋、利器盒等）和周转箱（桶）的正确操作程序；</w:t>
      </w:r>
    </w:p>
    <w:p>
      <w:pPr>
        <w:spacing w:line="480" w:lineRule="exact"/>
        <w:ind w:firstLine="480" w:firstLineChars="200"/>
        <w:rPr>
          <w:rFonts w:ascii="Times New Roman" w:hAnsi="Times New Roman"/>
          <w:kern w:val="2"/>
          <w:sz w:val="24"/>
          <w:szCs w:val="20"/>
        </w:rPr>
      </w:pPr>
      <w:r>
        <w:rPr>
          <w:rFonts w:hint="eastAsia" w:cs="宋体"/>
          <w:kern w:val="2"/>
          <w:sz w:val="24"/>
          <w:szCs w:val="20"/>
        </w:rPr>
        <w:t>④</w:t>
      </w:r>
      <w:r>
        <w:rPr>
          <w:rFonts w:ascii="Times New Roman" w:hAnsi="Times New Roman"/>
          <w:kern w:val="2"/>
          <w:sz w:val="24"/>
          <w:szCs w:val="20"/>
        </w:rPr>
        <w:t>在运送途中一旦发生医疗废物外溢、散落等应急情况时，知道如何采取应急措施以防污染扩散，并及时报告有关部门。</w:t>
      </w:r>
    </w:p>
    <w:p>
      <w:pPr>
        <w:numPr>
          <w:ilvl w:val="0"/>
          <w:numId w:val="20"/>
        </w:num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项目应根据服务区域内医疗废物产生量的分布特征、服务区域交通条件等，事先需做出周密的运输计划和行驶路线，合理制定收集运输方案，其中必须包括废物泄漏情况下的有效应急措施。</w:t>
      </w:r>
    </w:p>
    <w:p>
      <w:pPr>
        <w:numPr>
          <w:ilvl w:val="0"/>
          <w:numId w:val="20"/>
        </w:num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车上必须配备通讯设备（GPS系统）、处理中心联络人员名单及其电话号码，以备发生事故时及时抢救和处理。</w:t>
      </w:r>
    </w:p>
    <w:p>
      <w:pPr>
        <w:numPr>
          <w:ilvl w:val="0"/>
          <w:numId w:val="20"/>
        </w:num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医疗废物运输路线经过河流、水库等水体时，要谨慎驾驶，避免事故发生。</w:t>
      </w:r>
    </w:p>
    <w:p>
      <w:pPr>
        <w:numPr>
          <w:ilvl w:val="0"/>
          <w:numId w:val="20"/>
        </w:num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每台医废运输车都配备GPS定位系统与无线通讯装置，一旦运输过程中发现泄漏或出现车辆抛锚等紧急情况时，处置中心就会收到预警报告，并可受理车载终端的各种报警（如：非法移动、非法开关车门、超界、超速、紧急求助等）信号，锁定该报警目标，然后即可根据情况做必要处理（如监视、跟踪、提醒司机、遥控断油熄火等），防止车载废物污染环境，并及时派出救援车辆和技术人员赶往现场处理。</w:t>
      </w:r>
    </w:p>
    <w:p>
      <w:pPr>
        <w:pStyle w:val="4"/>
        <w:spacing w:before="120" w:beforeLines="50" w:after="120" w:afterLines="50" w:line="480" w:lineRule="exact"/>
        <w:rPr>
          <w:rFonts w:ascii="Times New Roman" w:hAnsi="Times New Roman" w:eastAsia="黑体"/>
          <w:bCs/>
          <w:sz w:val="28"/>
          <w:szCs w:val="28"/>
        </w:rPr>
      </w:pPr>
      <w:bookmarkStart w:id="1483" w:name="_Toc14447"/>
      <w:r>
        <w:rPr>
          <w:rFonts w:ascii="Times New Roman" w:hAnsi="Times New Roman" w:eastAsia="黑体"/>
          <w:bCs/>
          <w:sz w:val="28"/>
          <w:szCs w:val="28"/>
        </w:rPr>
        <w:t>贮存防范措施</w:t>
      </w:r>
      <w:bookmarkEnd w:id="1483"/>
    </w:p>
    <w:p>
      <w:pPr>
        <w:numPr>
          <w:ilvl w:val="0"/>
          <w:numId w:val="21"/>
        </w:num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医疗废物储存前必须进行检验，确保同预定接受的医疗废物一致。</w:t>
      </w:r>
    </w:p>
    <w:p>
      <w:pPr>
        <w:numPr>
          <w:ilvl w:val="0"/>
          <w:numId w:val="21"/>
        </w:num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配套的医疗废物暂存库，设计采用全封闭、微负压设计，并设置气体净化装置，气体净化后方可排放；医疗废物储存在暂存库中。</w:t>
      </w:r>
    </w:p>
    <w:p>
      <w:pPr>
        <w:numPr>
          <w:ilvl w:val="0"/>
          <w:numId w:val="21"/>
        </w:num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上料后的灭菌车要覆盖防止其在运输过程中病菌进入到环境中。</w:t>
      </w:r>
    </w:p>
    <w:p>
      <w:pPr>
        <w:numPr>
          <w:ilvl w:val="0"/>
          <w:numId w:val="21"/>
        </w:numPr>
        <w:spacing w:line="480" w:lineRule="exact"/>
        <w:ind w:firstLine="480" w:firstLineChars="200"/>
        <w:rPr>
          <w:rFonts w:ascii="Times New Roman" w:hAnsi="Times New Roman"/>
          <w:kern w:val="2"/>
          <w:sz w:val="24"/>
          <w:szCs w:val="20"/>
        </w:rPr>
      </w:pPr>
      <w:r>
        <w:rPr>
          <w:rFonts w:hint="eastAsia" w:ascii="Times New Roman" w:hAnsi="Times New Roman"/>
          <w:kern w:val="2"/>
          <w:sz w:val="24"/>
          <w:szCs w:val="20"/>
        </w:rPr>
        <w:t>本项目柴油不单独储存，直接储存在灭菌系统内，柴油储存器在系统内是密闭的，不接触火源等，柴油在运输装卸过程中应采取防静电措施。</w:t>
      </w:r>
    </w:p>
    <w:p>
      <w:pPr>
        <w:pStyle w:val="4"/>
        <w:spacing w:before="120" w:beforeLines="50" w:after="120" w:afterLines="50" w:line="480" w:lineRule="exact"/>
        <w:rPr>
          <w:rFonts w:ascii="Times New Roman" w:hAnsi="Times New Roman" w:eastAsia="黑体"/>
          <w:bCs/>
          <w:sz w:val="28"/>
          <w:szCs w:val="28"/>
        </w:rPr>
      </w:pPr>
      <w:bookmarkStart w:id="1484" w:name="_Toc32424"/>
      <w:r>
        <w:rPr>
          <w:rFonts w:ascii="Times New Roman" w:hAnsi="Times New Roman" w:eastAsia="黑体"/>
          <w:bCs/>
          <w:sz w:val="28"/>
          <w:szCs w:val="28"/>
        </w:rPr>
        <w:t>灭菌处理事故防范措施</w:t>
      </w:r>
      <w:bookmarkEnd w:id="1484"/>
    </w:p>
    <w:p>
      <w:pPr>
        <w:numPr>
          <w:ilvl w:val="0"/>
          <w:numId w:val="22"/>
        </w:num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电源考虑配备双回路电源或备用电源，并配备自动切换装置，保证发电机自动启动开始工作，防止停电时灭菌车间有害气体外逸、保证储存间的温度控制需要。</w:t>
      </w:r>
    </w:p>
    <w:p>
      <w:pPr>
        <w:numPr>
          <w:ilvl w:val="0"/>
          <w:numId w:val="22"/>
        </w:num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高温干热车间设计采用全封闭、微负压设计，强化车间通风并经废气处理装置处理后排放。</w:t>
      </w:r>
    </w:p>
    <w:p>
      <w:pPr>
        <w:numPr>
          <w:ilvl w:val="0"/>
          <w:numId w:val="22"/>
        </w:num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制定操作指导书，严格操作规程和岗位责任制。制定设备维护责任和奖惩制度，医疗废物各处置设备进行预防性定期维护，减少机械设备故障率。</w:t>
      </w:r>
    </w:p>
    <w:p>
      <w:pPr>
        <w:numPr>
          <w:ilvl w:val="0"/>
          <w:numId w:val="22"/>
        </w:num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直接从事医疗废物处理的所有员工和生产管理人员必须经相应岗位技能、技术、医疗废物特性和防护知识培训，持证上岗。</w:t>
      </w:r>
    </w:p>
    <w:p>
      <w:pPr>
        <w:pStyle w:val="4"/>
        <w:spacing w:before="120" w:beforeLines="50" w:after="120" w:afterLines="50" w:line="480" w:lineRule="exact"/>
        <w:rPr>
          <w:rFonts w:ascii="Times New Roman" w:hAnsi="Times New Roman" w:eastAsia="黑体"/>
          <w:bCs/>
          <w:sz w:val="28"/>
          <w:szCs w:val="28"/>
        </w:rPr>
      </w:pPr>
      <w:bookmarkStart w:id="1485" w:name="_Toc24097"/>
      <w:r>
        <w:rPr>
          <w:rFonts w:ascii="Times New Roman" w:hAnsi="Times New Roman" w:eastAsia="黑体"/>
          <w:bCs/>
          <w:sz w:val="28"/>
          <w:szCs w:val="28"/>
        </w:rPr>
        <w:t>化学品泄漏应急处理措施</w:t>
      </w:r>
      <w:bookmarkEnd w:id="1485"/>
    </w:p>
    <w:p>
      <w:p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项目各类化学品储存量小，泄露后能全部储存入围堰内，基本不会对外环境造成影响。建议应急处理人员穿防酸碱工作服，不要直接接触泄漏物。尽可能切断泄漏源。</w:t>
      </w:r>
    </w:p>
    <w:p>
      <w:pPr>
        <w:pStyle w:val="4"/>
        <w:spacing w:before="120" w:beforeLines="50" w:after="120" w:afterLines="50" w:line="480" w:lineRule="exact"/>
        <w:rPr>
          <w:rFonts w:ascii="Times New Roman" w:hAnsi="Times New Roman" w:eastAsia="黑体"/>
          <w:bCs/>
          <w:sz w:val="28"/>
          <w:szCs w:val="28"/>
        </w:rPr>
      </w:pPr>
      <w:bookmarkStart w:id="1486" w:name="_Toc1975"/>
      <w:r>
        <w:rPr>
          <w:rFonts w:ascii="Times New Roman" w:hAnsi="Times New Roman" w:eastAsia="黑体"/>
          <w:bCs/>
          <w:sz w:val="28"/>
          <w:szCs w:val="28"/>
        </w:rPr>
        <w:t>防火、防爆措施</w:t>
      </w:r>
      <w:bookmarkEnd w:id="1486"/>
    </w:p>
    <w:p>
      <w:pPr>
        <w:numPr>
          <w:ilvl w:val="0"/>
          <w:numId w:val="23"/>
        </w:num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配备消防器材。</w:t>
      </w:r>
    </w:p>
    <w:p>
      <w:pPr>
        <w:numPr>
          <w:ilvl w:val="0"/>
          <w:numId w:val="23"/>
        </w:num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对场区工作人员进行消防培训。</w:t>
      </w:r>
    </w:p>
    <w:p>
      <w:pPr>
        <w:numPr>
          <w:ilvl w:val="0"/>
          <w:numId w:val="23"/>
        </w:num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严格规章制度，加强管理，严禁携带火种和在场区吸烟。</w:t>
      </w:r>
    </w:p>
    <w:p>
      <w:pPr>
        <w:pStyle w:val="4"/>
        <w:spacing w:before="120" w:beforeLines="50" w:after="120" w:afterLines="50" w:line="480" w:lineRule="exact"/>
        <w:rPr>
          <w:rFonts w:ascii="Times New Roman" w:hAnsi="Times New Roman" w:eastAsia="黑体"/>
          <w:bCs/>
          <w:sz w:val="28"/>
          <w:szCs w:val="28"/>
        </w:rPr>
      </w:pPr>
      <w:bookmarkStart w:id="1487" w:name="_Toc22434"/>
      <w:r>
        <w:rPr>
          <w:rFonts w:ascii="Times New Roman" w:hAnsi="Times New Roman" w:eastAsia="黑体"/>
          <w:bCs/>
          <w:sz w:val="28"/>
          <w:szCs w:val="28"/>
        </w:rPr>
        <w:t>灭菌设备故障、检修时医疗废物应急措施</w:t>
      </w:r>
      <w:bookmarkEnd w:id="1487"/>
    </w:p>
    <w:p>
      <w:p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本项目设置1台高温干热设备，设备出现故障、检修时，可以适当增加原有灭菌设备的处理时间，增加班次，用于处理医疗废物。</w:t>
      </w:r>
    </w:p>
    <w:p>
      <w:pPr>
        <w:pStyle w:val="4"/>
        <w:spacing w:before="120" w:beforeLines="50" w:after="120" w:afterLines="50" w:line="480" w:lineRule="exact"/>
        <w:rPr>
          <w:rFonts w:ascii="Times New Roman" w:hAnsi="Times New Roman" w:eastAsia="黑体"/>
          <w:bCs/>
          <w:sz w:val="28"/>
          <w:szCs w:val="28"/>
        </w:rPr>
      </w:pPr>
      <w:bookmarkStart w:id="1488" w:name="_Toc21452"/>
      <w:r>
        <w:rPr>
          <w:rFonts w:ascii="Times New Roman" w:hAnsi="Times New Roman" w:eastAsia="黑体"/>
          <w:bCs/>
          <w:sz w:val="28"/>
          <w:szCs w:val="28"/>
        </w:rPr>
        <w:t>重大疫情情况下医疗废物处置应变措施</w:t>
      </w:r>
      <w:bookmarkEnd w:id="1488"/>
    </w:p>
    <w:p>
      <w:p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重大传染病疫情期间，项目必须启动紧急应急预案，及时和当地政府的应急预案联动，确保医疗废物能得到妥善处置，因此，建设单位必须建立一套完整的重大传染病疫情期间医疗废物处置应急预案：</w:t>
      </w:r>
    </w:p>
    <w:p>
      <w:pPr>
        <w:numPr>
          <w:ilvl w:val="0"/>
          <w:numId w:val="24"/>
        </w:num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分类收集、暂时贮存：医疗废物要由专人收集、双层包装，包装袋必须特别注明是高度感染性废物；不能与一般医疗废物混放、混装；暂时贮存场所要即使进行消毒处理，每天上下午各一次。</w:t>
      </w:r>
    </w:p>
    <w:p>
      <w:pPr>
        <w:numPr>
          <w:ilvl w:val="0"/>
          <w:numId w:val="24"/>
        </w:num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运送和处置：处置单位在运送医疗废物必须使用固定专用车辆，由专人负责，并且不得与其他医疗废物混装、混运；医疗废物暂存时间不能超过12h；项目必须设置隔离区，隔离区必须有明显标志；隔离区要用0.2~0.5%过氧乙酸或1000~2000mg/l含氯消毒剂对墙壁、地面或物体表面进行消毒，每天上下午各一次。</w:t>
      </w:r>
    </w:p>
    <w:p>
      <w:pPr>
        <w:numPr>
          <w:ilvl w:val="0"/>
          <w:numId w:val="24"/>
        </w:num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人员卫生防护：操作人员的防护要求必须达到卫生部门规定的一级防护要求，即必须穿工作服、隔离衣、防护靴、戴工作帽和防护口罩，近距离处置废物的人员还必须戴护目镜；每次运送或处置操作完毕后立即进行手清洗和消毒。</w:t>
      </w:r>
    </w:p>
    <w:p>
      <w:pPr>
        <w:numPr>
          <w:ilvl w:val="0"/>
          <w:numId w:val="24"/>
        </w:numPr>
        <w:spacing w:line="480" w:lineRule="exact"/>
        <w:ind w:firstLine="480" w:firstLineChars="200"/>
        <w:rPr>
          <w:rFonts w:ascii="Times New Roman" w:hAnsi="Times New Roman"/>
          <w:kern w:val="2"/>
          <w:sz w:val="24"/>
          <w:szCs w:val="20"/>
        </w:rPr>
      </w:pPr>
      <w:r>
        <w:rPr>
          <w:rFonts w:ascii="Times New Roman" w:hAnsi="Times New Roman"/>
          <w:kern w:val="2"/>
          <w:sz w:val="24"/>
          <w:szCs w:val="20"/>
        </w:rPr>
        <w:t>应急处置：当重大疫情时的医疗废物超过处置能力时，启动应急预案：</w:t>
      </w:r>
    </w:p>
    <w:p>
      <w:pPr>
        <w:spacing w:line="480" w:lineRule="exact"/>
        <w:ind w:left="420" w:leftChars="200"/>
        <w:rPr>
          <w:rFonts w:ascii="Times New Roman" w:hAnsi="Times New Roman"/>
          <w:kern w:val="2"/>
          <w:sz w:val="24"/>
          <w:szCs w:val="20"/>
        </w:rPr>
      </w:pPr>
      <w:r>
        <w:rPr>
          <w:rFonts w:hint="eastAsia" w:cs="宋体"/>
          <w:kern w:val="2"/>
          <w:sz w:val="24"/>
          <w:szCs w:val="20"/>
        </w:rPr>
        <w:t>①</w:t>
      </w:r>
      <w:r>
        <w:rPr>
          <w:rFonts w:ascii="Times New Roman" w:hAnsi="Times New Roman"/>
          <w:kern w:val="2"/>
          <w:sz w:val="24"/>
          <w:szCs w:val="20"/>
        </w:rPr>
        <w:t>向环保部门申请，增加设备运行时间和处理能力；</w:t>
      </w:r>
    </w:p>
    <w:p>
      <w:pPr>
        <w:spacing w:line="480" w:lineRule="exact"/>
        <w:ind w:left="420" w:leftChars="200"/>
        <w:rPr>
          <w:rFonts w:ascii="Times New Roman" w:hAnsi="Times New Roman"/>
          <w:kern w:val="2"/>
          <w:sz w:val="24"/>
          <w:szCs w:val="20"/>
        </w:rPr>
      </w:pPr>
      <w:r>
        <w:rPr>
          <w:rFonts w:hint="eastAsia" w:cs="宋体"/>
          <w:kern w:val="2"/>
          <w:sz w:val="24"/>
          <w:szCs w:val="20"/>
        </w:rPr>
        <w:t>②</w:t>
      </w:r>
      <w:r>
        <w:rPr>
          <w:rFonts w:ascii="Times New Roman" w:hAnsi="Times New Roman"/>
          <w:kern w:val="2"/>
          <w:sz w:val="24"/>
          <w:szCs w:val="20"/>
        </w:rPr>
        <w:t>无法及时处理的医疗废物临时贮存在暂存库中；</w:t>
      </w:r>
    </w:p>
    <w:p>
      <w:pPr>
        <w:pStyle w:val="538"/>
        <w:numPr>
          <w:ilvl w:val="0"/>
          <w:numId w:val="16"/>
        </w:numPr>
        <w:spacing w:line="480" w:lineRule="exact"/>
        <w:ind w:firstLineChars="0"/>
        <w:rPr>
          <w:rFonts w:ascii="Times New Roman" w:hAnsi="Times New Roman"/>
          <w:kern w:val="2"/>
          <w:sz w:val="24"/>
          <w:szCs w:val="20"/>
        </w:rPr>
      </w:pPr>
      <w:r>
        <w:rPr>
          <w:rFonts w:ascii="Times New Roman" w:hAnsi="Times New Roman"/>
          <w:kern w:val="2"/>
          <w:sz w:val="24"/>
          <w:szCs w:val="20"/>
        </w:rPr>
        <w:t>直接送至焚烧装置处理；</w:t>
      </w:r>
    </w:p>
    <w:p>
      <w:pPr>
        <w:pStyle w:val="538"/>
        <w:numPr>
          <w:ilvl w:val="0"/>
          <w:numId w:val="16"/>
        </w:numPr>
        <w:spacing w:line="480" w:lineRule="exact"/>
        <w:ind w:firstLineChars="0"/>
        <w:rPr>
          <w:rFonts w:ascii="Times New Roman" w:hAnsi="Times New Roman"/>
          <w:sz w:val="24"/>
          <w:szCs w:val="24"/>
        </w:rPr>
      </w:pPr>
      <w:r>
        <w:rPr>
          <w:rFonts w:ascii="Times New Roman" w:hAnsi="Times New Roman"/>
          <w:kern w:val="2"/>
          <w:sz w:val="24"/>
          <w:szCs w:val="20"/>
        </w:rPr>
        <w:t>及时和当地政府的应急预案联动，争取当地政府的支援</w:t>
      </w:r>
      <w:r>
        <w:rPr>
          <w:rFonts w:ascii="Times New Roman" w:hAnsi="Times New Roman"/>
          <w:sz w:val="24"/>
          <w:szCs w:val="24"/>
        </w:rPr>
        <w:t>。</w:t>
      </w:r>
    </w:p>
    <w:p>
      <w:pPr>
        <w:numPr>
          <w:ilvl w:val="0"/>
          <w:numId w:val="24"/>
        </w:numPr>
        <w:spacing w:line="480" w:lineRule="exact"/>
        <w:ind w:firstLine="480" w:firstLineChars="200"/>
        <w:rPr>
          <w:rFonts w:ascii="Times New Roman" w:hAnsi="Times New Roman"/>
          <w:kern w:val="2"/>
          <w:sz w:val="24"/>
          <w:szCs w:val="20"/>
        </w:rPr>
      </w:pPr>
      <w:r>
        <w:rPr>
          <w:rFonts w:hint="eastAsia" w:ascii="Times New Roman" w:hAnsi="Times New Roman"/>
          <w:kern w:val="2"/>
          <w:sz w:val="24"/>
          <w:szCs w:val="20"/>
        </w:rPr>
        <w:t>根据《关于做好新型冠状病毒感染的肺炎疫情医疗污水和城镇污水监管工作的通知》，高度重视医疗污水监管工作，将其作为疫情防控工作的一项重要内容抓紧抓实。进一步加强医疗污水收集、污染治理设施运行、污染物排放等监督管理；主动加强与卫生健康、城镇排水等部门的协调配合，健全联动机制，形成工作合力。已经发生疫情的地方应对污水和废弃物进行分类收集和处理，确保稳定达标排放。根据《新型冠状病毒污染的医疗污水应急处理技术方案（试行）》，发生疫情后应以疫情暴发期集中收治区为重点，加强污水处理站出水的消毒工作，结合实际采取投加消毒剂或臭氧、紫外线消毒等措施，确保出水粪大肠菌群数指标达标。根据《新型冠状病毒感染的肺炎疫情医疗废物应急处置管理与技术指南（试行）》，要求肺炎疫情防治过程中产生的感染性医疗废物，应严格按照《医疗废物专用包装袋、容器和警示标志标准》包装。医疗废物转运过程可根据当地实际情况运行电子转移联单或者纸质联单，应建立台账。医疗废物处置单位要优先收集和处置肺炎疫情防治过程产生的感染性医疗废物。</w:t>
      </w:r>
    </w:p>
    <w:p>
      <w:pPr>
        <w:pStyle w:val="4"/>
        <w:spacing w:before="120" w:beforeLines="50" w:after="120" w:afterLines="50" w:line="480" w:lineRule="exact"/>
        <w:rPr>
          <w:rFonts w:ascii="Times New Roman" w:hAnsi="Times New Roman" w:eastAsia="黑体"/>
          <w:bCs/>
          <w:sz w:val="28"/>
          <w:szCs w:val="28"/>
        </w:rPr>
      </w:pPr>
      <w:bookmarkStart w:id="1489" w:name="_Toc29555"/>
      <w:bookmarkStart w:id="1490" w:name="_Toc7134"/>
      <w:bookmarkStart w:id="1491" w:name="_Toc26040"/>
      <w:bookmarkStart w:id="1492" w:name="_Toc17033"/>
      <w:r>
        <w:rPr>
          <w:rFonts w:ascii="Times New Roman" w:hAnsi="Times New Roman" w:eastAsia="黑体"/>
          <w:bCs/>
          <w:sz w:val="28"/>
          <w:szCs w:val="28"/>
        </w:rPr>
        <w:t>突发环境事件应急预案编制要求</w:t>
      </w:r>
      <w:bookmarkEnd w:id="1489"/>
      <w:bookmarkEnd w:id="1490"/>
      <w:bookmarkEnd w:id="1491"/>
      <w:bookmarkEnd w:id="1492"/>
    </w:p>
    <w:p>
      <w:pPr>
        <w:pStyle w:val="155"/>
        <w:spacing w:line="480" w:lineRule="exact"/>
        <w:ind w:firstLine="480"/>
      </w:pPr>
      <w:r>
        <w:rPr>
          <w:rFonts w:hint="eastAsia"/>
        </w:rPr>
        <w:t>企业应按照《突发环境事件应急预案管理暂行办法》和《企业事业单位突发环境事件应急预案备案管理办法（试行）》等相关文件要求对现有的突发环境事件应急预案进行修编，并在相应的生态环境主管部门进行备案。</w:t>
      </w:r>
    </w:p>
    <w:p>
      <w:pPr>
        <w:pStyle w:val="155"/>
        <w:spacing w:line="480" w:lineRule="exact"/>
        <w:ind w:firstLine="480"/>
      </w:pPr>
      <w:r>
        <w:rPr>
          <w:rFonts w:hint="eastAsia"/>
        </w:rPr>
        <w:t>突发环境事件应急预案应包括：（</w:t>
      </w:r>
      <w:r>
        <w:t>1）突发环境事件应急预案备案表；（2）环境应急预案及编制说明说明，环境应急预案包括环境应急预案的签署发布文件、环境应急预案文本，要求严格按照《危险废物经营单位编制应急预案指南》进行编制，编制说明包括编制过程概述、重点内容说明、征求意见及采纳情况说明、评审情况说明；（3）环境风险评估报告，应按照《企业突发环境事件风险评估指南（试行）》进行编制；（4）环境应急资源调查报告，应按照《环境应急资源调查指南（试行）》进行编制；（5）环境应急预案评审意见。企业编制的突发环境事件应急预案质量</w:t>
      </w:r>
      <w:r>
        <w:rPr>
          <w:rFonts w:hint="eastAsia"/>
        </w:rPr>
        <w:t>要符合《企业事业单位突发环境事件应急预案评审工作指南（指南）》中的相关要求。</w:t>
      </w:r>
    </w:p>
    <w:p>
      <w:pPr>
        <w:pStyle w:val="4"/>
        <w:spacing w:before="120" w:beforeLines="50" w:after="120" w:afterLines="50" w:line="480" w:lineRule="exact"/>
        <w:rPr>
          <w:rFonts w:ascii="Times New Roman" w:hAnsi="Times New Roman" w:eastAsia="黑体"/>
          <w:bCs/>
          <w:sz w:val="28"/>
          <w:szCs w:val="28"/>
        </w:rPr>
      </w:pPr>
      <w:bookmarkStart w:id="1493" w:name="_Toc3381"/>
      <w:bookmarkStart w:id="1494" w:name="_Toc2525"/>
      <w:bookmarkStart w:id="1495" w:name="_Toc32296"/>
      <w:bookmarkStart w:id="1496" w:name="_Toc6743"/>
      <w:r>
        <w:rPr>
          <w:rFonts w:ascii="Times New Roman" w:hAnsi="Times New Roman" w:eastAsia="黑体"/>
          <w:bCs/>
          <w:sz w:val="28"/>
          <w:szCs w:val="28"/>
        </w:rPr>
        <w:t>环境风险措施总结</w:t>
      </w:r>
      <w:bookmarkEnd w:id="1493"/>
      <w:bookmarkEnd w:id="1494"/>
      <w:bookmarkEnd w:id="1495"/>
      <w:bookmarkEnd w:id="1496"/>
    </w:p>
    <w:p>
      <w:pPr>
        <w:pStyle w:val="155"/>
        <w:spacing w:line="480" w:lineRule="exact"/>
        <w:ind w:firstLine="480"/>
      </w:pPr>
      <w:r>
        <w:t>本项目环境风险因素主要为医疗废物运输和储存中发生泄漏引起疾病传播风险，医疗废物处置过程废水、废气处理系统失效造成的超标排放；化学物质储存过程中导致的化学品泄漏。从环境保护的角度分析，项目除严格按各项规章制度管理和工序操作规程操作外，应制订详细的医疗废物意外事故预防措施及应急预案，减少事故发生概率，一旦发生事故，能迅速采取有力措施，减小损失和对环境的污染。本项目潜在的事故风险是可以防范的。</w:t>
      </w:r>
    </w:p>
    <w:p>
      <w:pPr>
        <w:pStyle w:val="3"/>
        <w:spacing w:before="120" w:beforeLines="50" w:after="120" w:afterLines="50" w:line="480" w:lineRule="exact"/>
        <w:ind w:left="-11"/>
        <w:rPr>
          <w:rFonts w:ascii="Times New Roman" w:hAnsi="Times New Roman" w:eastAsia="黑体"/>
          <w:sz w:val="30"/>
          <w:szCs w:val="30"/>
        </w:rPr>
      </w:pPr>
      <w:bookmarkStart w:id="1497" w:name="_Toc116379722"/>
      <w:r>
        <w:rPr>
          <w:rFonts w:ascii="Times New Roman" w:hAnsi="Times New Roman" w:eastAsia="黑体"/>
          <w:sz w:val="30"/>
          <w:szCs w:val="30"/>
        </w:rPr>
        <w:t>环保投资</w:t>
      </w:r>
      <w:bookmarkEnd w:id="1497"/>
    </w:p>
    <w:p>
      <w:pPr>
        <w:spacing w:line="480" w:lineRule="exact"/>
        <w:ind w:firstLine="480" w:firstLineChars="200"/>
        <w:jc w:val="left"/>
        <w:rPr>
          <w:rFonts w:ascii="Times New Roman" w:hAnsi="Times New Roman"/>
          <w:sz w:val="24"/>
        </w:rPr>
      </w:pPr>
      <w:r>
        <w:rPr>
          <w:rFonts w:hint="eastAsia" w:ascii="Times New Roman" w:hAnsi="Times New Roman"/>
          <w:sz w:val="24"/>
        </w:rPr>
        <w:t>本项目环境保护投入由企业自筹。本项目属于单独的环境治理项目，因此，总投资（</w:t>
      </w:r>
      <w:r>
        <w:rPr>
          <w:rFonts w:ascii="Times New Roman" w:hAnsi="Times New Roman"/>
          <w:sz w:val="24"/>
        </w:rPr>
        <w:t>450万元）全部属于环境保护措施建设费用，即环保投资所占比例为100%。</w:t>
      </w:r>
    </w:p>
    <w:p>
      <w:pPr>
        <w:spacing w:line="480" w:lineRule="exact"/>
        <w:ind w:firstLine="480" w:firstLineChars="200"/>
        <w:jc w:val="left"/>
        <w:rPr>
          <w:rFonts w:ascii="Times New Roman" w:hAnsi="Times New Roman"/>
          <w:sz w:val="24"/>
        </w:rPr>
      </w:pPr>
      <w:r>
        <w:rPr>
          <w:rFonts w:hint="eastAsia" w:ascii="Times New Roman" w:hAnsi="Times New Roman"/>
          <w:sz w:val="24"/>
        </w:rPr>
        <w:t>本项目环境保护措施和设施运行维护费用约为</w:t>
      </w:r>
      <w:r>
        <w:rPr>
          <w:rFonts w:ascii="Times New Roman" w:hAnsi="Times New Roman"/>
          <w:sz w:val="24"/>
        </w:rPr>
        <w:t>45万元/年。</w:t>
      </w:r>
      <w:r>
        <w:rPr>
          <w:rFonts w:hint="eastAsia" w:ascii="Times New Roman" w:hAnsi="Times New Roman"/>
          <w:sz w:val="24"/>
        </w:rPr>
        <w:t>本项目环境管理与监测费用按照</w:t>
      </w:r>
      <w:r>
        <w:rPr>
          <w:rFonts w:ascii="Times New Roman" w:hAnsi="Times New Roman"/>
          <w:sz w:val="24"/>
        </w:rPr>
        <w:t>5万元/年估算。</w:t>
      </w:r>
    </w:p>
    <w:p>
      <w:pPr>
        <w:pStyle w:val="2"/>
        <w:numPr>
          <w:ilvl w:val="0"/>
          <w:numId w:val="2"/>
        </w:numPr>
        <w:ind w:left="0"/>
        <w:jc w:val="both"/>
        <w:rPr>
          <w:color w:val="auto"/>
        </w:rPr>
      </w:pPr>
      <w:bookmarkStart w:id="1498" w:name="_Toc116379723"/>
      <w:r>
        <w:rPr>
          <w:color w:val="auto"/>
        </w:rPr>
        <w:t>环境影响经济损益分析</w:t>
      </w:r>
      <w:bookmarkEnd w:id="1498"/>
    </w:p>
    <w:p>
      <w:pPr>
        <w:spacing w:line="480" w:lineRule="exact"/>
        <w:ind w:firstLine="480" w:firstLineChars="200"/>
        <w:rPr>
          <w:rFonts w:ascii="Times New Roman" w:hAnsi="Times New Roman"/>
          <w:sz w:val="24"/>
        </w:rPr>
      </w:pPr>
      <w:r>
        <w:rPr>
          <w:rFonts w:ascii="Times New Roman" w:hAnsi="Times New Roman"/>
          <w:sz w:val="24"/>
        </w:rPr>
        <w:t>环境经济损益分析主要是评价建设项目实施后，对环境造成的损失费用和采取各种环保治理措施所能收到的环保效果及其带来的经济和社会效益，衡量建设项目的环保投资在经济上的合理水平。</w:t>
      </w:r>
    </w:p>
    <w:p>
      <w:pPr>
        <w:spacing w:line="480" w:lineRule="exact"/>
        <w:ind w:firstLine="480" w:firstLineChars="200"/>
        <w:rPr>
          <w:rFonts w:ascii="Times New Roman" w:hAnsi="Times New Roman"/>
          <w:sz w:val="24"/>
        </w:rPr>
      </w:pPr>
      <w:r>
        <w:rPr>
          <w:rFonts w:ascii="Times New Roman" w:hAnsi="Times New Roman"/>
          <w:sz w:val="24"/>
        </w:rPr>
        <w:t>一个项目的开发建设，除对国民经济的发展起着促进作用外，同时也在一定程度上影响着项目拟建地区环境的变化。经济影响、社会影响、环境影响是一个系统的三要素，最终以提高人类的生活质量为目的。它们之间既是互相促进，又互相制约，必须通过全面规划、综合平衡、正确地把全局利益和局部利益、长远利益和近期利益结合起来，对环境保护和经济发展进行协调，实现经济效益、社会效益、环境效益的三统一。</w:t>
      </w:r>
    </w:p>
    <w:p>
      <w:pPr>
        <w:pStyle w:val="3"/>
        <w:spacing w:before="120" w:beforeLines="50" w:after="120" w:afterLines="50" w:line="480" w:lineRule="exact"/>
        <w:ind w:left="-11"/>
        <w:rPr>
          <w:rFonts w:ascii="Times New Roman" w:hAnsi="Times New Roman" w:eastAsia="黑体"/>
          <w:sz w:val="30"/>
          <w:szCs w:val="30"/>
        </w:rPr>
      </w:pPr>
      <w:bookmarkStart w:id="1499" w:name="_Toc116379724"/>
      <w:r>
        <w:rPr>
          <w:rFonts w:ascii="Times New Roman" w:hAnsi="Times New Roman" w:eastAsia="黑体"/>
          <w:sz w:val="30"/>
          <w:szCs w:val="30"/>
        </w:rPr>
        <w:t>建设项目的经济效益分析</w:t>
      </w:r>
      <w:bookmarkEnd w:id="1499"/>
    </w:p>
    <w:p>
      <w:pPr>
        <w:pStyle w:val="155"/>
        <w:spacing w:line="480" w:lineRule="exact"/>
        <w:ind w:firstLine="480"/>
      </w:pPr>
      <w:r>
        <w:t>参照《中华人民共和国环境保护税》，本次评价对本项目环境影响经济损益进行简要分析。</w:t>
      </w:r>
    </w:p>
    <w:p>
      <w:pPr>
        <w:pStyle w:val="155"/>
        <w:spacing w:line="480" w:lineRule="exact"/>
        <w:ind w:firstLine="480"/>
      </w:pPr>
      <w:r>
        <w:t>企业事业单位和其他生产经营者向依法设立的城镇污水处理场、城镇生活垃圾处理场排放应税污染物的，不征收环境保护税。</w:t>
      </w:r>
    </w:p>
    <w:p>
      <w:pPr>
        <w:pStyle w:val="155"/>
        <w:spacing w:line="480" w:lineRule="exact"/>
        <w:ind w:firstLine="480"/>
      </w:pPr>
      <w:r>
        <w:t>本项目不直接向水体排放生产废水和生活污水，厂界噪声不超标，危险废物由有资质单位处置，生活垃圾交由市政环卫部门统一清运。</w:t>
      </w:r>
    </w:p>
    <w:p>
      <w:pPr>
        <w:pStyle w:val="155"/>
        <w:spacing w:line="480" w:lineRule="exact"/>
        <w:ind w:firstLine="480"/>
      </w:pPr>
      <w:r>
        <w:t>其中生产废水和生活污水、固体废物、噪声满足《中华人民共和国环境保护税法》（2018年1月1日实施）中第一章第四条“有下列情形之一的，不属于直接向环境排放污染物，不缴纳相应污染物的环境保护税：（一）向依法设立的污水集中处理、生活垃圾集中处理场所排放应税污染物的；（二）企业事业单位和其他生产经营者在符合国家和地方环境保护标准的设施、场所贮存或者处置固体废物的”。本项目生产废水和生活污水、厂界噪声及固体废物均无需缴纳相应的环境保护税。</w:t>
      </w:r>
    </w:p>
    <w:p>
      <w:pPr>
        <w:pStyle w:val="155"/>
        <w:spacing w:line="480" w:lineRule="exact"/>
        <w:ind w:firstLine="480"/>
      </w:pPr>
      <w:r>
        <w:t>应税大气污染物的污染当量数，以该污染物的排放量除以该污染物的污染当量值计算。每种应税大气污染物的具体污染当量值，依照本法所附《应税污染物和当量值表》执行。</w:t>
      </w:r>
    </w:p>
    <w:p>
      <w:pPr>
        <w:pStyle w:val="155"/>
        <w:spacing w:line="480" w:lineRule="exact"/>
        <w:ind w:firstLine="480"/>
      </w:pPr>
      <w:r>
        <w:t>根据《中华人民共和国环境保护税法》（2018年1月1日实施）第九条，“每一排放口或者没有排放口的应税大气污染物，按照污染当量数从大到小排序，对前三项污染物征收环境保护税”。</w:t>
      </w:r>
    </w:p>
    <w:p>
      <w:pPr>
        <w:pStyle w:val="155"/>
        <w:spacing w:line="480" w:lineRule="exact"/>
        <w:ind w:firstLine="480"/>
      </w:pPr>
      <w:r>
        <w:t>第十三条，“纳税人排放应税大气污染物或者水污染物的浓度值低于国家和地方规定的污染物排放标准百分之三十的，减按百分之七十五征收环境保护税。纳税人排放应税大气污染物或者水污染物的浓度值低于国家和地方规定的污染物排放标准百分之五十的，减按百分之五十”。本项目大气污染物主要为非甲烷总烃、SO</w:t>
      </w:r>
      <w:r>
        <w:rPr>
          <w:vertAlign w:val="subscript"/>
        </w:rPr>
        <w:t>2</w:t>
      </w:r>
      <w:r>
        <w:t>、NO</w:t>
      </w:r>
      <w:r>
        <w:rPr>
          <w:vertAlign w:val="subscript"/>
        </w:rPr>
        <w:t>X</w:t>
      </w:r>
      <w:r>
        <w:t>、颗粒物，非甲烷总烃在《应税污染物和当量值表》中无相应标准，污染当量数（kg）为0.95、0.95、2.18，大气污染物每污染当量税额为1.2元。本项目排放污染物环境保护税见表7.1-1。</w:t>
      </w:r>
    </w:p>
    <w:p>
      <w:pPr>
        <w:pStyle w:val="155"/>
        <w:spacing w:line="480" w:lineRule="exact"/>
        <w:ind w:firstLine="0" w:firstLineChars="0"/>
        <w:jc w:val="center"/>
        <w:rPr>
          <w:b/>
          <w:kern w:val="0"/>
          <w:sz w:val="21"/>
          <w:szCs w:val="21"/>
        </w:rPr>
      </w:pPr>
      <w:r>
        <w:rPr>
          <w:b/>
          <w:kern w:val="0"/>
          <w:sz w:val="21"/>
          <w:szCs w:val="21"/>
        </w:rPr>
        <w:t>表7.1-1 本项目排放污染物环境保护税估算值表</w:t>
      </w:r>
    </w:p>
    <w:tbl>
      <w:tblPr>
        <w:tblStyle w:val="77"/>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5" w:type="dxa"/>
          <w:bottom w:w="0" w:type="dxa"/>
          <w:right w:w="15" w:type="dxa"/>
        </w:tblCellMar>
      </w:tblPr>
      <w:tblGrid>
        <w:gridCol w:w="865"/>
        <w:gridCol w:w="850"/>
        <w:gridCol w:w="1170"/>
        <w:gridCol w:w="1165"/>
        <w:gridCol w:w="1089"/>
        <w:gridCol w:w="1138"/>
        <w:gridCol w:w="898"/>
        <w:gridCol w:w="1167"/>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cantSplit/>
          <w:jc w:val="center"/>
        </w:trPr>
        <w:tc>
          <w:tcPr>
            <w:tcW w:w="866" w:type="dxa"/>
            <w:vMerge w:val="restart"/>
            <w:vAlign w:val="center"/>
          </w:tcPr>
          <w:p>
            <w:pPr>
              <w:pStyle w:val="155"/>
              <w:spacing w:line="240" w:lineRule="auto"/>
              <w:ind w:firstLine="0" w:firstLineChars="0"/>
              <w:jc w:val="center"/>
              <w:rPr>
                <w:b/>
                <w:sz w:val="21"/>
                <w:szCs w:val="21"/>
              </w:rPr>
            </w:pPr>
            <w:r>
              <w:rPr>
                <w:b/>
                <w:sz w:val="21"/>
                <w:szCs w:val="21"/>
                <w:lang w:bidi="ar"/>
              </w:rPr>
              <w:t>污染物</w:t>
            </w:r>
          </w:p>
        </w:tc>
        <w:tc>
          <w:tcPr>
            <w:tcW w:w="850" w:type="dxa"/>
            <w:vAlign w:val="center"/>
          </w:tcPr>
          <w:p>
            <w:pPr>
              <w:pStyle w:val="155"/>
              <w:spacing w:line="240" w:lineRule="auto"/>
              <w:ind w:firstLine="0" w:firstLineChars="0"/>
              <w:jc w:val="center"/>
              <w:rPr>
                <w:b/>
                <w:sz w:val="21"/>
                <w:szCs w:val="21"/>
              </w:rPr>
            </w:pPr>
            <w:r>
              <w:rPr>
                <w:b/>
                <w:sz w:val="21"/>
                <w:szCs w:val="21"/>
                <w:lang w:bidi="ar"/>
              </w:rPr>
              <w:t>排放量</w:t>
            </w:r>
          </w:p>
        </w:tc>
        <w:tc>
          <w:tcPr>
            <w:tcW w:w="1170" w:type="dxa"/>
            <w:vAlign w:val="center"/>
          </w:tcPr>
          <w:p>
            <w:pPr>
              <w:pStyle w:val="155"/>
              <w:spacing w:line="240" w:lineRule="auto"/>
              <w:ind w:firstLine="0" w:firstLineChars="0"/>
              <w:jc w:val="center"/>
              <w:rPr>
                <w:b/>
                <w:sz w:val="21"/>
                <w:szCs w:val="21"/>
              </w:rPr>
            </w:pPr>
            <w:r>
              <w:rPr>
                <w:b/>
                <w:sz w:val="21"/>
                <w:szCs w:val="21"/>
                <w:lang w:bidi="ar"/>
              </w:rPr>
              <w:t>污染当量值</w:t>
            </w:r>
          </w:p>
        </w:tc>
        <w:tc>
          <w:tcPr>
            <w:tcW w:w="1165" w:type="dxa"/>
            <w:vAlign w:val="center"/>
          </w:tcPr>
          <w:p>
            <w:pPr>
              <w:pStyle w:val="155"/>
              <w:spacing w:line="240" w:lineRule="auto"/>
              <w:ind w:firstLine="0" w:firstLineChars="0"/>
              <w:jc w:val="center"/>
              <w:rPr>
                <w:b/>
                <w:sz w:val="21"/>
                <w:szCs w:val="21"/>
              </w:rPr>
            </w:pPr>
            <w:r>
              <w:rPr>
                <w:b/>
                <w:sz w:val="21"/>
                <w:szCs w:val="21"/>
                <w:lang w:bidi="ar"/>
              </w:rPr>
              <w:t>污染当量数</w:t>
            </w:r>
          </w:p>
        </w:tc>
        <w:tc>
          <w:tcPr>
            <w:tcW w:w="1089" w:type="dxa"/>
            <w:vAlign w:val="center"/>
          </w:tcPr>
          <w:p>
            <w:pPr>
              <w:pStyle w:val="155"/>
              <w:spacing w:line="240" w:lineRule="auto"/>
              <w:ind w:firstLine="0" w:firstLineChars="0"/>
              <w:jc w:val="center"/>
              <w:rPr>
                <w:b/>
                <w:sz w:val="21"/>
                <w:szCs w:val="21"/>
              </w:rPr>
            </w:pPr>
            <w:r>
              <w:rPr>
                <w:b/>
                <w:sz w:val="21"/>
                <w:szCs w:val="21"/>
                <w:lang w:bidi="ar"/>
              </w:rPr>
              <w:t>污染当量数前三项排序</w:t>
            </w:r>
          </w:p>
        </w:tc>
        <w:tc>
          <w:tcPr>
            <w:tcW w:w="1138" w:type="dxa"/>
            <w:vAlign w:val="center"/>
          </w:tcPr>
          <w:p>
            <w:pPr>
              <w:pStyle w:val="155"/>
              <w:spacing w:line="240" w:lineRule="auto"/>
              <w:ind w:firstLine="0" w:firstLineChars="0"/>
              <w:jc w:val="center"/>
              <w:rPr>
                <w:b/>
                <w:sz w:val="21"/>
                <w:szCs w:val="21"/>
                <w:lang w:bidi="ar"/>
              </w:rPr>
            </w:pPr>
            <w:r>
              <w:rPr>
                <w:b/>
                <w:sz w:val="21"/>
                <w:szCs w:val="21"/>
                <w:lang w:bidi="ar"/>
              </w:rPr>
              <w:t>计算环境</w:t>
            </w:r>
          </w:p>
          <w:p>
            <w:pPr>
              <w:pStyle w:val="155"/>
              <w:spacing w:line="240" w:lineRule="auto"/>
              <w:ind w:firstLine="0" w:firstLineChars="0"/>
              <w:jc w:val="center"/>
              <w:rPr>
                <w:b/>
                <w:sz w:val="21"/>
                <w:szCs w:val="21"/>
              </w:rPr>
            </w:pPr>
            <w:r>
              <w:rPr>
                <w:b/>
                <w:sz w:val="21"/>
                <w:szCs w:val="21"/>
                <w:lang w:bidi="ar"/>
              </w:rPr>
              <w:t>保护税</w:t>
            </w:r>
          </w:p>
        </w:tc>
        <w:tc>
          <w:tcPr>
            <w:tcW w:w="898" w:type="dxa"/>
            <w:vAlign w:val="center"/>
          </w:tcPr>
          <w:p>
            <w:pPr>
              <w:pStyle w:val="155"/>
              <w:spacing w:line="240" w:lineRule="auto"/>
              <w:ind w:firstLine="0" w:firstLineChars="0"/>
              <w:jc w:val="center"/>
              <w:rPr>
                <w:b/>
                <w:sz w:val="21"/>
                <w:szCs w:val="21"/>
              </w:rPr>
            </w:pPr>
            <w:r>
              <w:rPr>
                <w:b/>
                <w:sz w:val="21"/>
                <w:szCs w:val="21"/>
                <w:lang w:bidi="ar"/>
              </w:rPr>
              <w:t>是否减税</w:t>
            </w:r>
          </w:p>
        </w:tc>
        <w:tc>
          <w:tcPr>
            <w:tcW w:w="1167" w:type="dxa"/>
            <w:vAlign w:val="center"/>
          </w:tcPr>
          <w:p>
            <w:pPr>
              <w:pStyle w:val="155"/>
              <w:spacing w:line="240" w:lineRule="auto"/>
              <w:ind w:firstLine="0" w:firstLineChars="0"/>
              <w:jc w:val="center"/>
              <w:rPr>
                <w:b/>
                <w:sz w:val="21"/>
                <w:szCs w:val="21"/>
              </w:rPr>
            </w:pPr>
            <w:r>
              <w:rPr>
                <w:b/>
                <w:sz w:val="21"/>
                <w:szCs w:val="21"/>
                <w:lang w:bidi="ar"/>
              </w:rPr>
              <w:t>减收后环境保护税</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cantSplit/>
          <w:jc w:val="center"/>
        </w:trPr>
        <w:tc>
          <w:tcPr>
            <w:tcW w:w="866" w:type="dxa"/>
            <w:vMerge w:val="continue"/>
            <w:vAlign w:val="center"/>
          </w:tcPr>
          <w:p>
            <w:pPr>
              <w:pStyle w:val="155"/>
              <w:spacing w:line="240" w:lineRule="auto"/>
              <w:ind w:firstLine="0" w:firstLineChars="0"/>
              <w:jc w:val="center"/>
              <w:rPr>
                <w:b/>
                <w:sz w:val="21"/>
                <w:szCs w:val="21"/>
              </w:rPr>
            </w:pPr>
          </w:p>
        </w:tc>
        <w:tc>
          <w:tcPr>
            <w:tcW w:w="850" w:type="dxa"/>
            <w:vAlign w:val="center"/>
          </w:tcPr>
          <w:p>
            <w:pPr>
              <w:pStyle w:val="155"/>
              <w:spacing w:line="240" w:lineRule="auto"/>
              <w:ind w:firstLine="0" w:firstLineChars="0"/>
              <w:jc w:val="center"/>
              <w:rPr>
                <w:b/>
                <w:sz w:val="21"/>
                <w:szCs w:val="21"/>
              </w:rPr>
            </w:pPr>
            <w:r>
              <w:rPr>
                <w:b/>
                <w:sz w:val="21"/>
                <w:szCs w:val="21"/>
                <w:lang w:bidi="ar"/>
              </w:rPr>
              <w:t>kg/</w:t>
            </w:r>
            <w:r>
              <w:rPr>
                <w:b/>
                <w:sz w:val="21"/>
                <w:szCs w:val="21"/>
              </w:rPr>
              <w:t>a</w:t>
            </w:r>
          </w:p>
        </w:tc>
        <w:tc>
          <w:tcPr>
            <w:tcW w:w="1170" w:type="dxa"/>
            <w:vAlign w:val="center"/>
          </w:tcPr>
          <w:p>
            <w:pPr>
              <w:pStyle w:val="155"/>
              <w:spacing w:line="240" w:lineRule="auto"/>
              <w:ind w:firstLine="0" w:firstLineChars="0"/>
              <w:jc w:val="center"/>
              <w:rPr>
                <w:b/>
                <w:sz w:val="21"/>
                <w:szCs w:val="21"/>
              </w:rPr>
            </w:pPr>
            <w:r>
              <w:rPr>
                <w:b/>
                <w:sz w:val="21"/>
                <w:szCs w:val="21"/>
                <w:lang w:bidi="ar"/>
              </w:rPr>
              <w:t>kg</w:t>
            </w:r>
          </w:p>
        </w:tc>
        <w:tc>
          <w:tcPr>
            <w:tcW w:w="1165" w:type="dxa"/>
            <w:vAlign w:val="center"/>
          </w:tcPr>
          <w:p>
            <w:pPr>
              <w:pStyle w:val="155"/>
              <w:spacing w:line="240" w:lineRule="auto"/>
              <w:ind w:firstLine="0" w:firstLineChars="0"/>
              <w:jc w:val="center"/>
              <w:rPr>
                <w:b/>
                <w:sz w:val="21"/>
                <w:szCs w:val="21"/>
              </w:rPr>
            </w:pPr>
            <w:r>
              <w:rPr>
                <w:b/>
                <w:sz w:val="21"/>
                <w:szCs w:val="21"/>
              </w:rPr>
              <w:t>/</w:t>
            </w:r>
          </w:p>
        </w:tc>
        <w:tc>
          <w:tcPr>
            <w:tcW w:w="1089" w:type="dxa"/>
            <w:vAlign w:val="center"/>
          </w:tcPr>
          <w:p>
            <w:pPr>
              <w:pStyle w:val="155"/>
              <w:spacing w:line="240" w:lineRule="auto"/>
              <w:ind w:firstLine="0" w:firstLineChars="0"/>
              <w:jc w:val="center"/>
              <w:rPr>
                <w:b/>
                <w:sz w:val="21"/>
                <w:szCs w:val="21"/>
              </w:rPr>
            </w:pPr>
            <w:r>
              <w:rPr>
                <w:b/>
                <w:sz w:val="21"/>
                <w:szCs w:val="21"/>
              </w:rPr>
              <w:t>/</w:t>
            </w:r>
          </w:p>
        </w:tc>
        <w:tc>
          <w:tcPr>
            <w:tcW w:w="1138" w:type="dxa"/>
            <w:vAlign w:val="center"/>
          </w:tcPr>
          <w:p>
            <w:pPr>
              <w:pStyle w:val="155"/>
              <w:spacing w:line="240" w:lineRule="auto"/>
              <w:ind w:firstLine="0" w:firstLineChars="0"/>
              <w:jc w:val="center"/>
              <w:rPr>
                <w:b/>
                <w:sz w:val="21"/>
                <w:szCs w:val="21"/>
                <w:lang w:bidi="ar"/>
              </w:rPr>
            </w:pPr>
            <w:r>
              <w:rPr>
                <w:b/>
                <w:sz w:val="21"/>
                <w:szCs w:val="21"/>
                <w:lang w:bidi="ar"/>
              </w:rPr>
              <w:t>元</w:t>
            </w:r>
          </w:p>
        </w:tc>
        <w:tc>
          <w:tcPr>
            <w:tcW w:w="898" w:type="dxa"/>
            <w:vAlign w:val="center"/>
          </w:tcPr>
          <w:p>
            <w:pPr>
              <w:pStyle w:val="155"/>
              <w:spacing w:line="240" w:lineRule="auto"/>
              <w:ind w:firstLine="0" w:firstLineChars="0"/>
              <w:jc w:val="center"/>
              <w:rPr>
                <w:b/>
                <w:sz w:val="21"/>
                <w:szCs w:val="21"/>
                <w:lang w:bidi="ar"/>
              </w:rPr>
            </w:pPr>
            <w:r>
              <w:rPr>
                <w:b/>
                <w:sz w:val="21"/>
                <w:szCs w:val="21"/>
                <w:lang w:bidi="ar"/>
              </w:rPr>
              <w:t>/</w:t>
            </w:r>
          </w:p>
        </w:tc>
        <w:tc>
          <w:tcPr>
            <w:tcW w:w="1167" w:type="dxa"/>
            <w:vAlign w:val="center"/>
          </w:tcPr>
          <w:p>
            <w:pPr>
              <w:pStyle w:val="155"/>
              <w:spacing w:line="240" w:lineRule="auto"/>
              <w:ind w:firstLine="0" w:firstLineChars="0"/>
              <w:jc w:val="center"/>
              <w:rPr>
                <w:b/>
                <w:sz w:val="21"/>
                <w:szCs w:val="21"/>
                <w:lang w:bidi="ar"/>
              </w:rPr>
            </w:pPr>
            <w:r>
              <w:rPr>
                <w:b/>
                <w:sz w:val="21"/>
                <w:szCs w:val="21"/>
                <w:lang w:bidi="ar"/>
              </w:rPr>
              <w:t>元</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cantSplit/>
          <w:jc w:val="center"/>
        </w:trPr>
        <w:tc>
          <w:tcPr>
            <w:tcW w:w="866" w:type="dxa"/>
            <w:vAlign w:val="center"/>
          </w:tcPr>
          <w:p>
            <w:pPr>
              <w:spacing w:line="280" w:lineRule="exact"/>
              <w:jc w:val="center"/>
              <w:rPr>
                <w:rFonts w:ascii="Times New Roman" w:hAnsi="Times New Roman"/>
              </w:rPr>
            </w:pPr>
            <w:r>
              <w:rPr>
                <w:rFonts w:ascii="Times New Roman" w:hAnsi="Times New Roman"/>
                <w:kern w:val="2"/>
              </w:rPr>
              <w:t>SO</w:t>
            </w:r>
            <w:r>
              <w:rPr>
                <w:rFonts w:ascii="Times New Roman" w:hAnsi="Times New Roman"/>
                <w:kern w:val="2"/>
                <w:vertAlign w:val="subscript"/>
              </w:rPr>
              <w:t>2</w:t>
            </w:r>
          </w:p>
        </w:tc>
        <w:tc>
          <w:tcPr>
            <w:tcW w:w="850" w:type="dxa"/>
            <w:vAlign w:val="center"/>
          </w:tcPr>
          <w:p>
            <w:pPr>
              <w:jc w:val="center"/>
              <w:rPr>
                <w:rFonts w:ascii="Times New Roman" w:hAnsi="Times New Roman"/>
              </w:rPr>
            </w:pPr>
            <w:r>
              <w:rPr>
                <w:rFonts w:ascii="Times New Roman" w:hAnsi="Times New Roman"/>
                <w:kern w:val="2"/>
              </w:rPr>
              <w:t>0.55</w:t>
            </w:r>
          </w:p>
        </w:tc>
        <w:tc>
          <w:tcPr>
            <w:tcW w:w="1170" w:type="dxa"/>
            <w:vAlign w:val="center"/>
          </w:tcPr>
          <w:p>
            <w:pPr>
              <w:pStyle w:val="155"/>
              <w:spacing w:line="240" w:lineRule="auto"/>
              <w:ind w:firstLine="0" w:firstLineChars="0"/>
              <w:jc w:val="center"/>
              <w:rPr>
                <w:sz w:val="21"/>
                <w:szCs w:val="21"/>
              </w:rPr>
            </w:pPr>
            <w:r>
              <w:rPr>
                <w:sz w:val="21"/>
                <w:szCs w:val="21"/>
              </w:rPr>
              <w:t>0.95</w:t>
            </w:r>
          </w:p>
        </w:tc>
        <w:tc>
          <w:tcPr>
            <w:tcW w:w="1165" w:type="dxa"/>
            <w:vAlign w:val="center"/>
          </w:tcPr>
          <w:p>
            <w:pPr>
              <w:pStyle w:val="155"/>
              <w:spacing w:line="240" w:lineRule="auto"/>
              <w:ind w:firstLine="0" w:firstLineChars="0"/>
              <w:jc w:val="center"/>
              <w:rPr>
                <w:sz w:val="21"/>
                <w:szCs w:val="21"/>
              </w:rPr>
            </w:pPr>
            <w:r>
              <w:rPr>
                <w:sz w:val="21"/>
                <w:szCs w:val="21"/>
              </w:rPr>
              <w:t>0.52</w:t>
            </w:r>
          </w:p>
        </w:tc>
        <w:tc>
          <w:tcPr>
            <w:tcW w:w="1089" w:type="dxa"/>
            <w:vAlign w:val="center"/>
          </w:tcPr>
          <w:p>
            <w:pPr>
              <w:pStyle w:val="155"/>
              <w:spacing w:line="240" w:lineRule="auto"/>
              <w:ind w:firstLine="0" w:firstLineChars="0"/>
              <w:jc w:val="center"/>
              <w:rPr>
                <w:sz w:val="21"/>
                <w:szCs w:val="21"/>
              </w:rPr>
            </w:pPr>
            <w:r>
              <w:rPr>
                <w:sz w:val="21"/>
                <w:szCs w:val="21"/>
              </w:rPr>
              <w:t>3</w:t>
            </w:r>
          </w:p>
        </w:tc>
        <w:tc>
          <w:tcPr>
            <w:tcW w:w="1138" w:type="dxa"/>
            <w:vAlign w:val="center"/>
          </w:tcPr>
          <w:p>
            <w:pPr>
              <w:pStyle w:val="155"/>
              <w:spacing w:line="240" w:lineRule="auto"/>
              <w:ind w:firstLine="0" w:firstLineChars="0"/>
              <w:jc w:val="center"/>
              <w:rPr>
                <w:sz w:val="21"/>
                <w:szCs w:val="21"/>
              </w:rPr>
            </w:pPr>
            <w:r>
              <w:rPr>
                <w:sz w:val="21"/>
                <w:szCs w:val="21"/>
              </w:rPr>
              <w:t>0.62</w:t>
            </w:r>
          </w:p>
        </w:tc>
        <w:tc>
          <w:tcPr>
            <w:tcW w:w="898" w:type="dxa"/>
            <w:vAlign w:val="center"/>
          </w:tcPr>
          <w:p>
            <w:pPr>
              <w:pStyle w:val="155"/>
              <w:spacing w:line="240" w:lineRule="auto"/>
              <w:ind w:firstLine="0" w:firstLineChars="0"/>
              <w:jc w:val="center"/>
              <w:rPr>
                <w:sz w:val="21"/>
                <w:szCs w:val="21"/>
                <w:lang w:bidi="ar"/>
              </w:rPr>
            </w:pPr>
            <w:r>
              <w:rPr>
                <w:sz w:val="21"/>
                <w:szCs w:val="21"/>
                <w:lang w:bidi="ar"/>
              </w:rPr>
              <w:t>否</w:t>
            </w:r>
          </w:p>
        </w:tc>
        <w:tc>
          <w:tcPr>
            <w:tcW w:w="1167" w:type="dxa"/>
            <w:vAlign w:val="center"/>
          </w:tcPr>
          <w:p>
            <w:pPr>
              <w:pStyle w:val="155"/>
              <w:spacing w:line="240" w:lineRule="auto"/>
              <w:ind w:firstLine="0" w:firstLineChars="0"/>
              <w:jc w:val="center"/>
              <w:rPr>
                <w:sz w:val="21"/>
                <w:szCs w:val="21"/>
                <w:lang w:bidi="ar"/>
              </w:rPr>
            </w:pPr>
            <w:r>
              <w:rPr>
                <w:sz w:val="21"/>
                <w:szCs w:val="21"/>
              </w:rPr>
              <w:t>0.62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cantSplit/>
          <w:jc w:val="center"/>
        </w:trPr>
        <w:tc>
          <w:tcPr>
            <w:tcW w:w="866" w:type="dxa"/>
            <w:vAlign w:val="center"/>
          </w:tcPr>
          <w:p>
            <w:pPr>
              <w:spacing w:line="280" w:lineRule="exact"/>
              <w:jc w:val="center"/>
              <w:rPr>
                <w:rFonts w:ascii="Times New Roman" w:hAnsi="Times New Roman"/>
              </w:rPr>
            </w:pPr>
            <w:r>
              <w:rPr>
                <w:rFonts w:ascii="Times New Roman" w:hAnsi="Times New Roman"/>
                <w:kern w:val="2"/>
              </w:rPr>
              <w:t>NO</w:t>
            </w:r>
            <w:r>
              <w:rPr>
                <w:rFonts w:ascii="Times New Roman" w:hAnsi="Times New Roman"/>
                <w:kern w:val="2"/>
                <w:vertAlign w:val="subscript"/>
              </w:rPr>
              <w:t>x</w:t>
            </w:r>
          </w:p>
        </w:tc>
        <w:tc>
          <w:tcPr>
            <w:tcW w:w="850" w:type="dxa"/>
            <w:vAlign w:val="center"/>
          </w:tcPr>
          <w:p>
            <w:pPr>
              <w:jc w:val="center"/>
              <w:rPr>
                <w:rFonts w:ascii="Times New Roman" w:hAnsi="Times New Roman"/>
              </w:rPr>
            </w:pPr>
            <w:r>
              <w:rPr>
                <w:rFonts w:ascii="Times New Roman" w:hAnsi="Times New Roman"/>
              </w:rPr>
              <w:t>88</w:t>
            </w:r>
          </w:p>
        </w:tc>
        <w:tc>
          <w:tcPr>
            <w:tcW w:w="1170" w:type="dxa"/>
            <w:vAlign w:val="center"/>
          </w:tcPr>
          <w:p>
            <w:pPr>
              <w:pStyle w:val="155"/>
              <w:spacing w:line="240" w:lineRule="auto"/>
              <w:ind w:firstLine="0" w:firstLineChars="0"/>
              <w:jc w:val="center"/>
              <w:rPr>
                <w:sz w:val="21"/>
                <w:szCs w:val="21"/>
              </w:rPr>
            </w:pPr>
            <w:r>
              <w:rPr>
                <w:sz w:val="21"/>
                <w:szCs w:val="21"/>
              </w:rPr>
              <w:t>0.95</w:t>
            </w:r>
          </w:p>
        </w:tc>
        <w:tc>
          <w:tcPr>
            <w:tcW w:w="1165" w:type="dxa"/>
            <w:vAlign w:val="center"/>
          </w:tcPr>
          <w:p>
            <w:pPr>
              <w:pStyle w:val="155"/>
              <w:spacing w:line="240" w:lineRule="auto"/>
              <w:ind w:firstLine="0" w:firstLineChars="0"/>
              <w:jc w:val="center"/>
              <w:rPr>
                <w:sz w:val="21"/>
                <w:szCs w:val="21"/>
              </w:rPr>
            </w:pPr>
            <w:r>
              <w:rPr>
                <w:sz w:val="21"/>
                <w:szCs w:val="21"/>
              </w:rPr>
              <w:t>83.6</w:t>
            </w:r>
          </w:p>
        </w:tc>
        <w:tc>
          <w:tcPr>
            <w:tcW w:w="1089" w:type="dxa"/>
            <w:vAlign w:val="center"/>
          </w:tcPr>
          <w:p>
            <w:pPr>
              <w:pStyle w:val="155"/>
              <w:spacing w:line="240" w:lineRule="auto"/>
              <w:ind w:firstLine="0" w:firstLineChars="0"/>
              <w:jc w:val="center"/>
              <w:rPr>
                <w:sz w:val="21"/>
                <w:szCs w:val="21"/>
              </w:rPr>
            </w:pPr>
            <w:r>
              <w:rPr>
                <w:sz w:val="21"/>
                <w:szCs w:val="21"/>
              </w:rPr>
              <w:t>2</w:t>
            </w:r>
          </w:p>
        </w:tc>
        <w:tc>
          <w:tcPr>
            <w:tcW w:w="1138" w:type="dxa"/>
            <w:vAlign w:val="center"/>
          </w:tcPr>
          <w:p>
            <w:pPr>
              <w:pStyle w:val="155"/>
              <w:spacing w:line="240" w:lineRule="auto"/>
              <w:ind w:firstLine="0" w:firstLineChars="0"/>
              <w:jc w:val="center"/>
              <w:rPr>
                <w:sz w:val="21"/>
                <w:szCs w:val="21"/>
              </w:rPr>
            </w:pPr>
            <w:r>
              <w:rPr>
                <w:sz w:val="21"/>
                <w:szCs w:val="21"/>
              </w:rPr>
              <w:t>100.32</w:t>
            </w:r>
          </w:p>
        </w:tc>
        <w:tc>
          <w:tcPr>
            <w:tcW w:w="898" w:type="dxa"/>
            <w:vAlign w:val="center"/>
          </w:tcPr>
          <w:p>
            <w:pPr>
              <w:pStyle w:val="155"/>
              <w:spacing w:line="240" w:lineRule="auto"/>
              <w:ind w:firstLine="0" w:firstLineChars="0"/>
              <w:jc w:val="center"/>
              <w:rPr>
                <w:sz w:val="21"/>
                <w:szCs w:val="21"/>
                <w:lang w:bidi="ar"/>
              </w:rPr>
            </w:pPr>
            <w:r>
              <w:rPr>
                <w:sz w:val="21"/>
                <w:szCs w:val="21"/>
                <w:lang w:bidi="ar"/>
              </w:rPr>
              <w:t>否</w:t>
            </w:r>
          </w:p>
        </w:tc>
        <w:tc>
          <w:tcPr>
            <w:tcW w:w="1167" w:type="dxa"/>
            <w:vAlign w:val="center"/>
          </w:tcPr>
          <w:p>
            <w:pPr>
              <w:pStyle w:val="155"/>
              <w:spacing w:line="240" w:lineRule="auto"/>
              <w:ind w:firstLine="0" w:firstLineChars="0"/>
              <w:jc w:val="center"/>
              <w:rPr>
                <w:sz w:val="21"/>
                <w:szCs w:val="21"/>
                <w:lang w:bidi="ar"/>
              </w:rPr>
            </w:pPr>
            <w:r>
              <w:rPr>
                <w:sz w:val="21"/>
                <w:szCs w:val="21"/>
              </w:rPr>
              <w:t>100.32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cantSplit/>
          <w:jc w:val="center"/>
        </w:trPr>
        <w:tc>
          <w:tcPr>
            <w:tcW w:w="866" w:type="dxa"/>
            <w:vAlign w:val="center"/>
          </w:tcPr>
          <w:p>
            <w:pPr>
              <w:spacing w:line="280" w:lineRule="exact"/>
              <w:jc w:val="center"/>
              <w:rPr>
                <w:rFonts w:ascii="Times New Roman" w:hAnsi="Times New Roman"/>
              </w:rPr>
            </w:pPr>
            <w:r>
              <w:rPr>
                <w:rFonts w:ascii="Times New Roman" w:hAnsi="Times New Roman"/>
                <w:kern w:val="2"/>
              </w:rPr>
              <w:t>颗粒物</w:t>
            </w:r>
          </w:p>
        </w:tc>
        <w:tc>
          <w:tcPr>
            <w:tcW w:w="850" w:type="dxa"/>
            <w:vAlign w:val="center"/>
          </w:tcPr>
          <w:p>
            <w:pPr>
              <w:jc w:val="center"/>
              <w:rPr>
                <w:rFonts w:ascii="Times New Roman" w:hAnsi="Times New Roman"/>
              </w:rPr>
            </w:pPr>
            <w:r>
              <w:rPr>
                <w:rFonts w:ascii="Times New Roman" w:hAnsi="Times New Roman"/>
                <w:kern w:val="2"/>
              </w:rPr>
              <w:t>237.6</w:t>
            </w:r>
          </w:p>
        </w:tc>
        <w:tc>
          <w:tcPr>
            <w:tcW w:w="1170" w:type="dxa"/>
            <w:vAlign w:val="center"/>
          </w:tcPr>
          <w:p>
            <w:pPr>
              <w:pStyle w:val="155"/>
              <w:spacing w:line="240" w:lineRule="auto"/>
              <w:ind w:firstLine="0" w:firstLineChars="0"/>
              <w:jc w:val="center"/>
              <w:rPr>
                <w:sz w:val="21"/>
                <w:szCs w:val="21"/>
              </w:rPr>
            </w:pPr>
            <w:r>
              <w:rPr>
                <w:sz w:val="21"/>
                <w:szCs w:val="21"/>
              </w:rPr>
              <w:t>2.18</w:t>
            </w:r>
          </w:p>
        </w:tc>
        <w:tc>
          <w:tcPr>
            <w:tcW w:w="1165" w:type="dxa"/>
            <w:vAlign w:val="center"/>
          </w:tcPr>
          <w:p>
            <w:pPr>
              <w:pStyle w:val="155"/>
              <w:spacing w:line="240" w:lineRule="auto"/>
              <w:ind w:firstLine="0" w:firstLineChars="0"/>
              <w:jc w:val="center"/>
              <w:rPr>
                <w:sz w:val="21"/>
                <w:szCs w:val="21"/>
              </w:rPr>
            </w:pPr>
            <w:r>
              <w:rPr>
                <w:sz w:val="21"/>
                <w:szCs w:val="21"/>
              </w:rPr>
              <w:t>517.9</w:t>
            </w:r>
          </w:p>
        </w:tc>
        <w:tc>
          <w:tcPr>
            <w:tcW w:w="1089" w:type="dxa"/>
            <w:vAlign w:val="center"/>
          </w:tcPr>
          <w:p>
            <w:pPr>
              <w:pStyle w:val="155"/>
              <w:spacing w:line="240" w:lineRule="auto"/>
              <w:ind w:firstLine="0" w:firstLineChars="0"/>
              <w:jc w:val="center"/>
              <w:rPr>
                <w:sz w:val="21"/>
                <w:szCs w:val="21"/>
              </w:rPr>
            </w:pPr>
            <w:r>
              <w:rPr>
                <w:sz w:val="21"/>
                <w:szCs w:val="21"/>
              </w:rPr>
              <w:t>1</w:t>
            </w:r>
          </w:p>
        </w:tc>
        <w:tc>
          <w:tcPr>
            <w:tcW w:w="1138" w:type="dxa"/>
            <w:vAlign w:val="center"/>
          </w:tcPr>
          <w:p>
            <w:pPr>
              <w:pStyle w:val="155"/>
              <w:spacing w:line="240" w:lineRule="auto"/>
              <w:ind w:firstLine="0" w:firstLineChars="0"/>
              <w:jc w:val="center"/>
              <w:rPr>
                <w:sz w:val="21"/>
                <w:szCs w:val="21"/>
              </w:rPr>
            </w:pPr>
            <w:r>
              <w:rPr>
                <w:sz w:val="21"/>
                <w:szCs w:val="21"/>
              </w:rPr>
              <w:t>621.48</w:t>
            </w:r>
          </w:p>
        </w:tc>
        <w:tc>
          <w:tcPr>
            <w:tcW w:w="898" w:type="dxa"/>
            <w:vAlign w:val="center"/>
          </w:tcPr>
          <w:p>
            <w:pPr>
              <w:pStyle w:val="155"/>
              <w:spacing w:line="240" w:lineRule="auto"/>
              <w:ind w:firstLine="0" w:firstLineChars="0"/>
              <w:jc w:val="center"/>
              <w:rPr>
                <w:sz w:val="21"/>
                <w:szCs w:val="21"/>
                <w:lang w:bidi="ar"/>
              </w:rPr>
            </w:pPr>
            <w:r>
              <w:rPr>
                <w:sz w:val="21"/>
                <w:szCs w:val="21"/>
                <w:lang w:bidi="ar"/>
              </w:rPr>
              <w:t>否</w:t>
            </w:r>
          </w:p>
        </w:tc>
        <w:tc>
          <w:tcPr>
            <w:tcW w:w="1167" w:type="dxa"/>
            <w:vAlign w:val="center"/>
          </w:tcPr>
          <w:p>
            <w:pPr>
              <w:pStyle w:val="155"/>
              <w:spacing w:line="240" w:lineRule="auto"/>
              <w:ind w:firstLine="0" w:firstLineChars="0"/>
              <w:jc w:val="center"/>
              <w:rPr>
                <w:sz w:val="21"/>
                <w:szCs w:val="21"/>
                <w:lang w:bidi="ar"/>
              </w:rPr>
            </w:pPr>
            <w:r>
              <w:rPr>
                <w:sz w:val="21"/>
                <w:szCs w:val="21"/>
              </w:rPr>
              <w:t>621.48</w:t>
            </w:r>
          </w:p>
        </w:tc>
      </w:tr>
    </w:tbl>
    <w:p>
      <w:pPr>
        <w:pStyle w:val="155"/>
        <w:spacing w:line="480" w:lineRule="exact"/>
        <w:ind w:firstLine="480"/>
      </w:pPr>
      <w:r>
        <w:t>由上表可知，本项目排放大气污染物需缴纳的环境保护税估算值为722.4元，虽然对环境属于负影响，但影响很小。</w:t>
      </w:r>
    </w:p>
    <w:p>
      <w:pPr>
        <w:pStyle w:val="3"/>
        <w:spacing w:before="120" w:beforeLines="50" w:after="120" w:afterLines="50" w:line="480" w:lineRule="exact"/>
        <w:ind w:left="-11"/>
        <w:rPr>
          <w:rFonts w:ascii="Times New Roman" w:hAnsi="Times New Roman" w:eastAsia="黑体"/>
          <w:sz w:val="30"/>
          <w:szCs w:val="30"/>
        </w:rPr>
      </w:pPr>
      <w:bookmarkStart w:id="1500" w:name="_Toc116379725"/>
      <w:r>
        <w:rPr>
          <w:rFonts w:ascii="Times New Roman" w:hAnsi="Times New Roman" w:eastAsia="黑体"/>
          <w:sz w:val="30"/>
          <w:szCs w:val="30"/>
        </w:rPr>
        <w:t>建设项目的社会效益分析</w:t>
      </w:r>
      <w:bookmarkEnd w:id="1500"/>
    </w:p>
    <w:p>
      <w:pPr>
        <w:pStyle w:val="155"/>
        <w:ind w:firstLine="480"/>
      </w:pPr>
      <w:r>
        <w:t>医疗废物中含有大量致病细菌、病毒和有害化学物质，是一类对环境和人体带来严重危害的危险废物，必须进行无害化处置。</w:t>
      </w:r>
    </w:p>
    <w:p>
      <w:pPr>
        <w:pStyle w:val="155"/>
        <w:ind w:firstLine="480"/>
      </w:pPr>
      <w:r>
        <w:t>（1）本次改扩建后工程高温干热工艺以自动化传输系统代替传统人工推动导轨运输，且整个操作环境处于密闭负压的环境下，减少了职工在操作过程中与带有病菌的废物接触的几率，降低了病菌的感染概率，在一定程度上降低了职工的职业风险。</w:t>
      </w:r>
    </w:p>
    <w:p>
      <w:pPr>
        <w:pStyle w:val="155"/>
        <w:ind w:firstLine="480"/>
      </w:pPr>
      <w:r>
        <w:t>（2）本项目在</w:t>
      </w:r>
      <w:r>
        <w:rPr>
          <w:szCs w:val="24"/>
        </w:rPr>
        <w:t>现有灭菌车间进行设备安装</w:t>
      </w:r>
      <w:r>
        <w:t>，不新增土地。本项目建设运行后，双鸭山市的医疗废物实现了无害化安全处置，消除了其对民众健康的潜在危险，促进了全社会健康意识的提高，其社会效益巨大。</w:t>
      </w:r>
    </w:p>
    <w:p>
      <w:pPr>
        <w:pStyle w:val="155"/>
        <w:ind w:firstLine="480"/>
      </w:pPr>
      <w:r>
        <w:t>（3）处置中心的建设为达到国家环保局提出的“医疗废物处置必需实现稳定化、安全化、减量化和彻底毁形”的要求创造了条件，这将从根本上消除医疗废物污染环境、传播疾病、危害人民群众身体健康的隐患，对环保工作产生积极的推动作用，而且医疗废物集中处置顺应了污染治理市场化运作的机制，有利于实现环境、社会和经济效益的统一。</w:t>
      </w:r>
    </w:p>
    <w:p>
      <w:pPr>
        <w:pStyle w:val="155"/>
        <w:ind w:firstLine="480"/>
        <w:rPr>
          <w:szCs w:val="24"/>
        </w:rPr>
      </w:pPr>
      <w:r>
        <w:t>本项目的目的是医疗废弃物处理，保护和改善双鸭山市生态环境，为双鸭山市民提供一个舒适、洁净无害的生活环境。因此，项目具有较好社会效益。</w:t>
      </w:r>
    </w:p>
    <w:p>
      <w:pPr>
        <w:pStyle w:val="3"/>
        <w:spacing w:before="120" w:beforeLines="50" w:after="120" w:afterLines="50" w:line="480" w:lineRule="exact"/>
        <w:ind w:left="-11"/>
        <w:rPr>
          <w:rFonts w:ascii="Times New Roman" w:hAnsi="Times New Roman" w:eastAsia="黑体"/>
          <w:sz w:val="30"/>
          <w:szCs w:val="30"/>
        </w:rPr>
      </w:pPr>
      <w:bookmarkStart w:id="1501" w:name="_Toc116379726"/>
      <w:r>
        <w:rPr>
          <w:rFonts w:ascii="Times New Roman" w:hAnsi="Times New Roman" w:eastAsia="黑体"/>
          <w:sz w:val="30"/>
          <w:szCs w:val="30"/>
        </w:rPr>
        <w:t>建设项目的环境效益分析</w:t>
      </w:r>
      <w:bookmarkEnd w:id="1501"/>
    </w:p>
    <w:p>
      <w:pPr>
        <w:pStyle w:val="4"/>
        <w:spacing w:before="120" w:beforeLines="50" w:after="120" w:afterLines="50" w:line="480" w:lineRule="exact"/>
        <w:rPr>
          <w:rFonts w:ascii="Times New Roman" w:hAnsi="Times New Roman" w:eastAsia="黑体"/>
          <w:bCs/>
          <w:sz w:val="28"/>
          <w:szCs w:val="28"/>
        </w:rPr>
      </w:pPr>
      <w:bookmarkStart w:id="1502" w:name="_Toc23971"/>
      <w:bookmarkStart w:id="1503" w:name="_Toc2009"/>
      <w:bookmarkStart w:id="1504" w:name="_Toc27134379"/>
      <w:bookmarkStart w:id="1505" w:name="_Toc17031"/>
      <w:bookmarkStart w:id="1506" w:name="_Toc11715"/>
      <w:bookmarkStart w:id="1507" w:name="_Toc11013"/>
      <w:bookmarkStart w:id="1508" w:name="_Toc26188086"/>
      <w:r>
        <w:rPr>
          <w:rFonts w:ascii="Times New Roman" w:hAnsi="Times New Roman" w:eastAsia="黑体"/>
          <w:bCs/>
          <w:sz w:val="28"/>
          <w:szCs w:val="28"/>
        </w:rPr>
        <w:t>资源、能源消耗</w:t>
      </w:r>
      <w:bookmarkEnd w:id="1502"/>
      <w:bookmarkEnd w:id="1503"/>
      <w:bookmarkEnd w:id="1504"/>
      <w:bookmarkEnd w:id="1505"/>
      <w:bookmarkEnd w:id="1506"/>
      <w:bookmarkEnd w:id="1507"/>
      <w:bookmarkEnd w:id="1508"/>
    </w:p>
    <w:p>
      <w:pPr>
        <w:spacing w:line="480" w:lineRule="exact"/>
        <w:ind w:firstLine="480" w:firstLineChars="200"/>
        <w:rPr>
          <w:rFonts w:ascii="Times New Roman" w:hAnsi="Times New Roman"/>
          <w:sz w:val="24"/>
        </w:rPr>
      </w:pPr>
      <w:r>
        <w:rPr>
          <w:rFonts w:ascii="Times New Roman" w:hAnsi="Times New Roman"/>
          <w:sz w:val="24"/>
        </w:rPr>
        <w:t>本项目的环境损失主要表现为生产过程中将消耗生产原料、水资源和电能。</w:t>
      </w:r>
    </w:p>
    <w:p>
      <w:pPr>
        <w:pStyle w:val="4"/>
        <w:spacing w:before="120" w:beforeLines="50" w:after="120" w:afterLines="50" w:line="480" w:lineRule="exact"/>
        <w:rPr>
          <w:rFonts w:ascii="Times New Roman" w:hAnsi="Times New Roman" w:eastAsia="黑体"/>
          <w:bCs/>
          <w:sz w:val="28"/>
          <w:szCs w:val="28"/>
        </w:rPr>
      </w:pPr>
      <w:bookmarkStart w:id="1509" w:name="_Toc18521"/>
      <w:bookmarkStart w:id="1510" w:name="_Toc26188087"/>
      <w:bookmarkStart w:id="1511" w:name="_Toc24380"/>
      <w:bookmarkStart w:id="1512" w:name="_Toc27134380"/>
      <w:bookmarkStart w:id="1513" w:name="_Toc22602"/>
      <w:bookmarkStart w:id="1514" w:name="_Toc8573"/>
      <w:bookmarkStart w:id="1515" w:name="_Toc12945"/>
      <w:r>
        <w:rPr>
          <w:rFonts w:ascii="Times New Roman" w:hAnsi="Times New Roman" w:eastAsia="黑体"/>
          <w:bCs/>
          <w:sz w:val="28"/>
          <w:szCs w:val="28"/>
        </w:rPr>
        <w:t>增加环境负荷</w:t>
      </w:r>
      <w:bookmarkEnd w:id="1509"/>
      <w:bookmarkEnd w:id="1510"/>
      <w:bookmarkEnd w:id="1511"/>
      <w:bookmarkEnd w:id="1512"/>
      <w:bookmarkEnd w:id="1513"/>
      <w:bookmarkEnd w:id="1514"/>
      <w:bookmarkEnd w:id="1515"/>
    </w:p>
    <w:p>
      <w:pPr>
        <w:spacing w:line="480" w:lineRule="exact"/>
        <w:ind w:firstLine="480" w:firstLineChars="200"/>
        <w:rPr>
          <w:rFonts w:ascii="Times New Roman" w:hAnsi="Times New Roman"/>
          <w:sz w:val="24"/>
        </w:rPr>
      </w:pPr>
      <w:r>
        <w:rPr>
          <w:rFonts w:ascii="Times New Roman" w:hAnsi="Times New Roman"/>
          <w:sz w:val="24"/>
        </w:rPr>
        <w:t>本项目在经济上将带动双鸭山市及其周边地区工业的发展，与此同时，生产过程中将不可避免产生废水、废气、噪声、固体废物等污染，带来一定的环境问题，由于采用的生产工艺充分考虑废气废水的治理及循环利用，因此产污较小，清洁生产水平较高，环境污染负荷相对较小。</w:t>
      </w:r>
    </w:p>
    <w:p>
      <w:pPr>
        <w:pStyle w:val="4"/>
        <w:spacing w:before="120" w:beforeLines="50" w:after="120" w:afterLines="50" w:line="480" w:lineRule="exact"/>
        <w:rPr>
          <w:rFonts w:ascii="Times New Roman" w:hAnsi="Times New Roman" w:eastAsia="黑体"/>
          <w:bCs/>
          <w:sz w:val="28"/>
          <w:szCs w:val="28"/>
        </w:rPr>
      </w:pPr>
      <w:bookmarkStart w:id="1516" w:name="_Toc27134381"/>
      <w:bookmarkStart w:id="1517" w:name="_Toc30713"/>
      <w:bookmarkStart w:id="1518" w:name="_Toc27109"/>
      <w:bookmarkStart w:id="1519" w:name="_Toc26188088"/>
      <w:bookmarkStart w:id="1520" w:name="_Toc9998"/>
      <w:bookmarkStart w:id="1521" w:name="_Toc13108"/>
      <w:bookmarkStart w:id="1522" w:name="_Toc11087"/>
      <w:r>
        <w:rPr>
          <w:rFonts w:ascii="Times New Roman" w:hAnsi="Times New Roman" w:eastAsia="黑体"/>
          <w:bCs/>
          <w:sz w:val="28"/>
          <w:szCs w:val="28"/>
        </w:rPr>
        <w:t>环境效益分析</w:t>
      </w:r>
      <w:bookmarkEnd w:id="1516"/>
      <w:bookmarkEnd w:id="1517"/>
      <w:bookmarkEnd w:id="1518"/>
      <w:bookmarkEnd w:id="1519"/>
      <w:bookmarkEnd w:id="1520"/>
      <w:bookmarkEnd w:id="1521"/>
      <w:bookmarkEnd w:id="1522"/>
    </w:p>
    <w:p>
      <w:pPr>
        <w:spacing w:line="480" w:lineRule="exact"/>
        <w:ind w:firstLine="480" w:firstLineChars="200"/>
        <w:rPr>
          <w:rFonts w:ascii="Times New Roman" w:hAnsi="Times New Roman"/>
          <w:sz w:val="24"/>
        </w:rPr>
      </w:pPr>
      <w:r>
        <w:rPr>
          <w:rFonts w:ascii="Times New Roman" w:hAnsi="Times New Roman"/>
          <w:sz w:val="24"/>
        </w:rPr>
        <w:t>（1）本项目实行的医疗废物无害化处理，是对医院医疗环境污染的有效治理。本项目本身就是一项环保项目，环境效益是其主要目标。本项目的实施，实现了医疗废物的无害化处理，基本上解决了双鸭山市医疗废物的环境污染问题。本项目中采用国际先进技术对医疗废物进行处理，避免了环境二次污染。</w:t>
      </w:r>
    </w:p>
    <w:p>
      <w:pPr>
        <w:spacing w:line="480" w:lineRule="exact"/>
        <w:ind w:firstLine="480" w:firstLineChars="200"/>
        <w:rPr>
          <w:rFonts w:ascii="Times New Roman" w:hAnsi="Times New Roman"/>
          <w:sz w:val="24"/>
        </w:rPr>
      </w:pPr>
      <w:r>
        <w:rPr>
          <w:rFonts w:ascii="Times New Roman" w:hAnsi="Times New Roman"/>
          <w:sz w:val="24"/>
        </w:rPr>
        <w:t>（2）医疗废物是一种潜在危害很大的废物，若处理不当，会造成疾病的传播蔓延，影响国民经济的发展和社会的稳定，本项目的建设则可有效消除上述的不利影响，杜绝由医疗废物造成大疾病传播。</w:t>
      </w:r>
    </w:p>
    <w:p>
      <w:pPr>
        <w:spacing w:line="480" w:lineRule="exact"/>
        <w:ind w:firstLine="480" w:firstLineChars="200"/>
        <w:rPr>
          <w:rFonts w:ascii="Times New Roman" w:hAnsi="Times New Roman"/>
          <w:sz w:val="24"/>
        </w:rPr>
      </w:pPr>
      <w:r>
        <w:rPr>
          <w:rFonts w:ascii="Times New Roman" w:hAnsi="Times New Roman"/>
          <w:sz w:val="24"/>
        </w:rPr>
        <w:t>（3）医疗废物高温蒸汽处理工艺具有明显的节能效益。</w:t>
      </w:r>
    </w:p>
    <w:p>
      <w:pPr>
        <w:spacing w:line="480" w:lineRule="exact"/>
        <w:ind w:firstLine="480" w:firstLineChars="200"/>
        <w:rPr>
          <w:rFonts w:ascii="Times New Roman" w:hAnsi="Times New Roman"/>
          <w:sz w:val="24"/>
        </w:rPr>
      </w:pPr>
      <w:r>
        <w:rPr>
          <w:rFonts w:ascii="Times New Roman" w:hAnsi="Times New Roman"/>
          <w:sz w:val="24"/>
        </w:rPr>
        <w:t>通过以上分析，本工程建设有良好的环境效益。</w:t>
      </w:r>
    </w:p>
    <w:p>
      <w:pPr>
        <w:pStyle w:val="3"/>
        <w:spacing w:before="120" w:beforeLines="50" w:after="120" w:afterLines="50" w:line="480" w:lineRule="exact"/>
        <w:ind w:left="-11"/>
        <w:rPr>
          <w:rFonts w:ascii="Times New Roman" w:hAnsi="Times New Roman" w:eastAsia="黑体"/>
          <w:sz w:val="30"/>
          <w:szCs w:val="30"/>
        </w:rPr>
      </w:pPr>
      <w:bookmarkStart w:id="1523" w:name="_Toc116379727"/>
      <w:bookmarkStart w:id="1524" w:name="_Toc332458699"/>
      <w:bookmarkStart w:id="1525" w:name="_Toc342900876"/>
      <w:r>
        <w:rPr>
          <w:rFonts w:ascii="Times New Roman" w:hAnsi="Times New Roman" w:eastAsia="黑体"/>
          <w:sz w:val="30"/>
          <w:szCs w:val="30"/>
        </w:rPr>
        <w:t>小结</w:t>
      </w:r>
      <w:bookmarkEnd w:id="1523"/>
      <w:bookmarkEnd w:id="1524"/>
      <w:bookmarkEnd w:id="1525"/>
    </w:p>
    <w:p>
      <w:pPr>
        <w:pStyle w:val="155"/>
        <w:ind w:firstLine="480"/>
      </w:pPr>
      <w:r>
        <w:t>综上所述，本项目如认真落实本环评提出的各项环境保护措施，保证项目的环境可行性，将具有较为良好的经济效益、社会效益及环境效益。项目的建设运行，有利于增强地方经济实力、财力，增加就业机会；增强企业的盈利能力和资源综合利用水平；有利于地方产业结构的调整；大大改善了环境资源的利用效率。因此，在社会效益、经济效益和环境效益三个方面都是可行的。</w:t>
      </w:r>
    </w:p>
    <w:p>
      <w:pPr>
        <w:pStyle w:val="2"/>
        <w:numPr>
          <w:ilvl w:val="0"/>
          <w:numId w:val="2"/>
        </w:numPr>
        <w:ind w:left="0"/>
        <w:jc w:val="both"/>
        <w:rPr>
          <w:color w:val="auto"/>
        </w:rPr>
      </w:pPr>
      <w:bookmarkStart w:id="1526" w:name="_Toc180729205"/>
      <w:bookmarkStart w:id="1527" w:name="_Toc144511833"/>
      <w:bookmarkStart w:id="1528" w:name="_Toc232697910"/>
      <w:bookmarkStart w:id="1529" w:name="_Toc143898972"/>
      <w:bookmarkStart w:id="1530" w:name="_Toc42480702"/>
      <w:bookmarkStart w:id="1531" w:name="_Toc116379728"/>
      <w:bookmarkStart w:id="1532" w:name="_Toc144511829"/>
      <w:bookmarkStart w:id="1533" w:name="_Toc143898969"/>
      <w:bookmarkStart w:id="1534" w:name="_Toc180728562"/>
      <w:bookmarkStart w:id="1535" w:name="_Toc232697850"/>
      <w:r>
        <w:rPr>
          <w:color w:val="auto"/>
        </w:rPr>
        <w:t>环境管理及</w:t>
      </w:r>
      <w:bookmarkEnd w:id="1526"/>
      <w:bookmarkEnd w:id="1527"/>
      <w:bookmarkEnd w:id="1528"/>
      <w:bookmarkEnd w:id="1529"/>
      <w:bookmarkEnd w:id="1530"/>
      <w:r>
        <w:rPr>
          <w:color w:val="auto"/>
        </w:rPr>
        <w:t>环境监测</w:t>
      </w:r>
      <w:bookmarkEnd w:id="1531"/>
    </w:p>
    <w:p>
      <w:pPr>
        <w:pStyle w:val="3"/>
        <w:spacing w:before="120" w:beforeLines="50" w:after="120" w:afterLines="50" w:line="480" w:lineRule="exact"/>
        <w:ind w:left="-11"/>
        <w:rPr>
          <w:rFonts w:ascii="Times New Roman" w:hAnsi="Times New Roman" w:eastAsia="黑体"/>
          <w:sz w:val="30"/>
          <w:szCs w:val="30"/>
        </w:rPr>
      </w:pPr>
      <w:bookmarkStart w:id="1536" w:name="_Toc342900878"/>
      <w:bookmarkStart w:id="1537" w:name="_Toc116379729"/>
      <w:bookmarkStart w:id="1538" w:name="_Toc333495918"/>
      <w:bookmarkStart w:id="1539" w:name="_Toc332458701"/>
      <w:r>
        <w:rPr>
          <w:rFonts w:ascii="Times New Roman" w:hAnsi="Times New Roman" w:eastAsia="黑体"/>
          <w:sz w:val="30"/>
          <w:szCs w:val="30"/>
        </w:rPr>
        <w:t>环境管理</w:t>
      </w:r>
      <w:bookmarkEnd w:id="1536"/>
      <w:bookmarkEnd w:id="1537"/>
    </w:p>
    <w:bookmarkEnd w:id="1538"/>
    <w:bookmarkEnd w:id="1539"/>
    <w:p>
      <w:pPr>
        <w:spacing w:line="480" w:lineRule="exact"/>
        <w:ind w:firstLine="480" w:firstLineChars="200"/>
        <w:rPr>
          <w:rFonts w:ascii="Times New Roman" w:hAnsi="Times New Roman"/>
          <w:sz w:val="24"/>
          <w:szCs w:val="24"/>
          <w:lang w:val="zh-CN"/>
        </w:rPr>
      </w:pPr>
      <w:bookmarkStart w:id="1540" w:name="_Toc21065"/>
      <w:bookmarkStart w:id="1541" w:name="_Toc535169002"/>
      <w:bookmarkStart w:id="1542" w:name="_Toc497228910"/>
      <w:bookmarkStart w:id="1543" w:name="_Toc486970457"/>
      <w:bookmarkStart w:id="1544" w:name="_Toc530656065"/>
      <w:bookmarkStart w:id="1545" w:name="_Toc416967044"/>
      <w:bookmarkStart w:id="1546" w:name="_Toc527205830"/>
      <w:bookmarkStart w:id="1547" w:name="_Toc466271526"/>
      <w:bookmarkStart w:id="1548" w:name="_Toc453709085"/>
      <w:bookmarkStart w:id="1549" w:name="_Toc487111575"/>
      <w:bookmarkStart w:id="1550" w:name="_Toc14481"/>
      <w:bookmarkStart w:id="1551" w:name="_Toc27134387"/>
      <w:bookmarkStart w:id="1552" w:name="_Toc535348538"/>
      <w:bookmarkStart w:id="1553" w:name="_Toc480983957"/>
      <w:bookmarkStart w:id="1554" w:name="_Toc480190576"/>
      <w:bookmarkStart w:id="1555" w:name="_Toc464036872"/>
      <w:bookmarkStart w:id="1556" w:name="_Toc532556698"/>
      <w:bookmarkStart w:id="1557" w:name="_Toc482020739"/>
      <w:bookmarkStart w:id="1558" w:name="_Toc534537715"/>
      <w:bookmarkStart w:id="1559" w:name="_Toc26188094"/>
      <w:bookmarkStart w:id="1560" w:name="_Toc458063981"/>
      <w:bookmarkStart w:id="1561" w:name="_Toc9843887"/>
      <w:bookmarkStart w:id="1562" w:name="_Toc31704"/>
      <w:bookmarkStart w:id="1563" w:name="_Toc15330"/>
      <w:bookmarkStart w:id="1564" w:name="_Toc30454"/>
      <w:bookmarkStart w:id="1565" w:name="_Toc1193"/>
      <w:bookmarkStart w:id="1566" w:name="_Toc416967049"/>
      <w:r>
        <w:rPr>
          <w:rFonts w:ascii="Times New Roman" w:hAnsi="Times New Roman"/>
          <w:sz w:val="24"/>
          <w:szCs w:val="24"/>
          <w:lang w:val="zh-CN"/>
        </w:rPr>
        <w:t>环境管理是企业管理的重要内容之一，在企业环境保护工作中有着举足轻重的地位。加大环境监督和管理力度是企业实现环境、生产、经济协调发展的重要措施，也是企业实现可持续发展的重要保障。环境监测是工业污染防治的依据和环境管理的基础，加强污染监控是企业及时了解和掌握排污特征，研究污染发展趋势，开展环境保护技术研究、综合利用能源和及时了解污染控制措施的效果的重要途径，是监督企业环保设施正常运行的基础，也是确保污染物排放达标的可靠保证。</w:t>
      </w:r>
    </w:p>
    <w:p>
      <w:pPr>
        <w:spacing w:line="480" w:lineRule="exact"/>
        <w:ind w:firstLine="480" w:firstLineChars="200"/>
        <w:rPr>
          <w:rFonts w:ascii="Times New Roman" w:hAnsi="Times New Roman"/>
          <w:sz w:val="24"/>
          <w:szCs w:val="24"/>
          <w:lang w:val="zh-CN"/>
        </w:rPr>
      </w:pPr>
      <w:r>
        <w:rPr>
          <w:rFonts w:ascii="Times New Roman" w:hAnsi="Times New Roman"/>
          <w:sz w:val="24"/>
          <w:szCs w:val="24"/>
          <w:lang w:val="zh-CN"/>
        </w:rPr>
        <w:t>企业除了确保并维持建设配套的末端污染治理措施正常运行外，还应将清洁生产的指导思想贯穿整个生产过程之中，并注意各个生产环节的环境管理，减轻末端治理的压力。因此，建设单位应更好的监控环保设施的运行情况，通过制定全面的企业环境管理计划，尽可能削减项目生产运行期对环境造成的不良影响，以确保企业环境保护的制度化和系统化，确保企业可持续发展。</w:t>
      </w:r>
    </w:p>
    <w:p>
      <w:pPr>
        <w:pStyle w:val="4"/>
        <w:spacing w:before="120" w:beforeLines="50" w:after="120" w:afterLines="50" w:line="480" w:lineRule="exact"/>
        <w:rPr>
          <w:rFonts w:ascii="Times New Roman" w:hAnsi="Times New Roman" w:eastAsia="黑体"/>
          <w:bCs/>
          <w:sz w:val="28"/>
          <w:szCs w:val="28"/>
        </w:rPr>
      </w:pPr>
      <w:bookmarkStart w:id="1567" w:name="_Toc1924"/>
      <w:r>
        <w:rPr>
          <w:rFonts w:ascii="Times New Roman" w:hAnsi="Times New Roman" w:eastAsia="黑体"/>
          <w:bCs/>
          <w:sz w:val="28"/>
          <w:szCs w:val="28"/>
        </w:rPr>
        <w:t>环境管理</w:t>
      </w:r>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r>
        <w:rPr>
          <w:rFonts w:ascii="Times New Roman" w:hAnsi="Times New Roman" w:eastAsia="黑体"/>
          <w:bCs/>
          <w:sz w:val="28"/>
          <w:szCs w:val="28"/>
        </w:rPr>
        <w:t>机构</w:t>
      </w:r>
      <w:bookmarkEnd w:id="1567"/>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本项目厂区需设置2～3名专职环保管理人员。负责公司的环境管理以及对外的环保协调工作，履行环境管理职责和环境监控职责。具体职责如下：</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（1）贯彻执行环境保护法规和标准；</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（2）建立各种环境管理制度，并经常检查监督；</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（3）编制项目环境保护规划并组织实施；</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（4）领导并组织实施项目的环境监测工作，建立监控档案；</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（5）抓好环境教育和技术培训工作，提高员工素质；</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（6）建立项目有关污染物排放和环保设施运转的规章制度；</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（7）负责日常环境管理工作，并配合环保管理部门做好与其它社会各界有关环保问题的协调工作；</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（8）制定突发性事故的应急处理方案并参与突发性事故的应急处理工作；</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（9）定期检查监督环保法规执行情况，及时和有关部门联系落实各方面的环保措施，使之正常运行。</w:t>
      </w:r>
    </w:p>
    <w:p>
      <w:pPr>
        <w:pStyle w:val="4"/>
        <w:spacing w:before="120" w:beforeLines="50" w:after="120" w:afterLines="50" w:line="480" w:lineRule="exact"/>
        <w:rPr>
          <w:rFonts w:ascii="Times New Roman" w:hAnsi="Times New Roman" w:eastAsia="黑体"/>
          <w:bCs/>
          <w:sz w:val="28"/>
          <w:szCs w:val="28"/>
          <w:lang w:val="zh-CN"/>
        </w:rPr>
      </w:pPr>
      <w:bookmarkStart w:id="1568" w:name="_Toc1564"/>
      <w:bookmarkStart w:id="1569" w:name="_Toc6856"/>
      <w:bookmarkStart w:id="1570" w:name="_Toc27674"/>
      <w:bookmarkStart w:id="1571" w:name="_Hlk114061157"/>
      <w:r>
        <w:rPr>
          <w:rFonts w:ascii="Times New Roman" w:hAnsi="Times New Roman" w:eastAsia="黑体"/>
          <w:bCs/>
          <w:sz w:val="28"/>
          <w:szCs w:val="28"/>
          <w:lang w:val="zh-CN"/>
        </w:rPr>
        <w:t>环境管理</w:t>
      </w:r>
      <w:bookmarkEnd w:id="1568"/>
      <w:bookmarkEnd w:id="1569"/>
      <w:r>
        <w:rPr>
          <w:rFonts w:ascii="Times New Roman" w:hAnsi="Times New Roman" w:eastAsia="黑体"/>
          <w:bCs/>
          <w:sz w:val="28"/>
          <w:szCs w:val="28"/>
          <w:lang w:val="zh-CN"/>
        </w:rPr>
        <w:t>制度</w:t>
      </w:r>
      <w:bookmarkEnd w:id="1570"/>
    </w:p>
    <w:bookmarkEnd w:id="1571"/>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由于医疗废物处置项目的特殊性，其从废物的收集到最终的处置每个环节均与环境保护紧密相连，稍有不慎将造成污染事故，因此其环境管理制度的涵义可扩大为企业管理制度。为实现医疗废物处置中心的科学管理、规范作业、保证安全运行，提高生产效率、降低运行成本、有效防止疾病传播及二次污染、保障人体健康，达到医疗废物减量化和无害化的要求，评价本着可操作性原则，参考国家相关规范和要求，制定该中心的环境管理制度，为企业在实际运营过程中的管理提供参考。</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管理制度的制定共分为：</w:t>
      </w:r>
    </w:p>
    <w:p>
      <w:pPr>
        <w:pStyle w:val="281"/>
        <w:numPr>
          <w:ilvl w:val="0"/>
          <w:numId w:val="25"/>
        </w:numPr>
        <w:spacing w:line="480" w:lineRule="exact"/>
        <w:ind w:firstLine="480" w:firstLineChars="200"/>
        <w:rPr>
          <w:rFonts w:ascii="Times New Roman" w:hAnsi="Times New Roman" w:cs="Times New Roman"/>
          <w:lang w:val="zh-CN"/>
        </w:rPr>
      </w:pPr>
      <w:r>
        <w:rPr>
          <w:rFonts w:ascii="Times New Roman" w:hAnsi="Times New Roman" w:cs="Times New Roman"/>
          <w:lang w:val="zh-CN"/>
        </w:rPr>
        <w:t>医疗废物处置全过程的管理制度；</w:t>
      </w:r>
    </w:p>
    <w:p>
      <w:pPr>
        <w:pStyle w:val="281"/>
        <w:numPr>
          <w:ilvl w:val="0"/>
          <w:numId w:val="25"/>
        </w:numPr>
        <w:spacing w:line="480" w:lineRule="exact"/>
        <w:ind w:firstLine="480" w:firstLineChars="200"/>
        <w:rPr>
          <w:rFonts w:ascii="Times New Roman" w:hAnsi="Times New Roman" w:cs="Times New Roman"/>
          <w:lang w:val="zh-CN"/>
        </w:rPr>
      </w:pPr>
      <w:r>
        <w:rPr>
          <w:rFonts w:ascii="Times New Roman" w:hAnsi="Times New Roman" w:cs="Times New Roman"/>
          <w:lang w:val="zh-CN"/>
        </w:rPr>
        <w:t>环境保护与安全卫生；</w:t>
      </w:r>
    </w:p>
    <w:p>
      <w:pPr>
        <w:pStyle w:val="281"/>
        <w:numPr>
          <w:ilvl w:val="0"/>
          <w:numId w:val="25"/>
        </w:numPr>
        <w:spacing w:line="480" w:lineRule="exact"/>
        <w:ind w:firstLine="480" w:firstLineChars="200"/>
        <w:rPr>
          <w:rFonts w:ascii="Times New Roman" w:hAnsi="Times New Roman" w:cs="Times New Roman"/>
          <w:lang w:val="zh-CN"/>
        </w:rPr>
      </w:pPr>
      <w:r>
        <w:rPr>
          <w:rFonts w:ascii="Times New Roman" w:hAnsi="Times New Roman" w:cs="Times New Roman"/>
          <w:lang w:val="zh-CN"/>
        </w:rPr>
        <w:t>人员培训；</w:t>
      </w:r>
    </w:p>
    <w:p>
      <w:pPr>
        <w:pStyle w:val="281"/>
        <w:numPr>
          <w:ilvl w:val="0"/>
          <w:numId w:val="25"/>
        </w:numPr>
        <w:spacing w:line="480" w:lineRule="exact"/>
        <w:ind w:firstLine="480" w:firstLineChars="200"/>
        <w:rPr>
          <w:rFonts w:ascii="Times New Roman" w:hAnsi="Times New Roman" w:cs="Times New Roman"/>
          <w:lang w:val="zh-CN"/>
        </w:rPr>
      </w:pPr>
      <w:r>
        <w:rPr>
          <w:rFonts w:ascii="Times New Roman" w:hAnsi="Times New Roman" w:cs="Times New Roman"/>
          <w:lang w:val="zh-CN"/>
        </w:rPr>
        <w:t>医疗废物交接制度；</w:t>
      </w:r>
    </w:p>
    <w:p>
      <w:pPr>
        <w:pStyle w:val="281"/>
        <w:numPr>
          <w:ilvl w:val="0"/>
          <w:numId w:val="25"/>
        </w:numPr>
        <w:spacing w:line="480" w:lineRule="exact"/>
        <w:ind w:firstLine="480" w:firstLineChars="200"/>
        <w:rPr>
          <w:rFonts w:ascii="Times New Roman" w:hAnsi="Times New Roman" w:cs="Times New Roman"/>
          <w:lang w:val="zh-CN"/>
        </w:rPr>
      </w:pPr>
      <w:r>
        <w:rPr>
          <w:rFonts w:ascii="Times New Roman" w:hAnsi="Times New Roman" w:cs="Times New Roman"/>
          <w:lang w:val="zh-CN"/>
        </w:rPr>
        <w:t>定期检测、评价及评估制度；</w:t>
      </w:r>
    </w:p>
    <w:p>
      <w:pPr>
        <w:pStyle w:val="281"/>
        <w:numPr>
          <w:ilvl w:val="0"/>
          <w:numId w:val="25"/>
        </w:numPr>
        <w:spacing w:line="480" w:lineRule="exact"/>
        <w:ind w:firstLine="480"/>
        <w:rPr>
          <w:rFonts w:ascii="Times New Roman" w:hAnsi="Times New Roman" w:cs="Times New Roman"/>
          <w:lang w:val="zh-CN"/>
        </w:rPr>
      </w:pPr>
      <w:r>
        <w:rPr>
          <w:rFonts w:ascii="Times New Roman" w:hAnsi="Times New Roman" w:cs="Times New Roman"/>
          <w:lang w:val="zh-CN"/>
        </w:rPr>
        <w:t>运行记录及档案管理制度。</w:t>
      </w:r>
    </w:p>
    <w:p>
      <w:pPr>
        <w:pStyle w:val="4"/>
        <w:spacing w:before="120" w:beforeLines="50" w:after="120" w:afterLines="50" w:line="480" w:lineRule="exact"/>
        <w:rPr>
          <w:rFonts w:ascii="Times New Roman" w:hAnsi="Times New Roman" w:eastAsia="黑体"/>
          <w:bCs/>
          <w:sz w:val="28"/>
          <w:szCs w:val="28"/>
          <w:lang w:val="zh-CN"/>
        </w:rPr>
      </w:pPr>
      <w:r>
        <w:rPr>
          <w:rFonts w:ascii="Times New Roman" w:hAnsi="Times New Roman" w:eastAsia="黑体"/>
          <w:bCs/>
          <w:sz w:val="28"/>
          <w:szCs w:val="28"/>
          <w:lang w:val="zh-CN"/>
        </w:rPr>
        <w:t>环境</w:t>
      </w:r>
      <w:r>
        <w:rPr>
          <w:rFonts w:hint="eastAsia" w:ascii="Times New Roman" w:hAnsi="Times New Roman" w:eastAsia="黑体"/>
          <w:bCs/>
          <w:sz w:val="28"/>
          <w:szCs w:val="28"/>
          <w:lang w:val="zh-CN"/>
        </w:rPr>
        <w:t>管理要求</w:t>
      </w:r>
    </w:p>
    <w:p>
      <w:pPr>
        <w:spacing w:line="480" w:lineRule="exact"/>
        <w:ind w:firstLine="480" w:firstLineChars="200"/>
        <w:rPr>
          <w:rFonts w:ascii="Times New Roman" w:hAnsi="Times New Roman"/>
          <w:sz w:val="24"/>
          <w:szCs w:val="24"/>
          <w:lang w:val="zh-CN"/>
        </w:rPr>
      </w:pPr>
      <w:r>
        <w:rPr>
          <w:rFonts w:hint="eastAsia" w:ascii="Times New Roman" w:hAnsi="Times New Roman"/>
          <w:sz w:val="24"/>
          <w:szCs w:val="24"/>
          <w:lang w:val="zh-CN"/>
        </w:rPr>
        <w:t>（</w:t>
      </w:r>
      <w:r>
        <w:rPr>
          <w:rFonts w:ascii="Times New Roman" w:hAnsi="Times New Roman"/>
          <w:sz w:val="24"/>
          <w:szCs w:val="24"/>
          <w:lang w:val="zh-CN"/>
        </w:rPr>
        <w:t>1）企业需严格按照《关于印发&lt;危险废物规范化管理指标体系&gt;的通知》（环办[2015]99号）制定并执行环境管理制度。</w:t>
      </w:r>
    </w:p>
    <w:p>
      <w:pPr>
        <w:spacing w:line="480" w:lineRule="exact"/>
        <w:ind w:firstLine="480" w:firstLineChars="200"/>
        <w:rPr>
          <w:rFonts w:ascii="Times New Roman" w:hAnsi="Times New Roman"/>
          <w:sz w:val="24"/>
          <w:szCs w:val="24"/>
          <w:lang w:val="zh-CN"/>
        </w:rPr>
      </w:pPr>
      <w:r>
        <w:rPr>
          <w:rFonts w:hint="eastAsia" w:ascii="Times New Roman" w:hAnsi="Times New Roman"/>
          <w:sz w:val="24"/>
          <w:szCs w:val="24"/>
          <w:lang w:val="zh-CN"/>
        </w:rPr>
        <w:t>（</w:t>
      </w:r>
      <w:r>
        <w:rPr>
          <w:rFonts w:ascii="Times New Roman" w:hAnsi="Times New Roman"/>
          <w:sz w:val="24"/>
          <w:szCs w:val="24"/>
          <w:lang w:val="zh-CN"/>
        </w:rPr>
        <w:t>2）企业需严格按照《医疗废物管理条例》（中华人民共和国国务院令第380号，2011年1月8日修正版）、《</w:t>
      </w:r>
      <w:r>
        <w:rPr>
          <w:rFonts w:hint="eastAsia" w:ascii="Times New Roman" w:hAnsi="Times New Roman"/>
          <w:sz w:val="24"/>
          <w:szCs w:val="24"/>
          <w:lang w:val="zh-CN"/>
        </w:rPr>
        <w:t>医疗废物处理处置污染控制标准</w:t>
      </w:r>
      <w:r>
        <w:rPr>
          <w:rFonts w:ascii="Times New Roman" w:hAnsi="Times New Roman"/>
          <w:sz w:val="24"/>
          <w:szCs w:val="24"/>
          <w:lang w:val="zh-CN"/>
        </w:rPr>
        <w:t>》（GB39707-2020）、《关于进一步规范医疗废物管理工作的通知》（国卫办医发[2017]32号）、《医疗废物集中处置技术规范（试行）》（环发[2003]206号）、《</w:t>
      </w:r>
      <w:r>
        <w:rPr>
          <w:rFonts w:hint="eastAsia" w:ascii="Times New Roman" w:hAnsi="Times New Roman"/>
          <w:sz w:val="24"/>
          <w:szCs w:val="24"/>
          <w:lang w:val="zh-CN"/>
        </w:rPr>
        <w:t>医疗废物高温蒸汽消毒集中处理工程技术规范</w:t>
      </w:r>
      <w:r>
        <w:rPr>
          <w:rFonts w:ascii="Times New Roman" w:hAnsi="Times New Roman"/>
          <w:sz w:val="24"/>
          <w:szCs w:val="24"/>
          <w:lang w:val="zh-CN"/>
        </w:rPr>
        <w:t>》（HJ276-2021）等文件中与本</w:t>
      </w:r>
      <w:r>
        <w:rPr>
          <w:rFonts w:hint="eastAsia" w:ascii="Times New Roman" w:hAnsi="Times New Roman"/>
          <w:sz w:val="24"/>
          <w:szCs w:val="24"/>
          <w:lang w:val="zh-CN"/>
        </w:rPr>
        <w:t>项目</w:t>
      </w:r>
      <w:r>
        <w:rPr>
          <w:rFonts w:ascii="Times New Roman" w:hAnsi="Times New Roman"/>
          <w:sz w:val="24"/>
          <w:szCs w:val="24"/>
          <w:lang w:val="zh-CN"/>
        </w:rPr>
        <w:t>相关的规定进行医疗废物收运和处置工作。</w:t>
      </w:r>
    </w:p>
    <w:p>
      <w:pPr>
        <w:spacing w:line="480" w:lineRule="exact"/>
        <w:ind w:firstLine="480" w:firstLineChars="200"/>
        <w:rPr>
          <w:rFonts w:ascii="Times New Roman" w:hAnsi="Times New Roman"/>
          <w:sz w:val="24"/>
          <w:szCs w:val="24"/>
          <w:lang w:val="zh-CN"/>
        </w:rPr>
      </w:pPr>
      <w:r>
        <w:rPr>
          <w:rFonts w:hint="eastAsia" w:ascii="Times New Roman" w:hAnsi="Times New Roman"/>
          <w:sz w:val="24"/>
          <w:szCs w:val="24"/>
          <w:lang w:val="zh-CN"/>
        </w:rPr>
        <w:t>（</w:t>
      </w:r>
      <w:r>
        <w:rPr>
          <w:rFonts w:ascii="Times New Roman" w:hAnsi="Times New Roman"/>
          <w:sz w:val="24"/>
          <w:szCs w:val="24"/>
          <w:lang w:val="zh-CN"/>
        </w:rPr>
        <w:t>3）企业需严格按照《关于推进危险废物环境管理信息化有关工作的通知》（环办固体函[2020]733号）和《关于推进危险废物环境管理信息化有关工作的通知》（环办固体函[2020]733号）要求规范持危险废物许可证单位信息化环境管理，即应于每年3月31日前通过固体废物管理信息系统报送上一年度危险废物收集、贮存、利用、处置等有关情况。</w:t>
      </w:r>
    </w:p>
    <w:p>
      <w:pPr>
        <w:spacing w:line="480" w:lineRule="exact"/>
        <w:ind w:firstLine="480" w:firstLineChars="200"/>
        <w:rPr>
          <w:rFonts w:ascii="Times New Roman" w:hAnsi="Times New Roman"/>
          <w:sz w:val="24"/>
          <w:szCs w:val="24"/>
          <w:lang w:val="zh-CN"/>
        </w:rPr>
      </w:pPr>
      <w:r>
        <w:rPr>
          <w:rFonts w:hint="eastAsia" w:ascii="Times New Roman" w:hAnsi="Times New Roman"/>
          <w:sz w:val="24"/>
          <w:szCs w:val="24"/>
          <w:lang w:val="zh-CN"/>
        </w:rPr>
        <w:t>（</w:t>
      </w:r>
      <w:r>
        <w:rPr>
          <w:rFonts w:ascii="Times New Roman" w:hAnsi="Times New Roman"/>
          <w:sz w:val="24"/>
          <w:szCs w:val="24"/>
          <w:lang w:val="zh-CN"/>
        </w:rPr>
        <w:t>4）企业从设计到实际生产运行，应做到高起点、严要求，采用先进、成熟、低废的生产工艺和设备，尽早实施并通过认证，达到完善企业管理、树立企业形象、降低生产成本、提高产品质量、减少环境风险的生产目的，实现企业可持续发展。建议本项目按照ISO14001建立环境管理体系，制定清洁生产操作规程，健全清洁生产管理规章制度。</w:t>
      </w:r>
    </w:p>
    <w:p>
      <w:pPr>
        <w:spacing w:line="480" w:lineRule="exact"/>
        <w:ind w:firstLine="480" w:firstLineChars="200"/>
        <w:rPr>
          <w:rFonts w:ascii="Times New Roman" w:hAnsi="Times New Roman"/>
          <w:sz w:val="24"/>
          <w:szCs w:val="24"/>
          <w:lang w:val="zh-CN"/>
        </w:rPr>
      </w:pPr>
      <w:r>
        <w:rPr>
          <w:rFonts w:hint="eastAsia" w:ascii="Times New Roman" w:hAnsi="Times New Roman"/>
          <w:sz w:val="24"/>
          <w:szCs w:val="24"/>
          <w:lang w:val="zh-CN"/>
        </w:rPr>
        <w:t>（</w:t>
      </w:r>
      <w:r>
        <w:rPr>
          <w:rFonts w:ascii="Times New Roman" w:hAnsi="Times New Roman"/>
          <w:sz w:val="24"/>
          <w:szCs w:val="24"/>
          <w:lang w:val="zh-CN"/>
        </w:rPr>
        <w:t>4）按照节能、降耗、减污、增效的清洁生产原则，制定企业各工段的清洁生产措施实施细则，通过技术培训和清洁生产教育，提高干部职工落实清洁生产的意识和能力，使清洁生产措施落到实处。</w:t>
      </w:r>
    </w:p>
    <w:p>
      <w:pPr>
        <w:spacing w:line="480" w:lineRule="exact"/>
        <w:ind w:firstLine="480" w:firstLineChars="200"/>
        <w:rPr>
          <w:rFonts w:ascii="Times New Roman" w:hAnsi="Times New Roman"/>
          <w:sz w:val="24"/>
          <w:szCs w:val="24"/>
          <w:lang w:val="zh-CN"/>
        </w:rPr>
      </w:pPr>
      <w:r>
        <w:rPr>
          <w:rFonts w:hint="eastAsia" w:ascii="Times New Roman" w:hAnsi="Times New Roman"/>
          <w:sz w:val="24"/>
          <w:szCs w:val="24"/>
          <w:lang w:val="zh-CN"/>
        </w:rPr>
        <w:t>（</w:t>
      </w:r>
      <w:r>
        <w:rPr>
          <w:rFonts w:ascii="Times New Roman" w:hAnsi="Times New Roman"/>
          <w:sz w:val="24"/>
          <w:szCs w:val="24"/>
          <w:lang w:val="zh-CN"/>
        </w:rPr>
        <w:t>5）生产过程中应严格按照操作规程进行，定期进行预防性维修保养，减少各种“跑、冒、滴、漏”及事故排放等情况的发生。</w:t>
      </w:r>
    </w:p>
    <w:p>
      <w:pPr>
        <w:spacing w:line="480" w:lineRule="exact"/>
        <w:ind w:firstLine="480" w:firstLineChars="200"/>
        <w:rPr>
          <w:rFonts w:ascii="Times New Roman" w:hAnsi="Times New Roman"/>
          <w:sz w:val="24"/>
          <w:szCs w:val="24"/>
          <w:lang w:val="zh-CN"/>
        </w:rPr>
      </w:pPr>
      <w:r>
        <w:rPr>
          <w:rFonts w:hint="eastAsia" w:ascii="Times New Roman" w:hAnsi="Times New Roman"/>
          <w:sz w:val="24"/>
          <w:szCs w:val="24"/>
          <w:lang w:val="zh-CN"/>
        </w:rPr>
        <w:t>建议企业在运营一段时间之后进行清洁生产审核。清洁生产审计是对企业计划进行地工业生产预防污染方案的分析和评估，是企业实行清洁生产的重要前提，也是企业实施清洁生产的关键和核心。通过清洁生产审计，达到：</w:t>
      </w:r>
    </w:p>
    <w:p>
      <w:pPr>
        <w:spacing w:line="480" w:lineRule="exact"/>
        <w:ind w:firstLine="480" w:firstLineChars="200"/>
        <w:rPr>
          <w:rFonts w:ascii="Times New Roman" w:hAnsi="Times New Roman"/>
          <w:sz w:val="24"/>
          <w:szCs w:val="24"/>
          <w:lang w:val="zh-CN"/>
        </w:rPr>
      </w:pPr>
      <w:r>
        <w:rPr>
          <w:rFonts w:hint="eastAsia" w:ascii="Times New Roman" w:hAnsi="Times New Roman"/>
          <w:sz w:val="24"/>
          <w:szCs w:val="24"/>
          <w:lang w:val="zh-CN"/>
        </w:rPr>
        <w:t>①核对有关单元操作、原材料、产品、用水、能源和废物的资料；</w:t>
      </w:r>
    </w:p>
    <w:p>
      <w:pPr>
        <w:spacing w:line="480" w:lineRule="exact"/>
        <w:ind w:firstLine="480" w:firstLineChars="200"/>
        <w:rPr>
          <w:rFonts w:ascii="Times New Roman" w:hAnsi="Times New Roman"/>
          <w:sz w:val="24"/>
          <w:szCs w:val="24"/>
          <w:lang w:val="zh-CN"/>
        </w:rPr>
      </w:pPr>
      <w:r>
        <w:rPr>
          <w:rFonts w:hint="eastAsia" w:ascii="Times New Roman" w:hAnsi="Times New Roman"/>
          <w:sz w:val="24"/>
          <w:szCs w:val="24"/>
          <w:lang w:val="zh-CN"/>
        </w:rPr>
        <w:t>②确定废物的来源、数量以及类型，确定废物削减的目标，制定经济有效的削减废物产生的对策；</w:t>
      </w:r>
    </w:p>
    <w:p>
      <w:pPr>
        <w:spacing w:line="480" w:lineRule="exact"/>
        <w:ind w:firstLine="480" w:firstLineChars="200"/>
        <w:rPr>
          <w:rFonts w:ascii="Times New Roman" w:hAnsi="Times New Roman"/>
          <w:sz w:val="24"/>
          <w:szCs w:val="24"/>
          <w:lang w:val="zh-CN"/>
        </w:rPr>
      </w:pPr>
      <w:r>
        <w:rPr>
          <w:rFonts w:hint="eastAsia" w:ascii="Times New Roman" w:hAnsi="Times New Roman"/>
          <w:sz w:val="24"/>
          <w:szCs w:val="24"/>
          <w:lang w:val="zh-CN"/>
        </w:rPr>
        <w:t>③提高企业对由削减废物获得效益的认识和知识；</w:t>
      </w:r>
    </w:p>
    <w:p>
      <w:pPr>
        <w:spacing w:line="480" w:lineRule="exact"/>
        <w:ind w:firstLine="480" w:firstLineChars="200"/>
        <w:rPr>
          <w:rFonts w:ascii="Times New Roman" w:hAnsi="Times New Roman"/>
          <w:sz w:val="24"/>
          <w:szCs w:val="24"/>
          <w:lang w:val="zh-CN"/>
        </w:rPr>
      </w:pPr>
      <w:r>
        <w:rPr>
          <w:rFonts w:hint="eastAsia" w:ascii="Times New Roman" w:hAnsi="Times New Roman"/>
          <w:sz w:val="24"/>
          <w:szCs w:val="24"/>
          <w:lang w:val="zh-CN"/>
        </w:rPr>
        <w:t>④判定企业效率低的瓶部位和管理不善的地方；</w:t>
      </w:r>
    </w:p>
    <w:p>
      <w:pPr>
        <w:spacing w:line="480" w:lineRule="exact"/>
        <w:ind w:firstLine="480" w:firstLineChars="200"/>
        <w:rPr>
          <w:rFonts w:ascii="Times New Roman" w:hAnsi="Times New Roman"/>
          <w:sz w:val="24"/>
          <w:szCs w:val="24"/>
          <w:lang w:val="zh-CN"/>
        </w:rPr>
      </w:pPr>
      <w:r>
        <w:rPr>
          <w:rFonts w:hint="eastAsia" w:ascii="Times New Roman" w:hAnsi="Times New Roman"/>
          <w:sz w:val="24"/>
          <w:szCs w:val="24"/>
          <w:lang w:val="zh-CN"/>
        </w:rPr>
        <w:t>⑤提高企业经济效益和产品质量。</w:t>
      </w:r>
    </w:p>
    <w:p>
      <w:pPr>
        <w:pStyle w:val="4"/>
        <w:spacing w:before="120" w:beforeLines="50" w:after="120" w:afterLines="50" w:line="480" w:lineRule="exact"/>
        <w:rPr>
          <w:rFonts w:ascii="Times New Roman" w:hAnsi="Times New Roman" w:eastAsia="黑体"/>
          <w:bCs/>
          <w:sz w:val="28"/>
          <w:szCs w:val="28"/>
          <w:lang w:val="zh-CN"/>
        </w:rPr>
      </w:pPr>
      <w:bookmarkStart w:id="1572" w:name="_Toc9163"/>
      <w:r>
        <w:rPr>
          <w:rFonts w:ascii="Times New Roman" w:hAnsi="Times New Roman" w:eastAsia="黑体"/>
          <w:bCs/>
          <w:sz w:val="28"/>
          <w:szCs w:val="28"/>
          <w:lang w:val="zh-CN"/>
        </w:rPr>
        <w:t>医疗废物处置全过程的管理制度</w:t>
      </w:r>
      <w:bookmarkEnd w:id="1572"/>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本次评价针对医疗废物的暂时贮存、收集、运输、厂内贮存及处置全过程制定以下制度：</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（1）医疗卫生机构的医疗废物贮存冷藏库应进行严格消毒，满足消毒频次及暂时贮存时间的要求，并督促相关主管部门检查其有关规章制度及工作程序的制定和执行情况。</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（2）医疗废物的交接严格按照《危险废物转运联单管理办法》执行，产生单位和处置单位的日常医疗废物交接可采用简化的《危险废物转运联单》（医疗废物专用）。</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（3）运送人员在接收医疗废物时，应外观检查该医疗机构是否按规定对其进行包装、标识，如未按要求执行，运送人员有权拒绝运送，并向当地环保部门报告。未经许可不得接受化学性医疗废物。</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（4）现场交接时应认真核对医疗废物的种类、数量、标识等，并确认与危险废物转移联单是否相符。</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5）采用符合《医疗废物转运车技术要求（试行）》（GB19217-2003）的运送车辆，所需物件按要求配备齐全，在规定的时间按照既定的运送路线运送医疗废物，运送过程由运送车指定负责人负责。每次运送完毕应按规定进行消毒和清洗。</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（6）运送车辆不得搭乘其它无关人员，不得装载或混装其他货物和动植物。车辆行驶时应锁闭车厢门，确保安全，不得丢失、遗撒和打开包装取出医疗废物。</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（7）进入处置中心不能立即处置的医疗废物应置于贮藏间（冷藏库），并严格执行暂时贮存时间的规定。</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（8）工作人员在采取必要的防护措施后开始进行医疗废物处置，处置过程中应严格按照规范进行操作，并记录标准要求的各项参数。</w:t>
      </w:r>
    </w:p>
    <w:p>
      <w:pPr>
        <w:pStyle w:val="4"/>
        <w:spacing w:before="120" w:beforeLines="50" w:after="120" w:afterLines="50" w:line="480" w:lineRule="exact"/>
        <w:rPr>
          <w:rFonts w:ascii="Times New Roman" w:hAnsi="Times New Roman" w:eastAsia="黑体"/>
          <w:bCs/>
          <w:sz w:val="28"/>
          <w:szCs w:val="28"/>
          <w:lang w:val="zh-CN"/>
        </w:rPr>
      </w:pPr>
      <w:bookmarkStart w:id="1573" w:name="_Toc29325"/>
      <w:r>
        <w:rPr>
          <w:rFonts w:ascii="Times New Roman" w:hAnsi="Times New Roman" w:eastAsia="黑体"/>
          <w:bCs/>
          <w:sz w:val="28"/>
          <w:szCs w:val="28"/>
          <w:lang w:val="zh-CN"/>
        </w:rPr>
        <w:t>环境保护与安全卫生</w:t>
      </w:r>
      <w:bookmarkEnd w:id="1573"/>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（1）医疗废物进场后应在规定时间内尽快处理，减少存放时间，避免恶臭产生。</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2）废物的贮存、卸料、进料、破碎和消毒应采用负压操作，控制恶臭和带菌气体扩散。抽出的气体应通过高效空气净化器及除臭装置处理后排放，并应符合《恶臭污染物排放标准》（GB14554-93）中表2恶臭污染物排放标准值。</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（3）已安全处理的医疗废物如需在厂内暂存，应采用容器盛装或包装袋包装后存放，不得和未处理的医疗废物一同存放。</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（4）主要噪声设备，如破碎机、泵、风机等应采取基础减震和消声及隔声措施，厂界噪声应符合《工业企业厂界环境噪声排放标准》（GB12348-2008）要求。</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（5）医疗废物经高温干热处理和一套的破碎设备破碎毁形，并且处理效果满足要求后，可进入双鸭山市垃圾填埋场进行最终处置，严禁回收利用。</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（6）废气处理过程中过滤、吸附装置及吸附材料因为使用寿命或其它原因而不能使用时，应作为危险废物进行安全处置。</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（7）所使用防护用品的类型应根据所涉及的医疗废物的危险程度而定，对医疗废物收集和处理人员应达到如下要求：</w:t>
      </w:r>
    </w:p>
    <w:p>
      <w:pPr>
        <w:pStyle w:val="281"/>
        <w:spacing w:line="480" w:lineRule="exact"/>
        <w:ind w:firstLine="480" w:firstLineChars="200"/>
        <w:rPr>
          <w:rFonts w:ascii="Times New Roman" w:hAnsi="Times New Roman" w:cs="Times New Roman"/>
          <w:lang w:val="zh-CN"/>
        </w:rPr>
      </w:pPr>
      <w:r>
        <w:rPr>
          <w:rFonts w:hint="eastAsia" w:ascii="宋体" w:hAnsi="宋体" w:cs="宋体"/>
          <w:lang w:val="zh-CN"/>
        </w:rPr>
        <w:t>①</w:t>
      </w:r>
      <w:r>
        <w:rPr>
          <w:rFonts w:ascii="Times New Roman" w:hAnsi="Times New Roman" w:cs="Times New Roman"/>
          <w:lang w:val="zh-CN"/>
        </w:rPr>
        <w:t>头盔，有或无面罩，依操作而定；</w:t>
      </w:r>
    </w:p>
    <w:p>
      <w:pPr>
        <w:pStyle w:val="281"/>
        <w:spacing w:line="480" w:lineRule="exact"/>
        <w:ind w:firstLine="480" w:firstLineChars="200"/>
        <w:rPr>
          <w:rFonts w:ascii="Times New Roman" w:hAnsi="Times New Roman" w:cs="Times New Roman"/>
          <w:lang w:val="zh-CN"/>
        </w:rPr>
      </w:pPr>
      <w:r>
        <w:rPr>
          <w:rFonts w:hint="eastAsia" w:ascii="宋体" w:hAnsi="宋体" w:cs="宋体"/>
          <w:lang w:val="zh-CN"/>
        </w:rPr>
        <w:t>②</w:t>
      </w:r>
      <w:r>
        <w:rPr>
          <w:rFonts w:ascii="Times New Roman" w:hAnsi="Times New Roman" w:cs="Times New Roman"/>
          <w:lang w:val="zh-CN"/>
        </w:rPr>
        <w:t>口罩，必需；</w:t>
      </w:r>
    </w:p>
    <w:p>
      <w:pPr>
        <w:pStyle w:val="281"/>
        <w:spacing w:line="480" w:lineRule="exact"/>
        <w:ind w:firstLine="480" w:firstLineChars="200"/>
        <w:rPr>
          <w:rFonts w:ascii="Times New Roman" w:hAnsi="Times New Roman" w:cs="Times New Roman"/>
          <w:lang w:val="zh-CN"/>
        </w:rPr>
      </w:pPr>
      <w:r>
        <w:rPr>
          <w:rFonts w:hint="eastAsia" w:ascii="宋体" w:hAnsi="宋体" w:cs="宋体"/>
          <w:lang w:val="zh-CN"/>
        </w:rPr>
        <w:t>③</w:t>
      </w:r>
      <w:r>
        <w:rPr>
          <w:rFonts w:ascii="Times New Roman" w:hAnsi="Times New Roman" w:cs="Times New Roman"/>
          <w:lang w:val="zh-CN"/>
        </w:rPr>
        <w:t>护目镜，依操作而定；</w:t>
      </w:r>
    </w:p>
    <w:p>
      <w:pPr>
        <w:pStyle w:val="281"/>
        <w:spacing w:line="480" w:lineRule="exact"/>
        <w:ind w:firstLine="480" w:firstLineChars="200"/>
        <w:rPr>
          <w:rFonts w:ascii="Times New Roman" w:hAnsi="Times New Roman" w:cs="Times New Roman"/>
          <w:lang w:val="zh-CN"/>
        </w:rPr>
      </w:pPr>
      <w:r>
        <w:rPr>
          <w:rFonts w:hint="eastAsia" w:ascii="宋体" w:hAnsi="宋体" w:cs="宋体"/>
          <w:lang w:val="zh-CN"/>
        </w:rPr>
        <w:t>④</w:t>
      </w:r>
      <w:r>
        <w:rPr>
          <w:rFonts w:ascii="Times New Roman" w:hAnsi="Times New Roman" w:cs="Times New Roman"/>
          <w:lang w:val="zh-CN"/>
        </w:rPr>
        <w:t>工作裤（工作服），必需；</w:t>
      </w:r>
    </w:p>
    <w:p>
      <w:pPr>
        <w:pStyle w:val="281"/>
        <w:spacing w:line="480" w:lineRule="exact"/>
        <w:ind w:firstLine="480" w:firstLineChars="200"/>
        <w:rPr>
          <w:rFonts w:ascii="Times New Roman" w:hAnsi="Times New Roman" w:cs="Times New Roman"/>
          <w:lang w:val="zh-CN"/>
        </w:rPr>
      </w:pPr>
      <w:r>
        <w:rPr>
          <w:rFonts w:hint="eastAsia" w:ascii="宋体" w:hAnsi="宋体" w:cs="宋体"/>
          <w:lang w:val="zh-CN"/>
        </w:rPr>
        <w:t>⑤</w:t>
      </w:r>
      <w:r>
        <w:rPr>
          <w:rFonts w:ascii="Times New Roman" w:hAnsi="Times New Roman" w:cs="Times New Roman"/>
          <w:lang w:val="zh-CN"/>
        </w:rPr>
        <w:t>护腿和工业用靴，必需；</w:t>
      </w:r>
    </w:p>
    <w:p>
      <w:pPr>
        <w:pStyle w:val="281"/>
        <w:spacing w:line="480" w:lineRule="exact"/>
        <w:ind w:firstLine="480" w:firstLineChars="200"/>
        <w:rPr>
          <w:rFonts w:ascii="Times New Roman" w:hAnsi="Times New Roman" w:cs="Times New Roman"/>
          <w:lang w:val="zh-CN"/>
        </w:rPr>
      </w:pPr>
      <w:r>
        <w:rPr>
          <w:rFonts w:hint="eastAsia" w:ascii="宋体" w:hAnsi="宋体" w:cs="宋体"/>
          <w:lang w:val="zh-CN"/>
        </w:rPr>
        <w:t>⑥</w:t>
      </w:r>
      <w:r>
        <w:rPr>
          <w:rFonts w:ascii="Times New Roman" w:hAnsi="Times New Roman" w:cs="Times New Roman"/>
          <w:lang w:val="zh-CN"/>
        </w:rPr>
        <w:t>一次性手套（一般工作人员用）或耐受力强的手套（医疗废物处理工人用），必需；</w:t>
      </w:r>
    </w:p>
    <w:p>
      <w:pPr>
        <w:pStyle w:val="281"/>
        <w:spacing w:line="480" w:lineRule="exact"/>
        <w:ind w:firstLine="480" w:firstLineChars="200"/>
        <w:rPr>
          <w:rFonts w:ascii="Times New Roman" w:hAnsi="Times New Roman" w:cs="Times New Roman"/>
          <w:lang w:val="zh-CN"/>
        </w:rPr>
      </w:pPr>
      <w:r>
        <w:rPr>
          <w:rFonts w:hint="eastAsia" w:ascii="宋体" w:hAnsi="宋体" w:cs="宋体"/>
          <w:lang w:val="zh-CN"/>
        </w:rPr>
        <w:t>⑦</w:t>
      </w:r>
      <w:r>
        <w:rPr>
          <w:rFonts w:ascii="Times New Roman" w:hAnsi="Times New Roman" w:cs="Times New Roman"/>
          <w:lang w:val="zh-CN"/>
        </w:rPr>
        <w:t>耳罩，依操作而定。</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（8）应制定严密的应急和突发事件处理计划，其内容至少应包括：</w:t>
      </w:r>
    </w:p>
    <w:p>
      <w:pPr>
        <w:pStyle w:val="281"/>
        <w:spacing w:line="480" w:lineRule="exact"/>
        <w:ind w:firstLine="480" w:firstLineChars="200"/>
        <w:rPr>
          <w:rFonts w:ascii="Times New Roman" w:hAnsi="Times New Roman" w:cs="Times New Roman"/>
          <w:lang w:val="zh-CN"/>
        </w:rPr>
      </w:pPr>
      <w:r>
        <w:rPr>
          <w:rFonts w:hint="eastAsia" w:ascii="宋体" w:hAnsi="宋体" w:cs="宋体"/>
          <w:lang w:val="zh-CN"/>
        </w:rPr>
        <w:t>①</w:t>
      </w:r>
      <w:r>
        <w:rPr>
          <w:rFonts w:ascii="Times New Roman" w:hAnsi="Times New Roman" w:cs="Times New Roman"/>
          <w:lang w:val="zh-CN"/>
        </w:rPr>
        <w:t>医疗废物运输过程中发生大大量溢出、散落、扩散时的应急计划；</w:t>
      </w:r>
    </w:p>
    <w:p>
      <w:pPr>
        <w:pStyle w:val="281"/>
        <w:spacing w:line="480" w:lineRule="exact"/>
        <w:ind w:firstLine="480" w:firstLineChars="200"/>
        <w:rPr>
          <w:rFonts w:ascii="Times New Roman" w:hAnsi="Times New Roman" w:cs="Times New Roman"/>
          <w:lang w:val="zh-CN"/>
        </w:rPr>
      </w:pPr>
      <w:r>
        <w:rPr>
          <w:rFonts w:hint="eastAsia" w:ascii="宋体" w:hAnsi="宋体" w:cs="宋体"/>
          <w:lang w:val="zh-CN"/>
        </w:rPr>
        <w:t>②</w:t>
      </w:r>
      <w:r>
        <w:rPr>
          <w:rFonts w:ascii="Times New Roman" w:hAnsi="Times New Roman" w:cs="Times New Roman"/>
          <w:lang w:val="zh-CN"/>
        </w:rPr>
        <w:t>医疗废物暂存时发生病菌扩散事故的应急计划；</w:t>
      </w:r>
    </w:p>
    <w:p>
      <w:pPr>
        <w:pStyle w:val="281"/>
        <w:spacing w:line="480" w:lineRule="exact"/>
        <w:ind w:firstLine="480" w:firstLineChars="200"/>
        <w:rPr>
          <w:rFonts w:ascii="Times New Roman" w:hAnsi="Times New Roman" w:cs="Times New Roman"/>
          <w:lang w:val="zh-CN"/>
        </w:rPr>
      </w:pPr>
      <w:r>
        <w:rPr>
          <w:rFonts w:hint="eastAsia" w:ascii="宋体" w:hAnsi="宋体" w:cs="宋体"/>
          <w:lang w:val="zh-CN"/>
        </w:rPr>
        <w:t>③</w:t>
      </w:r>
      <w:r>
        <w:rPr>
          <w:rFonts w:ascii="Times New Roman" w:hAnsi="Times New Roman" w:cs="Times New Roman"/>
          <w:lang w:val="zh-CN"/>
        </w:rPr>
        <w:t>清洗消毒设施、设备发生故障的应急计划；</w:t>
      </w:r>
    </w:p>
    <w:p>
      <w:pPr>
        <w:pStyle w:val="281"/>
        <w:spacing w:line="480" w:lineRule="exact"/>
        <w:ind w:firstLine="480" w:firstLineChars="200"/>
        <w:rPr>
          <w:rFonts w:ascii="Times New Roman" w:hAnsi="Times New Roman" w:cs="Times New Roman"/>
          <w:lang w:val="zh-CN"/>
        </w:rPr>
      </w:pPr>
      <w:r>
        <w:rPr>
          <w:rFonts w:hint="eastAsia" w:ascii="宋体" w:hAnsi="宋体" w:cs="宋体"/>
          <w:lang w:val="zh-CN"/>
        </w:rPr>
        <w:t>④</w:t>
      </w:r>
      <w:r>
        <w:rPr>
          <w:rFonts w:ascii="Times New Roman" w:hAnsi="Times New Roman" w:cs="Times New Roman"/>
          <w:lang w:val="zh-CN"/>
        </w:rPr>
        <w:t>设备大修或事故期间，所积存大医疗废物量超过处理厂储存能力时的应急计划。</w:t>
      </w:r>
    </w:p>
    <w:p>
      <w:pPr>
        <w:pStyle w:val="281"/>
        <w:spacing w:line="480" w:lineRule="exact"/>
        <w:ind w:firstLine="480" w:firstLineChars="200"/>
        <w:rPr>
          <w:rFonts w:ascii="Times New Roman" w:hAnsi="Times New Roman" w:cs="Times New Roman"/>
          <w:lang w:val="zh-CN"/>
        </w:rPr>
      </w:pPr>
      <w:r>
        <w:rPr>
          <w:rFonts w:hint="eastAsia" w:ascii="宋体" w:hAnsi="宋体" w:cs="宋体"/>
          <w:lang w:val="zh-CN"/>
        </w:rPr>
        <w:t>⑤</w:t>
      </w:r>
      <w:r>
        <w:rPr>
          <w:rFonts w:ascii="Times New Roman" w:hAnsi="Times New Roman" w:cs="Times New Roman"/>
          <w:lang w:val="zh-CN"/>
        </w:rPr>
        <w:t>服务区域发生疫情时，医疗废物处理单元大处理能力无法满足疫情期间医疗废物处理要求时的应急预案。</w:t>
      </w:r>
    </w:p>
    <w:p>
      <w:pPr>
        <w:pStyle w:val="4"/>
        <w:spacing w:before="120" w:beforeLines="50" w:after="120" w:afterLines="50" w:line="480" w:lineRule="exact"/>
        <w:rPr>
          <w:rFonts w:ascii="Times New Roman" w:hAnsi="Times New Roman" w:eastAsia="黑体"/>
          <w:bCs/>
          <w:sz w:val="28"/>
          <w:szCs w:val="28"/>
          <w:lang w:val="zh-CN"/>
        </w:rPr>
      </w:pPr>
      <w:bookmarkStart w:id="1574" w:name="_Toc29241"/>
      <w:r>
        <w:rPr>
          <w:rFonts w:ascii="Times New Roman" w:hAnsi="Times New Roman" w:eastAsia="黑体"/>
          <w:bCs/>
          <w:sz w:val="28"/>
          <w:szCs w:val="28"/>
          <w:lang w:val="zh-CN"/>
        </w:rPr>
        <w:t>人员培训</w:t>
      </w:r>
      <w:bookmarkEnd w:id="1574"/>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医疗废物高温干热处理厂应对操作人员、技术人员及管理人员进行相关法律法规、专业技术、安全防护、应急处理等理论知识和操作技能培训，主要包括：</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对医疗废物处置中心所有工作人员的培训应满足如下要求：</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（1）熟悉有关医疗废物管理的法律和规章制度；</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（2）了解医疗废物危险性方面的知识；</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（3）明确医疗废物安全卫生处理和环境保护的重要意义；</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（4）熟悉医疗废物的分类和包装标识；</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（5）熟悉医疗废物化学消毒的工艺流程及处理方法；</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（6）掌握职业安全教育和个人保护装置的使用，明确劳动安全防护设施、设备的使用知识和个人卫生措施；</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（7）熟悉处理泄漏和其他事故的应急操作程序。</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对处理操作人员和技术人员除了要满足上述要求外，其培训还应满足如下要求：</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（1）医疗废物接收、转运、贮存和上料的具体操作，以及医疗废物处理的安全操作程序及标准；</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（2）最佳的运行温度以及保持设备良好运行的条件；控制、报警和指示系统的运行和检查以及必要时的纠正操作；</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（3）识别医疗废物高温蒸煮处理设备所不能处理的废物种类；</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（4）医疗废物高温蒸煮处理产生的排放物应达到的技术要求；</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（5）处理设备的正常运行，包括设备的启动和关闭；</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（6）设备运行故障的检查和排除程序及方法；</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（7）事故或紧急情况下人工操作和事故处理程序；</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（8）设备日常和定期维护及检查程序；</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（9）设备运行和维护记录，以及泄漏事故和其他事件的记录及报告。</w:t>
      </w:r>
    </w:p>
    <w:p>
      <w:pPr>
        <w:pStyle w:val="4"/>
        <w:spacing w:before="120" w:beforeLines="50" w:after="120" w:afterLines="50" w:line="480" w:lineRule="exact"/>
        <w:rPr>
          <w:rFonts w:ascii="Times New Roman" w:hAnsi="Times New Roman" w:eastAsia="黑体"/>
          <w:bCs/>
          <w:sz w:val="28"/>
          <w:szCs w:val="28"/>
          <w:lang w:val="zh-CN"/>
        </w:rPr>
      </w:pPr>
      <w:bookmarkStart w:id="1575" w:name="_Toc1807"/>
      <w:r>
        <w:rPr>
          <w:rFonts w:ascii="Times New Roman" w:hAnsi="Times New Roman" w:eastAsia="黑体"/>
          <w:bCs/>
          <w:sz w:val="28"/>
          <w:szCs w:val="28"/>
          <w:lang w:val="zh-CN"/>
        </w:rPr>
        <w:t>医疗废物交接制度</w:t>
      </w:r>
      <w:bookmarkEnd w:id="1575"/>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（1）医疗废物交接按照《医疗废物集中处置技术规范》（试行）的有关规定执行，采用《医疗废物运送登记卡》和《危险废物转移联单》（医疗废物专用）进行记录和管理。</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（2）医疗废物交接分为医疗废物现场交接和《医疗废物运送登记卡》的交接。</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（3）医疗废物应现场交接，核对其数量、种类、标识与《医疗废物运送登记卡》是否相符，以及包装是否密封。</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（4）若现场实物与《医疗废物运送登记卡》不相符，应及时向化学消毒处理厂负责人汇报并通知医疗废物委托人进行核实。</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（5）若发现医疗废物包装袋破裂、泄漏或其他事故时，高温干热灭菌处理厂应协助运输单位进行处理。</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（6）交接双方必须根据交接情况认真填写《医疗废物运送登记卡》，并签字确认。</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（7）根据危险废物转移联单制度妥善保存《医疗废物运送登记卡》，并定期向主管部门报送。</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（8）处置中心应对接收的医疗废物及时登记，并将进厂医疗废物的数量等有关信息输入计算机管理系统。</w:t>
      </w:r>
    </w:p>
    <w:p>
      <w:pPr>
        <w:pStyle w:val="4"/>
        <w:spacing w:before="120" w:beforeLines="50" w:after="120" w:afterLines="50" w:line="480" w:lineRule="exact"/>
        <w:rPr>
          <w:rFonts w:ascii="Times New Roman" w:hAnsi="Times New Roman" w:eastAsia="黑体"/>
          <w:bCs/>
          <w:sz w:val="28"/>
          <w:szCs w:val="28"/>
          <w:lang w:val="zh-CN"/>
        </w:rPr>
      </w:pPr>
      <w:bookmarkStart w:id="1576" w:name="_Toc17904"/>
      <w:r>
        <w:rPr>
          <w:rFonts w:ascii="Times New Roman" w:hAnsi="Times New Roman" w:eastAsia="黑体"/>
          <w:bCs/>
          <w:sz w:val="28"/>
          <w:szCs w:val="28"/>
          <w:lang w:val="zh-CN"/>
        </w:rPr>
        <w:t>定期检测、评价及评估制度</w:t>
      </w:r>
      <w:bookmarkEnd w:id="1576"/>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（1）设备在安装及检修后必须经国家环境保护总局认可的检测单位，采用生物学方法对处理后残渣进行效果检测合格后方可运行，严禁在未经检测或检验不合格的情况下进行高温蒸煮消毒处理。</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（2）处理厂应委托有资质第三方机构对高温干热处理设备处理效果做例行检测，检测频率每半年不少于1次，设备检修后，必须进行相应的处理效果生物检测。</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（3）医疗废物高温干热处理效果生物指示剂检测指标应采用耐热的嗜热性脂肪杆菌芽苞作为代表性菌种。</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（4）处理厂应具备处理效果大生物检测能力，根据高温蒸汽处理设备运行情况自行做不定期生物检测，一般每周不少于1次。设备检修后，必须进行相应的处理效果生物检测。</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（5）应定期对处置厂的设施、设备运行及安全状况进行检测和评估，确保其正常的处理效果，消除安全隐患。</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（6）处理厂应委托第三方机构定期对处理厂设备、设施安全状况及处理厂运行管理情况进行监测和评估，一般宜每2年做一次评估，评估报告应留存以备所在地环境保护部门检查。</w:t>
      </w:r>
    </w:p>
    <w:p>
      <w:pPr>
        <w:pStyle w:val="4"/>
        <w:spacing w:before="120" w:beforeLines="50" w:after="120" w:afterLines="50" w:line="480" w:lineRule="exact"/>
        <w:rPr>
          <w:rFonts w:ascii="Times New Roman" w:hAnsi="Times New Roman" w:eastAsia="黑体"/>
          <w:bCs/>
          <w:sz w:val="28"/>
          <w:szCs w:val="28"/>
          <w:lang w:val="zh-CN"/>
        </w:rPr>
      </w:pPr>
      <w:bookmarkStart w:id="1577" w:name="_Toc9809"/>
      <w:r>
        <w:rPr>
          <w:rFonts w:ascii="Times New Roman" w:hAnsi="Times New Roman" w:eastAsia="黑体"/>
          <w:bCs/>
          <w:sz w:val="28"/>
          <w:szCs w:val="28"/>
          <w:lang w:val="zh-CN"/>
        </w:rPr>
        <w:t>运行记录及档案管理制度</w:t>
      </w:r>
      <w:bookmarkEnd w:id="1577"/>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处置中心应建立生产设施运行状况、设施维护和医疗废物消毒处置生产活动等的登记制度和档案管理制度：</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（1）《医疗废物运送登记卡》和《危险废物转移联单》（医疗废物专用）的记录应进行登记，定期向主管部门保送。妥善保存上述记录，保存时间为5年，以备当地环保部门和卫生部门检查。</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（2）及时登记入场医疗废物的数量、重量等有关信息，并输入计算机管理系统。</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（3）对医疗废物进场运输车车牌号、来源、重量、进场日期及时间、离场时间等进行登记。</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（4）记录生产设施运行工艺控制参数、处置效果的监测数据，并将其保存3年。</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（5）记录医疗废物高温蒸煮残渣处理处置情况及环境监测数据。</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（6）记录生产设施维修情况、生产事故及处置情况。</w:t>
      </w:r>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（7）记录定期检测、评价及评估情况，对结果整理存档备查。</w:t>
      </w:r>
    </w:p>
    <w:p>
      <w:pPr>
        <w:pStyle w:val="4"/>
        <w:spacing w:before="120" w:beforeLines="50" w:after="120" w:afterLines="50" w:line="480" w:lineRule="exact"/>
        <w:rPr>
          <w:rFonts w:ascii="Times New Roman" w:hAnsi="Times New Roman" w:eastAsia="黑体"/>
          <w:bCs/>
          <w:sz w:val="28"/>
          <w:szCs w:val="28"/>
          <w:lang w:val="zh-CN"/>
        </w:rPr>
      </w:pPr>
      <w:bookmarkStart w:id="1578" w:name="_Toc11918"/>
      <w:r>
        <w:rPr>
          <w:rFonts w:ascii="Times New Roman" w:hAnsi="Times New Roman" w:eastAsia="黑体"/>
          <w:bCs/>
          <w:sz w:val="28"/>
          <w:szCs w:val="28"/>
          <w:lang w:val="zh-CN"/>
        </w:rPr>
        <w:t>环境监控计划</w:t>
      </w:r>
      <w:bookmarkEnd w:id="1564"/>
      <w:bookmarkEnd w:id="1565"/>
      <w:bookmarkEnd w:id="1578"/>
    </w:p>
    <w:p>
      <w:pPr>
        <w:pStyle w:val="281"/>
        <w:spacing w:line="480" w:lineRule="exact"/>
        <w:ind w:firstLine="480" w:firstLineChars="200"/>
        <w:rPr>
          <w:rFonts w:ascii="Times New Roman" w:hAnsi="Times New Roman" w:cs="Times New Roman"/>
          <w:lang w:val="zh-CN"/>
        </w:rPr>
      </w:pPr>
      <w:r>
        <w:rPr>
          <w:rFonts w:ascii="Times New Roman" w:hAnsi="Times New Roman" w:cs="Times New Roman"/>
          <w:lang w:val="zh-CN"/>
        </w:rPr>
        <w:t>为有效地了解企业的排污情况和环境现况，及时掌握信息并提醒有关生产部门及责任人引起重视；为了保证企业排放的污染物控制在国家规定范围内，确保企业实现可持续发展，按国家环保总局《关于开展排污口规范化整治试点工作的通知》要求对项目废气排放口，固体废物贮存（处置）场所进行规范化处置，并制定监测计划，定期对地下水、废气、噪声污染源进行监测，建立监测资料台账。</w:t>
      </w:r>
    </w:p>
    <w:p>
      <w:pPr>
        <w:pStyle w:val="3"/>
        <w:spacing w:before="120" w:beforeLines="50" w:after="120" w:afterLines="50" w:line="480" w:lineRule="exact"/>
        <w:ind w:left="-11"/>
        <w:rPr>
          <w:rFonts w:ascii="Times New Roman" w:hAnsi="Times New Roman" w:eastAsia="黑体"/>
          <w:sz w:val="30"/>
          <w:szCs w:val="30"/>
        </w:rPr>
      </w:pPr>
      <w:bookmarkStart w:id="1579" w:name="_Toc116379730"/>
      <w:r>
        <w:rPr>
          <w:rFonts w:ascii="Times New Roman" w:hAnsi="Times New Roman" w:eastAsia="黑体"/>
          <w:sz w:val="30"/>
          <w:szCs w:val="30"/>
        </w:rPr>
        <w:t>环境监测</w:t>
      </w:r>
      <w:bookmarkEnd w:id="1566"/>
      <w:r>
        <w:rPr>
          <w:rFonts w:ascii="Times New Roman" w:hAnsi="Times New Roman" w:eastAsia="黑体"/>
          <w:sz w:val="30"/>
          <w:szCs w:val="30"/>
        </w:rPr>
        <w:t>计划</w:t>
      </w:r>
      <w:bookmarkEnd w:id="1579"/>
    </w:p>
    <w:p>
      <w:pPr>
        <w:spacing w:line="480" w:lineRule="exact"/>
        <w:ind w:firstLine="482"/>
        <w:rPr>
          <w:rFonts w:ascii="Times New Roman" w:hAnsi="Times New Roman"/>
          <w:sz w:val="24"/>
          <w:szCs w:val="24"/>
          <w:lang w:val="zh-CN"/>
        </w:rPr>
      </w:pPr>
      <w:r>
        <w:rPr>
          <w:rFonts w:ascii="Times New Roman" w:hAnsi="Times New Roman"/>
          <w:sz w:val="24"/>
          <w:szCs w:val="24"/>
          <w:lang w:val="zh-CN"/>
        </w:rPr>
        <w:t>根据本企业的排污特点及《排污单位自行监测技术指南 总则》（HJ819-2017）、《排污许可证申请与核发技术规范 工业固体废物和危险废物治理》（HJ1033-2019）</w:t>
      </w:r>
      <w:r>
        <w:rPr>
          <w:rFonts w:hint="eastAsia" w:ascii="Times New Roman" w:hAnsi="Times New Roman"/>
          <w:sz w:val="24"/>
          <w:szCs w:val="24"/>
          <w:lang w:val="zh-CN"/>
        </w:rPr>
        <w:t>、《排污许可证申请与核发技术规范 锅炉》（HJ953-2018）、《排污单位自行监测技术指南 火力发电及锅炉》（H</w:t>
      </w:r>
      <w:r>
        <w:rPr>
          <w:rFonts w:ascii="Times New Roman" w:hAnsi="Times New Roman"/>
          <w:sz w:val="24"/>
          <w:szCs w:val="24"/>
          <w:lang w:val="zh-CN"/>
        </w:rPr>
        <w:t>J820</w:t>
      </w:r>
      <w:r>
        <w:rPr>
          <w:rFonts w:hint="eastAsia" w:ascii="Times New Roman" w:hAnsi="Times New Roman"/>
          <w:sz w:val="24"/>
          <w:szCs w:val="24"/>
          <w:lang w:val="zh-CN"/>
        </w:rPr>
        <w:t>-</w:t>
      </w:r>
      <w:r>
        <w:rPr>
          <w:rFonts w:ascii="Times New Roman" w:hAnsi="Times New Roman"/>
          <w:sz w:val="24"/>
          <w:szCs w:val="24"/>
          <w:lang w:val="zh-CN"/>
        </w:rPr>
        <w:t>2017</w:t>
      </w:r>
      <w:r>
        <w:rPr>
          <w:rFonts w:hint="eastAsia" w:ascii="Times New Roman" w:hAnsi="Times New Roman"/>
          <w:sz w:val="24"/>
          <w:szCs w:val="24"/>
          <w:lang w:val="zh-CN"/>
        </w:rPr>
        <w:t>）、《医疗机构消毒技术规范》（W</w:t>
      </w:r>
      <w:r>
        <w:rPr>
          <w:rFonts w:ascii="Times New Roman" w:hAnsi="Times New Roman"/>
          <w:sz w:val="24"/>
          <w:szCs w:val="24"/>
          <w:lang w:val="zh-CN"/>
        </w:rPr>
        <w:t>S/T367-2021</w:t>
      </w:r>
      <w:r>
        <w:rPr>
          <w:rFonts w:hint="eastAsia" w:ascii="Times New Roman" w:hAnsi="Times New Roman"/>
          <w:sz w:val="24"/>
          <w:szCs w:val="24"/>
          <w:lang w:val="zh-CN"/>
        </w:rPr>
        <w:t>）、《医院空气净化管理规范》（W</w:t>
      </w:r>
      <w:r>
        <w:rPr>
          <w:rFonts w:ascii="Times New Roman" w:hAnsi="Times New Roman"/>
          <w:sz w:val="24"/>
          <w:szCs w:val="24"/>
          <w:lang w:val="zh-CN"/>
        </w:rPr>
        <w:t>S/T-2012</w:t>
      </w:r>
      <w:r>
        <w:rPr>
          <w:rFonts w:hint="eastAsia" w:ascii="Times New Roman" w:hAnsi="Times New Roman"/>
          <w:sz w:val="24"/>
          <w:szCs w:val="24"/>
          <w:lang w:val="zh-CN"/>
        </w:rPr>
        <w:t>）、《医院消毒卫生标准》（G</w:t>
      </w:r>
      <w:r>
        <w:rPr>
          <w:rFonts w:ascii="Times New Roman" w:hAnsi="Times New Roman"/>
          <w:sz w:val="24"/>
          <w:szCs w:val="24"/>
          <w:lang w:val="zh-CN"/>
        </w:rPr>
        <w:t>B</w:t>
      </w:r>
      <w:r>
        <w:rPr>
          <w:rFonts w:hint="eastAsia" w:ascii="Times New Roman" w:hAnsi="Times New Roman"/>
          <w:sz w:val="24"/>
          <w:szCs w:val="24"/>
          <w:lang w:val="zh-CN"/>
        </w:rPr>
        <w:t>1</w:t>
      </w:r>
      <w:r>
        <w:rPr>
          <w:rFonts w:ascii="Times New Roman" w:hAnsi="Times New Roman"/>
          <w:sz w:val="24"/>
          <w:szCs w:val="24"/>
          <w:lang w:val="zh-CN"/>
        </w:rPr>
        <w:t>5982</w:t>
      </w:r>
      <w:r>
        <w:rPr>
          <w:rFonts w:hint="eastAsia" w:ascii="Times New Roman" w:hAnsi="Times New Roman"/>
          <w:sz w:val="24"/>
          <w:szCs w:val="24"/>
          <w:lang w:val="zh-CN"/>
        </w:rPr>
        <w:t>-</w:t>
      </w:r>
      <w:r>
        <w:rPr>
          <w:rFonts w:ascii="Times New Roman" w:hAnsi="Times New Roman"/>
          <w:sz w:val="24"/>
          <w:szCs w:val="24"/>
          <w:lang w:val="zh-CN"/>
        </w:rPr>
        <w:t>2012</w:t>
      </w:r>
      <w:r>
        <w:rPr>
          <w:rFonts w:hint="eastAsia" w:ascii="Times New Roman" w:hAnsi="Times New Roman"/>
          <w:sz w:val="24"/>
          <w:szCs w:val="24"/>
          <w:lang w:val="zh-CN"/>
        </w:rPr>
        <w:t>），</w:t>
      </w:r>
      <w:r>
        <w:rPr>
          <w:rFonts w:ascii="Times New Roman" w:hAnsi="Times New Roman"/>
          <w:sz w:val="24"/>
          <w:szCs w:val="24"/>
          <w:lang w:val="zh-CN"/>
        </w:rPr>
        <w:t>结合运营期环境污染的特点，确定监测内容、监测项目、监测频率。本项目监测计划见表8.2-1。</w:t>
      </w:r>
    </w:p>
    <w:p>
      <w:pPr>
        <w:spacing w:line="480" w:lineRule="exact"/>
        <w:jc w:val="center"/>
        <w:rPr>
          <w:rFonts w:ascii="Times New Roman" w:hAnsi="Times New Roman"/>
          <w:b/>
        </w:rPr>
      </w:pPr>
      <w:r>
        <w:rPr>
          <w:rFonts w:ascii="Times New Roman" w:hAnsi="Times New Roman"/>
          <w:b/>
        </w:rPr>
        <w:t>表8.2-1 环境监测计划</w:t>
      </w:r>
    </w:p>
    <w:tbl>
      <w:tblPr>
        <w:tblStyle w:val="77"/>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
      <w:tblGrid>
        <w:gridCol w:w="759"/>
        <w:gridCol w:w="1361"/>
        <w:gridCol w:w="21"/>
        <w:gridCol w:w="1209"/>
        <w:gridCol w:w="3730"/>
        <w:gridCol w:w="128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jc w:val="center"/>
        </w:trPr>
        <w:tc>
          <w:tcPr>
            <w:tcW w:w="754" w:type="dxa"/>
            <w:tcBorders>
              <w:top w:val="single" w:color="auto" w:sz="12" w:space="0"/>
            </w:tcBorders>
            <w:vAlign w:val="center"/>
          </w:tcPr>
          <w:p>
            <w:pPr>
              <w:jc w:val="center"/>
              <w:rPr>
                <w:rFonts w:ascii="Times New Roman" w:hAnsi="Times New Roman"/>
                <w:b/>
                <w:kern w:val="2"/>
                <w:szCs w:val="24"/>
              </w:rPr>
            </w:pPr>
            <w:bookmarkStart w:id="1580" w:name="_Toc528418463"/>
            <w:r>
              <w:rPr>
                <w:rFonts w:ascii="Times New Roman" w:hAnsi="Times New Roman"/>
                <w:b/>
                <w:kern w:val="2"/>
                <w:szCs w:val="24"/>
              </w:rPr>
              <w:t>项目</w:t>
            </w:r>
          </w:p>
        </w:tc>
        <w:tc>
          <w:tcPr>
            <w:tcW w:w="2574" w:type="dxa"/>
            <w:gridSpan w:val="3"/>
            <w:tcBorders>
              <w:top w:val="single" w:color="auto" w:sz="12" w:space="0"/>
            </w:tcBorders>
            <w:vAlign w:val="center"/>
          </w:tcPr>
          <w:p>
            <w:pPr>
              <w:jc w:val="center"/>
              <w:rPr>
                <w:rFonts w:ascii="Times New Roman" w:hAnsi="Times New Roman"/>
                <w:b/>
                <w:kern w:val="2"/>
                <w:szCs w:val="24"/>
              </w:rPr>
            </w:pPr>
            <w:r>
              <w:rPr>
                <w:rFonts w:ascii="Times New Roman" w:hAnsi="Times New Roman"/>
                <w:b/>
                <w:kern w:val="2"/>
                <w:szCs w:val="24"/>
              </w:rPr>
              <w:t>监测位置</w:t>
            </w:r>
          </w:p>
        </w:tc>
        <w:tc>
          <w:tcPr>
            <w:tcW w:w="3705" w:type="dxa"/>
            <w:tcBorders>
              <w:top w:val="single" w:color="auto" w:sz="12" w:space="0"/>
            </w:tcBorders>
            <w:vAlign w:val="center"/>
          </w:tcPr>
          <w:p>
            <w:pPr>
              <w:jc w:val="center"/>
              <w:rPr>
                <w:rFonts w:ascii="Times New Roman" w:hAnsi="Times New Roman"/>
                <w:b/>
                <w:kern w:val="2"/>
                <w:szCs w:val="24"/>
              </w:rPr>
            </w:pPr>
            <w:r>
              <w:rPr>
                <w:rFonts w:ascii="Times New Roman" w:hAnsi="Times New Roman"/>
                <w:b/>
                <w:kern w:val="2"/>
                <w:szCs w:val="24"/>
              </w:rPr>
              <w:t>监测项目</w:t>
            </w:r>
          </w:p>
        </w:tc>
        <w:tc>
          <w:tcPr>
            <w:tcW w:w="1280" w:type="dxa"/>
            <w:tcBorders>
              <w:top w:val="single" w:color="auto" w:sz="12" w:space="0"/>
            </w:tcBorders>
            <w:vAlign w:val="center"/>
          </w:tcPr>
          <w:p>
            <w:pPr>
              <w:jc w:val="center"/>
              <w:rPr>
                <w:rFonts w:ascii="Times New Roman" w:hAnsi="Times New Roman"/>
                <w:b/>
                <w:kern w:val="2"/>
                <w:szCs w:val="24"/>
              </w:rPr>
            </w:pPr>
            <w:r>
              <w:rPr>
                <w:rFonts w:ascii="Times New Roman" w:hAnsi="Times New Roman"/>
                <w:b/>
                <w:kern w:val="2"/>
                <w:szCs w:val="24"/>
              </w:rPr>
              <w:t>监测频次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836" w:hRule="atLeast"/>
          <w:jc w:val="center"/>
        </w:trPr>
        <w:tc>
          <w:tcPr>
            <w:tcW w:w="754" w:type="dxa"/>
            <w:vMerge w:val="restart"/>
            <w:vAlign w:val="center"/>
          </w:tcPr>
          <w:p>
            <w:pPr>
              <w:jc w:val="center"/>
              <w:rPr>
                <w:rFonts w:ascii="Times New Roman" w:hAnsi="Times New Roman"/>
                <w:kern w:val="2"/>
                <w:szCs w:val="24"/>
              </w:rPr>
            </w:pPr>
            <w:r>
              <w:rPr>
                <w:rFonts w:ascii="Times New Roman" w:hAnsi="Times New Roman"/>
                <w:kern w:val="2"/>
                <w:szCs w:val="24"/>
              </w:rPr>
              <w:t>废水</w:t>
            </w:r>
          </w:p>
        </w:tc>
        <w:tc>
          <w:tcPr>
            <w:tcW w:w="2574" w:type="dxa"/>
            <w:gridSpan w:val="3"/>
            <w:vAlign w:val="center"/>
          </w:tcPr>
          <w:p>
            <w:pPr>
              <w:jc w:val="center"/>
              <w:rPr>
                <w:rFonts w:ascii="Times New Roman" w:hAnsi="Times New Roman"/>
                <w:kern w:val="2"/>
                <w:szCs w:val="24"/>
              </w:rPr>
            </w:pPr>
            <w:r>
              <w:rPr>
                <w:rFonts w:ascii="Times New Roman" w:hAnsi="Times New Roman"/>
                <w:kern w:val="2"/>
                <w:szCs w:val="24"/>
              </w:rPr>
              <w:t>废水</w:t>
            </w:r>
            <w:r>
              <w:rPr>
                <w:rFonts w:hint="eastAsia" w:ascii="Times New Roman" w:hAnsi="Times New Roman"/>
                <w:kern w:val="2"/>
                <w:szCs w:val="24"/>
              </w:rPr>
              <w:t>回用口</w:t>
            </w:r>
          </w:p>
        </w:tc>
        <w:tc>
          <w:tcPr>
            <w:tcW w:w="3705" w:type="dxa"/>
            <w:vAlign w:val="center"/>
          </w:tcPr>
          <w:p>
            <w:pPr>
              <w:jc w:val="center"/>
              <w:rPr>
                <w:rFonts w:ascii="Times New Roman" w:hAnsi="Times New Roman"/>
                <w:kern w:val="2"/>
                <w:szCs w:val="24"/>
              </w:rPr>
            </w:pPr>
            <w:r>
              <w:rPr>
                <w:rFonts w:ascii="Times New Roman" w:hAnsi="Times New Roman"/>
                <w:kern w:val="2"/>
                <w:szCs w:val="24"/>
              </w:rPr>
              <w:t>pH</w:t>
            </w:r>
            <w:r>
              <w:rPr>
                <w:rFonts w:hint="eastAsia" w:ascii="Times New Roman" w:hAnsi="Times New Roman"/>
                <w:kern w:val="2"/>
                <w:szCs w:val="24"/>
              </w:rPr>
              <w:t>、</w:t>
            </w:r>
            <w:r>
              <w:rPr>
                <w:rFonts w:ascii="Times New Roman" w:hAnsi="Times New Roman"/>
                <w:kern w:val="2"/>
                <w:szCs w:val="24"/>
              </w:rPr>
              <w:t>化学需氧量、悬浮物</w:t>
            </w:r>
          </w:p>
          <w:p>
            <w:pPr>
              <w:jc w:val="center"/>
              <w:rPr>
                <w:rFonts w:ascii="Times New Roman" w:hAnsi="Times New Roman"/>
                <w:kern w:val="2"/>
                <w:szCs w:val="24"/>
              </w:rPr>
            </w:pPr>
            <w:r>
              <w:rPr>
                <w:rFonts w:ascii="Times New Roman" w:hAnsi="Times New Roman"/>
                <w:kern w:val="2"/>
                <w:szCs w:val="24"/>
              </w:rPr>
              <w:t>粪大肠菌群数</w:t>
            </w:r>
          </w:p>
          <w:p>
            <w:pPr>
              <w:jc w:val="center"/>
              <w:rPr>
                <w:rFonts w:ascii="Times New Roman" w:hAnsi="Times New Roman"/>
                <w:kern w:val="2"/>
                <w:szCs w:val="24"/>
              </w:rPr>
            </w:pPr>
            <w:r>
              <w:rPr>
                <w:rFonts w:ascii="Times New Roman" w:hAnsi="Times New Roman"/>
                <w:kern w:val="2"/>
                <w:szCs w:val="24"/>
              </w:rPr>
              <w:t>五日生化需氧量、氨氮</w:t>
            </w:r>
          </w:p>
        </w:tc>
        <w:tc>
          <w:tcPr>
            <w:tcW w:w="1280" w:type="dxa"/>
            <w:vAlign w:val="center"/>
          </w:tcPr>
          <w:p>
            <w:pPr>
              <w:jc w:val="center"/>
              <w:rPr>
                <w:rFonts w:ascii="Times New Roman" w:hAnsi="Times New Roman"/>
                <w:kern w:val="2"/>
                <w:lang w:bidi="ar"/>
              </w:rPr>
            </w:pPr>
            <w:r>
              <w:rPr>
                <w:rFonts w:hint="eastAsia" w:ascii="Times New Roman" w:hAnsi="Times New Roman"/>
                <w:kern w:val="2"/>
                <w:lang w:bidi="ar"/>
              </w:rPr>
              <w:t>一年一次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678" w:hRule="atLeast"/>
          <w:jc w:val="center"/>
        </w:trPr>
        <w:tc>
          <w:tcPr>
            <w:tcW w:w="754" w:type="dxa"/>
            <w:vMerge w:val="continue"/>
            <w:vAlign w:val="center"/>
          </w:tcPr>
          <w:p>
            <w:pPr>
              <w:jc w:val="center"/>
              <w:rPr>
                <w:rFonts w:ascii="Times New Roman" w:hAnsi="Times New Roman"/>
                <w:kern w:val="2"/>
                <w:szCs w:val="24"/>
              </w:rPr>
            </w:pPr>
          </w:p>
        </w:tc>
        <w:tc>
          <w:tcPr>
            <w:tcW w:w="2574" w:type="dxa"/>
            <w:gridSpan w:val="3"/>
            <w:vAlign w:val="center"/>
          </w:tcPr>
          <w:p>
            <w:pPr>
              <w:jc w:val="center"/>
              <w:rPr>
                <w:rFonts w:ascii="Times New Roman" w:hAnsi="Times New Roman"/>
                <w:kern w:val="2"/>
                <w:szCs w:val="24"/>
              </w:rPr>
            </w:pPr>
            <w:r>
              <w:rPr>
                <w:rFonts w:hint="eastAsia" w:ascii="Times New Roman" w:hAnsi="Times New Roman"/>
                <w:kern w:val="2"/>
                <w:szCs w:val="24"/>
              </w:rPr>
              <w:t>生活污水单独排放口</w:t>
            </w:r>
          </w:p>
        </w:tc>
        <w:tc>
          <w:tcPr>
            <w:tcW w:w="3705" w:type="dxa"/>
            <w:vAlign w:val="center"/>
          </w:tcPr>
          <w:p>
            <w:pPr>
              <w:jc w:val="center"/>
              <w:rPr>
                <w:rFonts w:ascii="Times New Roman" w:hAnsi="Times New Roman"/>
                <w:kern w:val="2"/>
                <w:szCs w:val="24"/>
              </w:rPr>
            </w:pPr>
            <w:r>
              <w:rPr>
                <w:rFonts w:hint="eastAsia" w:ascii="Times New Roman" w:hAnsi="Times New Roman"/>
                <w:kern w:val="2"/>
                <w:szCs w:val="24"/>
              </w:rPr>
              <w:t>p</w:t>
            </w:r>
            <w:r>
              <w:rPr>
                <w:rFonts w:ascii="Times New Roman" w:hAnsi="Times New Roman"/>
                <w:kern w:val="2"/>
                <w:szCs w:val="24"/>
              </w:rPr>
              <w:t>H</w:t>
            </w:r>
            <w:r>
              <w:rPr>
                <w:rFonts w:hint="eastAsia" w:ascii="Times New Roman" w:hAnsi="Times New Roman"/>
                <w:kern w:val="2"/>
                <w:szCs w:val="24"/>
              </w:rPr>
              <w:t>值、流量、化学需氧量、悬浮物、五日生化需氧量、氨氮、总磷</w:t>
            </w:r>
          </w:p>
        </w:tc>
        <w:tc>
          <w:tcPr>
            <w:tcW w:w="1280" w:type="dxa"/>
            <w:vAlign w:val="center"/>
          </w:tcPr>
          <w:p>
            <w:pPr>
              <w:jc w:val="center"/>
              <w:rPr>
                <w:rFonts w:ascii="Times New Roman" w:hAnsi="Times New Roman"/>
                <w:kern w:val="2"/>
                <w:lang w:bidi="ar"/>
              </w:rPr>
            </w:pPr>
            <w:r>
              <w:rPr>
                <w:rFonts w:hint="eastAsia" w:ascii="Times New Roman" w:hAnsi="Times New Roman"/>
                <w:kern w:val="2"/>
                <w:lang w:bidi="ar"/>
              </w:rPr>
              <w:t>季度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121" w:hRule="atLeast"/>
          <w:jc w:val="center"/>
        </w:trPr>
        <w:tc>
          <w:tcPr>
            <w:tcW w:w="754" w:type="dxa"/>
            <w:vMerge w:val="continue"/>
            <w:vAlign w:val="center"/>
          </w:tcPr>
          <w:p>
            <w:pPr>
              <w:jc w:val="center"/>
              <w:rPr>
                <w:rFonts w:ascii="Times New Roman" w:hAnsi="Times New Roman"/>
                <w:kern w:val="2"/>
                <w:szCs w:val="24"/>
              </w:rPr>
            </w:pPr>
          </w:p>
        </w:tc>
        <w:tc>
          <w:tcPr>
            <w:tcW w:w="2574" w:type="dxa"/>
            <w:gridSpan w:val="3"/>
            <w:vAlign w:val="center"/>
          </w:tcPr>
          <w:p>
            <w:pPr>
              <w:jc w:val="center"/>
              <w:rPr>
                <w:rFonts w:ascii="Times New Roman" w:hAnsi="Times New Roman"/>
                <w:kern w:val="2"/>
                <w:szCs w:val="24"/>
              </w:rPr>
            </w:pPr>
            <w:r>
              <w:rPr>
                <w:rFonts w:ascii="Times New Roman" w:hAnsi="Times New Roman"/>
                <w:kern w:val="2"/>
                <w:szCs w:val="24"/>
              </w:rPr>
              <w:t>雨水排放口</w:t>
            </w:r>
          </w:p>
        </w:tc>
        <w:tc>
          <w:tcPr>
            <w:tcW w:w="3705" w:type="dxa"/>
            <w:vAlign w:val="center"/>
          </w:tcPr>
          <w:p>
            <w:pPr>
              <w:jc w:val="center"/>
              <w:rPr>
                <w:rFonts w:ascii="Times New Roman" w:hAnsi="Times New Roman"/>
                <w:kern w:val="2"/>
                <w:szCs w:val="24"/>
              </w:rPr>
            </w:pPr>
            <w:r>
              <w:rPr>
                <w:rFonts w:ascii="Times New Roman" w:hAnsi="Times New Roman"/>
                <w:kern w:val="2"/>
                <w:szCs w:val="24"/>
              </w:rPr>
              <w:t>化学需氧量、悬浮物</w:t>
            </w:r>
          </w:p>
        </w:tc>
        <w:tc>
          <w:tcPr>
            <w:tcW w:w="1280" w:type="dxa"/>
            <w:vAlign w:val="center"/>
          </w:tcPr>
          <w:p>
            <w:pPr>
              <w:jc w:val="center"/>
              <w:rPr>
                <w:rFonts w:ascii="Times New Roman" w:hAnsi="Times New Roman"/>
                <w:kern w:val="2"/>
                <w:lang w:bidi="ar"/>
              </w:rPr>
            </w:pPr>
            <w:r>
              <w:rPr>
                <w:rFonts w:ascii="Times New Roman" w:hAnsi="Times New Roman"/>
                <w:kern w:val="2"/>
                <w:lang w:bidi="ar"/>
              </w:rPr>
              <w:t>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cantSplit/>
          <w:jc w:val="center"/>
        </w:trPr>
        <w:tc>
          <w:tcPr>
            <w:tcW w:w="754" w:type="dxa"/>
            <w:vMerge w:val="restart"/>
            <w:vAlign w:val="center"/>
          </w:tcPr>
          <w:p>
            <w:pPr>
              <w:jc w:val="center"/>
              <w:rPr>
                <w:rFonts w:ascii="Times New Roman" w:hAnsi="Times New Roman"/>
                <w:kern w:val="2"/>
                <w:szCs w:val="24"/>
              </w:rPr>
            </w:pPr>
            <w:r>
              <w:rPr>
                <w:rFonts w:ascii="Times New Roman" w:hAnsi="Times New Roman"/>
                <w:kern w:val="2"/>
                <w:szCs w:val="24"/>
              </w:rPr>
              <w:t>大气</w:t>
            </w:r>
          </w:p>
        </w:tc>
        <w:tc>
          <w:tcPr>
            <w:tcW w:w="2574" w:type="dxa"/>
            <w:gridSpan w:val="3"/>
            <w:vAlign w:val="center"/>
          </w:tcPr>
          <w:p>
            <w:pPr>
              <w:jc w:val="center"/>
              <w:rPr>
                <w:rFonts w:ascii="Times New Roman" w:hAnsi="Times New Roman"/>
                <w:kern w:val="2"/>
                <w:szCs w:val="24"/>
              </w:rPr>
            </w:pPr>
            <w:r>
              <w:rPr>
                <w:rFonts w:ascii="Times New Roman" w:hAnsi="Times New Roman"/>
                <w:kern w:val="2"/>
                <w:szCs w:val="24"/>
              </w:rPr>
              <w:t>厂界</w:t>
            </w:r>
          </w:p>
        </w:tc>
        <w:tc>
          <w:tcPr>
            <w:tcW w:w="3705" w:type="dxa"/>
            <w:vAlign w:val="center"/>
          </w:tcPr>
          <w:p>
            <w:pPr>
              <w:jc w:val="center"/>
              <w:rPr>
                <w:rFonts w:ascii="Times New Roman" w:hAnsi="Times New Roman"/>
                <w:kern w:val="2"/>
                <w:szCs w:val="24"/>
              </w:rPr>
            </w:pPr>
            <w:r>
              <w:rPr>
                <w:rFonts w:ascii="Times New Roman" w:hAnsi="Times New Roman"/>
                <w:kern w:val="2"/>
                <w:szCs w:val="24"/>
              </w:rPr>
              <w:t>硫化氢、氨、臭气浓度、</w:t>
            </w:r>
          </w:p>
          <w:p>
            <w:pPr>
              <w:jc w:val="center"/>
              <w:rPr>
                <w:rFonts w:ascii="Times New Roman" w:hAnsi="Times New Roman"/>
                <w:kern w:val="2"/>
                <w:szCs w:val="24"/>
              </w:rPr>
            </w:pPr>
            <w:r>
              <w:rPr>
                <w:rFonts w:ascii="Times New Roman" w:hAnsi="Times New Roman"/>
                <w:kern w:val="2"/>
                <w:szCs w:val="24"/>
              </w:rPr>
              <w:t>非甲烷总烃、颗粒物</w:t>
            </w:r>
          </w:p>
        </w:tc>
        <w:tc>
          <w:tcPr>
            <w:tcW w:w="1280" w:type="dxa"/>
            <w:vAlign w:val="center"/>
          </w:tcPr>
          <w:p>
            <w:pPr>
              <w:jc w:val="center"/>
              <w:rPr>
                <w:rFonts w:ascii="Times New Roman" w:hAnsi="Times New Roman"/>
                <w:kern w:val="2"/>
              </w:rPr>
            </w:pPr>
            <w:r>
              <w:rPr>
                <w:rFonts w:ascii="Times New Roman" w:hAnsi="Times New Roman"/>
                <w:kern w:val="2"/>
                <w:lang w:bidi="ar"/>
              </w:rPr>
              <w:t>半年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jc w:val="center"/>
        </w:trPr>
        <w:tc>
          <w:tcPr>
            <w:tcW w:w="754" w:type="dxa"/>
            <w:vMerge w:val="continue"/>
            <w:vAlign w:val="center"/>
          </w:tcPr>
          <w:p>
            <w:pPr>
              <w:jc w:val="center"/>
              <w:rPr>
                <w:rFonts w:ascii="Times New Roman" w:hAnsi="Times New Roman"/>
                <w:kern w:val="2"/>
                <w:szCs w:val="24"/>
              </w:rPr>
            </w:pPr>
          </w:p>
        </w:tc>
        <w:tc>
          <w:tcPr>
            <w:tcW w:w="2574" w:type="dxa"/>
            <w:gridSpan w:val="3"/>
            <w:vAlign w:val="center"/>
          </w:tcPr>
          <w:p>
            <w:pPr>
              <w:spacing w:line="280" w:lineRule="exact"/>
              <w:jc w:val="center"/>
              <w:rPr>
                <w:rFonts w:ascii="Times New Roman" w:hAnsi="Times New Roman"/>
                <w:kern w:val="2"/>
              </w:rPr>
            </w:pPr>
            <w:r>
              <w:rPr>
                <w:rFonts w:hint="eastAsia" w:ascii="Times New Roman" w:hAnsi="Times New Roman"/>
                <w:kern w:val="2"/>
              </w:rPr>
              <w:t>“微波+蒸汽”系统+各车间无组织收集排气筒</w:t>
            </w:r>
            <w:r>
              <w:rPr>
                <w:rFonts w:ascii="Times New Roman" w:hAnsi="Times New Roman"/>
                <w:kern w:val="2"/>
              </w:rPr>
              <w:t>DA001</w:t>
            </w:r>
          </w:p>
        </w:tc>
        <w:tc>
          <w:tcPr>
            <w:tcW w:w="3705" w:type="dxa"/>
            <w:vAlign w:val="center"/>
          </w:tcPr>
          <w:p>
            <w:pPr>
              <w:jc w:val="center"/>
              <w:rPr>
                <w:rFonts w:ascii="Times New Roman" w:hAnsi="Times New Roman"/>
                <w:kern w:val="2"/>
                <w:szCs w:val="24"/>
              </w:rPr>
            </w:pPr>
            <w:r>
              <w:rPr>
                <w:rFonts w:hint="eastAsia" w:ascii="Times New Roman" w:hAnsi="Times New Roman"/>
                <w:kern w:val="2"/>
                <w:szCs w:val="24"/>
              </w:rPr>
              <w:t>非甲烷总烃、硫化氢、氨、</w:t>
            </w:r>
          </w:p>
          <w:p>
            <w:pPr>
              <w:jc w:val="center"/>
              <w:rPr>
                <w:rFonts w:ascii="Times New Roman" w:hAnsi="Times New Roman"/>
                <w:kern w:val="2"/>
                <w:szCs w:val="24"/>
              </w:rPr>
            </w:pPr>
            <w:r>
              <w:rPr>
                <w:rFonts w:hint="eastAsia" w:ascii="Times New Roman" w:hAnsi="Times New Roman"/>
                <w:kern w:val="2"/>
                <w:szCs w:val="24"/>
              </w:rPr>
              <w:t>臭气浓度、颗粒物</w:t>
            </w:r>
          </w:p>
        </w:tc>
        <w:tc>
          <w:tcPr>
            <w:tcW w:w="1280" w:type="dxa"/>
            <w:vAlign w:val="center"/>
          </w:tcPr>
          <w:p>
            <w:pPr>
              <w:jc w:val="center"/>
              <w:rPr>
                <w:rFonts w:ascii="Times New Roman" w:hAnsi="Times New Roman"/>
                <w:kern w:val="2"/>
                <w:lang w:bidi="ar"/>
              </w:rPr>
            </w:pPr>
            <w:r>
              <w:rPr>
                <w:rFonts w:hint="eastAsia" w:ascii="Times New Roman" w:hAnsi="Times New Roman"/>
                <w:kern w:val="2"/>
                <w:lang w:bidi="ar"/>
              </w:rPr>
              <w:t>半年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jc w:val="center"/>
        </w:trPr>
        <w:tc>
          <w:tcPr>
            <w:tcW w:w="754" w:type="dxa"/>
            <w:vMerge w:val="continue"/>
            <w:vAlign w:val="center"/>
          </w:tcPr>
          <w:p>
            <w:pPr>
              <w:jc w:val="center"/>
              <w:rPr>
                <w:rFonts w:ascii="Times New Roman" w:hAnsi="Times New Roman"/>
                <w:kern w:val="2"/>
                <w:szCs w:val="24"/>
              </w:rPr>
            </w:pPr>
          </w:p>
        </w:tc>
        <w:tc>
          <w:tcPr>
            <w:tcW w:w="2574" w:type="dxa"/>
            <w:gridSpan w:val="3"/>
            <w:vAlign w:val="center"/>
          </w:tcPr>
          <w:p>
            <w:pPr>
              <w:spacing w:line="280" w:lineRule="exact"/>
              <w:jc w:val="center"/>
              <w:rPr>
                <w:rFonts w:ascii="Times New Roman" w:hAnsi="Times New Roman"/>
                <w:kern w:val="2"/>
                <w:szCs w:val="24"/>
              </w:rPr>
            </w:pPr>
            <w:r>
              <w:rPr>
                <w:rFonts w:ascii="Times New Roman" w:hAnsi="Times New Roman"/>
                <w:kern w:val="2"/>
              </w:rPr>
              <w:t>高温干热系统排气筒DA002</w:t>
            </w:r>
          </w:p>
        </w:tc>
        <w:tc>
          <w:tcPr>
            <w:tcW w:w="3705" w:type="dxa"/>
            <w:vAlign w:val="center"/>
          </w:tcPr>
          <w:p>
            <w:pPr>
              <w:jc w:val="center"/>
              <w:rPr>
                <w:rFonts w:ascii="Times New Roman" w:hAnsi="Times New Roman"/>
                <w:kern w:val="2"/>
                <w:szCs w:val="24"/>
              </w:rPr>
            </w:pPr>
            <w:r>
              <w:rPr>
                <w:rFonts w:ascii="Times New Roman" w:hAnsi="Times New Roman"/>
                <w:kern w:val="2"/>
                <w:szCs w:val="24"/>
              </w:rPr>
              <w:t>非甲烷总烃、硫化氢、氨、</w:t>
            </w:r>
          </w:p>
          <w:p>
            <w:pPr>
              <w:jc w:val="center"/>
              <w:rPr>
                <w:rFonts w:ascii="Times New Roman" w:hAnsi="Times New Roman"/>
                <w:kern w:val="2"/>
                <w:szCs w:val="24"/>
              </w:rPr>
            </w:pPr>
            <w:r>
              <w:rPr>
                <w:rFonts w:ascii="Times New Roman" w:hAnsi="Times New Roman"/>
                <w:kern w:val="2"/>
                <w:szCs w:val="24"/>
              </w:rPr>
              <w:t>臭气浓度、颗粒物、二氧化硫、氮氧化物、</w:t>
            </w:r>
            <w:r>
              <w:rPr>
                <w:rFonts w:hint="eastAsia" w:ascii="Times New Roman" w:hAnsi="Times New Roman"/>
                <w:kern w:val="2"/>
                <w:szCs w:val="24"/>
              </w:rPr>
              <w:t>林格曼黑度</w:t>
            </w:r>
          </w:p>
        </w:tc>
        <w:tc>
          <w:tcPr>
            <w:tcW w:w="1280" w:type="dxa"/>
            <w:vAlign w:val="center"/>
          </w:tcPr>
          <w:p>
            <w:pPr>
              <w:jc w:val="center"/>
              <w:rPr>
                <w:rFonts w:ascii="Times New Roman" w:hAnsi="Times New Roman"/>
                <w:kern w:val="2"/>
              </w:rPr>
            </w:pPr>
            <w:r>
              <w:rPr>
                <w:rFonts w:ascii="Times New Roman" w:hAnsi="Times New Roman"/>
                <w:kern w:val="2"/>
                <w:lang w:bidi="ar"/>
              </w:rPr>
              <w:t>半年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jc w:val="center"/>
        </w:trPr>
        <w:tc>
          <w:tcPr>
            <w:tcW w:w="754" w:type="dxa"/>
            <w:vMerge w:val="continue"/>
            <w:vAlign w:val="center"/>
          </w:tcPr>
          <w:p>
            <w:pPr>
              <w:jc w:val="center"/>
              <w:rPr>
                <w:rFonts w:ascii="Times New Roman" w:hAnsi="Times New Roman"/>
                <w:kern w:val="2"/>
                <w:szCs w:val="24"/>
              </w:rPr>
            </w:pPr>
          </w:p>
        </w:tc>
        <w:tc>
          <w:tcPr>
            <w:tcW w:w="2574" w:type="dxa"/>
            <w:gridSpan w:val="3"/>
            <w:vAlign w:val="center"/>
          </w:tcPr>
          <w:p>
            <w:pPr>
              <w:spacing w:line="280" w:lineRule="exact"/>
              <w:jc w:val="center"/>
              <w:rPr>
                <w:rFonts w:ascii="Times New Roman" w:hAnsi="Times New Roman"/>
                <w:kern w:val="2"/>
              </w:rPr>
            </w:pPr>
            <w:r>
              <w:rPr>
                <w:rFonts w:hint="eastAsia" w:ascii="Times New Roman" w:hAnsi="Times New Roman"/>
                <w:kern w:val="2"/>
              </w:rPr>
              <w:t>污水处理站排气筒</w:t>
            </w:r>
          </w:p>
          <w:p>
            <w:pPr>
              <w:spacing w:line="280" w:lineRule="exact"/>
              <w:jc w:val="center"/>
              <w:rPr>
                <w:rFonts w:ascii="Times New Roman" w:hAnsi="Times New Roman"/>
                <w:kern w:val="2"/>
              </w:rPr>
            </w:pPr>
            <w:r>
              <w:rPr>
                <w:rFonts w:ascii="Times New Roman" w:hAnsi="Times New Roman"/>
                <w:kern w:val="2"/>
              </w:rPr>
              <w:t>DA003</w:t>
            </w:r>
          </w:p>
        </w:tc>
        <w:tc>
          <w:tcPr>
            <w:tcW w:w="3705" w:type="dxa"/>
            <w:vAlign w:val="center"/>
          </w:tcPr>
          <w:p>
            <w:pPr>
              <w:jc w:val="center"/>
              <w:rPr>
                <w:rFonts w:ascii="Times New Roman" w:hAnsi="Times New Roman"/>
                <w:kern w:val="2"/>
                <w:szCs w:val="24"/>
              </w:rPr>
            </w:pPr>
            <w:r>
              <w:rPr>
                <w:rFonts w:hint="eastAsia" w:ascii="Times New Roman" w:hAnsi="Times New Roman"/>
                <w:kern w:val="2"/>
                <w:szCs w:val="24"/>
              </w:rPr>
              <w:t>硫化氢、氨、臭气浓度</w:t>
            </w:r>
          </w:p>
        </w:tc>
        <w:tc>
          <w:tcPr>
            <w:tcW w:w="1280" w:type="dxa"/>
            <w:vAlign w:val="center"/>
          </w:tcPr>
          <w:p>
            <w:pPr>
              <w:jc w:val="center"/>
              <w:rPr>
                <w:rFonts w:ascii="Times New Roman" w:hAnsi="Times New Roman"/>
                <w:kern w:val="2"/>
                <w:lang w:bidi="ar"/>
              </w:rPr>
            </w:pPr>
            <w:r>
              <w:rPr>
                <w:rFonts w:hint="eastAsia" w:ascii="Times New Roman" w:hAnsi="Times New Roman"/>
                <w:kern w:val="2"/>
                <w:lang w:bidi="ar"/>
              </w:rPr>
              <w:t>季度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jc w:val="center"/>
        </w:trPr>
        <w:tc>
          <w:tcPr>
            <w:tcW w:w="754" w:type="dxa"/>
            <w:vAlign w:val="center"/>
          </w:tcPr>
          <w:p>
            <w:pPr>
              <w:jc w:val="center"/>
              <w:rPr>
                <w:rFonts w:ascii="Times New Roman" w:hAnsi="Times New Roman"/>
                <w:kern w:val="2"/>
                <w:szCs w:val="24"/>
              </w:rPr>
            </w:pPr>
            <w:r>
              <w:rPr>
                <w:rFonts w:ascii="Times New Roman" w:hAnsi="Times New Roman"/>
                <w:kern w:val="2"/>
                <w:szCs w:val="24"/>
              </w:rPr>
              <w:t>噪声</w:t>
            </w:r>
          </w:p>
        </w:tc>
        <w:tc>
          <w:tcPr>
            <w:tcW w:w="2574" w:type="dxa"/>
            <w:gridSpan w:val="3"/>
            <w:vAlign w:val="center"/>
          </w:tcPr>
          <w:p>
            <w:pPr>
              <w:jc w:val="center"/>
              <w:rPr>
                <w:rFonts w:ascii="Times New Roman" w:hAnsi="Times New Roman"/>
                <w:kern w:val="2"/>
                <w:szCs w:val="24"/>
              </w:rPr>
            </w:pPr>
            <w:r>
              <w:rPr>
                <w:rFonts w:ascii="Times New Roman" w:hAnsi="Times New Roman"/>
                <w:kern w:val="2"/>
                <w:szCs w:val="24"/>
              </w:rPr>
              <w:t>厂界外1m处</w:t>
            </w:r>
          </w:p>
        </w:tc>
        <w:tc>
          <w:tcPr>
            <w:tcW w:w="3705" w:type="dxa"/>
            <w:vAlign w:val="center"/>
          </w:tcPr>
          <w:p>
            <w:pPr>
              <w:jc w:val="center"/>
              <w:rPr>
                <w:rFonts w:ascii="Times New Roman" w:hAnsi="Times New Roman"/>
                <w:kern w:val="2"/>
                <w:szCs w:val="24"/>
              </w:rPr>
            </w:pPr>
            <w:r>
              <w:rPr>
                <w:rFonts w:ascii="Times New Roman" w:hAnsi="Times New Roman"/>
                <w:kern w:val="2"/>
                <w:szCs w:val="24"/>
              </w:rPr>
              <w:t>厂界噪声</w:t>
            </w:r>
          </w:p>
        </w:tc>
        <w:tc>
          <w:tcPr>
            <w:tcW w:w="1280" w:type="dxa"/>
            <w:vAlign w:val="center"/>
          </w:tcPr>
          <w:p>
            <w:pPr>
              <w:jc w:val="center"/>
              <w:rPr>
                <w:rFonts w:ascii="Times New Roman" w:hAnsi="Times New Roman"/>
                <w:kern w:val="2"/>
              </w:rPr>
            </w:pPr>
            <w:r>
              <w:rPr>
                <w:rFonts w:ascii="Times New Roman" w:hAnsi="Times New Roman"/>
                <w:kern w:val="2"/>
                <w:lang w:bidi="ar"/>
              </w:rPr>
              <w:t>季度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jc w:val="center"/>
        </w:trPr>
        <w:tc>
          <w:tcPr>
            <w:tcW w:w="754" w:type="dxa"/>
            <w:vAlign w:val="center"/>
          </w:tcPr>
          <w:p>
            <w:pPr>
              <w:jc w:val="center"/>
              <w:rPr>
                <w:rFonts w:ascii="Times New Roman" w:hAnsi="Times New Roman"/>
                <w:kern w:val="2"/>
                <w:szCs w:val="24"/>
              </w:rPr>
            </w:pPr>
            <w:r>
              <w:rPr>
                <w:rFonts w:ascii="Times New Roman" w:hAnsi="Times New Roman"/>
                <w:kern w:val="2"/>
                <w:szCs w:val="24"/>
              </w:rPr>
              <w:t>地下水</w:t>
            </w:r>
          </w:p>
        </w:tc>
        <w:tc>
          <w:tcPr>
            <w:tcW w:w="2574" w:type="dxa"/>
            <w:gridSpan w:val="3"/>
            <w:vAlign w:val="center"/>
          </w:tcPr>
          <w:p>
            <w:pPr>
              <w:jc w:val="center"/>
              <w:rPr>
                <w:rFonts w:ascii="Times New Roman" w:hAnsi="Times New Roman"/>
                <w:kern w:val="2"/>
              </w:rPr>
            </w:pPr>
            <w:r>
              <w:rPr>
                <w:rFonts w:ascii="Times New Roman" w:hAnsi="Times New Roman"/>
                <w:kern w:val="2"/>
              </w:rPr>
              <w:t>监测井1#、监测度井2#、</w:t>
            </w:r>
          </w:p>
          <w:p>
            <w:pPr>
              <w:jc w:val="center"/>
              <w:rPr>
                <w:rFonts w:ascii="Times New Roman" w:hAnsi="Times New Roman"/>
                <w:kern w:val="2"/>
                <w:szCs w:val="24"/>
              </w:rPr>
            </w:pPr>
            <w:r>
              <w:rPr>
                <w:rFonts w:ascii="Times New Roman" w:hAnsi="Times New Roman"/>
                <w:kern w:val="2"/>
              </w:rPr>
              <w:t>监测井3#</w:t>
            </w:r>
          </w:p>
        </w:tc>
        <w:tc>
          <w:tcPr>
            <w:tcW w:w="3705" w:type="dxa"/>
            <w:vAlign w:val="center"/>
          </w:tcPr>
          <w:p>
            <w:pPr>
              <w:widowControl/>
              <w:rPr>
                <w:rFonts w:ascii="Times New Roman" w:hAnsi="Times New Roman"/>
                <w:kern w:val="2"/>
              </w:rPr>
            </w:pPr>
            <w:r>
              <w:rPr>
                <w:rFonts w:ascii="Times New Roman" w:hAnsi="Times New Roman"/>
              </w:rPr>
              <w:t>pH、氨氮、硝酸盐氮、亚硝酸盐氮、挥发性酚类、氟化物、砷、汞、铁、锰、铅、镉、氰化物、总硬度、硫酸盐、六价铬、氯化物、溶解性总固体、耗氧量、总大肠菌群、菌落总数</w:t>
            </w:r>
          </w:p>
        </w:tc>
        <w:tc>
          <w:tcPr>
            <w:tcW w:w="1280" w:type="dxa"/>
            <w:vAlign w:val="center"/>
          </w:tcPr>
          <w:p>
            <w:pPr>
              <w:widowControl/>
              <w:jc w:val="center"/>
              <w:rPr>
                <w:rFonts w:ascii="Times New Roman" w:hAnsi="Times New Roman"/>
                <w:kern w:val="2"/>
              </w:rPr>
            </w:pPr>
            <w:r>
              <w:rPr>
                <w:rFonts w:hint="eastAsia" w:ascii="Times New Roman" w:hAnsi="Times New Roman"/>
                <w:lang w:bidi="ar"/>
              </w:rPr>
              <w:t>一年一测</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814" w:hRule="atLeast"/>
          <w:jc w:val="center"/>
        </w:trPr>
        <w:tc>
          <w:tcPr>
            <w:tcW w:w="754" w:type="dxa"/>
            <w:vMerge w:val="restart"/>
            <w:vAlign w:val="center"/>
          </w:tcPr>
          <w:p>
            <w:pPr>
              <w:pStyle w:val="65"/>
              <w:ind w:left="0"/>
              <w:jc w:val="center"/>
            </w:pPr>
            <w:r>
              <w:rPr>
                <w:smallCaps w:val="0"/>
                <w:sz w:val="21"/>
                <w:szCs w:val="21"/>
              </w:rPr>
              <w:t>土壤</w:t>
            </w:r>
          </w:p>
        </w:tc>
        <w:tc>
          <w:tcPr>
            <w:tcW w:w="1352" w:type="dxa"/>
            <w:vAlign w:val="center"/>
          </w:tcPr>
          <w:p>
            <w:pPr>
              <w:adjustRightInd w:val="0"/>
              <w:snapToGrid w:val="0"/>
              <w:jc w:val="center"/>
              <w:rPr>
                <w:rFonts w:ascii="Times New Roman" w:hAnsi="Times New Roman"/>
              </w:rPr>
            </w:pPr>
            <w:r>
              <w:rPr>
                <w:rFonts w:ascii="Times New Roman" w:hAnsi="Times New Roman"/>
              </w:rPr>
              <w:t>厂区内灭菌车间附近</w:t>
            </w:r>
          </w:p>
        </w:tc>
        <w:tc>
          <w:tcPr>
            <w:tcW w:w="1222" w:type="dxa"/>
            <w:gridSpan w:val="2"/>
            <w:vAlign w:val="center"/>
          </w:tcPr>
          <w:p>
            <w:pPr>
              <w:adjustRightInd w:val="0"/>
              <w:snapToGrid w:val="0"/>
              <w:jc w:val="center"/>
              <w:rPr>
                <w:rFonts w:ascii="Times New Roman" w:hAnsi="Times New Roman"/>
                <w:kern w:val="2"/>
              </w:rPr>
            </w:pPr>
            <w:r>
              <w:rPr>
                <w:rFonts w:ascii="Times New Roman" w:hAnsi="Times New Roman"/>
              </w:rPr>
              <w:t>柱状样0~0.5m、0.5~1.5m、1.5~3m分别取样</w:t>
            </w:r>
          </w:p>
        </w:tc>
        <w:tc>
          <w:tcPr>
            <w:tcW w:w="3705" w:type="dxa"/>
            <w:vMerge w:val="restart"/>
            <w:vAlign w:val="center"/>
          </w:tcPr>
          <w:p>
            <w:pPr>
              <w:jc w:val="center"/>
              <w:rPr>
                <w:rFonts w:ascii="Times New Roman" w:hAnsi="Times New Roman" w:eastAsia="Times New Roman"/>
                <w:kern w:val="2"/>
              </w:rPr>
            </w:pPr>
            <w:r>
              <w:rPr>
                <w:rFonts w:ascii="Times New Roman" w:hAnsi="Times New Roman"/>
              </w:rPr>
              <w:t>pH、铬、汞、砷、铅、镉、铜、锌、镍</w:t>
            </w:r>
          </w:p>
        </w:tc>
        <w:tc>
          <w:tcPr>
            <w:tcW w:w="1280" w:type="dxa"/>
            <w:vMerge w:val="restart"/>
            <w:vAlign w:val="center"/>
          </w:tcPr>
          <w:p>
            <w:pPr>
              <w:jc w:val="center"/>
              <w:rPr>
                <w:rFonts w:ascii="Times New Roman" w:hAnsi="Times New Roman" w:eastAsia="Times New Roman"/>
                <w:kern w:val="2"/>
                <w:lang w:bidi="ar"/>
              </w:rPr>
            </w:pPr>
            <w:r>
              <w:rPr>
                <w:rFonts w:ascii="Times New Roman" w:hAnsi="Times New Roman"/>
                <w:kern w:val="2"/>
                <w:lang w:bidi="ar"/>
              </w:rPr>
              <w:t>5年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jc w:val="center"/>
        </w:trPr>
        <w:tc>
          <w:tcPr>
            <w:tcW w:w="754" w:type="dxa"/>
            <w:vMerge w:val="continue"/>
            <w:vAlign w:val="center"/>
          </w:tcPr>
          <w:p>
            <w:pPr>
              <w:widowControl/>
              <w:rPr>
                <w:rFonts w:ascii="Times New Roman" w:hAnsi="Times New Roman"/>
                <w:kern w:val="2"/>
              </w:rPr>
            </w:pPr>
          </w:p>
        </w:tc>
        <w:tc>
          <w:tcPr>
            <w:tcW w:w="1352" w:type="dxa"/>
            <w:vAlign w:val="center"/>
          </w:tcPr>
          <w:p>
            <w:pPr>
              <w:adjustRightInd w:val="0"/>
              <w:snapToGrid w:val="0"/>
              <w:jc w:val="center"/>
              <w:rPr>
                <w:rFonts w:ascii="Times New Roman" w:hAnsi="Times New Roman"/>
                <w:kern w:val="2"/>
              </w:rPr>
            </w:pPr>
            <w:r>
              <w:rPr>
                <w:rFonts w:ascii="Times New Roman" w:hAnsi="Times New Roman"/>
              </w:rPr>
              <w:t>厂区外</w:t>
            </w:r>
          </w:p>
        </w:tc>
        <w:tc>
          <w:tcPr>
            <w:tcW w:w="1222" w:type="dxa"/>
            <w:gridSpan w:val="2"/>
            <w:vAlign w:val="center"/>
          </w:tcPr>
          <w:p>
            <w:pPr>
              <w:adjustRightInd w:val="0"/>
              <w:snapToGrid w:val="0"/>
              <w:jc w:val="center"/>
              <w:rPr>
                <w:rFonts w:ascii="Times New Roman" w:hAnsi="Times New Roman"/>
                <w:kern w:val="2"/>
              </w:rPr>
            </w:pPr>
            <w:r>
              <w:rPr>
                <w:rFonts w:ascii="Times New Roman" w:hAnsi="Times New Roman"/>
              </w:rPr>
              <w:t>表层样0~0.2m</w:t>
            </w:r>
          </w:p>
        </w:tc>
        <w:tc>
          <w:tcPr>
            <w:tcW w:w="3705" w:type="dxa"/>
            <w:vMerge w:val="continue"/>
            <w:vAlign w:val="center"/>
          </w:tcPr>
          <w:p>
            <w:pPr>
              <w:rPr>
                <w:rFonts w:ascii="Times New Roman" w:hAnsi="Times New Roman" w:eastAsia="Times New Roman"/>
                <w:kern w:val="2"/>
              </w:rPr>
            </w:pPr>
          </w:p>
        </w:tc>
        <w:tc>
          <w:tcPr>
            <w:tcW w:w="1280" w:type="dxa"/>
            <w:vMerge w:val="continue"/>
            <w:vAlign w:val="center"/>
          </w:tcPr>
          <w:p>
            <w:pPr>
              <w:rPr>
                <w:rFonts w:ascii="Times New Roman" w:hAnsi="Times New Roman" w:eastAsia="Times New Roman"/>
                <w:kern w:val="2"/>
                <w:lang w:bidi="ar"/>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jc w:val="center"/>
        </w:trPr>
        <w:tc>
          <w:tcPr>
            <w:tcW w:w="754" w:type="dxa"/>
            <w:vAlign w:val="center"/>
          </w:tcPr>
          <w:p>
            <w:pPr>
              <w:widowControl/>
              <w:rPr>
                <w:rFonts w:ascii="Times New Roman" w:hAnsi="Times New Roman"/>
                <w:kern w:val="2"/>
              </w:rPr>
            </w:pPr>
            <w:r>
              <w:rPr>
                <w:rFonts w:hint="eastAsia" w:ascii="Times New Roman" w:hAnsi="Times New Roman"/>
                <w:kern w:val="2"/>
              </w:rPr>
              <w:t>灭菌效果</w:t>
            </w:r>
          </w:p>
        </w:tc>
        <w:tc>
          <w:tcPr>
            <w:tcW w:w="1373" w:type="dxa"/>
            <w:gridSpan w:val="2"/>
            <w:vAlign w:val="center"/>
          </w:tcPr>
          <w:p>
            <w:pPr>
              <w:adjustRightInd w:val="0"/>
              <w:snapToGrid w:val="0"/>
              <w:jc w:val="center"/>
              <w:rPr>
                <w:rFonts w:ascii="Times New Roman" w:hAnsi="Times New Roman"/>
              </w:rPr>
            </w:pPr>
            <w:r>
              <w:rPr>
                <w:rFonts w:hint="eastAsia" w:ascii="Times New Roman" w:hAnsi="Times New Roman"/>
              </w:rPr>
              <w:t>灭菌处理后医疗废物</w:t>
            </w:r>
          </w:p>
        </w:tc>
        <w:tc>
          <w:tcPr>
            <w:tcW w:w="1201" w:type="dxa"/>
            <w:vAlign w:val="center"/>
          </w:tcPr>
          <w:p>
            <w:pPr>
              <w:adjustRightInd w:val="0"/>
              <w:snapToGrid w:val="0"/>
              <w:jc w:val="center"/>
              <w:rPr>
                <w:rFonts w:ascii="Times New Roman" w:hAnsi="Times New Roman"/>
              </w:rPr>
            </w:pPr>
            <w:r>
              <w:rPr>
                <w:rFonts w:hint="eastAsia" w:cs="宋体"/>
                <w:kern w:val="2"/>
              </w:rPr>
              <w:t>物体表面、空气监测</w:t>
            </w:r>
          </w:p>
        </w:tc>
        <w:tc>
          <w:tcPr>
            <w:tcW w:w="3705" w:type="dxa"/>
            <w:vAlign w:val="center"/>
          </w:tcPr>
          <w:p>
            <w:pPr>
              <w:rPr>
                <w:rFonts w:ascii="Times New Roman" w:hAnsi="Times New Roman" w:eastAsia="Times New Roman"/>
                <w:kern w:val="2"/>
              </w:rPr>
            </w:pPr>
            <w:r>
              <w:rPr>
                <w:rFonts w:hint="eastAsia" w:cs="宋体"/>
                <w:kern w:val="2"/>
              </w:rPr>
              <w:t>菌落数</w:t>
            </w:r>
          </w:p>
        </w:tc>
        <w:tc>
          <w:tcPr>
            <w:tcW w:w="1280" w:type="dxa"/>
            <w:vAlign w:val="center"/>
          </w:tcPr>
          <w:p>
            <w:pPr>
              <w:rPr>
                <w:rFonts w:ascii="Times New Roman" w:hAnsi="Times New Roman" w:eastAsiaTheme="minorEastAsia"/>
                <w:kern w:val="2"/>
                <w:lang w:bidi="ar"/>
              </w:rPr>
            </w:pPr>
            <w:r>
              <w:rPr>
                <w:rFonts w:hint="eastAsia" w:ascii="Times New Roman" w:hAnsi="Times New Roman" w:eastAsiaTheme="minorEastAsia"/>
                <w:kern w:val="2"/>
                <w:lang w:bidi="ar"/>
              </w:rPr>
              <w:t>季度</w:t>
            </w:r>
          </w:p>
        </w:tc>
      </w:tr>
    </w:tbl>
    <w:p>
      <w:pPr>
        <w:pStyle w:val="155"/>
        <w:spacing w:line="480" w:lineRule="exact"/>
        <w:ind w:firstLine="480"/>
      </w:pPr>
      <w:r>
        <w:t>在监测单位出具环境监测报告之后，企业应当将监测数据归类、归档，妥善保存。对于监测结果所反映的环保问题应及时采取措施，及时纠正，确保污染物排放达标。</w:t>
      </w:r>
    </w:p>
    <w:p>
      <w:pPr>
        <w:pStyle w:val="3"/>
        <w:spacing w:before="120" w:beforeLines="50" w:after="120" w:afterLines="50" w:line="480" w:lineRule="exact"/>
        <w:ind w:left="-11"/>
        <w:rPr>
          <w:rFonts w:ascii="Times New Roman" w:hAnsi="Times New Roman" w:eastAsia="黑体"/>
          <w:sz w:val="30"/>
          <w:szCs w:val="30"/>
        </w:rPr>
      </w:pPr>
      <w:bookmarkStart w:id="1581" w:name="_Toc116379731"/>
      <w:r>
        <w:rPr>
          <w:rFonts w:ascii="Times New Roman" w:hAnsi="Times New Roman" w:eastAsia="黑体"/>
          <w:sz w:val="30"/>
          <w:szCs w:val="30"/>
        </w:rPr>
        <w:t>环境信息公开</w:t>
      </w:r>
      <w:bookmarkEnd w:id="1580"/>
      <w:bookmarkEnd w:id="1581"/>
    </w:p>
    <w:p>
      <w:pPr>
        <w:spacing w:line="480" w:lineRule="exact"/>
        <w:ind w:firstLine="480" w:firstLineChars="200"/>
        <w:rPr>
          <w:rFonts w:ascii="Times New Roman" w:hAnsi="Times New Roman"/>
          <w:sz w:val="24"/>
          <w:szCs w:val="24"/>
        </w:rPr>
      </w:pPr>
      <w:r>
        <w:rPr>
          <w:rFonts w:ascii="Times New Roman" w:hAnsi="Times New Roman"/>
          <w:sz w:val="24"/>
          <w:szCs w:val="24"/>
        </w:rPr>
        <w:t>企业应定期于企业网站或双鸭山市环境保护局网站对企业的排污情况进行信息公开，包含以下几方面内容：</w:t>
      </w:r>
    </w:p>
    <w:p>
      <w:pPr>
        <w:spacing w:line="480" w:lineRule="exact"/>
        <w:ind w:firstLine="480" w:firstLineChars="200"/>
        <w:rPr>
          <w:rFonts w:ascii="Times New Roman" w:hAnsi="Times New Roman"/>
          <w:sz w:val="24"/>
          <w:szCs w:val="24"/>
        </w:rPr>
      </w:pPr>
      <w:r>
        <w:rPr>
          <w:rFonts w:ascii="Times New Roman" w:hAnsi="Times New Roman"/>
          <w:sz w:val="24"/>
          <w:szCs w:val="24"/>
        </w:rPr>
        <w:t>（1）基础信息，包括单位名称、组织机构代码、法定代表人、生产地址、联系方式，以及生产经营和管理服务的主要内容、产品及规模；</w:t>
      </w:r>
    </w:p>
    <w:p>
      <w:pPr>
        <w:spacing w:line="480" w:lineRule="exact"/>
        <w:ind w:firstLine="480" w:firstLineChars="200"/>
        <w:rPr>
          <w:rFonts w:ascii="Times New Roman" w:hAnsi="Times New Roman"/>
          <w:sz w:val="24"/>
          <w:szCs w:val="24"/>
        </w:rPr>
      </w:pPr>
      <w:r>
        <w:rPr>
          <w:rFonts w:ascii="Times New Roman" w:hAnsi="Times New Roman"/>
          <w:sz w:val="24"/>
          <w:szCs w:val="24"/>
        </w:rPr>
        <w:t>（2）排污信息，包括主要污染物及特征污染物的名称、排放方式、排放口数量和分布情况、排放浓度和总量、超标情况，以及执行的污染物排放标准、核定的排放总量；</w:t>
      </w:r>
    </w:p>
    <w:p>
      <w:pPr>
        <w:spacing w:line="480" w:lineRule="exact"/>
        <w:ind w:firstLine="480" w:firstLineChars="200"/>
        <w:rPr>
          <w:rFonts w:ascii="Times New Roman" w:hAnsi="Times New Roman"/>
          <w:sz w:val="24"/>
          <w:szCs w:val="24"/>
        </w:rPr>
      </w:pPr>
      <w:r>
        <w:rPr>
          <w:rFonts w:ascii="Times New Roman" w:hAnsi="Times New Roman"/>
          <w:sz w:val="24"/>
          <w:szCs w:val="24"/>
        </w:rPr>
        <w:t>（3）防治污染设施的建设和运行情况；</w:t>
      </w:r>
    </w:p>
    <w:p>
      <w:pPr>
        <w:spacing w:line="480" w:lineRule="exact"/>
        <w:ind w:firstLine="480" w:firstLineChars="200"/>
        <w:rPr>
          <w:rFonts w:ascii="Times New Roman" w:hAnsi="Times New Roman"/>
          <w:sz w:val="24"/>
          <w:szCs w:val="24"/>
        </w:rPr>
      </w:pPr>
      <w:r>
        <w:rPr>
          <w:rFonts w:ascii="Times New Roman" w:hAnsi="Times New Roman"/>
          <w:sz w:val="24"/>
          <w:szCs w:val="24"/>
        </w:rPr>
        <w:t>（4）建设项目环境影响评价及其他环境保护行政许可情况；</w:t>
      </w:r>
    </w:p>
    <w:p>
      <w:pPr>
        <w:spacing w:line="480" w:lineRule="exact"/>
        <w:ind w:firstLine="480" w:firstLineChars="200"/>
        <w:rPr>
          <w:rFonts w:ascii="Times New Roman" w:hAnsi="Times New Roman"/>
          <w:sz w:val="24"/>
          <w:szCs w:val="24"/>
        </w:rPr>
      </w:pPr>
      <w:r>
        <w:rPr>
          <w:rFonts w:ascii="Times New Roman" w:hAnsi="Times New Roman"/>
          <w:sz w:val="24"/>
          <w:szCs w:val="24"/>
        </w:rPr>
        <w:t>（5）突发环境事件应急预案。</w:t>
      </w:r>
    </w:p>
    <w:p>
      <w:pPr>
        <w:pStyle w:val="3"/>
        <w:spacing w:before="120" w:beforeLines="50" w:after="120" w:afterLines="50" w:line="480" w:lineRule="exact"/>
        <w:ind w:left="-11"/>
        <w:rPr>
          <w:rFonts w:ascii="Times New Roman" w:hAnsi="Times New Roman" w:eastAsia="黑体"/>
          <w:sz w:val="30"/>
          <w:szCs w:val="30"/>
        </w:rPr>
      </w:pPr>
      <w:bookmarkStart w:id="1582" w:name="_Toc116379732"/>
      <w:r>
        <w:rPr>
          <w:rFonts w:ascii="Times New Roman" w:hAnsi="Times New Roman" w:eastAsia="黑体"/>
          <w:sz w:val="30"/>
          <w:szCs w:val="30"/>
        </w:rPr>
        <w:t>“三同时”竣工验收内容</w:t>
      </w:r>
      <w:bookmarkEnd w:id="1582"/>
    </w:p>
    <w:p>
      <w:pPr>
        <w:spacing w:line="480" w:lineRule="exact"/>
        <w:ind w:firstLine="480" w:firstLineChars="200"/>
        <w:rPr>
          <w:rFonts w:ascii="Times New Roman" w:hAnsi="Times New Roman"/>
          <w:sz w:val="24"/>
          <w:szCs w:val="24"/>
        </w:rPr>
        <w:sectPr>
          <w:pgSz w:w="11907" w:h="16839"/>
          <w:pgMar w:top="1440" w:right="1797" w:bottom="1440" w:left="1797" w:header="851" w:footer="850" w:gutter="0"/>
          <w:cols w:space="720" w:num="1"/>
          <w:docGrid w:linePitch="312" w:charSpace="0"/>
        </w:sectPr>
      </w:pPr>
      <w:r>
        <w:rPr>
          <w:rFonts w:ascii="Times New Roman" w:hAnsi="Times New Roman"/>
          <w:sz w:val="24"/>
          <w:szCs w:val="24"/>
        </w:rPr>
        <w:t>本项目环境保护设施竣工验收具体内容详见表8.4-1。</w:t>
      </w:r>
    </w:p>
    <w:p>
      <w:pPr>
        <w:spacing w:line="480" w:lineRule="exact"/>
        <w:jc w:val="center"/>
        <w:rPr>
          <w:rFonts w:ascii="Times New Roman" w:hAnsi="Times New Roman"/>
          <w:b/>
        </w:rPr>
      </w:pPr>
      <w:r>
        <w:rPr>
          <w:rFonts w:ascii="Times New Roman" w:hAnsi="Times New Roman"/>
          <w:b/>
        </w:rPr>
        <w:t>表8.4-1 建设项目竣工环境保护验收一览表</w:t>
      </w:r>
    </w:p>
    <w:tbl>
      <w:tblPr>
        <w:tblStyle w:val="77"/>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781"/>
        <w:gridCol w:w="2262"/>
        <w:gridCol w:w="4139"/>
        <w:gridCol w:w="2407"/>
        <w:gridCol w:w="3656"/>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29" w:hRule="atLeast"/>
          <w:jc w:val="center"/>
        </w:trPr>
        <w:tc>
          <w:tcPr>
            <w:tcW w:w="781" w:type="dxa"/>
            <w:vAlign w:val="center"/>
          </w:tcPr>
          <w:p>
            <w:pPr>
              <w:spacing w:line="280" w:lineRule="exact"/>
              <w:rPr>
                <w:rFonts w:ascii="Times New Roman" w:hAnsi="Times New Roman"/>
                <w:b/>
                <w:kern w:val="2"/>
              </w:rPr>
            </w:pPr>
            <w:r>
              <w:rPr>
                <w:rFonts w:ascii="Times New Roman" w:hAnsi="Times New Roman"/>
                <w:b/>
                <w:kern w:val="2"/>
              </w:rPr>
              <w:t>类别</w:t>
            </w:r>
          </w:p>
        </w:tc>
        <w:tc>
          <w:tcPr>
            <w:tcW w:w="2262" w:type="dxa"/>
            <w:vAlign w:val="center"/>
          </w:tcPr>
          <w:p>
            <w:pPr>
              <w:spacing w:line="280" w:lineRule="exact"/>
              <w:jc w:val="center"/>
              <w:rPr>
                <w:rFonts w:ascii="Times New Roman" w:hAnsi="Times New Roman"/>
                <w:b/>
                <w:kern w:val="2"/>
              </w:rPr>
            </w:pPr>
            <w:r>
              <w:rPr>
                <w:rFonts w:ascii="Times New Roman" w:hAnsi="Times New Roman"/>
                <w:b/>
                <w:kern w:val="2"/>
              </w:rPr>
              <w:t>污染源</w:t>
            </w:r>
          </w:p>
        </w:tc>
        <w:tc>
          <w:tcPr>
            <w:tcW w:w="4139" w:type="dxa"/>
            <w:vAlign w:val="center"/>
          </w:tcPr>
          <w:p>
            <w:pPr>
              <w:spacing w:line="280" w:lineRule="exact"/>
              <w:jc w:val="center"/>
              <w:rPr>
                <w:rFonts w:ascii="Times New Roman" w:hAnsi="Times New Roman"/>
                <w:b/>
                <w:kern w:val="2"/>
              </w:rPr>
            </w:pPr>
            <w:r>
              <w:rPr>
                <w:rFonts w:ascii="Times New Roman" w:hAnsi="Times New Roman"/>
                <w:b/>
                <w:kern w:val="2"/>
              </w:rPr>
              <w:t>治理设施</w:t>
            </w:r>
          </w:p>
        </w:tc>
        <w:tc>
          <w:tcPr>
            <w:tcW w:w="2407" w:type="dxa"/>
            <w:vAlign w:val="center"/>
          </w:tcPr>
          <w:p>
            <w:pPr>
              <w:spacing w:line="280" w:lineRule="exact"/>
              <w:jc w:val="center"/>
              <w:rPr>
                <w:rFonts w:ascii="Times New Roman" w:hAnsi="Times New Roman"/>
                <w:b/>
                <w:kern w:val="2"/>
              </w:rPr>
            </w:pPr>
            <w:r>
              <w:rPr>
                <w:rFonts w:ascii="Times New Roman" w:hAnsi="Times New Roman"/>
                <w:b/>
                <w:kern w:val="2"/>
              </w:rPr>
              <w:t>验收监测项目</w:t>
            </w:r>
          </w:p>
        </w:tc>
        <w:tc>
          <w:tcPr>
            <w:tcW w:w="3656" w:type="dxa"/>
            <w:vAlign w:val="center"/>
          </w:tcPr>
          <w:p>
            <w:pPr>
              <w:spacing w:line="280" w:lineRule="exact"/>
              <w:jc w:val="center"/>
              <w:rPr>
                <w:rFonts w:ascii="Times New Roman" w:hAnsi="Times New Roman"/>
                <w:b/>
                <w:kern w:val="2"/>
              </w:rPr>
            </w:pPr>
            <w:r>
              <w:rPr>
                <w:rFonts w:ascii="Times New Roman" w:hAnsi="Times New Roman"/>
                <w:b/>
                <w:kern w:val="2"/>
              </w:rPr>
              <w:t>验收标准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 w:hRule="atLeast"/>
          <w:jc w:val="center"/>
        </w:trPr>
        <w:tc>
          <w:tcPr>
            <w:tcW w:w="781" w:type="dxa"/>
            <w:vMerge w:val="restart"/>
            <w:vAlign w:val="center"/>
          </w:tcPr>
          <w:p>
            <w:pPr>
              <w:spacing w:line="280" w:lineRule="exact"/>
              <w:rPr>
                <w:rFonts w:ascii="Times New Roman" w:hAnsi="Times New Roman"/>
                <w:kern w:val="2"/>
                <w:szCs w:val="22"/>
              </w:rPr>
            </w:pPr>
            <w:r>
              <w:rPr>
                <w:rFonts w:ascii="Times New Roman" w:hAnsi="Times New Roman"/>
                <w:kern w:val="2"/>
                <w:szCs w:val="22"/>
              </w:rPr>
              <w:t>废水</w:t>
            </w:r>
          </w:p>
        </w:tc>
        <w:tc>
          <w:tcPr>
            <w:tcW w:w="2262" w:type="dxa"/>
            <w:vAlign w:val="center"/>
          </w:tcPr>
          <w:p>
            <w:pPr>
              <w:spacing w:line="280" w:lineRule="exact"/>
              <w:jc w:val="center"/>
              <w:rPr>
                <w:rFonts w:ascii="Times New Roman" w:hAnsi="Times New Roman"/>
                <w:szCs w:val="22"/>
              </w:rPr>
            </w:pPr>
            <w:r>
              <w:rPr>
                <w:rFonts w:ascii="Times New Roman" w:hAnsi="Times New Roman"/>
                <w:szCs w:val="22"/>
              </w:rPr>
              <w:t>生活污水</w:t>
            </w:r>
          </w:p>
        </w:tc>
        <w:tc>
          <w:tcPr>
            <w:tcW w:w="4139" w:type="dxa"/>
            <w:vAlign w:val="center"/>
          </w:tcPr>
          <w:p>
            <w:pPr>
              <w:widowControl/>
              <w:rPr>
                <w:rFonts w:ascii="Times New Roman" w:hAnsi="Times New Roman"/>
                <w:kern w:val="2"/>
              </w:rPr>
            </w:pPr>
            <w:r>
              <w:rPr>
                <w:rFonts w:hint="eastAsia" w:ascii="Times New Roman" w:hAnsi="Times New Roman"/>
                <w:kern w:val="2"/>
              </w:rPr>
              <w:t>生活污水通过罐车运至双鸭山市城市污水处理厂处理后达到《城镇污水处理厂污染物排放标准》（GB18918-2002）一级A标准后排放。</w:t>
            </w:r>
          </w:p>
        </w:tc>
        <w:tc>
          <w:tcPr>
            <w:tcW w:w="2407" w:type="dxa"/>
            <w:vAlign w:val="center"/>
          </w:tcPr>
          <w:p>
            <w:pPr>
              <w:spacing w:line="280" w:lineRule="exact"/>
              <w:rPr>
                <w:rFonts w:ascii="Times New Roman" w:hAnsi="Times New Roman"/>
                <w:szCs w:val="22"/>
              </w:rPr>
            </w:pPr>
            <w:r>
              <w:rPr>
                <w:rFonts w:ascii="Times New Roman" w:hAnsi="Times New Roman"/>
                <w:kern w:val="2"/>
                <w:szCs w:val="24"/>
              </w:rPr>
              <w:t>pH值、流量、化学需氧量、悬浮物、五日生化需氧量、氨氮、总磷</w:t>
            </w:r>
          </w:p>
        </w:tc>
        <w:tc>
          <w:tcPr>
            <w:tcW w:w="3656" w:type="dxa"/>
            <w:vAlign w:val="center"/>
          </w:tcPr>
          <w:p>
            <w:pPr>
              <w:spacing w:line="280" w:lineRule="exact"/>
              <w:rPr>
                <w:rFonts w:ascii="Times New Roman" w:hAnsi="Times New Roman"/>
                <w:szCs w:val="22"/>
              </w:rPr>
            </w:pPr>
            <w:r>
              <w:rPr>
                <w:rFonts w:ascii="Times New Roman" w:hAnsi="Times New Roman"/>
                <w:kern w:val="2"/>
              </w:rPr>
              <w:t>《污水综合排放标准》（GB8978-1996）</w:t>
            </w:r>
            <w:r>
              <w:rPr>
                <w:rFonts w:hint="eastAsia" w:ascii="Times New Roman" w:hAnsi="Times New Roman"/>
                <w:kern w:val="2"/>
              </w:rPr>
              <w:t>三级标准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 w:hRule="atLeast"/>
          <w:jc w:val="center"/>
        </w:trPr>
        <w:tc>
          <w:tcPr>
            <w:tcW w:w="781" w:type="dxa"/>
            <w:vMerge w:val="continue"/>
            <w:vAlign w:val="center"/>
          </w:tcPr>
          <w:p>
            <w:pPr>
              <w:spacing w:line="280" w:lineRule="exact"/>
              <w:rPr>
                <w:rFonts w:ascii="Times New Roman" w:hAnsi="Times New Roman"/>
                <w:kern w:val="2"/>
                <w:szCs w:val="22"/>
              </w:rPr>
            </w:pPr>
          </w:p>
        </w:tc>
        <w:tc>
          <w:tcPr>
            <w:tcW w:w="2262" w:type="dxa"/>
            <w:vAlign w:val="center"/>
          </w:tcPr>
          <w:p>
            <w:pPr>
              <w:spacing w:line="280" w:lineRule="exact"/>
              <w:jc w:val="center"/>
              <w:rPr>
                <w:rFonts w:ascii="Times New Roman" w:hAnsi="Times New Roman"/>
                <w:szCs w:val="22"/>
              </w:rPr>
            </w:pPr>
            <w:r>
              <w:rPr>
                <w:rFonts w:ascii="Times New Roman" w:hAnsi="Times New Roman"/>
                <w:szCs w:val="22"/>
              </w:rPr>
              <w:t>生产废水</w:t>
            </w:r>
          </w:p>
        </w:tc>
        <w:tc>
          <w:tcPr>
            <w:tcW w:w="4139" w:type="dxa"/>
            <w:vAlign w:val="center"/>
          </w:tcPr>
          <w:p>
            <w:pPr>
              <w:spacing w:line="280" w:lineRule="exact"/>
              <w:rPr>
                <w:rFonts w:ascii="Times New Roman" w:hAnsi="Times New Roman"/>
                <w:szCs w:val="22"/>
              </w:rPr>
            </w:pPr>
            <w:r>
              <w:rPr>
                <w:rFonts w:ascii="Times New Roman" w:hAnsi="Times New Roman"/>
                <w:kern w:val="2"/>
              </w:rPr>
              <w:t>生产废水经企业原有污水处理站(工艺流程：格栅→调节池→一体化污水处理设备(水解酸化池→接触氧化池 →二沉池 →MBR池) →二氧化氯发生器→回用水池) 处理后满足《城市污水再生利用城市杂用水水质》( GB/T18920-2002 ) 中“车辆冲洗标准”，厂内全部回用 (回用于车间地面消毒清洗用水、转运车消毒清洗用水和周转箱消毒清洗用水) ，不外排。</w:t>
            </w:r>
          </w:p>
        </w:tc>
        <w:tc>
          <w:tcPr>
            <w:tcW w:w="2407" w:type="dxa"/>
            <w:vAlign w:val="center"/>
          </w:tcPr>
          <w:p>
            <w:pPr>
              <w:spacing w:line="280" w:lineRule="exact"/>
              <w:rPr>
                <w:rFonts w:ascii="Times New Roman" w:hAnsi="Times New Roman"/>
                <w:kern w:val="2"/>
                <w:szCs w:val="24"/>
              </w:rPr>
            </w:pPr>
            <w:r>
              <w:rPr>
                <w:rFonts w:ascii="Times New Roman" w:hAnsi="Times New Roman"/>
                <w:kern w:val="2"/>
                <w:szCs w:val="24"/>
              </w:rPr>
              <w:t>pH、化学需氧量、悬浮物</w:t>
            </w:r>
          </w:p>
          <w:p>
            <w:pPr>
              <w:spacing w:line="280" w:lineRule="exact"/>
              <w:rPr>
                <w:rFonts w:ascii="Times New Roman" w:hAnsi="Times New Roman"/>
                <w:kern w:val="2"/>
                <w:szCs w:val="24"/>
              </w:rPr>
            </w:pPr>
            <w:r>
              <w:rPr>
                <w:rFonts w:hint="eastAsia" w:ascii="Times New Roman" w:hAnsi="Times New Roman"/>
                <w:kern w:val="2"/>
                <w:szCs w:val="24"/>
              </w:rPr>
              <w:t>粪大肠菌群数</w:t>
            </w:r>
          </w:p>
          <w:p>
            <w:pPr>
              <w:spacing w:line="280" w:lineRule="exact"/>
              <w:rPr>
                <w:rFonts w:ascii="Times New Roman" w:hAnsi="Times New Roman"/>
                <w:szCs w:val="22"/>
              </w:rPr>
            </w:pPr>
            <w:r>
              <w:rPr>
                <w:rFonts w:hint="eastAsia" w:ascii="Times New Roman" w:hAnsi="Times New Roman"/>
                <w:kern w:val="2"/>
                <w:szCs w:val="24"/>
              </w:rPr>
              <w:t>五日生化需氧量、氨氮</w:t>
            </w:r>
          </w:p>
        </w:tc>
        <w:tc>
          <w:tcPr>
            <w:tcW w:w="3656" w:type="dxa"/>
            <w:vAlign w:val="center"/>
          </w:tcPr>
          <w:p>
            <w:pPr>
              <w:spacing w:line="280" w:lineRule="exact"/>
              <w:rPr>
                <w:rFonts w:ascii="Times New Roman" w:hAnsi="Times New Roman"/>
                <w:szCs w:val="22"/>
              </w:rPr>
            </w:pPr>
            <w:r>
              <w:rPr>
                <w:rFonts w:ascii="Times New Roman" w:hAnsi="Times New Roman"/>
                <w:kern w:val="2"/>
              </w:rPr>
              <w:t>《城市污水再生利用城市杂用水水质》( GB/T18920-2002 ) 中“车辆冲洗标准”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 w:hRule="atLeast"/>
          <w:jc w:val="center"/>
        </w:trPr>
        <w:tc>
          <w:tcPr>
            <w:tcW w:w="781" w:type="dxa"/>
            <w:vMerge w:val="restart"/>
            <w:vAlign w:val="center"/>
          </w:tcPr>
          <w:p>
            <w:pPr>
              <w:spacing w:line="280" w:lineRule="exact"/>
              <w:rPr>
                <w:rFonts w:ascii="Times New Roman" w:hAnsi="Times New Roman"/>
                <w:kern w:val="2"/>
                <w:szCs w:val="22"/>
              </w:rPr>
            </w:pPr>
            <w:r>
              <w:rPr>
                <w:rFonts w:ascii="Times New Roman" w:hAnsi="Times New Roman"/>
                <w:kern w:val="2"/>
                <w:szCs w:val="22"/>
              </w:rPr>
              <w:t>废气</w:t>
            </w:r>
          </w:p>
        </w:tc>
        <w:tc>
          <w:tcPr>
            <w:tcW w:w="2262" w:type="dxa"/>
            <w:vAlign w:val="center"/>
          </w:tcPr>
          <w:p>
            <w:pPr>
              <w:spacing w:line="280" w:lineRule="exact"/>
              <w:jc w:val="center"/>
              <w:rPr>
                <w:rFonts w:ascii="Times New Roman" w:hAnsi="Times New Roman"/>
                <w:kern w:val="2"/>
              </w:rPr>
            </w:pPr>
            <w:r>
              <w:rPr>
                <w:rFonts w:ascii="Times New Roman" w:hAnsi="Times New Roman"/>
                <w:kern w:val="2"/>
              </w:rPr>
              <w:t>高温干热系统废气</w:t>
            </w:r>
          </w:p>
        </w:tc>
        <w:tc>
          <w:tcPr>
            <w:tcW w:w="4139" w:type="dxa"/>
            <w:vAlign w:val="center"/>
          </w:tcPr>
          <w:p>
            <w:pPr>
              <w:adjustRightInd w:val="0"/>
              <w:snapToGrid w:val="0"/>
              <w:spacing w:line="280" w:lineRule="exact"/>
              <w:rPr>
                <w:rFonts w:ascii="Times New Roman" w:hAnsi="Times New Roman"/>
                <w:kern w:val="2"/>
              </w:rPr>
            </w:pPr>
            <w:r>
              <w:rPr>
                <w:rFonts w:ascii="Times New Roman" w:hAnsi="Times New Roman"/>
              </w:rPr>
              <w:t>粉尘阻拦干燥器+低温等离子废气净化器</w:t>
            </w:r>
            <w:r>
              <w:rPr>
                <w:rFonts w:ascii="Times New Roman" w:hAnsi="Times New Roman"/>
                <w:kern w:val="2"/>
              </w:rPr>
              <w:t>处理后由15m排气筒</w:t>
            </w:r>
            <w:r>
              <w:rPr>
                <w:rFonts w:hint="eastAsia" w:ascii="Times New Roman" w:hAnsi="Times New Roman"/>
                <w:kern w:val="2"/>
                <w:highlight w:val="yellow"/>
              </w:rPr>
              <w:t>（D</w:t>
            </w:r>
            <w:r>
              <w:rPr>
                <w:rFonts w:ascii="Times New Roman" w:hAnsi="Times New Roman"/>
                <w:kern w:val="2"/>
                <w:highlight w:val="yellow"/>
              </w:rPr>
              <w:t>A002</w:t>
            </w:r>
            <w:r>
              <w:rPr>
                <w:rFonts w:hint="eastAsia" w:ascii="Times New Roman" w:hAnsi="Times New Roman"/>
                <w:kern w:val="2"/>
                <w:highlight w:val="yellow"/>
              </w:rPr>
              <w:t>）</w:t>
            </w:r>
            <w:r>
              <w:rPr>
                <w:rFonts w:ascii="Times New Roman" w:hAnsi="Times New Roman"/>
                <w:kern w:val="2"/>
              </w:rPr>
              <w:t>排放</w:t>
            </w:r>
          </w:p>
        </w:tc>
        <w:tc>
          <w:tcPr>
            <w:tcW w:w="2407" w:type="dxa"/>
            <w:vAlign w:val="center"/>
          </w:tcPr>
          <w:p>
            <w:pPr>
              <w:rPr>
                <w:rFonts w:ascii="Times New Roman" w:hAnsi="Times New Roman"/>
                <w:kern w:val="2"/>
                <w:szCs w:val="24"/>
              </w:rPr>
            </w:pPr>
            <w:r>
              <w:rPr>
                <w:rFonts w:ascii="Times New Roman" w:hAnsi="Times New Roman"/>
                <w:kern w:val="2"/>
                <w:szCs w:val="24"/>
              </w:rPr>
              <w:t>非甲烷总烃、硫化氢、氨、</w:t>
            </w:r>
          </w:p>
          <w:p>
            <w:pPr>
              <w:rPr>
                <w:rFonts w:ascii="Times New Roman" w:hAnsi="Times New Roman"/>
                <w:kern w:val="2"/>
              </w:rPr>
            </w:pPr>
            <w:r>
              <w:rPr>
                <w:rFonts w:ascii="Times New Roman" w:hAnsi="Times New Roman"/>
                <w:kern w:val="2"/>
                <w:szCs w:val="24"/>
              </w:rPr>
              <w:t>臭气浓度、颗粒物</w:t>
            </w:r>
          </w:p>
        </w:tc>
        <w:tc>
          <w:tcPr>
            <w:tcW w:w="3656" w:type="dxa"/>
            <w:vAlign w:val="center"/>
          </w:tcPr>
          <w:p>
            <w:pPr>
              <w:adjustRightInd w:val="0"/>
              <w:snapToGrid w:val="0"/>
              <w:spacing w:line="280" w:lineRule="exact"/>
              <w:rPr>
                <w:rFonts w:ascii="Times New Roman" w:hAnsi="Times New Roman"/>
                <w:kern w:val="2"/>
              </w:rPr>
            </w:pPr>
            <w:r>
              <w:rPr>
                <w:rFonts w:ascii="Times New Roman" w:hAnsi="Times New Roman"/>
                <w:kern w:val="2"/>
              </w:rPr>
              <w:t>《恶臭污染物排放标准》（GB14554-93）、《大气污染物综合排放标准》（GB16297-1996）表2标准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781" w:type="dxa"/>
            <w:vMerge w:val="continue"/>
            <w:vAlign w:val="center"/>
          </w:tcPr>
          <w:p>
            <w:pPr>
              <w:spacing w:line="280" w:lineRule="exact"/>
              <w:rPr>
                <w:rFonts w:ascii="Times New Roman" w:hAnsi="Times New Roman"/>
                <w:kern w:val="2"/>
                <w:szCs w:val="22"/>
              </w:rPr>
            </w:pPr>
          </w:p>
        </w:tc>
        <w:tc>
          <w:tcPr>
            <w:tcW w:w="2262" w:type="dxa"/>
            <w:vAlign w:val="center"/>
          </w:tcPr>
          <w:p>
            <w:pPr>
              <w:spacing w:line="280" w:lineRule="exact"/>
              <w:jc w:val="center"/>
              <w:rPr>
                <w:rFonts w:ascii="Times New Roman" w:hAnsi="Times New Roman"/>
                <w:kern w:val="2"/>
              </w:rPr>
            </w:pPr>
            <w:r>
              <w:rPr>
                <w:rFonts w:ascii="Times New Roman" w:hAnsi="Times New Roman"/>
                <w:kern w:val="2"/>
              </w:rPr>
              <w:t>导热油炉</w:t>
            </w:r>
          </w:p>
        </w:tc>
        <w:tc>
          <w:tcPr>
            <w:tcW w:w="4139" w:type="dxa"/>
            <w:vAlign w:val="center"/>
          </w:tcPr>
          <w:p>
            <w:pPr>
              <w:adjustRightInd w:val="0"/>
              <w:snapToGrid w:val="0"/>
              <w:spacing w:line="280" w:lineRule="exact"/>
              <w:rPr>
                <w:rFonts w:ascii="Times New Roman" w:hAnsi="Times New Roman"/>
                <w:kern w:val="2"/>
              </w:rPr>
            </w:pPr>
            <w:r>
              <w:rPr>
                <w:rFonts w:ascii="Times New Roman" w:hAnsi="Times New Roman"/>
                <w:kern w:val="2"/>
              </w:rPr>
              <w:t>燃料为清洁燃料轻质柴油，由15m高排气筒</w:t>
            </w:r>
            <w:r>
              <w:rPr>
                <w:rFonts w:hint="eastAsia" w:ascii="Times New Roman" w:hAnsi="Times New Roman"/>
                <w:kern w:val="2"/>
                <w:highlight w:val="yellow"/>
              </w:rPr>
              <w:t>（</w:t>
            </w:r>
            <w:r>
              <w:rPr>
                <w:rFonts w:ascii="Times New Roman" w:hAnsi="Times New Roman"/>
                <w:kern w:val="2"/>
                <w:highlight w:val="yellow"/>
              </w:rPr>
              <w:t>DA002</w:t>
            </w:r>
            <w:r>
              <w:rPr>
                <w:rFonts w:hint="eastAsia" w:ascii="Times New Roman" w:hAnsi="Times New Roman"/>
                <w:kern w:val="2"/>
                <w:highlight w:val="yellow"/>
              </w:rPr>
              <w:t>）</w:t>
            </w:r>
            <w:r>
              <w:rPr>
                <w:rFonts w:ascii="Times New Roman" w:hAnsi="Times New Roman"/>
                <w:kern w:val="2"/>
              </w:rPr>
              <w:t>排放</w:t>
            </w:r>
          </w:p>
        </w:tc>
        <w:tc>
          <w:tcPr>
            <w:tcW w:w="2407" w:type="dxa"/>
            <w:vAlign w:val="center"/>
          </w:tcPr>
          <w:p>
            <w:pPr>
              <w:rPr>
                <w:rFonts w:ascii="Times New Roman" w:hAnsi="Times New Roman"/>
                <w:kern w:val="2"/>
                <w:szCs w:val="24"/>
              </w:rPr>
            </w:pPr>
            <w:r>
              <w:rPr>
                <w:rFonts w:ascii="Times New Roman" w:hAnsi="Times New Roman"/>
                <w:kern w:val="2"/>
                <w:szCs w:val="24"/>
              </w:rPr>
              <w:t>二氧化硫、氮氧化物、</w:t>
            </w:r>
          </w:p>
          <w:p>
            <w:pPr>
              <w:rPr>
                <w:rFonts w:ascii="Times New Roman" w:hAnsi="Times New Roman"/>
                <w:kern w:val="2"/>
              </w:rPr>
            </w:pPr>
            <w:r>
              <w:rPr>
                <w:rFonts w:ascii="Times New Roman" w:hAnsi="Times New Roman"/>
                <w:kern w:val="2"/>
                <w:szCs w:val="24"/>
              </w:rPr>
              <w:t>颗粒物</w:t>
            </w:r>
            <w:r>
              <w:rPr>
                <w:rFonts w:hint="eastAsia" w:ascii="Times New Roman" w:hAnsi="Times New Roman"/>
                <w:kern w:val="2"/>
                <w:szCs w:val="24"/>
              </w:rPr>
              <w:t>、林格曼黑度</w:t>
            </w:r>
          </w:p>
        </w:tc>
        <w:tc>
          <w:tcPr>
            <w:tcW w:w="3656" w:type="dxa"/>
            <w:vAlign w:val="center"/>
          </w:tcPr>
          <w:p>
            <w:pPr>
              <w:adjustRightInd w:val="0"/>
              <w:snapToGrid w:val="0"/>
              <w:spacing w:line="280" w:lineRule="exact"/>
              <w:rPr>
                <w:rFonts w:ascii="Times New Roman" w:hAnsi="Times New Roman"/>
                <w:kern w:val="2"/>
              </w:rPr>
            </w:pPr>
            <w:r>
              <w:rPr>
                <w:rFonts w:ascii="Times New Roman" w:hAnsi="Times New Roman"/>
                <w:kern w:val="2"/>
              </w:rPr>
              <w:t>《锅炉大气污染物排放标准》（GB13271-2014）</w:t>
            </w:r>
            <w:r>
              <w:rPr>
                <w:rFonts w:hint="eastAsia" w:ascii="Times New Roman" w:hAnsi="Times New Roman"/>
                <w:kern w:val="2"/>
              </w:rPr>
              <w:t>燃油</w:t>
            </w:r>
            <w:r>
              <w:rPr>
                <w:rFonts w:ascii="Times New Roman" w:hAnsi="Times New Roman"/>
                <w:kern w:val="2"/>
              </w:rPr>
              <w:t>锅炉标准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55" w:hRule="atLeast"/>
          <w:jc w:val="center"/>
        </w:trPr>
        <w:tc>
          <w:tcPr>
            <w:tcW w:w="781" w:type="dxa"/>
            <w:vMerge w:val="continue"/>
            <w:vAlign w:val="center"/>
          </w:tcPr>
          <w:p>
            <w:pPr>
              <w:spacing w:line="280" w:lineRule="exact"/>
              <w:rPr>
                <w:rFonts w:ascii="Times New Roman" w:hAnsi="Times New Roman"/>
                <w:kern w:val="2"/>
                <w:szCs w:val="22"/>
              </w:rPr>
            </w:pPr>
          </w:p>
        </w:tc>
        <w:tc>
          <w:tcPr>
            <w:tcW w:w="2262" w:type="dxa"/>
            <w:vAlign w:val="center"/>
          </w:tcPr>
          <w:p>
            <w:pPr>
              <w:spacing w:line="280" w:lineRule="exact"/>
              <w:jc w:val="center"/>
              <w:rPr>
                <w:rFonts w:hint="eastAsia" w:ascii="Times New Roman" w:hAnsi="Times New Roman"/>
                <w:kern w:val="2"/>
              </w:rPr>
            </w:pPr>
            <w:r>
              <w:rPr>
                <w:rFonts w:hint="eastAsia" w:ascii="Times New Roman" w:hAnsi="Times New Roman"/>
                <w:kern w:val="2"/>
              </w:rPr>
              <w:t>污水处理站恶臭气体</w:t>
            </w:r>
          </w:p>
        </w:tc>
        <w:tc>
          <w:tcPr>
            <w:tcW w:w="4139" w:type="dxa"/>
            <w:vAlign w:val="center"/>
          </w:tcPr>
          <w:p>
            <w:pPr>
              <w:adjustRightInd w:val="0"/>
              <w:snapToGrid w:val="0"/>
              <w:spacing w:line="280" w:lineRule="exact"/>
              <w:rPr>
                <w:rFonts w:hint="eastAsia" w:ascii="Times New Roman" w:hAnsi="Times New Roman"/>
                <w:kern w:val="2"/>
              </w:rPr>
            </w:pPr>
            <w:r>
              <w:rPr>
                <w:rFonts w:hint="eastAsia" w:ascii="Times New Roman" w:hAnsi="Times New Roman"/>
                <w:kern w:val="2"/>
              </w:rPr>
              <w:t>经除臭塔吸附处理后由1</w:t>
            </w:r>
            <w:r>
              <w:rPr>
                <w:rFonts w:ascii="Times New Roman" w:hAnsi="Times New Roman"/>
                <w:kern w:val="2"/>
              </w:rPr>
              <w:t>5</w:t>
            </w:r>
            <w:r>
              <w:rPr>
                <w:rFonts w:hint="eastAsia" w:ascii="Times New Roman" w:hAnsi="Times New Roman"/>
                <w:kern w:val="2"/>
              </w:rPr>
              <w:t>m高排气筒</w:t>
            </w:r>
            <w:r>
              <w:rPr>
                <w:rFonts w:hint="eastAsia" w:ascii="Times New Roman" w:hAnsi="Times New Roman"/>
                <w:kern w:val="2"/>
                <w:highlight w:val="yellow"/>
              </w:rPr>
              <w:t>（</w:t>
            </w:r>
            <w:r>
              <w:rPr>
                <w:rFonts w:ascii="Times New Roman" w:hAnsi="Times New Roman"/>
                <w:kern w:val="2"/>
                <w:highlight w:val="yellow"/>
              </w:rPr>
              <w:t>DA003</w:t>
            </w:r>
            <w:r>
              <w:rPr>
                <w:rFonts w:hint="eastAsia" w:ascii="Times New Roman" w:hAnsi="Times New Roman"/>
                <w:kern w:val="2"/>
                <w:highlight w:val="yellow"/>
              </w:rPr>
              <w:t>）</w:t>
            </w:r>
            <w:r>
              <w:rPr>
                <w:rFonts w:hint="eastAsia" w:ascii="Times New Roman" w:hAnsi="Times New Roman"/>
                <w:kern w:val="2"/>
              </w:rPr>
              <w:t>排放</w:t>
            </w:r>
          </w:p>
        </w:tc>
        <w:tc>
          <w:tcPr>
            <w:tcW w:w="2407" w:type="dxa"/>
            <w:vAlign w:val="center"/>
          </w:tcPr>
          <w:p>
            <w:pPr>
              <w:rPr>
                <w:rFonts w:ascii="Times New Roman" w:hAnsi="Times New Roman"/>
                <w:kern w:val="2"/>
                <w:szCs w:val="24"/>
              </w:rPr>
            </w:pPr>
          </w:p>
        </w:tc>
        <w:tc>
          <w:tcPr>
            <w:tcW w:w="3656" w:type="dxa"/>
            <w:vAlign w:val="center"/>
          </w:tcPr>
          <w:p>
            <w:pPr>
              <w:adjustRightInd w:val="0"/>
              <w:snapToGrid w:val="0"/>
              <w:spacing w:line="280" w:lineRule="exact"/>
              <w:rPr>
                <w:rFonts w:ascii="Times New Roman" w:hAnsi="Times New Roman"/>
                <w:kern w:val="2"/>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 w:hRule="atLeast"/>
          <w:jc w:val="center"/>
        </w:trPr>
        <w:tc>
          <w:tcPr>
            <w:tcW w:w="781" w:type="dxa"/>
            <w:vMerge w:val="continue"/>
            <w:vAlign w:val="center"/>
          </w:tcPr>
          <w:p>
            <w:pPr>
              <w:pStyle w:val="65"/>
              <w:jc w:val="both"/>
            </w:pPr>
          </w:p>
        </w:tc>
        <w:tc>
          <w:tcPr>
            <w:tcW w:w="2262" w:type="dxa"/>
            <w:vAlign w:val="center"/>
          </w:tcPr>
          <w:p>
            <w:pPr>
              <w:spacing w:line="280" w:lineRule="exact"/>
              <w:jc w:val="center"/>
              <w:rPr>
                <w:rFonts w:ascii="Times New Roman" w:hAnsi="Times New Roman"/>
                <w:kern w:val="2"/>
              </w:rPr>
            </w:pPr>
            <w:r>
              <w:rPr>
                <w:rFonts w:ascii="Times New Roman" w:hAnsi="Times New Roman"/>
                <w:kern w:val="2"/>
              </w:rPr>
              <w:t>无组织废气</w:t>
            </w:r>
          </w:p>
        </w:tc>
        <w:tc>
          <w:tcPr>
            <w:tcW w:w="4139" w:type="dxa"/>
            <w:vAlign w:val="center"/>
          </w:tcPr>
          <w:p>
            <w:pPr>
              <w:adjustRightInd w:val="0"/>
              <w:snapToGrid w:val="0"/>
              <w:rPr>
                <w:rFonts w:ascii="Times New Roman" w:hAnsi="Times New Roman"/>
                <w:kern w:val="2"/>
              </w:rPr>
            </w:pPr>
            <w:r>
              <w:rPr>
                <w:rFonts w:ascii="Times New Roman" w:hAnsi="Times New Roman"/>
                <w:kern w:val="2"/>
              </w:rPr>
              <w:t>/</w:t>
            </w:r>
          </w:p>
        </w:tc>
        <w:tc>
          <w:tcPr>
            <w:tcW w:w="2407" w:type="dxa"/>
            <w:vAlign w:val="center"/>
          </w:tcPr>
          <w:p>
            <w:pPr>
              <w:rPr>
                <w:rFonts w:ascii="Times New Roman" w:hAnsi="Times New Roman"/>
                <w:kern w:val="2"/>
                <w:szCs w:val="24"/>
              </w:rPr>
            </w:pPr>
            <w:r>
              <w:rPr>
                <w:rFonts w:ascii="Times New Roman" w:hAnsi="Times New Roman"/>
                <w:kern w:val="2"/>
                <w:szCs w:val="24"/>
              </w:rPr>
              <w:t>硫化氢、氨、臭气浓度、</w:t>
            </w:r>
          </w:p>
          <w:p>
            <w:pPr>
              <w:rPr>
                <w:rFonts w:ascii="Times New Roman" w:hAnsi="Times New Roman"/>
                <w:kern w:val="2"/>
              </w:rPr>
            </w:pPr>
            <w:r>
              <w:rPr>
                <w:rFonts w:ascii="Times New Roman" w:hAnsi="Times New Roman"/>
                <w:kern w:val="2"/>
                <w:szCs w:val="24"/>
              </w:rPr>
              <w:t>非甲烷总烃、颗粒物</w:t>
            </w:r>
          </w:p>
        </w:tc>
        <w:tc>
          <w:tcPr>
            <w:tcW w:w="3656" w:type="dxa"/>
            <w:vAlign w:val="center"/>
          </w:tcPr>
          <w:p>
            <w:pPr>
              <w:adjustRightInd w:val="0"/>
              <w:snapToGrid w:val="0"/>
              <w:spacing w:line="280" w:lineRule="exact"/>
              <w:rPr>
                <w:rFonts w:ascii="Times New Roman" w:hAnsi="Times New Roman"/>
                <w:kern w:val="2"/>
              </w:rPr>
            </w:pPr>
            <w:r>
              <w:rPr>
                <w:rFonts w:ascii="Times New Roman" w:hAnsi="Times New Roman"/>
                <w:kern w:val="2"/>
              </w:rPr>
              <w:t>硫化氢、氨气执行《恶臭污染物排放标准》（GB14554-93）；非甲烷总烃执行《挥发性有机物无组织排放控制限值》（GB37822-2019）标准，颗粒物执行《大气污染物综合排放标准》（GB16297-1996）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 w:hRule="atLeast"/>
          <w:jc w:val="center"/>
        </w:trPr>
        <w:tc>
          <w:tcPr>
            <w:tcW w:w="781" w:type="dxa"/>
            <w:vAlign w:val="center"/>
          </w:tcPr>
          <w:p>
            <w:pPr>
              <w:spacing w:line="280" w:lineRule="exact"/>
              <w:rPr>
                <w:rFonts w:ascii="Times New Roman" w:hAnsi="Times New Roman"/>
                <w:kern w:val="2"/>
                <w:szCs w:val="22"/>
              </w:rPr>
            </w:pPr>
            <w:r>
              <w:rPr>
                <w:rFonts w:ascii="Times New Roman" w:hAnsi="Times New Roman"/>
                <w:kern w:val="2"/>
                <w:szCs w:val="22"/>
              </w:rPr>
              <w:t>噪声</w:t>
            </w:r>
          </w:p>
        </w:tc>
        <w:tc>
          <w:tcPr>
            <w:tcW w:w="6401" w:type="dxa"/>
            <w:gridSpan w:val="2"/>
            <w:vAlign w:val="center"/>
          </w:tcPr>
          <w:p>
            <w:pPr>
              <w:spacing w:line="280" w:lineRule="exact"/>
              <w:jc w:val="center"/>
              <w:rPr>
                <w:rFonts w:ascii="Times New Roman" w:hAnsi="Times New Roman"/>
                <w:szCs w:val="22"/>
              </w:rPr>
            </w:pPr>
            <w:r>
              <w:rPr>
                <w:rFonts w:ascii="Times New Roman" w:hAnsi="Times New Roman"/>
                <w:szCs w:val="22"/>
              </w:rPr>
              <w:t>选用低噪声设备，安装减振降噪装置</w:t>
            </w:r>
          </w:p>
        </w:tc>
        <w:tc>
          <w:tcPr>
            <w:tcW w:w="2407" w:type="dxa"/>
            <w:vAlign w:val="center"/>
          </w:tcPr>
          <w:p>
            <w:pPr>
              <w:spacing w:line="280" w:lineRule="exact"/>
              <w:rPr>
                <w:rFonts w:ascii="Times New Roman" w:hAnsi="Times New Roman"/>
                <w:szCs w:val="22"/>
              </w:rPr>
            </w:pPr>
            <w:r>
              <w:rPr>
                <w:rFonts w:ascii="Times New Roman" w:hAnsi="Times New Roman"/>
                <w:szCs w:val="22"/>
              </w:rPr>
              <w:t>厂界噪声</w:t>
            </w:r>
          </w:p>
        </w:tc>
        <w:tc>
          <w:tcPr>
            <w:tcW w:w="3656" w:type="dxa"/>
            <w:vAlign w:val="center"/>
          </w:tcPr>
          <w:p>
            <w:pPr>
              <w:spacing w:line="280" w:lineRule="exact"/>
              <w:rPr>
                <w:rFonts w:ascii="Times New Roman" w:hAnsi="Times New Roman"/>
                <w:szCs w:val="22"/>
              </w:rPr>
            </w:pPr>
            <w:r>
              <w:rPr>
                <w:rFonts w:ascii="Times New Roman" w:hAnsi="Times New Roman"/>
                <w:szCs w:val="22"/>
              </w:rPr>
              <w:t>《工业企业厂界噪声排放标准》（GB12348-2008）2类</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 w:hRule="atLeast"/>
          <w:jc w:val="center"/>
        </w:trPr>
        <w:tc>
          <w:tcPr>
            <w:tcW w:w="781" w:type="dxa"/>
            <w:vMerge w:val="restart"/>
            <w:vAlign w:val="center"/>
          </w:tcPr>
          <w:p>
            <w:pPr>
              <w:spacing w:line="280" w:lineRule="exact"/>
              <w:rPr>
                <w:rFonts w:ascii="Times New Roman" w:hAnsi="Times New Roman"/>
                <w:kern w:val="2"/>
                <w:szCs w:val="22"/>
              </w:rPr>
            </w:pPr>
            <w:r>
              <w:rPr>
                <w:rFonts w:ascii="Times New Roman" w:hAnsi="Times New Roman"/>
                <w:kern w:val="2"/>
                <w:szCs w:val="22"/>
              </w:rPr>
              <w:t>固体</w:t>
            </w:r>
          </w:p>
          <w:p>
            <w:pPr>
              <w:spacing w:line="280" w:lineRule="exact"/>
              <w:rPr>
                <w:rFonts w:ascii="Times New Roman" w:hAnsi="Times New Roman"/>
                <w:kern w:val="2"/>
                <w:szCs w:val="22"/>
              </w:rPr>
            </w:pPr>
            <w:r>
              <w:rPr>
                <w:rFonts w:ascii="Times New Roman" w:hAnsi="Times New Roman"/>
                <w:kern w:val="2"/>
                <w:szCs w:val="22"/>
              </w:rPr>
              <w:t>废物</w:t>
            </w:r>
          </w:p>
        </w:tc>
        <w:tc>
          <w:tcPr>
            <w:tcW w:w="2262" w:type="dxa"/>
            <w:vAlign w:val="center"/>
          </w:tcPr>
          <w:p>
            <w:pPr>
              <w:adjustRightInd w:val="0"/>
              <w:snapToGrid w:val="0"/>
              <w:spacing w:line="280" w:lineRule="exact"/>
              <w:jc w:val="center"/>
              <w:rPr>
                <w:rFonts w:ascii="Times New Roman" w:hAnsi="Times New Roman"/>
              </w:rPr>
            </w:pPr>
            <w:r>
              <w:rPr>
                <w:rFonts w:ascii="Times New Roman" w:hAnsi="Times New Roman"/>
              </w:rPr>
              <w:t>职工生活垃圾</w:t>
            </w:r>
          </w:p>
        </w:tc>
        <w:tc>
          <w:tcPr>
            <w:tcW w:w="4139" w:type="dxa"/>
            <w:vAlign w:val="center"/>
          </w:tcPr>
          <w:p>
            <w:pPr>
              <w:adjustRightInd w:val="0"/>
              <w:snapToGrid w:val="0"/>
              <w:rPr>
                <w:rFonts w:ascii="Times New Roman" w:hAnsi="Times New Roman"/>
                <w:kern w:val="2"/>
              </w:rPr>
            </w:pPr>
            <w:r>
              <w:rPr>
                <w:rFonts w:ascii="Times New Roman" w:hAnsi="Times New Roman"/>
                <w:kern w:val="2"/>
              </w:rPr>
              <w:t>集中收集，交由环卫部门处置</w:t>
            </w:r>
          </w:p>
        </w:tc>
        <w:tc>
          <w:tcPr>
            <w:tcW w:w="2407" w:type="dxa"/>
            <w:vAlign w:val="center"/>
          </w:tcPr>
          <w:p>
            <w:pPr>
              <w:spacing w:line="280" w:lineRule="exact"/>
              <w:rPr>
                <w:rFonts w:ascii="Times New Roman" w:hAnsi="Times New Roman"/>
                <w:szCs w:val="22"/>
              </w:rPr>
            </w:pPr>
            <w:r>
              <w:rPr>
                <w:rFonts w:ascii="Times New Roman" w:hAnsi="Times New Roman"/>
                <w:szCs w:val="22"/>
              </w:rPr>
              <w:t>/</w:t>
            </w:r>
          </w:p>
        </w:tc>
        <w:tc>
          <w:tcPr>
            <w:tcW w:w="3656" w:type="dxa"/>
            <w:vAlign w:val="center"/>
          </w:tcPr>
          <w:p>
            <w:pPr>
              <w:spacing w:line="280" w:lineRule="exact"/>
              <w:rPr>
                <w:rFonts w:ascii="Times New Roman" w:hAnsi="Times New Roman"/>
                <w:szCs w:val="22"/>
              </w:rPr>
            </w:pPr>
            <w:r>
              <w:rPr>
                <w:rFonts w:ascii="Times New Roman" w:hAnsi="Times New Roman"/>
                <w:szCs w:val="22"/>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 w:hRule="atLeast"/>
          <w:jc w:val="center"/>
        </w:trPr>
        <w:tc>
          <w:tcPr>
            <w:tcW w:w="781" w:type="dxa"/>
            <w:vMerge w:val="continue"/>
            <w:vAlign w:val="center"/>
          </w:tcPr>
          <w:p>
            <w:pPr>
              <w:spacing w:line="280" w:lineRule="exact"/>
              <w:rPr>
                <w:rFonts w:ascii="Times New Roman" w:hAnsi="Times New Roman"/>
                <w:kern w:val="2"/>
                <w:szCs w:val="22"/>
              </w:rPr>
            </w:pPr>
          </w:p>
        </w:tc>
        <w:tc>
          <w:tcPr>
            <w:tcW w:w="2262" w:type="dxa"/>
            <w:vAlign w:val="center"/>
          </w:tcPr>
          <w:p>
            <w:pPr>
              <w:spacing w:line="280" w:lineRule="exact"/>
              <w:jc w:val="center"/>
              <w:rPr>
                <w:rFonts w:ascii="Times New Roman" w:hAnsi="Times New Roman"/>
                <w:kern w:val="2"/>
              </w:rPr>
            </w:pPr>
            <w:r>
              <w:rPr>
                <w:rFonts w:ascii="Times New Roman" w:hAnsi="Times New Roman"/>
                <w:kern w:val="2"/>
              </w:rPr>
              <w:t>处理后的医疗废物</w:t>
            </w:r>
          </w:p>
        </w:tc>
        <w:tc>
          <w:tcPr>
            <w:tcW w:w="4139" w:type="dxa"/>
            <w:vAlign w:val="center"/>
          </w:tcPr>
          <w:p>
            <w:pPr>
              <w:adjustRightInd w:val="0"/>
              <w:snapToGrid w:val="0"/>
              <w:rPr>
                <w:rFonts w:ascii="Times New Roman" w:hAnsi="Times New Roman"/>
                <w:kern w:val="2"/>
              </w:rPr>
            </w:pPr>
            <w:r>
              <w:rPr>
                <w:rFonts w:ascii="Times New Roman" w:hAnsi="Times New Roman"/>
                <w:kern w:val="2"/>
              </w:rPr>
              <w:t>运送至厂址东侧双鸭山市生活垃圾填埋场处理</w:t>
            </w:r>
          </w:p>
        </w:tc>
        <w:tc>
          <w:tcPr>
            <w:tcW w:w="2407" w:type="dxa"/>
            <w:vAlign w:val="center"/>
          </w:tcPr>
          <w:p>
            <w:pPr>
              <w:spacing w:line="280" w:lineRule="exact"/>
              <w:rPr>
                <w:rFonts w:ascii="Times New Roman" w:hAnsi="Times New Roman"/>
                <w:szCs w:val="22"/>
              </w:rPr>
            </w:pPr>
            <w:r>
              <w:rPr>
                <w:rFonts w:ascii="Times New Roman" w:hAnsi="Times New Roman"/>
                <w:szCs w:val="22"/>
              </w:rPr>
              <w:t>/</w:t>
            </w:r>
          </w:p>
        </w:tc>
        <w:tc>
          <w:tcPr>
            <w:tcW w:w="3656" w:type="dxa"/>
            <w:vAlign w:val="center"/>
          </w:tcPr>
          <w:p>
            <w:pPr>
              <w:spacing w:line="280" w:lineRule="exact"/>
              <w:rPr>
                <w:rFonts w:ascii="Times New Roman" w:hAnsi="Times New Roman"/>
                <w:szCs w:val="22"/>
              </w:rPr>
            </w:pPr>
            <w:r>
              <w:rPr>
                <w:rFonts w:ascii="Times New Roman" w:hAnsi="Times New Roman"/>
                <w:szCs w:val="22"/>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 w:hRule="atLeast"/>
          <w:jc w:val="center"/>
        </w:trPr>
        <w:tc>
          <w:tcPr>
            <w:tcW w:w="781" w:type="dxa"/>
            <w:vMerge w:val="continue"/>
            <w:vAlign w:val="center"/>
          </w:tcPr>
          <w:p>
            <w:pPr>
              <w:spacing w:line="280" w:lineRule="exact"/>
              <w:rPr>
                <w:rFonts w:ascii="Times New Roman" w:hAnsi="Times New Roman"/>
                <w:kern w:val="2"/>
                <w:szCs w:val="22"/>
              </w:rPr>
            </w:pPr>
          </w:p>
        </w:tc>
        <w:tc>
          <w:tcPr>
            <w:tcW w:w="2262" w:type="dxa"/>
            <w:vAlign w:val="center"/>
          </w:tcPr>
          <w:p>
            <w:pPr>
              <w:spacing w:line="280" w:lineRule="atLeast"/>
              <w:jc w:val="center"/>
              <w:rPr>
                <w:rFonts w:ascii="Times New Roman" w:hAnsi="Times New Roman"/>
                <w:kern w:val="2"/>
              </w:rPr>
            </w:pPr>
            <w:r>
              <w:rPr>
                <w:rFonts w:ascii="Times New Roman" w:hAnsi="Times New Roman"/>
                <w:kern w:val="2"/>
              </w:rPr>
              <w:t>废活性炭</w:t>
            </w:r>
            <w:r>
              <w:rPr>
                <w:rFonts w:ascii="Times New Roman" w:hAnsi="Times New Roman"/>
              </w:rPr>
              <w:t>和污泥</w:t>
            </w:r>
            <w:r>
              <w:rPr>
                <w:rFonts w:hint="eastAsia" w:ascii="Times New Roman" w:hAnsi="Times New Roman"/>
              </w:rPr>
              <w:t>、栅渣</w:t>
            </w:r>
          </w:p>
        </w:tc>
        <w:tc>
          <w:tcPr>
            <w:tcW w:w="4139" w:type="dxa"/>
            <w:vAlign w:val="center"/>
          </w:tcPr>
          <w:p>
            <w:pPr>
              <w:adjustRightInd w:val="0"/>
              <w:snapToGrid w:val="0"/>
              <w:rPr>
                <w:rFonts w:ascii="Times New Roman" w:hAnsi="Times New Roman"/>
                <w:kern w:val="2"/>
              </w:rPr>
            </w:pPr>
            <w:r>
              <w:rPr>
                <w:rFonts w:ascii="Times New Roman" w:hAnsi="Times New Roman"/>
                <w:kern w:val="2"/>
              </w:rPr>
              <w:t>暂存于危险废物暂存间（占地面积10m</w:t>
            </w:r>
            <w:r>
              <w:rPr>
                <w:rFonts w:ascii="Times New Roman" w:hAnsi="Times New Roman"/>
                <w:kern w:val="2"/>
                <w:vertAlign w:val="superscript"/>
              </w:rPr>
              <w:t>2</w:t>
            </w:r>
            <w:r>
              <w:rPr>
                <w:rFonts w:ascii="Times New Roman" w:hAnsi="Times New Roman"/>
                <w:kern w:val="2"/>
              </w:rPr>
              <w:t>），污泥</w:t>
            </w:r>
            <w:r>
              <w:rPr>
                <w:rFonts w:hint="eastAsia" w:ascii="Times New Roman" w:hAnsi="Times New Roman"/>
                <w:kern w:val="2"/>
              </w:rPr>
              <w:t>和栅渣消毒后与</w:t>
            </w:r>
            <w:r>
              <w:rPr>
                <w:rFonts w:ascii="Times New Roman" w:hAnsi="Times New Roman"/>
                <w:kern w:val="2"/>
              </w:rPr>
              <w:t>废活性炭更换后直接交由黑龙江京盛华环保科技有限公司处置</w:t>
            </w:r>
          </w:p>
        </w:tc>
        <w:tc>
          <w:tcPr>
            <w:tcW w:w="2407" w:type="dxa"/>
            <w:vAlign w:val="center"/>
          </w:tcPr>
          <w:p>
            <w:pPr>
              <w:spacing w:line="280" w:lineRule="exact"/>
              <w:rPr>
                <w:rFonts w:ascii="Times New Roman" w:hAnsi="Times New Roman"/>
                <w:szCs w:val="22"/>
              </w:rPr>
            </w:pPr>
            <w:r>
              <w:rPr>
                <w:rFonts w:ascii="Times New Roman" w:hAnsi="Times New Roman"/>
                <w:szCs w:val="22"/>
              </w:rPr>
              <w:t>/</w:t>
            </w:r>
          </w:p>
        </w:tc>
        <w:tc>
          <w:tcPr>
            <w:tcW w:w="3656" w:type="dxa"/>
            <w:vAlign w:val="center"/>
          </w:tcPr>
          <w:p>
            <w:pPr>
              <w:spacing w:line="280" w:lineRule="exact"/>
              <w:rPr>
                <w:rFonts w:ascii="Times New Roman" w:hAnsi="Times New Roman"/>
                <w:szCs w:val="22"/>
              </w:rPr>
            </w:pPr>
            <w:r>
              <w:rPr>
                <w:rFonts w:ascii="Times New Roman" w:hAnsi="Times New Roman"/>
                <w:szCs w:val="22"/>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 w:hRule="atLeast"/>
          <w:jc w:val="center"/>
        </w:trPr>
        <w:tc>
          <w:tcPr>
            <w:tcW w:w="781" w:type="dxa"/>
            <w:vAlign w:val="center"/>
          </w:tcPr>
          <w:p>
            <w:pPr>
              <w:spacing w:line="280" w:lineRule="exact"/>
              <w:rPr>
                <w:rFonts w:ascii="Times New Roman" w:hAnsi="Times New Roman"/>
                <w:kern w:val="2"/>
                <w:szCs w:val="22"/>
              </w:rPr>
            </w:pPr>
            <w:r>
              <w:rPr>
                <w:rFonts w:ascii="Times New Roman" w:hAnsi="Times New Roman"/>
                <w:kern w:val="2"/>
                <w:szCs w:val="22"/>
              </w:rPr>
              <w:t>地下水</w:t>
            </w:r>
          </w:p>
        </w:tc>
        <w:tc>
          <w:tcPr>
            <w:tcW w:w="6401" w:type="dxa"/>
            <w:gridSpan w:val="2"/>
            <w:vAlign w:val="center"/>
          </w:tcPr>
          <w:p>
            <w:pPr>
              <w:jc w:val="center"/>
              <w:rPr>
                <w:rFonts w:ascii="Times New Roman" w:hAnsi="Times New Roman"/>
                <w:kern w:val="2"/>
              </w:rPr>
            </w:pPr>
            <w:r>
              <w:rPr>
                <w:rFonts w:ascii="Times New Roman" w:hAnsi="Times New Roman"/>
                <w:kern w:val="2"/>
              </w:rPr>
              <w:t>监测井1#、监测井2#、监测井3#</w:t>
            </w:r>
          </w:p>
        </w:tc>
        <w:tc>
          <w:tcPr>
            <w:tcW w:w="2407" w:type="dxa"/>
            <w:vAlign w:val="center"/>
          </w:tcPr>
          <w:p>
            <w:pPr>
              <w:spacing w:line="280" w:lineRule="exact"/>
              <w:rPr>
                <w:rFonts w:ascii="Times New Roman" w:hAnsi="Times New Roman"/>
                <w:kern w:val="2"/>
              </w:rPr>
            </w:pPr>
            <w:r>
              <w:rPr>
                <w:rFonts w:ascii="Times New Roman" w:hAnsi="Times New Roman"/>
                <w:szCs w:val="22"/>
              </w:rPr>
              <w:t>/</w:t>
            </w:r>
          </w:p>
        </w:tc>
        <w:tc>
          <w:tcPr>
            <w:tcW w:w="3656" w:type="dxa"/>
            <w:vAlign w:val="center"/>
          </w:tcPr>
          <w:p>
            <w:pPr>
              <w:spacing w:line="280" w:lineRule="exact"/>
              <w:rPr>
                <w:rFonts w:ascii="Times New Roman" w:hAnsi="Times New Roman"/>
              </w:rPr>
            </w:pPr>
            <w:r>
              <w:rPr>
                <w:rFonts w:ascii="Times New Roman" w:hAnsi="Times New Roman"/>
                <w:kern w:val="2"/>
              </w:rPr>
              <w:t>防渗满足《危险废物贮存污染控制标准》（GB18597-2001）要求，地下水环境质量满足《地下水质量标准》（GB/T14848-2017）中III类标准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 w:hRule="atLeast"/>
          <w:jc w:val="center"/>
        </w:trPr>
        <w:tc>
          <w:tcPr>
            <w:tcW w:w="781" w:type="dxa"/>
            <w:vAlign w:val="center"/>
          </w:tcPr>
          <w:p>
            <w:pPr>
              <w:spacing w:line="280" w:lineRule="exact"/>
              <w:rPr>
                <w:rFonts w:ascii="Times New Roman" w:hAnsi="Times New Roman"/>
                <w:kern w:val="2"/>
                <w:szCs w:val="22"/>
              </w:rPr>
            </w:pPr>
            <w:r>
              <w:rPr>
                <w:rFonts w:ascii="Times New Roman" w:hAnsi="Times New Roman"/>
                <w:kern w:val="2"/>
                <w:szCs w:val="22"/>
              </w:rPr>
              <w:t>风险</w:t>
            </w:r>
          </w:p>
          <w:p>
            <w:pPr>
              <w:spacing w:line="280" w:lineRule="exact"/>
              <w:rPr>
                <w:rFonts w:ascii="Times New Roman" w:hAnsi="Times New Roman"/>
                <w:kern w:val="2"/>
                <w:szCs w:val="22"/>
              </w:rPr>
            </w:pPr>
            <w:r>
              <w:rPr>
                <w:rFonts w:ascii="Times New Roman" w:hAnsi="Times New Roman"/>
                <w:kern w:val="2"/>
                <w:szCs w:val="22"/>
              </w:rPr>
              <w:t>防范</w:t>
            </w:r>
          </w:p>
        </w:tc>
        <w:tc>
          <w:tcPr>
            <w:tcW w:w="6401" w:type="dxa"/>
            <w:gridSpan w:val="2"/>
            <w:vAlign w:val="center"/>
          </w:tcPr>
          <w:p>
            <w:pPr>
              <w:spacing w:line="280" w:lineRule="exact"/>
              <w:jc w:val="center"/>
              <w:rPr>
                <w:rFonts w:ascii="Times New Roman" w:hAnsi="Times New Roman"/>
                <w:kern w:val="2"/>
              </w:rPr>
            </w:pPr>
            <w:r>
              <w:rPr>
                <w:rFonts w:ascii="Times New Roman" w:hAnsi="Times New Roman"/>
                <w:kern w:val="2"/>
              </w:rPr>
              <w:t>配备消防器材</w:t>
            </w:r>
          </w:p>
        </w:tc>
        <w:tc>
          <w:tcPr>
            <w:tcW w:w="2407" w:type="dxa"/>
            <w:vAlign w:val="center"/>
          </w:tcPr>
          <w:p>
            <w:pPr>
              <w:pStyle w:val="65"/>
              <w:ind w:left="0"/>
              <w:jc w:val="both"/>
              <w:rPr>
                <w:kern w:val="2"/>
              </w:rPr>
            </w:pPr>
            <w:r>
              <w:rPr>
                <w:kern w:val="2"/>
              </w:rPr>
              <w:t>/</w:t>
            </w:r>
          </w:p>
        </w:tc>
        <w:tc>
          <w:tcPr>
            <w:tcW w:w="3656" w:type="dxa"/>
            <w:vAlign w:val="center"/>
          </w:tcPr>
          <w:p>
            <w:pPr>
              <w:spacing w:line="280" w:lineRule="exact"/>
              <w:rPr>
                <w:rFonts w:ascii="Times New Roman" w:hAnsi="Times New Roman"/>
                <w:kern w:val="2"/>
              </w:rPr>
            </w:pPr>
            <w:r>
              <w:rPr>
                <w:rFonts w:ascii="Times New Roman" w:hAnsi="Times New Roman"/>
                <w:kern w:val="2"/>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 w:hRule="atLeast"/>
          <w:jc w:val="center"/>
        </w:trPr>
        <w:tc>
          <w:tcPr>
            <w:tcW w:w="781" w:type="dxa"/>
            <w:vAlign w:val="center"/>
          </w:tcPr>
          <w:p>
            <w:pPr>
              <w:spacing w:line="280" w:lineRule="exact"/>
              <w:rPr>
                <w:rFonts w:ascii="Times New Roman" w:hAnsi="Times New Roman"/>
                <w:kern w:val="2"/>
                <w:szCs w:val="22"/>
              </w:rPr>
            </w:pPr>
            <w:r>
              <w:rPr>
                <w:rFonts w:ascii="Times New Roman" w:hAnsi="Times New Roman"/>
                <w:kern w:val="2"/>
                <w:szCs w:val="22"/>
              </w:rPr>
              <w:t>环境管</w:t>
            </w:r>
          </w:p>
          <w:p>
            <w:pPr>
              <w:spacing w:line="280" w:lineRule="exact"/>
              <w:rPr>
                <w:rFonts w:ascii="Times New Roman" w:hAnsi="Times New Roman"/>
                <w:kern w:val="2"/>
                <w:szCs w:val="22"/>
              </w:rPr>
            </w:pPr>
            <w:r>
              <w:rPr>
                <w:rFonts w:ascii="Times New Roman" w:hAnsi="Times New Roman"/>
                <w:kern w:val="2"/>
                <w:szCs w:val="22"/>
              </w:rPr>
              <w:t>理要求</w:t>
            </w:r>
          </w:p>
        </w:tc>
        <w:tc>
          <w:tcPr>
            <w:tcW w:w="6401" w:type="dxa"/>
            <w:gridSpan w:val="2"/>
            <w:vAlign w:val="center"/>
          </w:tcPr>
          <w:p>
            <w:pPr>
              <w:spacing w:line="280" w:lineRule="exact"/>
              <w:jc w:val="center"/>
              <w:rPr>
                <w:rFonts w:ascii="Times New Roman" w:hAnsi="Times New Roman"/>
                <w:kern w:val="2"/>
              </w:rPr>
            </w:pPr>
            <w:r>
              <w:rPr>
                <w:rFonts w:ascii="Times New Roman" w:hAnsi="Times New Roman"/>
                <w:kern w:val="2"/>
              </w:rPr>
              <w:t>施工期留影像资料</w:t>
            </w:r>
          </w:p>
        </w:tc>
        <w:tc>
          <w:tcPr>
            <w:tcW w:w="2407" w:type="dxa"/>
            <w:vAlign w:val="center"/>
          </w:tcPr>
          <w:p>
            <w:pPr>
              <w:spacing w:line="280" w:lineRule="exact"/>
              <w:rPr>
                <w:rFonts w:ascii="Times New Roman" w:hAnsi="Times New Roman"/>
                <w:kern w:val="2"/>
              </w:rPr>
            </w:pPr>
            <w:r>
              <w:rPr>
                <w:rFonts w:ascii="Times New Roman" w:hAnsi="Times New Roman"/>
                <w:szCs w:val="22"/>
              </w:rPr>
              <w:t>/</w:t>
            </w:r>
          </w:p>
        </w:tc>
        <w:tc>
          <w:tcPr>
            <w:tcW w:w="3656" w:type="dxa"/>
            <w:vAlign w:val="center"/>
          </w:tcPr>
          <w:p>
            <w:pPr>
              <w:spacing w:line="280" w:lineRule="exact"/>
              <w:rPr>
                <w:rFonts w:ascii="Times New Roman" w:hAnsi="Times New Roman"/>
                <w:kern w:val="2"/>
              </w:rPr>
            </w:pPr>
            <w:r>
              <w:rPr>
                <w:rFonts w:ascii="Times New Roman" w:hAnsi="Times New Roman"/>
                <w:kern w:val="2"/>
              </w:rPr>
              <w:t>/</w:t>
            </w:r>
          </w:p>
        </w:tc>
      </w:tr>
    </w:tbl>
    <w:p>
      <w:pPr>
        <w:spacing w:line="14" w:lineRule="exact"/>
        <w:rPr>
          <w:rFonts w:ascii="Times New Roman" w:hAnsi="Times New Roman"/>
          <w:b/>
          <w:sz w:val="24"/>
          <w:szCs w:val="24"/>
        </w:rPr>
        <w:sectPr>
          <w:pgSz w:w="16839" w:h="11907" w:orient="landscape"/>
          <w:pgMar w:top="1440" w:right="1797" w:bottom="1440" w:left="1797" w:header="851" w:footer="850" w:gutter="0"/>
          <w:cols w:space="720" w:num="1"/>
          <w:docGrid w:linePitch="312" w:charSpace="0"/>
        </w:sectPr>
      </w:pPr>
      <w:r>
        <w:rPr>
          <w:rFonts w:ascii="Times New Roman" w:hAnsi="Times New Roman"/>
          <w:b/>
          <w:sz w:val="24"/>
          <w:szCs w:val="24"/>
        </w:rPr>
        <w:t>、</w:t>
      </w:r>
    </w:p>
    <w:p>
      <w:pPr>
        <w:pStyle w:val="3"/>
        <w:spacing w:before="120" w:beforeLines="50" w:after="120" w:afterLines="50" w:line="480" w:lineRule="exact"/>
        <w:ind w:left="-11"/>
        <w:rPr>
          <w:rFonts w:ascii="Times New Roman" w:hAnsi="Times New Roman" w:eastAsia="黑体"/>
          <w:sz w:val="30"/>
          <w:szCs w:val="30"/>
        </w:rPr>
      </w:pPr>
      <w:bookmarkStart w:id="1583" w:name="_Toc116379733"/>
      <w:r>
        <w:rPr>
          <w:rFonts w:ascii="Times New Roman" w:hAnsi="Times New Roman" w:eastAsia="黑体"/>
          <w:sz w:val="30"/>
          <w:szCs w:val="30"/>
        </w:rPr>
        <w:t>排污口规范化设置</w:t>
      </w:r>
      <w:bookmarkEnd w:id="1583"/>
    </w:p>
    <w:p>
      <w:pPr>
        <w:spacing w:line="480" w:lineRule="exact"/>
        <w:ind w:firstLine="480" w:firstLineChars="200"/>
        <w:rPr>
          <w:rFonts w:ascii="Times New Roman" w:hAnsi="Times New Roman"/>
          <w:sz w:val="24"/>
          <w:szCs w:val="24"/>
        </w:rPr>
      </w:pPr>
      <w:r>
        <w:rPr>
          <w:rFonts w:ascii="Times New Roman" w:hAnsi="Times New Roman"/>
          <w:sz w:val="24"/>
          <w:szCs w:val="24"/>
        </w:rPr>
        <w:t>根据《排污许可证申请与核发技术规范 工业固体废物和危险废物治理》（HJ1033-2019）及《排污许可证申请与核发技术规范 锅炉》（HJ953-2018）的要求，各类废气污染源通过排气筒或排气筒等方式排放至外环境的废气，应在排气筒或排气筒上设置外排口监测点位。点位设置应满足GB/T16157、HJ75等技术规范的要求。排污单位应设置无组织排放监测点位，无组织排放监控位置为厂界。《固定污染源排气中颗粒物测定与气态污染物采样方法》（GB/T16157-1996）要求，在废气治理设施前、后分别预留监测孔，设置明显标志。根据《环境保护图形标志-排放口（源）》（GB15562.1-1995）标准要求，在废气排放口和噪声排放源设置环境保护图形标志，便于污染源的监督管理和常规监测工作的进行；污染监控应严格按照国家有关标准和技术规范进行。</w:t>
      </w:r>
    </w:p>
    <w:p>
      <w:pPr>
        <w:spacing w:line="480" w:lineRule="exact"/>
        <w:ind w:firstLine="480" w:firstLineChars="200"/>
        <w:rPr>
          <w:rFonts w:ascii="Times New Roman" w:hAnsi="Times New Roman"/>
          <w:sz w:val="24"/>
          <w:szCs w:val="24"/>
        </w:rPr>
      </w:pPr>
      <w:r>
        <w:rPr>
          <w:rFonts w:ascii="Times New Roman" w:hAnsi="Times New Roman"/>
          <w:sz w:val="24"/>
          <w:szCs w:val="24"/>
        </w:rPr>
        <w:t>（1）一切排污单位的污染物排放口（源）和固体废物贮存、处置场，必须按照国家标准《环境保护图形标志》（GB15562.1-1995）（GB15562.2-1995）的规定进行规范化整治，设置与之相适应的环境保护图形标志牌。</w:t>
      </w:r>
    </w:p>
    <w:p>
      <w:pPr>
        <w:rPr>
          <w:rFonts w:ascii="Times New Roman" w:hAnsi="Times New Roman"/>
          <w:sz w:val="24"/>
          <w:szCs w:val="24"/>
        </w:rPr>
      </w:pPr>
      <w:r>
        <w:rPr>
          <w:rFonts w:ascii="Times New Roman" w:hAnsi="Times New Roman"/>
        </w:rPr>
        <w:drawing>
          <wp:inline distT="0" distB="0" distL="114300" distR="114300">
            <wp:extent cx="5278120" cy="2693670"/>
            <wp:effectExtent l="9525" t="9525" r="17780" b="11430"/>
            <wp:docPr id="60"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34"/>
                    <pic:cNvPicPr>
                      <a:picLocks noChangeAspect="1"/>
                    </pic:cNvPicPr>
                  </pic:nvPicPr>
                  <pic:blipFill>
                    <a:blip r:embed="rId71"/>
                    <a:stretch>
                      <a:fillRect/>
                    </a:stretch>
                  </pic:blipFill>
                  <pic:spPr>
                    <a:xfrm>
                      <a:off x="0" y="0"/>
                      <a:ext cx="5278120" cy="2693670"/>
                    </a:xfrm>
                    <a:prstGeom prst="rect">
                      <a:avLst/>
                    </a:prstGeom>
                    <a:noFill/>
                    <a:ln w="9525" cap="flat" cmpd="sng">
                      <a:solidFill>
                        <a:srgbClr val="000000"/>
                      </a:solidFill>
                      <a:prstDash val="solid"/>
                      <a:miter/>
                      <a:headEnd type="none" w="med" len="med"/>
                      <a:tailEnd type="none" w="med" len="med"/>
                    </a:ln>
                  </pic:spPr>
                </pic:pic>
              </a:graphicData>
            </a:graphic>
          </wp:inline>
        </w:drawing>
      </w:r>
    </w:p>
    <w:p>
      <w:pPr>
        <w:spacing w:line="480" w:lineRule="exact"/>
        <w:jc w:val="center"/>
        <w:rPr>
          <w:rFonts w:ascii="Times New Roman" w:hAnsi="Times New Roman"/>
          <w:b/>
          <w:bCs/>
        </w:rPr>
      </w:pPr>
      <w:r>
        <w:rPr>
          <w:rFonts w:ascii="Times New Roman" w:hAnsi="Times New Roman"/>
          <w:b/>
          <w:bCs/>
        </w:rPr>
        <w:t>表8.5-1 排污口图形标志示例</w:t>
      </w:r>
    </w:p>
    <w:p>
      <w:pPr>
        <w:spacing w:line="480" w:lineRule="exact"/>
        <w:ind w:firstLine="480" w:firstLineChars="200"/>
        <w:rPr>
          <w:rFonts w:ascii="Times New Roman" w:hAnsi="Times New Roman"/>
          <w:sz w:val="24"/>
          <w:szCs w:val="24"/>
        </w:rPr>
      </w:pPr>
      <w:r>
        <w:rPr>
          <w:rFonts w:ascii="Times New Roman" w:hAnsi="Times New Roman"/>
          <w:sz w:val="24"/>
          <w:szCs w:val="24"/>
        </w:rPr>
        <w:t>（2）环境保护图形标志牌设置位置应距污染物排放口（源）及固体废物贮存（处置）场或采样点较近且醒目处，并能长久保留，其中：噪声排放源标志牌应设置在距选定监测点较近且醒目处；设置高度一般为标志牌上缘距离地面2米。</w:t>
      </w:r>
    </w:p>
    <w:p>
      <w:pPr>
        <w:spacing w:line="480" w:lineRule="exact"/>
        <w:ind w:firstLine="480" w:firstLineChars="200"/>
        <w:rPr>
          <w:rFonts w:ascii="Times New Roman" w:hAnsi="Times New Roman"/>
          <w:sz w:val="24"/>
          <w:szCs w:val="24"/>
        </w:rPr>
      </w:pPr>
      <w:r>
        <w:rPr>
          <w:rFonts w:ascii="Times New Roman" w:hAnsi="Times New Roman"/>
          <w:sz w:val="24"/>
          <w:szCs w:val="24"/>
        </w:rPr>
        <w:t>（3）一般性污染物排放口（源）或固体废物贮存、处置场，设置提示性环境保护图形标志牌；排放剧毒、致癌物及对人体有严重危害物质的排放口（源）或危险废物贮存、处置场，设置警告性环境保护图形标志牌。</w:t>
      </w:r>
    </w:p>
    <w:p>
      <w:pPr>
        <w:spacing w:line="480" w:lineRule="exact"/>
        <w:ind w:firstLine="480" w:firstLineChars="200"/>
        <w:rPr>
          <w:rFonts w:ascii="Times New Roman" w:hAnsi="Times New Roman"/>
          <w:sz w:val="24"/>
          <w:szCs w:val="24"/>
        </w:rPr>
      </w:pPr>
      <w:r>
        <w:rPr>
          <w:rFonts w:ascii="Times New Roman" w:hAnsi="Times New Roman"/>
          <w:sz w:val="24"/>
          <w:szCs w:val="24"/>
        </w:rPr>
        <w:t>（4）环境保护图形标志牌的辅助标志上，需要填写的栏目，应由环境保护部门统一组织填写，要求字迹工整，字的颜色与标志牌颜色要总体协调。辅助标志内容包括排放口标志名称、单位名称、编号、污染物种类、XX环境保护局监制。</w:t>
      </w:r>
    </w:p>
    <w:p>
      <w:pPr>
        <w:spacing w:line="480" w:lineRule="exact"/>
        <w:ind w:firstLine="480" w:firstLineChars="200"/>
        <w:rPr>
          <w:rFonts w:ascii="Times New Roman" w:hAnsi="Times New Roman"/>
          <w:sz w:val="24"/>
          <w:szCs w:val="24"/>
        </w:rPr>
      </w:pPr>
      <w:r>
        <w:rPr>
          <w:rFonts w:ascii="Times New Roman" w:hAnsi="Times New Roman"/>
          <w:sz w:val="24"/>
          <w:szCs w:val="24"/>
        </w:rPr>
        <w:t>（5）排污口标志牌的图形标志、图形颜色及装置颜色、标志牌材质、表面处理、外观质量以及字体等要求应符合《环境保护图形标志-排放口（源）》（GB15562.1-1995）、《环境保护图形标志-固体废物贮存（处置）场》（GB15562.2-1995）等的要求。废气排放口、噪声排放源和一般固体废物排放源的图形符号分为提示图形符号和警告图形符号两种，其中提示图形符号用于向人们提供某种环境信息，警告图形符号用于提醒人们注意污染物排放可能会造成危害。</w:t>
      </w:r>
    </w:p>
    <w:p>
      <w:pPr>
        <w:spacing w:line="480" w:lineRule="exact"/>
        <w:ind w:firstLine="480" w:firstLineChars="200"/>
        <w:rPr>
          <w:rFonts w:ascii="Times New Roman" w:hAnsi="Times New Roman"/>
          <w:sz w:val="24"/>
          <w:szCs w:val="24"/>
        </w:rPr>
      </w:pPr>
      <w:r>
        <w:rPr>
          <w:rFonts w:ascii="Times New Roman" w:hAnsi="Times New Roman"/>
          <w:sz w:val="24"/>
          <w:szCs w:val="24"/>
        </w:rPr>
        <w:t>（6）排污口建档管理</w:t>
      </w:r>
    </w:p>
    <w:p>
      <w:pPr>
        <w:spacing w:line="480" w:lineRule="exact"/>
        <w:ind w:firstLine="480" w:firstLineChars="200"/>
        <w:rPr>
          <w:rFonts w:ascii="Times New Roman" w:hAnsi="Times New Roman"/>
          <w:sz w:val="24"/>
          <w:szCs w:val="24"/>
        </w:rPr>
      </w:pPr>
      <w:r>
        <w:rPr>
          <w:rFonts w:hint="eastAsia" w:cs="宋体"/>
          <w:sz w:val="24"/>
          <w:szCs w:val="24"/>
        </w:rPr>
        <w:t>①</w:t>
      </w:r>
      <w:r>
        <w:rPr>
          <w:rFonts w:ascii="Times New Roman" w:hAnsi="Times New Roman"/>
          <w:sz w:val="24"/>
          <w:szCs w:val="24"/>
        </w:rPr>
        <w:t>要求使用国家统一印刷的《中华人民共和国规范化排污口标志登记证》，并按要求填写有关内容。</w:t>
      </w:r>
    </w:p>
    <w:p>
      <w:pPr>
        <w:spacing w:line="480" w:lineRule="exact"/>
        <w:ind w:firstLine="480" w:firstLineChars="200"/>
        <w:rPr>
          <w:rFonts w:ascii="Times New Roman" w:hAnsi="Times New Roman"/>
          <w:sz w:val="24"/>
          <w:szCs w:val="24"/>
        </w:rPr>
      </w:pPr>
      <w:r>
        <w:rPr>
          <w:rFonts w:hint="eastAsia" w:cs="宋体"/>
          <w:sz w:val="24"/>
          <w:szCs w:val="24"/>
        </w:rPr>
        <w:t>②</w:t>
      </w:r>
      <w:r>
        <w:rPr>
          <w:rFonts w:ascii="Times New Roman" w:hAnsi="Times New Roman"/>
          <w:sz w:val="24"/>
          <w:szCs w:val="24"/>
        </w:rPr>
        <w:t>根据排污口管理档案内容要求，项目建成后，应将主要污染物种类、数量、浓度、排放去向、达标情况及设施运行情况记录于档案。</w:t>
      </w:r>
    </w:p>
    <w:p>
      <w:pPr>
        <w:pStyle w:val="3"/>
        <w:spacing w:before="120" w:beforeLines="50" w:after="120" w:afterLines="50" w:line="480" w:lineRule="exact"/>
        <w:ind w:left="-11"/>
        <w:rPr>
          <w:rFonts w:ascii="Times New Roman" w:hAnsi="Times New Roman" w:eastAsia="黑体"/>
          <w:sz w:val="30"/>
          <w:szCs w:val="30"/>
        </w:rPr>
      </w:pPr>
      <w:bookmarkStart w:id="1584" w:name="_Toc116379734"/>
      <w:r>
        <w:rPr>
          <w:rFonts w:ascii="Times New Roman" w:hAnsi="Times New Roman" w:eastAsia="黑体"/>
          <w:sz w:val="30"/>
          <w:szCs w:val="30"/>
        </w:rPr>
        <w:t>排污许可制度要求</w:t>
      </w:r>
      <w:bookmarkEnd w:id="1584"/>
    </w:p>
    <w:p>
      <w:pPr>
        <w:spacing w:line="480" w:lineRule="exact"/>
        <w:ind w:firstLine="480" w:firstLineChars="200"/>
        <w:rPr>
          <w:rFonts w:ascii="Times New Roman" w:hAnsi="Times New Roman"/>
          <w:sz w:val="24"/>
          <w:szCs w:val="24"/>
        </w:rPr>
      </w:pPr>
      <w:r>
        <w:rPr>
          <w:rFonts w:ascii="Times New Roman" w:hAnsi="Times New Roman"/>
          <w:sz w:val="24"/>
          <w:szCs w:val="24"/>
        </w:rPr>
        <w:t>目前，我国正在推进排污许可制度改革工作，生态环境部也大力推进排污许可证制度，《国务院办公厅关于印发控制污染物排放许可制实施方案的通知》（国办发[2016]81号）明确将排污许可制建设成为固定污染源环境管理的核心制度，作为企业守法、部门执法、社会监督的依据，为提高环境管理效能和改善环境质量奠定坚实基础。</w:t>
      </w:r>
    </w:p>
    <w:p>
      <w:pPr>
        <w:spacing w:line="480" w:lineRule="exact"/>
        <w:ind w:firstLine="480" w:firstLineChars="200"/>
        <w:rPr>
          <w:rFonts w:ascii="Times New Roman" w:hAnsi="Times New Roman"/>
          <w:sz w:val="24"/>
          <w:szCs w:val="24"/>
        </w:rPr>
      </w:pPr>
      <w:r>
        <w:rPr>
          <w:rFonts w:ascii="Times New Roman" w:hAnsi="Times New Roman"/>
          <w:sz w:val="24"/>
          <w:szCs w:val="24"/>
        </w:rPr>
        <w:t>根据《关于做好环境影响评价制度与排污许可制衔接相关工作的通知》（环办环评[2017]84号），本项目应在投入生产并产生实际排污行为之前申请领取排污许可证。建设单位应按照环境保护部制定的排污许可证申请与核发技术规范，包括排污许可证申请与核发技术规范总则》（HJ942-2018）、《排污许可证申请与核发技术规范工业固体废物和危险废物治理（HJ1033-2019）》及《排污许可证申请与核发技术规范锅炉》（HJ953-2018）等，提交排污许可申请，申报排放污染物种类、排放浓度等，测算并申报污染物排放量。</w:t>
      </w:r>
    </w:p>
    <w:p>
      <w:pPr>
        <w:pStyle w:val="65"/>
        <w:spacing w:line="480" w:lineRule="exact"/>
        <w:ind w:left="0" w:firstLine="480" w:firstLineChars="200"/>
        <w:jc w:val="both"/>
        <w:rPr>
          <w:smallCaps w:val="0"/>
          <w:sz w:val="24"/>
          <w:szCs w:val="24"/>
        </w:rPr>
      </w:pPr>
      <w:r>
        <w:rPr>
          <w:smallCaps w:val="0"/>
          <w:sz w:val="24"/>
          <w:szCs w:val="24"/>
        </w:rPr>
        <w:t>根据《固定污染源排污许可分类管理名录》（2019年版），本项目属于“四十五、生态保护和环境治理业 103 环境治理业 专业从事危险废物贮存、利用、处理、处置的”，为重点管理项目。本项目现有工程于2019年12月20日取得了双鸭山市生态环境局关于该项目的排污许可证（证书编号：</w:t>
      </w:r>
    </w:p>
    <w:p>
      <w:pPr>
        <w:pStyle w:val="65"/>
        <w:spacing w:line="480" w:lineRule="exact"/>
        <w:ind w:left="0"/>
        <w:jc w:val="both"/>
        <w:rPr>
          <w:sz w:val="24"/>
          <w:szCs w:val="24"/>
        </w:rPr>
      </w:pPr>
      <w:r>
        <w:rPr>
          <w:smallCaps w:val="0"/>
          <w:sz w:val="24"/>
          <w:szCs w:val="24"/>
        </w:rPr>
        <w:t>91230500MA19975B7D001R）。目前企业正在进一步履行排污许可执行报告、台帐、跟踪监测等后续工作。</w:t>
      </w:r>
      <w:r>
        <w:rPr>
          <w:sz w:val="24"/>
          <w:szCs w:val="24"/>
        </w:rPr>
        <w:t>待本项目改扩建建成后需根据许可证要求，重新申请许可证变更。环保管理部门对许可证内容进行定期和不定期的监督核查。根据《关于做好环境影响评价制度与排污许可制衔接相关工作的通知》（环办环评[2017]84号），建设项目发生实际排污行为之前，排污单位应当按照国家环境保护相关法律法规以及排污许可证申请与核发技术规范要求申请排污许可证，不得无证排污或不按证排污。为此，在本项目改扩建建成后，试运行前应该向生态环境主管部门申请排污许可证，将项目建设内容、产品方案、建设规模，采用的工艺流程、工艺技术方案，污染预防和清洁生产措施，环保设施和治理措施，各类污染物排放总量，在线监测和自主监测要求，环境安全防范措施，环境应急体系和应急设施等，全部按装置、设施载入排污许可证。企业在设计，建设和运营过程中，需按照许可证管理要求进行监测和申报，自证守法；许可证内容发生变更应进行申报，重大变更应重新环评和申请许可证变更。</w:t>
      </w:r>
      <w:r>
        <w:rPr>
          <w:rFonts w:hint="eastAsia"/>
          <w:sz w:val="24"/>
          <w:szCs w:val="24"/>
        </w:rPr>
        <w:t>本项目改扩建工程导热油炉根据通用工序属于登记管理，待本项目改扩建建成后需根据许可证要求，在网上进行登记，填报企业基本情况和处理措施。</w:t>
      </w:r>
    </w:p>
    <w:p>
      <w:pPr>
        <w:pStyle w:val="3"/>
        <w:spacing w:before="120" w:beforeLines="50" w:after="120" w:afterLines="50" w:line="480" w:lineRule="exact"/>
        <w:ind w:left="-11"/>
        <w:rPr>
          <w:rFonts w:ascii="Times New Roman" w:hAnsi="Times New Roman" w:eastAsia="黑体"/>
          <w:sz w:val="30"/>
          <w:szCs w:val="30"/>
        </w:rPr>
      </w:pPr>
      <w:bookmarkStart w:id="1585" w:name="_Toc116379735"/>
      <w:bookmarkStart w:id="1586" w:name="_Toc332458662"/>
      <w:bookmarkStart w:id="1587" w:name="_Toc342900853"/>
      <w:r>
        <w:rPr>
          <w:rFonts w:ascii="Times New Roman" w:hAnsi="Times New Roman" w:eastAsia="黑体"/>
          <w:sz w:val="30"/>
          <w:szCs w:val="30"/>
        </w:rPr>
        <w:t>危险废物经营许可证申领</w:t>
      </w:r>
      <w:bookmarkEnd w:id="1585"/>
    </w:p>
    <w:p>
      <w:pPr>
        <w:spacing w:line="480" w:lineRule="exact"/>
        <w:ind w:firstLine="480" w:firstLineChars="200"/>
        <w:rPr>
          <w:rFonts w:ascii="Times New Roman" w:hAnsi="Times New Roman"/>
          <w:sz w:val="24"/>
        </w:rPr>
      </w:pPr>
      <w:r>
        <w:rPr>
          <w:rFonts w:ascii="Times New Roman" w:hAnsi="Times New Roman"/>
          <w:sz w:val="24"/>
        </w:rPr>
        <w:t>对照《危险废物经营许可证管理办法》和《关于发布&lt;危险废物经营单位审查和许可指南&gt;的公告》，对危险废物经营单位提出以下管理要求：</w:t>
      </w:r>
    </w:p>
    <w:p>
      <w:pPr>
        <w:spacing w:line="480" w:lineRule="exact"/>
        <w:ind w:firstLine="480" w:firstLineChars="200"/>
        <w:rPr>
          <w:rFonts w:ascii="Times New Roman" w:hAnsi="Times New Roman"/>
          <w:sz w:val="24"/>
        </w:rPr>
      </w:pPr>
      <w:r>
        <w:rPr>
          <w:rFonts w:hint="eastAsia" w:cs="宋体"/>
          <w:sz w:val="24"/>
        </w:rPr>
        <w:t>①</w:t>
      </w:r>
      <w:r>
        <w:rPr>
          <w:rFonts w:ascii="Times New Roman" w:hAnsi="Times New Roman"/>
          <w:sz w:val="24"/>
        </w:rPr>
        <w:t>需符合申请领取危险废物经营许可证的条件。A、有3名以上环境工程专业或者相关专业中级以上职称，并有3年以上固体废物污染治理经历的技术人员；B、有符合国务院交通主管部门有关危险货物运输安全要求的运输工具；C、有符合国家或者地方环境保护标准和安全要求的包装工具，中转和临时存放设施、设备以及经验收合格的贮存设施、设备；D、有符合国家或者省、自治区、直辖市危险废物处置设施建设规划，符合国家或者地方环境保护标准和安全要求的处置设施、设备和配套的污染防治设施；其中，医疗废物集中处置设施，还应当符合国家有关医疗废物处置的卫生标准和要求；E、有与所经营的危险废物类别相适应的处置技术和工艺；F、有保证危险废物经营安全的规章制度、污染防治措施和事故应急救援措施。</w:t>
      </w:r>
    </w:p>
    <w:p>
      <w:pPr>
        <w:spacing w:line="480" w:lineRule="exact"/>
        <w:ind w:firstLine="480" w:firstLineChars="200"/>
        <w:rPr>
          <w:rFonts w:ascii="Times New Roman" w:hAnsi="Times New Roman"/>
          <w:sz w:val="24"/>
        </w:rPr>
      </w:pPr>
      <w:r>
        <w:rPr>
          <w:rFonts w:hint="eastAsia" w:cs="宋体"/>
          <w:sz w:val="24"/>
        </w:rPr>
        <w:t>②</w:t>
      </w:r>
      <w:r>
        <w:rPr>
          <w:rFonts w:ascii="Times New Roman" w:hAnsi="Times New Roman"/>
          <w:sz w:val="24"/>
        </w:rPr>
        <w:t>申请领取危险废物经营许可证的单位，应当在从事危险废物经营活动前向发证机关提出申请，并附具本办法第五条或者第六条规定条件的证明材料。</w:t>
      </w:r>
    </w:p>
    <w:p>
      <w:pPr>
        <w:spacing w:line="480" w:lineRule="exact"/>
        <w:ind w:firstLine="480" w:firstLineChars="200"/>
        <w:rPr>
          <w:rFonts w:ascii="Times New Roman" w:hAnsi="Times New Roman"/>
          <w:sz w:val="24"/>
        </w:rPr>
      </w:pPr>
      <w:r>
        <w:rPr>
          <w:rFonts w:hint="eastAsia" w:cs="宋体"/>
          <w:sz w:val="24"/>
        </w:rPr>
        <w:t>③</w:t>
      </w:r>
      <w:r>
        <w:rPr>
          <w:rFonts w:ascii="Times New Roman" w:hAnsi="Times New Roman"/>
          <w:sz w:val="24"/>
        </w:rPr>
        <w:t>危险废物经营单位变更法人名称、法定代表人和住所的，应当自工商变更登记之日起15个工作日内，向原发证机关申请办理危险废物经营许可证变更手续。第十二条有下列情形之一的，危险废物经营单位应当按照原申请程序，重新申请领取危险废物经营许可证：A、改变危险废物经营方式的；B、增加危险废物类别的；C、新建或者改建、扩建原有危险废物经营设施的；D、经营危险废物超过原批准年经营规模20%以上的。</w:t>
      </w:r>
    </w:p>
    <w:p>
      <w:pPr>
        <w:spacing w:line="480" w:lineRule="exact"/>
        <w:ind w:firstLine="480" w:firstLineChars="200"/>
        <w:rPr>
          <w:rFonts w:ascii="Times New Roman" w:hAnsi="Times New Roman"/>
          <w:sz w:val="24"/>
        </w:rPr>
      </w:pPr>
      <w:r>
        <w:rPr>
          <w:rFonts w:hint="eastAsia" w:cs="宋体"/>
          <w:sz w:val="24"/>
        </w:rPr>
        <w:t>④</w:t>
      </w:r>
      <w:r>
        <w:rPr>
          <w:rFonts w:ascii="Times New Roman" w:hAnsi="Times New Roman"/>
          <w:sz w:val="24"/>
        </w:rPr>
        <w:t>危险废物综合经营许可证有效期为5年；危险废物经营许可证有效期届满，危险废物经营单位继续从事危险废物经营活动的，应当于危险废物经营许可证有效期届满30个工作日前向原发证机关提出换证申请。</w:t>
      </w:r>
    </w:p>
    <w:p>
      <w:pPr>
        <w:spacing w:line="480" w:lineRule="exact"/>
        <w:ind w:firstLine="480" w:firstLineChars="200"/>
        <w:rPr>
          <w:rFonts w:ascii="Times New Roman" w:hAnsi="Times New Roman"/>
          <w:sz w:val="24"/>
        </w:rPr>
      </w:pPr>
      <w:r>
        <w:rPr>
          <w:rFonts w:hint="eastAsia" w:cs="宋体"/>
          <w:sz w:val="24"/>
        </w:rPr>
        <w:t>⑤</w:t>
      </w:r>
      <w:r>
        <w:rPr>
          <w:rFonts w:ascii="Times New Roman" w:hAnsi="Times New Roman"/>
          <w:sz w:val="24"/>
        </w:rPr>
        <w:t>危险废物经营单位终止从事收集、贮存、处置危险废物经营活动的，应当对经营设施、场所采取污染防治措施，并对未处置的危险废物作出妥善处理。危险废物经营单位应当在采取前款规定措施之日起20个工作日内向原发证机关提出注销申请，由原发证机关进行现场核查合格后注销危险废物经营许可证。</w:t>
      </w:r>
    </w:p>
    <w:p>
      <w:pPr>
        <w:spacing w:line="480" w:lineRule="exact"/>
        <w:ind w:firstLine="480" w:firstLineChars="200"/>
        <w:rPr>
          <w:rFonts w:ascii="Times New Roman" w:hAnsi="Times New Roman"/>
          <w:sz w:val="24"/>
        </w:rPr>
      </w:pPr>
      <w:r>
        <w:rPr>
          <w:rFonts w:hint="eastAsia" w:cs="宋体"/>
          <w:sz w:val="24"/>
        </w:rPr>
        <w:t>⑥</w:t>
      </w:r>
      <w:r>
        <w:rPr>
          <w:rFonts w:ascii="Times New Roman" w:hAnsi="Times New Roman"/>
          <w:sz w:val="24"/>
        </w:rPr>
        <w:t>禁止无经营许可证或者不按照经营许可证规定从事危险废物收集、贮存、处置经营活动。禁止从中华人民共和国境外进口或者经中华人民共和国过境转移电子类危险废物。禁止将危险废物提供或者委托给无经营许可证的单位从事收集、贮存、处置经营活动。禁止伪造、变造、转让危险废物经营许可证。</w:t>
      </w:r>
    </w:p>
    <w:p>
      <w:pPr>
        <w:spacing w:line="480" w:lineRule="exact"/>
        <w:ind w:firstLine="480" w:firstLineChars="200"/>
        <w:rPr>
          <w:rFonts w:ascii="Times New Roman" w:hAnsi="Times New Roman"/>
          <w:sz w:val="24"/>
        </w:rPr>
      </w:pPr>
      <w:r>
        <w:rPr>
          <w:rFonts w:hint="eastAsia" w:cs="宋体"/>
          <w:sz w:val="24"/>
        </w:rPr>
        <w:t>⑦</w:t>
      </w:r>
      <w:r>
        <w:rPr>
          <w:rFonts w:ascii="Times New Roman" w:hAnsi="Times New Roman"/>
          <w:sz w:val="24"/>
        </w:rPr>
        <w:t>危险废物的经营设施在废弃或者改作其他用途前，应当进行无害化处理。</w:t>
      </w:r>
    </w:p>
    <w:p>
      <w:pPr>
        <w:spacing w:line="480" w:lineRule="exact"/>
        <w:ind w:firstLine="480" w:firstLineChars="200"/>
        <w:rPr>
          <w:rFonts w:ascii="Times New Roman" w:hAnsi="Times New Roman"/>
          <w:sz w:val="24"/>
        </w:rPr>
      </w:pPr>
      <w:r>
        <w:rPr>
          <w:rFonts w:ascii="Times New Roman" w:hAnsi="Times New Roman"/>
          <w:sz w:val="24"/>
        </w:rPr>
        <w:t>本项目</w:t>
      </w:r>
      <w:r>
        <w:rPr>
          <w:rFonts w:ascii="Times New Roman" w:hAnsi="Times New Roman"/>
          <w:sz w:val="24"/>
          <w:szCs w:val="24"/>
        </w:rPr>
        <w:t>改扩建后</w:t>
      </w:r>
      <w:r>
        <w:rPr>
          <w:rFonts w:ascii="Times New Roman" w:hAnsi="Times New Roman"/>
          <w:sz w:val="24"/>
        </w:rPr>
        <w:t>需按照《危险废物经营许可证管理办法》和《关于发布&lt;危险废物经营单位审查和许可指南&gt;的公告》对危险废物经营许可证进行申领。</w:t>
      </w:r>
    </w:p>
    <w:p>
      <w:pPr>
        <w:pStyle w:val="3"/>
        <w:spacing w:before="120" w:beforeLines="50" w:after="120" w:afterLines="50" w:line="480" w:lineRule="exact"/>
        <w:ind w:left="-11"/>
        <w:rPr>
          <w:rFonts w:ascii="Times New Roman" w:hAnsi="Times New Roman" w:eastAsia="黑体"/>
          <w:sz w:val="30"/>
          <w:szCs w:val="30"/>
        </w:rPr>
      </w:pPr>
      <w:bookmarkStart w:id="1588" w:name="_Toc116379736"/>
      <w:r>
        <w:rPr>
          <w:rFonts w:ascii="Times New Roman" w:hAnsi="Times New Roman" w:eastAsia="黑体"/>
          <w:sz w:val="30"/>
          <w:szCs w:val="30"/>
        </w:rPr>
        <w:t>污染物排放</w:t>
      </w:r>
      <w:bookmarkEnd w:id="1586"/>
      <w:bookmarkEnd w:id="1587"/>
      <w:r>
        <w:rPr>
          <w:rFonts w:ascii="Times New Roman" w:hAnsi="Times New Roman" w:eastAsia="黑体"/>
          <w:sz w:val="30"/>
          <w:szCs w:val="30"/>
        </w:rPr>
        <w:t>清单</w:t>
      </w:r>
      <w:bookmarkEnd w:id="1588"/>
    </w:p>
    <w:p>
      <w:pPr>
        <w:spacing w:line="480" w:lineRule="exact"/>
        <w:ind w:firstLine="480" w:firstLineChars="200"/>
        <w:rPr>
          <w:rFonts w:ascii="Times New Roman" w:hAnsi="Times New Roman"/>
          <w:sz w:val="24"/>
        </w:rPr>
      </w:pPr>
      <w:r>
        <w:rPr>
          <w:rFonts w:ascii="Times New Roman" w:hAnsi="Times New Roman"/>
          <w:sz w:val="24"/>
        </w:rPr>
        <w:t>本项目施工期及运营期的污染物排放清单一览表见表8.8-1所示。</w:t>
      </w:r>
    </w:p>
    <w:p>
      <w:pPr>
        <w:pStyle w:val="5"/>
        <w:rPr>
          <w:rFonts w:ascii="Times New Roman" w:hAnsi="Times New Roman"/>
        </w:rPr>
        <w:sectPr>
          <w:pgSz w:w="11907" w:h="16839"/>
          <w:pgMar w:top="1440" w:right="1797" w:bottom="1440" w:left="1797" w:header="851" w:footer="850" w:gutter="0"/>
          <w:cols w:space="720" w:num="1"/>
          <w:docGrid w:linePitch="312" w:charSpace="0"/>
        </w:sectPr>
      </w:pPr>
      <w:bookmarkStart w:id="1589" w:name="_Toc143898955"/>
      <w:bookmarkStart w:id="1590" w:name="_Toc144511820"/>
      <w:bookmarkStart w:id="1591" w:name="_Toc42480698"/>
      <w:bookmarkStart w:id="1592" w:name="_Toc144511799"/>
      <w:bookmarkStart w:id="1593" w:name="_Toc143898917"/>
      <w:bookmarkStart w:id="1594" w:name="_Toc42480697"/>
      <w:bookmarkStart w:id="1595" w:name="_Toc180738434"/>
      <w:bookmarkStart w:id="1596" w:name="_Toc232697501"/>
      <w:bookmarkStart w:id="1597" w:name="_Toc180738098"/>
    </w:p>
    <w:p>
      <w:pPr>
        <w:spacing w:line="480" w:lineRule="exact"/>
        <w:jc w:val="center"/>
        <w:rPr>
          <w:rFonts w:ascii="Times New Roman" w:hAnsi="Times New Roman"/>
          <w:b/>
          <w:bCs/>
        </w:rPr>
      </w:pPr>
      <w:r>
        <w:rPr>
          <w:rFonts w:ascii="Times New Roman" w:hAnsi="Times New Roman"/>
          <w:b/>
          <w:bCs/>
        </w:rPr>
        <w:t>表8.8-1 项目污染物排放清单</w:t>
      </w:r>
    </w:p>
    <w:tbl>
      <w:tblPr>
        <w:tblStyle w:val="77"/>
        <w:tblW w:w="525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561"/>
        <w:gridCol w:w="699"/>
        <w:gridCol w:w="1097"/>
        <w:gridCol w:w="742"/>
        <w:gridCol w:w="1266"/>
        <w:gridCol w:w="1039"/>
        <w:gridCol w:w="1011"/>
        <w:gridCol w:w="1174"/>
        <w:gridCol w:w="1161"/>
        <w:gridCol w:w="1366"/>
        <w:gridCol w:w="1252"/>
        <w:gridCol w:w="259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65" w:hRule="atLeast"/>
          <w:jc w:val="center"/>
        </w:trPr>
        <w:tc>
          <w:tcPr>
            <w:tcW w:w="559" w:type="dxa"/>
            <w:vMerge w:val="restart"/>
            <w:vAlign w:val="center"/>
          </w:tcPr>
          <w:p>
            <w:pPr>
              <w:spacing w:line="280" w:lineRule="exact"/>
              <w:rPr>
                <w:rFonts w:ascii="Times New Roman" w:hAnsi="Times New Roman"/>
                <w:b/>
              </w:rPr>
            </w:pPr>
            <w:r>
              <w:rPr>
                <w:rFonts w:ascii="Times New Roman" w:hAnsi="Times New Roman"/>
                <w:b/>
              </w:rPr>
              <w:t>时段</w:t>
            </w:r>
          </w:p>
        </w:tc>
        <w:tc>
          <w:tcPr>
            <w:tcW w:w="696" w:type="dxa"/>
            <w:vMerge w:val="restart"/>
            <w:vAlign w:val="center"/>
          </w:tcPr>
          <w:p>
            <w:pPr>
              <w:spacing w:line="280" w:lineRule="exact"/>
              <w:rPr>
                <w:rFonts w:ascii="Times New Roman" w:hAnsi="Times New Roman"/>
                <w:b/>
              </w:rPr>
            </w:pPr>
            <w:r>
              <w:rPr>
                <w:rFonts w:ascii="Times New Roman" w:hAnsi="Times New Roman"/>
                <w:b/>
              </w:rPr>
              <w:t>环境</w:t>
            </w:r>
          </w:p>
          <w:p>
            <w:pPr>
              <w:spacing w:line="280" w:lineRule="exact"/>
              <w:rPr>
                <w:rFonts w:ascii="Times New Roman" w:hAnsi="Times New Roman"/>
                <w:b/>
              </w:rPr>
            </w:pPr>
            <w:r>
              <w:rPr>
                <w:rFonts w:ascii="Times New Roman" w:hAnsi="Times New Roman"/>
                <w:b/>
              </w:rPr>
              <w:t>要素</w:t>
            </w:r>
          </w:p>
        </w:tc>
        <w:tc>
          <w:tcPr>
            <w:tcW w:w="1831" w:type="dxa"/>
            <w:gridSpan w:val="2"/>
            <w:vMerge w:val="restart"/>
            <w:vAlign w:val="center"/>
          </w:tcPr>
          <w:p>
            <w:pPr>
              <w:spacing w:line="280" w:lineRule="exact"/>
              <w:jc w:val="center"/>
              <w:rPr>
                <w:rFonts w:ascii="Times New Roman" w:hAnsi="Times New Roman"/>
                <w:b/>
              </w:rPr>
            </w:pPr>
            <w:r>
              <w:rPr>
                <w:rFonts w:ascii="Times New Roman" w:hAnsi="Times New Roman"/>
                <w:b/>
              </w:rPr>
              <w:t>污染源</w:t>
            </w:r>
          </w:p>
        </w:tc>
        <w:tc>
          <w:tcPr>
            <w:tcW w:w="1261" w:type="dxa"/>
            <w:vMerge w:val="restart"/>
            <w:vAlign w:val="center"/>
          </w:tcPr>
          <w:p>
            <w:pPr>
              <w:spacing w:line="280" w:lineRule="exact"/>
              <w:jc w:val="center"/>
              <w:rPr>
                <w:rFonts w:ascii="Times New Roman" w:hAnsi="Times New Roman"/>
                <w:b/>
              </w:rPr>
            </w:pPr>
            <w:r>
              <w:rPr>
                <w:rFonts w:ascii="Times New Roman" w:hAnsi="Times New Roman"/>
                <w:b/>
              </w:rPr>
              <w:t>污染物</w:t>
            </w:r>
          </w:p>
        </w:tc>
        <w:tc>
          <w:tcPr>
            <w:tcW w:w="2042" w:type="dxa"/>
            <w:gridSpan w:val="2"/>
            <w:vAlign w:val="center"/>
          </w:tcPr>
          <w:p>
            <w:pPr>
              <w:jc w:val="center"/>
              <w:rPr>
                <w:rFonts w:ascii="Times New Roman" w:hAnsi="Times New Roman"/>
                <w:b/>
              </w:rPr>
            </w:pPr>
            <w:r>
              <w:rPr>
                <w:rFonts w:ascii="Times New Roman" w:hAnsi="Times New Roman"/>
                <w:b/>
                <w:kern w:val="2"/>
              </w:rPr>
              <w:t>现有工程</w:t>
            </w:r>
          </w:p>
        </w:tc>
        <w:tc>
          <w:tcPr>
            <w:tcW w:w="2325" w:type="dxa"/>
            <w:gridSpan w:val="2"/>
            <w:vAlign w:val="center"/>
          </w:tcPr>
          <w:p>
            <w:pPr>
              <w:jc w:val="center"/>
              <w:rPr>
                <w:rFonts w:ascii="Times New Roman" w:hAnsi="Times New Roman"/>
                <w:b/>
              </w:rPr>
            </w:pPr>
            <w:r>
              <w:rPr>
                <w:rFonts w:ascii="Times New Roman" w:hAnsi="Times New Roman"/>
                <w:b/>
                <w:kern w:val="2"/>
              </w:rPr>
              <w:t>改扩建工程</w:t>
            </w:r>
          </w:p>
        </w:tc>
        <w:tc>
          <w:tcPr>
            <w:tcW w:w="2607" w:type="dxa"/>
            <w:gridSpan w:val="2"/>
            <w:vAlign w:val="center"/>
          </w:tcPr>
          <w:p>
            <w:pPr>
              <w:spacing w:line="280" w:lineRule="exact"/>
              <w:jc w:val="center"/>
              <w:rPr>
                <w:rFonts w:ascii="Times New Roman" w:hAnsi="Times New Roman"/>
                <w:b/>
              </w:rPr>
            </w:pPr>
            <w:r>
              <w:rPr>
                <w:rFonts w:ascii="Times New Roman" w:hAnsi="Times New Roman"/>
                <w:b/>
                <w:kern w:val="2"/>
              </w:rPr>
              <w:t>改扩建后全厂</w:t>
            </w:r>
          </w:p>
        </w:tc>
        <w:tc>
          <w:tcPr>
            <w:tcW w:w="2586" w:type="dxa"/>
            <w:vMerge w:val="restart"/>
            <w:vAlign w:val="center"/>
          </w:tcPr>
          <w:p>
            <w:pPr>
              <w:spacing w:line="280" w:lineRule="exact"/>
              <w:rPr>
                <w:rFonts w:ascii="Times New Roman" w:hAnsi="Times New Roman"/>
                <w:b/>
              </w:rPr>
            </w:pPr>
            <w:r>
              <w:rPr>
                <w:rFonts w:ascii="Times New Roman" w:hAnsi="Times New Roman"/>
                <w:b/>
              </w:rPr>
              <w:t>去向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559" w:type="dxa"/>
            <w:vMerge w:val="continue"/>
            <w:vAlign w:val="center"/>
          </w:tcPr>
          <w:p>
            <w:pPr>
              <w:spacing w:line="280" w:lineRule="exact"/>
              <w:rPr>
                <w:rFonts w:ascii="Times New Roman" w:hAnsi="Times New Roman"/>
                <w:b/>
              </w:rPr>
            </w:pPr>
          </w:p>
        </w:tc>
        <w:tc>
          <w:tcPr>
            <w:tcW w:w="696" w:type="dxa"/>
            <w:vMerge w:val="continue"/>
            <w:vAlign w:val="center"/>
          </w:tcPr>
          <w:p>
            <w:pPr>
              <w:spacing w:line="280" w:lineRule="exact"/>
              <w:rPr>
                <w:rFonts w:ascii="Times New Roman" w:hAnsi="Times New Roman"/>
                <w:b/>
              </w:rPr>
            </w:pPr>
          </w:p>
        </w:tc>
        <w:tc>
          <w:tcPr>
            <w:tcW w:w="1831" w:type="dxa"/>
            <w:gridSpan w:val="2"/>
            <w:vMerge w:val="continue"/>
            <w:vAlign w:val="center"/>
          </w:tcPr>
          <w:p>
            <w:pPr>
              <w:spacing w:line="280" w:lineRule="exact"/>
              <w:jc w:val="center"/>
              <w:rPr>
                <w:rFonts w:ascii="Times New Roman" w:hAnsi="Times New Roman"/>
                <w:b/>
              </w:rPr>
            </w:pPr>
          </w:p>
        </w:tc>
        <w:tc>
          <w:tcPr>
            <w:tcW w:w="1261" w:type="dxa"/>
            <w:vMerge w:val="continue"/>
            <w:vAlign w:val="center"/>
          </w:tcPr>
          <w:p>
            <w:pPr>
              <w:spacing w:line="280" w:lineRule="exact"/>
              <w:jc w:val="center"/>
              <w:rPr>
                <w:rFonts w:ascii="Times New Roman" w:hAnsi="Times New Roman"/>
                <w:b/>
              </w:rPr>
            </w:pPr>
          </w:p>
        </w:tc>
        <w:tc>
          <w:tcPr>
            <w:tcW w:w="1035" w:type="dxa"/>
            <w:vAlign w:val="center"/>
          </w:tcPr>
          <w:p>
            <w:pPr>
              <w:spacing w:line="280" w:lineRule="exact"/>
              <w:jc w:val="center"/>
              <w:rPr>
                <w:rFonts w:ascii="Times New Roman" w:hAnsi="Times New Roman"/>
                <w:b/>
              </w:rPr>
            </w:pPr>
            <w:r>
              <w:rPr>
                <w:rFonts w:ascii="Times New Roman" w:hAnsi="Times New Roman"/>
                <w:b/>
              </w:rPr>
              <w:t>排放浓度</w:t>
            </w:r>
          </w:p>
        </w:tc>
        <w:tc>
          <w:tcPr>
            <w:tcW w:w="1007" w:type="dxa"/>
            <w:vAlign w:val="center"/>
          </w:tcPr>
          <w:p>
            <w:pPr>
              <w:spacing w:line="280" w:lineRule="exact"/>
              <w:jc w:val="center"/>
              <w:rPr>
                <w:rFonts w:ascii="Times New Roman" w:hAnsi="Times New Roman"/>
                <w:b/>
              </w:rPr>
            </w:pPr>
            <w:r>
              <w:rPr>
                <w:rFonts w:ascii="Times New Roman" w:hAnsi="Times New Roman"/>
                <w:b/>
              </w:rPr>
              <w:t>排放量</w:t>
            </w:r>
          </w:p>
        </w:tc>
        <w:tc>
          <w:tcPr>
            <w:tcW w:w="1169" w:type="dxa"/>
            <w:vAlign w:val="center"/>
          </w:tcPr>
          <w:p>
            <w:pPr>
              <w:spacing w:line="280" w:lineRule="exact"/>
              <w:jc w:val="center"/>
              <w:rPr>
                <w:rFonts w:ascii="Times New Roman" w:hAnsi="Times New Roman"/>
                <w:b/>
              </w:rPr>
            </w:pPr>
            <w:r>
              <w:rPr>
                <w:rFonts w:ascii="Times New Roman" w:hAnsi="Times New Roman"/>
                <w:b/>
              </w:rPr>
              <w:t>排放浓度</w:t>
            </w:r>
          </w:p>
        </w:tc>
        <w:tc>
          <w:tcPr>
            <w:tcW w:w="1156" w:type="dxa"/>
            <w:vAlign w:val="center"/>
          </w:tcPr>
          <w:p>
            <w:pPr>
              <w:spacing w:line="280" w:lineRule="exact"/>
              <w:jc w:val="center"/>
              <w:rPr>
                <w:rFonts w:ascii="Times New Roman" w:hAnsi="Times New Roman"/>
                <w:b/>
              </w:rPr>
            </w:pPr>
            <w:r>
              <w:rPr>
                <w:rFonts w:ascii="Times New Roman" w:hAnsi="Times New Roman"/>
                <w:b/>
              </w:rPr>
              <w:t>排放量</w:t>
            </w:r>
          </w:p>
        </w:tc>
        <w:tc>
          <w:tcPr>
            <w:tcW w:w="1360" w:type="dxa"/>
            <w:vAlign w:val="center"/>
          </w:tcPr>
          <w:p>
            <w:pPr>
              <w:spacing w:line="280" w:lineRule="exact"/>
              <w:jc w:val="center"/>
              <w:rPr>
                <w:rFonts w:ascii="Times New Roman" w:hAnsi="Times New Roman"/>
                <w:b/>
              </w:rPr>
            </w:pPr>
            <w:r>
              <w:rPr>
                <w:rFonts w:ascii="Times New Roman" w:hAnsi="Times New Roman"/>
                <w:b/>
              </w:rPr>
              <w:t>排放浓度</w:t>
            </w:r>
          </w:p>
        </w:tc>
        <w:tc>
          <w:tcPr>
            <w:tcW w:w="1247" w:type="dxa"/>
            <w:vAlign w:val="center"/>
          </w:tcPr>
          <w:p>
            <w:pPr>
              <w:spacing w:line="280" w:lineRule="exact"/>
              <w:jc w:val="center"/>
              <w:rPr>
                <w:rFonts w:ascii="Times New Roman" w:hAnsi="Times New Roman"/>
                <w:b/>
              </w:rPr>
            </w:pPr>
            <w:r>
              <w:rPr>
                <w:rFonts w:ascii="Times New Roman" w:hAnsi="Times New Roman"/>
                <w:b/>
              </w:rPr>
              <w:t>排放量</w:t>
            </w:r>
          </w:p>
        </w:tc>
        <w:tc>
          <w:tcPr>
            <w:tcW w:w="2586" w:type="dxa"/>
            <w:vMerge w:val="continue"/>
            <w:vAlign w:val="center"/>
          </w:tcPr>
          <w:p>
            <w:pPr>
              <w:spacing w:line="280" w:lineRule="exact"/>
              <w:rPr>
                <w:rFonts w:ascii="Times New Roman" w:hAnsi="Times New Roman"/>
                <w:b/>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559" w:type="dxa"/>
            <w:vMerge w:val="restart"/>
            <w:vAlign w:val="center"/>
          </w:tcPr>
          <w:p>
            <w:pPr>
              <w:spacing w:line="280" w:lineRule="exact"/>
              <w:rPr>
                <w:rFonts w:ascii="Times New Roman" w:hAnsi="Times New Roman"/>
              </w:rPr>
            </w:pPr>
            <w:r>
              <w:rPr>
                <w:rFonts w:ascii="Times New Roman" w:hAnsi="Times New Roman"/>
              </w:rPr>
              <w:t>施</w:t>
            </w:r>
          </w:p>
          <w:p>
            <w:pPr>
              <w:spacing w:line="280" w:lineRule="exact"/>
              <w:rPr>
                <w:rFonts w:ascii="Times New Roman" w:hAnsi="Times New Roman"/>
              </w:rPr>
            </w:pPr>
            <w:r>
              <w:rPr>
                <w:rFonts w:ascii="Times New Roman" w:hAnsi="Times New Roman"/>
              </w:rPr>
              <w:t>工</w:t>
            </w:r>
          </w:p>
          <w:p>
            <w:pPr>
              <w:spacing w:line="280" w:lineRule="exact"/>
              <w:rPr>
                <w:rFonts w:ascii="Times New Roman" w:hAnsi="Times New Roman"/>
              </w:rPr>
            </w:pPr>
            <w:r>
              <w:rPr>
                <w:rFonts w:ascii="Times New Roman" w:hAnsi="Times New Roman"/>
              </w:rPr>
              <w:t>期</w:t>
            </w:r>
          </w:p>
        </w:tc>
        <w:tc>
          <w:tcPr>
            <w:tcW w:w="696" w:type="dxa"/>
            <w:vMerge w:val="restart"/>
            <w:vAlign w:val="center"/>
          </w:tcPr>
          <w:p>
            <w:pPr>
              <w:spacing w:line="280" w:lineRule="exact"/>
              <w:rPr>
                <w:rFonts w:ascii="Times New Roman" w:hAnsi="Times New Roman"/>
              </w:rPr>
            </w:pPr>
            <w:r>
              <w:rPr>
                <w:rFonts w:ascii="Times New Roman" w:hAnsi="Times New Roman"/>
              </w:rPr>
              <w:t>废水</w:t>
            </w:r>
          </w:p>
        </w:tc>
        <w:tc>
          <w:tcPr>
            <w:tcW w:w="1831" w:type="dxa"/>
            <w:gridSpan w:val="2"/>
            <w:vMerge w:val="restart"/>
            <w:vAlign w:val="center"/>
          </w:tcPr>
          <w:p>
            <w:pPr>
              <w:spacing w:line="280" w:lineRule="exact"/>
              <w:jc w:val="center"/>
              <w:rPr>
                <w:rFonts w:ascii="Times New Roman" w:hAnsi="Times New Roman"/>
              </w:rPr>
            </w:pPr>
            <w:r>
              <w:rPr>
                <w:rFonts w:ascii="Times New Roman" w:hAnsi="Times New Roman"/>
              </w:rPr>
              <w:t>生活污水</w:t>
            </w:r>
          </w:p>
        </w:tc>
        <w:tc>
          <w:tcPr>
            <w:tcW w:w="1261" w:type="dxa"/>
            <w:vAlign w:val="center"/>
          </w:tcPr>
          <w:p>
            <w:pPr>
              <w:spacing w:line="280" w:lineRule="exact"/>
              <w:jc w:val="center"/>
              <w:rPr>
                <w:rFonts w:ascii="Times New Roman" w:hAnsi="Times New Roman"/>
              </w:rPr>
            </w:pPr>
            <w:r>
              <w:rPr>
                <w:rFonts w:ascii="Times New Roman" w:hAnsi="Times New Roman"/>
              </w:rPr>
              <w:t>COD</w:t>
            </w:r>
          </w:p>
        </w:tc>
        <w:tc>
          <w:tcPr>
            <w:tcW w:w="2042" w:type="dxa"/>
            <w:gridSpan w:val="2"/>
            <w:vMerge w:val="restart"/>
            <w:vAlign w:val="center"/>
          </w:tcPr>
          <w:p>
            <w:pPr>
              <w:spacing w:line="280" w:lineRule="exact"/>
              <w:jc w:val="center"/>
              <w:rPr>
                <w:rFonts w:ascii="Times New Roman" w:hAnsi="Times New Roman"/>
              </w:rPr>
            </w:pPr>
            <w:r>
              <w:rPr>
                <w:rFonts w:ascii="Times New Roman" w:hAnsi="Times New Roman"/>
              </w:rPr>
              <w:t>/</w:t>
            </w:r>
          </w:p>
        </w:tc>
        <w:tc>
          <w:tcPr>
            <w:tcW w:w="1169" w:type="dxa"/>
            <w:vAlign w:val="center"/>
          </w:tcPr>
          <w:p>
            <w:pPr>
              <w:spacing w:line="280" w:lineRule="exact"/>
              <w:jc w:val="center"/>
              <w:rPr>
                <w:rFonts w:ascii="Times New Roman" w:hAnsi="Times New Roman"/>
              </w:rPr>
            </w:pPr>
            <w:r>
              <w:rPr>
                <w:rFonts w:ascii="Times New Roman" w:hAnsi="Times New Roman"/>
              </w:rPr>
              <w:t>300</w:t>
            </w:r>
            <w:r>
              <w:rPr>
                <w:rFonts w:ascii="Times New Roman" w:hAnsi="Times New Roman"/>
                <w:lang w:val="fr-FR"/>
              </w:rPr>
              <w:t>mg/L</w:t>
            </w:r>
          </w:p>
        </w:tc>
        <w:tc>
          <w:tcPr>
            <w:tcW w:w="1156" w:type="dxa"/>
            <w:vAlign w:val="center"/>
          </w:tcPr>
          <w:p>
            <w:pPr>
              <w:spacing w:line="280" w:lineRule="exact"/>
              <w:jc w:val="center"/>
              <w:rPr>
                <w:rFonts w:ascii="Times New Roman" w:hAnsi="Times New Roman"/>
              </w:rPr>
            </w:pPr>
            <w:r>
              <w:rPr>
                <w:rFonts w:ascii="Times New Roman" w:hAnsi="Times New Roman"/>
              </w:rPr>
              <w:t>0.017t</w:t>
            </w:r>
          </w:p>
        </w:tc>
        <w:tc>
          <w:tcPr>
            <w:tcW w:w="1360" w:type="dxa"/>
            <w:vAlign w:val="center"/>
          </w:tcPr>
          <w:p>
            <w:pPr>
              <w:spacing w:line="280" w:lineRule="exact"/>
              <w:jc w:val="center"/>
              <w:rPr>
                <w:rFonts w:ascii="Times New Roman" w:hAnsi="Times New Roman"/>
              </w:rPr>
            </w:pPr>
            <w:r>
              <w:rPr>
                <w:rFonts w:ascii="Times New Roman" w:hAnsi="Times New Roman"/>
              </w:rPr>
              <w:t>300</w:t>
            </w:r>
            <w:r>
              <w:rPr>
                <w:rFonts w:ascii="Times New Roman" w:hAnsi="Times New Roman"/>
                <w:lang w:val="fr-FR"/>
              </w:rPr>
              <w:t>mg/L</w:t>
            </w:r>
          </w:p>
        </w:tc>
        <w:tc>
          <w:tcPr>
            <w:tcW w:w="1247" w:type="dxa"/>
            <w:vAlign w:val="center"/>
          </w:tcPr>
          <w:p>
            <w:pPr>
              <w:spacing w:line="280" w:lineRule="exact"/>
              <w:jc w:val="center"/>
              <w:rPr>
                <w:rFonts w:ascii="Times New Roman" w:hAnsi="Times New Roman"/>
              </w:rPr>
            </w:pPr>
            <w:r>
              <w:rPr>
                <w:rFonts w:ascii="Times New Roman" w:hAnsi="Times New Roman"/>
              </w:rPr>
              <w:t>0.017t</w:t>
            </w:r>
          </w:p>
        </w:tc>
        <w:tc>
          <w:tcPr>
            <w:tcW w:w="2586" w:type="dxa"/>
            <w:vMerge w:val="restart"/>
            <w:vAlign w:val="center"/>
          </w:tcPr>
          <w:p>
            <w:pPr>
              <w:spacing w:line="280" w:lineRule="exact"/>
              <w:rPr>
                <w:rFonts w:ascii="Times New Roman" w:hAnsi="Times New Roman"/>
              </w:rPr>
            </w:pPr>
            <w:r>
              <w:rPr>
                <w:rFonts w:ascii="Times New Roman" w:hAnsi="Times New Roman"/>
              </w:rPr>
              <w:t>排入现有防渗化粪池后排入厂区污水处理站处理达标后回用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559" w:type="dxa"/>
            <w:vMerge w:val="continue"/>
            <w:vAlign w:val="center"/>
          </w:tcPr>
          <w:p>
            <w:pPr>
              <w:spacing w:line="280" w:lineRule="exact"/>
              <w:rPr>
                <w:rFonts w:ascii="Times New Roman" w:hAnsi="Times New Roman"/>
              </w:rPr>
            </w:pPr>
          </w:p>
        </w:tc>
        <w:tc>
          <w:tcPr>
            <w:tcW w:w="696" w:type="dxa"/>
            <w:vMerge w:val="continue"/>
            <w:vAlign w:val="center"/>
          </w:tcPr>
          <w:p>
            <w:pPr>
              <w:spacing w:line="280" w:lineRule="exact"/>
              <w:rPr>
                <w:rFonts w:ascii="Times New Roman" w:hAnsi="Times New Roman"/>
              </w:rPr>
            </w:pPr>
          </w:p>
        </w:tc>
        <w:tc>
          <w:tcPr>
            <w:tcW w:w="1831" w:type="dxa"/>
            <w:gridSpan w:val="2"/>
            <w:vMerge w:val="continue"/>
            <w:vAlign w:val="center"/>
          </w:tcPr>
          <w:p>
            <w:pPr>
              <w:spacing w:line="280" w:lineRule="exact"/>
              <w:jc w:val="center"/>
              <w:rPr>
                <w:rFonts w:ascii="Times New Roman" w:hAnsi="Times New Roman"/>
              </w:rPr>
            </w:pPr>
          </w:p>
        </w:tc>
        <w:tc>
          <w:tcPr>
            <w:tcW w:w="1261" w:type="dxa"/>
            <w:vAlign w:val="center"/>
          </w:tcPr>
          <w:p>
            <w:pPr>
              <w:spacing w:line="280" w:lineRule="exact"/>
              <w:jc w:val="center"/>
              <w:rPr>
                <w:rFonts w:ascii="Times New Roman" w:hAnsi="Times New Roman"/>
              </w:rPr>
            </w:pPr>
            <w:r>
              <w:rPr>
                <w:rFonts w:ascii="Times New Roman" w:hAnsi="Times New Roman"/>
              </w:rPr>
              <w:t>BOD</w:t>
            </w:r>
            <w:r>
              <w:rPr>
                <w:rFonts w:ascii="Times New Roman" w:hAnsi="Times New Roman"/>
                <w:vertAlign w:val="subscript"/>
              </w:rPr>
              <w:t>5</w:t>
            </w:r>
          </w:p>
        </w:tc>
        <w:tc>
          <w:tcPr>
            <w:tcW w:w="2042" w:type="dxa"/>
            <w:gridSpan w:val="2"/>
            <w:vMerge w:val="continue"/>
            <w:vAlign w:val="center"/>
          </w:tcPr>
          <w:p>
            <w:pPr>
              <w:spacing w:line="280" w:lineRule="exact"/>
              <w:rPr>
                <w:rFonts w:ascii="Times New Roman" w:hAnsi="Times New Roman"/>
              </w:rPr>
            </w:pPr>
          </w:p>
        </w:tc>
        <w:tc>
          <w:tcPr>
            <w:tcW w:w="1169" w:type="dxa"/>
            <w:vAlign w:val="center"/>
          </w:tcPr>
          <w:p>
            <w:pPr>
              <w:spacing w:line="280" w:lineRule="exact"/>
              <w:jc w:val="center"/>
              <w:rPr>
                <w:rFonts w:ascii="Times New Roman" w:hAnsi="Times New Roman"/>
              </w:rPr>
            </w:pPr>
            <w:r>
              <w:rPr>
                <w:rFonts w:ascii="Times New Roman" w:hAnsi="Times New Roman"/>
              </w:rPr>
              <w:t>200</w:t>
            </w:r>
            <w:r>
              <w:rPr>
                <w:rFonts w:ascii="Times New Roman" w:hAnsi="Times New Roman"/>
                <w:lang w:val="fr-FR"/>
              </w:rPr>
              <w:t>mg/L</w:t>
            </w:r>
          </w:p>
        </w:tc>
        <w:tc>
          <w:tcPr>
            <w:tcW w:w="1156" w:type="dxa"/>
            <w:vAlign w:val="center"/>
          </w:tcPr>
          <w:p>
            <w:pPr>
              <w:spacing w:line="280" w:lineRule="exact"/>
              <w:jc w:val="center"/>
              <w:rPr>
                <w:rFonts w:ascii="Times New Roman" w:hAnsi="Times New Roman"/>
              </w:rPr>
            </w:pPr>
            <w:r>
              <w:rPr>
                <w:rFonts w:ascii="Times New Roman" w:hAnsi="Times New Roman"/>
              </w:rPr>
              <w:t>0.011t</w:t>
            </w:r>
          </w:p>
        </w:tc>
        <w:tc>
          <w:tcPr>
            <w:tcW w:w="1360" w:type="dxa"/>
            <w:vAlign w:val="center"/>
          </w:tcPr>
          <w:p>
            <w:pPr>
              <w:spacing w:line="280" w:lineRule="exact"/>
              <w:jc w:val="center"/>
              <w:rPr>
                <w:rFonts w:ascii="Times New Roman" w:hAnsi="Times New Roman"/>
              </w:rPr>
            </w:pPr>
            <w:r>
              <w:rPr>
                <w:rFonts w:ascii="Times New Roman" w:hAnsi="Times New Roman"/>
              </w:rPr>
              <w:t>200</w:t>
            </w:r>
            <w:r>
              <w:rPr>
                <w:rFonts w:ascii="Times New Roman" w:hAnsi="Times New Roman"/>
                <w:lang w:val="fr-FR"/>
              </w:rPr>
              <w:t>mg/L</w:t>
            </w:r>
          </w:p>
        </w:tc>
        <w:tc>
          <w:tcPr>
            <w:tcW w:w="1247" w:type="dxa"/>
            <w:vAlign w:val="center"/>
          </w:tcPr>
          <w:p>
            <w:pPr>
              <w:spacing w:line="280" w:lineRule="exact"/>
              <w:jc w:val="center"/>
              <w:rPr>
                <w:rFonts w:ascii="Times New Roman" w:hAnsi="Times New Roman"/>
              </w:rPr>
            </w:pPr>
            <w:r>
              <w:rPr>
                <w:rFonts w:ascii="Times New Roman" w:hAnsi="Times New Roman"/>
              </w:rPr>
              <w:t>0.011t</w:t>
            </w:r>
          </w:p>
        </w:tc>
        <w:tc>
          <w:tcPr>
            <w:tcW w:w="2586" w:type="dxa"/>
            <w:vMerge w:val="continue"/>
            <w:vAlign w:val="center"/>
          </w:tcPr>
          <w:p>
            <w:pPr>
              <w:spacing w:line="280" w:lineRule="exact"/>
              <w:rPr>
                <w:rFonts w:ascii="Times New Roman" w:hAnsi="Times New Roma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559" w:type="dxa"/>
            <w:vMerge w:val="continue"/>
            <w:vAlign w:val="center"/>
          </w:tcPr>
          <w:p>
            <w:pPr>
              <w:spacing w:line="280" w:lineRule="exact"/>
              <w:rPr>
                <w:rFonts w:ascii="Times New Roman" w:hAnsi="Times New Roman"/>
              </w:rPr>
            </w:pPr>
          </w:p>
        </w:tc>
        <w:tc>
          <w:tcPr>
            <w:tcW w:w="696" w:type="dxa"/>
            <w:vMerge w:val="continue"/>
            <w:vAlign w:val="center"/>
          </w:tcPr>
          <w:p>
            <w:pPr>
              <w:spacing w:line="280" w:lineRule="exact"/>
              <w:rPr>
                <w:rFonts w:ascii="Times New Roman" w:hAnsi="Times New Roman"/>
              </w:rPr>
            </w:pPr>
          </w:p>
        </w:tc>
        <w:tc>
          <w:tcPr>
            <w:tcW w:w="1831" w:type="dxa"/>
            <w:gridSpan w:val="2"/>
            <w:vMerge w:val="continue"/>
            <w:vAlign w:val="center"/>
          </w:tcPr>
          <w:p>
            <w:pPr>
              <w:spacing w:line="280" w:lineRule="exact"/>
              <w:jc w:val="center"/>
              <w:rPr>
                <w:rFonts w:ascii="Times New Roman" w:hAnsi="Times New Roman"/>
              </w:rPr>
            </w:pPr>
          </w:p>
        </w:tc>
        <w:tc>
          <w:tcPr>
            <w:tcW w:w="1261" w:type="dxa"/>
            <w:vAlign w:val="center"/>
          </w:tcPr>
          <w:p>
            <w:pPr>
              <w:spacing w:line="280" w:lineRule="exact"/>
              <w:jc w:val="center"/>
              <w:rPr>
                <w:rFonts w:ascii="Times New Roman" w:hAnsi="Times New Roman"/>
              </w:rPr>
            </w:pPr>
            <w:r>
              <w:rPr>
                <w:rFonts w:ascii="Times New Roman" w:hAnsi="Times New Roman"/>
              </w:rPr>
              <w:t>SS</w:t>
            </w:r>
          </w:p>
        </w:tc>
        <w:tc>
          <w:tcPr>
            <w:tcW w:w="2042" w:type="dxa"/>
            <w:gridSpan w:val="2"/>
            <w:vMerge w:val="continue"/>
            <w:vAlign w:val="center"/>
          </w:tcPr>
          <w:p>
            <w:pPr>
              <w:spacing w:line="280" w:lineRule="exact"/>
              <w:rPr>
                <w:rFonts w:ascii="Times New Roman" w:hAnsi="Times New Roman"/>
              </w:rPr>
            </w:pPr>
          </w:p>
        </w:tc>
        <w:tc>
          <w:tcPr>
            <w:tcW w:w="1169" w:type="dxa"/>
            <w:vAlign w:val="center"/>
          </w:tcPr>
          <w:p>
            <w:pPr>
              <w:spacing w:line="280" w:lineRule="exact"/>
              <w:jc w:val="center"/>
              <w:rPr>
                <w:rFonts w:ascii="Times New Roman" w:hAnsi="Times New Roman"/>
              </w:rPr>
            </w:pPr>
            <w:r>
              <w:rPr>
                <w:rFonts w:ascii="Times New Roman" w:hAnsi="Times New Roman"/>
              </w:rPr>
              <w:t>200mg/L</w:t>
            </w:r>
          </w:p>
        </w:tc>
        <w:tc>
          <w:tcPr>
            <w:tcW w:w="1156" w:type="dxa"/>
            <w:vAlign w:val="center"/>
          </w:tcPr>
          <w:p>
            <w:pPr>
              <w:spacing w:line="280" w:lineRule="exact"/>
              <w:jc w:val="center"/>
              <w:rPr>
                <w:rFonts w:ascii="Times New Roman" w:hAnsi="Times New Roman"/>
              </w:rPr>
            </w:pPr>
            <w:r>
              <w:rPr>
                <w:rFonts w:ascii="Times New Roman" w:hAnsi="Times New Roman"/>
              </w:rPr>
              <w:t>0.011t</w:t>
            </w:r>
          </w:p>
        </w:tc>
        <w:tc>
          <w:tcPr>
            <w:tcW w:w="1360" w:type="dxa"/>
            <w:vAlign w:val="center"/>
          </w:tcPr>
          <w:p>
            <w:pPr>
              <w:spacing w:line="280" w:lineRule="exact"/>
              <w:jc w:val="center"/>
              <w:rPr>
                <w:rFonts w:ascii="Times New Roman" w:hAnsi="Times New Roman"/>
              </w:rPr>
            </w:pPr>
            <w:r>
              <w:rPr>
                <w:rFonts w:ascii="Times New Roman" w:hAnsi="Times New Roman"/>
              </w:rPr>
              <w:t>200mg/L</w:t>
            </w:r>
          </w:p>
        </w:tc>
        <w:tc>
          <w:tcPr>
            <w:tcW w:w="1247" w:type="dxa"/>
            <w:vAlign w:val="center"/>
          </w:tcPr>
          <w:p>
            <w:pPr>
              <w:spacing w:line="280" w:lineRule="exact"/>
              <w:jc w:val="center"/>
              <w:rPr>
                <w:rFonts w:ascii="Times New Roman" w:hAnsi="Times New Roman"/>
              </w:rPr>
            </w:pPr>
            <w:r>
              <w:rPr>
                <w:rFonts w:ascii="Times New Roman" w:hAnsi="Times New Roman"/>
              </w:rPr>
              <w:t>0.011t</w:t>
            </w:r>
          </w:p>
        </w:tc>
        <w:tc>
          <w:tcPr>
            <w:tcW w:w="2586" w:type="dxa"/>
            <w:vMerge w:val="continue"/>
            <w:vAlign w:val="center"/>
          </w:tcPr>
          <w:p>
            <w:pPr>
              <w:spacing w:line="280" w:lineRule="exact"/>
              <w:rPr>
                <w:rFonts w:ascii="Times New Roman" w:hAnsi="Times New Roma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559" w:type="dxa"/>
            <w:vMerge w:val="continue"/>
            <w:vAlign w:val="center"/>
          </w:tcPr>
          <w:p>
            <w:pPr>
              <w:spacing w:line="280" w:lineRule="exact"/>
              <w:rPr>
                <w:rFonts w:ascii="Times New Roman" w:hAnsi="Times New Roman"/>
              </w:rPr>
            </w:pPr>
          </w:p>
        </w:tc>
        <w:tc>
          <w:tcPr>
            <w:tcW w:w="696" w:type="dxa"/>
            <w:vMerge w:val="continue"/>
            <w:vAlign w:val="center"/>
          </w:tcPr>
          <w:p>
            <w:pPr>
              <w:spacing w:line="280" w:lineRule="exact"/>
              <w:rPr>
                <w:rFonts w:ascii="Times New Roman" w:hAnsi="Times New Roman"/>
              </w:rPr>
            </w:pPr>
          </w:p>
        </w:tc>
        <w:tc>
          <w:tcPr>
            <w:tcW w:w="1831" w:type="dxa"/>
            <w:gridSpan w:val="2"/>
            <w:vMerge w:val="continue"/>
            <w:vAlign w:val="center"/>
          </w:tcPr>
          <w:p>
            <w:pPr>
              <w:spacing w:line="280" w:lineRule="exact"/>
              <w:jc w:val="center"/>
              <w:rPr>
                <w:rFonts w:ascii="Times New Roman" w:hAnsi="Times New Roman"/>
              </w:rPr>
            </w:pPr>
          </w:p>
        </w:tc>
        <w:tc>
          <w:tcPr>
            <w:tcW w:w="1261" w:type="dxa"/>
            <w:vAlign w:val="center"/>
          </w:tcPr>
          <w:p>
            <w:pPr>
              <w:tabs>
                <w:tab w:val="left" w:pos="0"/>
              </w:tabs>
              <w:adjustRightInd w:val="0"/>
              <w:snapToGrid w:val="0"/>
              <w:spacing w:line="280" w:lineRule="exact"/>
              <w:jc w:val="center"/>
              <w:rPr>
                <w:rFonts w:ascii="Times New Roman" w:hAnsi="Times New Roman"/>
              </w:rPr>
            </w:pPr>
            <w:r>
              <w:rPr>
                <w:rFonts w:ascii="Times New Roman" w:hAnsi="Times New Roman"/>
              </w:rPr>
              <w:t>NH</w:t>
            </w:r>
            <w:r>
              <w:rPr>
                <w:rFonts w:ascii="Times New Roman" w:hAnsi="Times New Roman"/>
                <w:vertAlign w:val="subscript"/>
              </w:rPr>
              <w:t>3</w:t>
            </w:r>
            <w:r>
              <w:rPr>
                <w:rFonts w:ascii="Times New Roman" w:hAnsi="Times New Roman"/>
              </w:rPr>
              <w:t>-N</w:t>
            </w:r>
          </w:p>
        </w:tc>
        <w:tc>
          <w:tcPr>
            <w:tcW w:w="2042" w:type="dxa"/>
            <w:gridSpan w:val="2"/>
            <w:vMerge w:val="continue"/>
            <w:vAlign w:val="center"/>
          </w:tcPr>
          <w:p>
            <w:pPr>
              <w:tabs>
                <w:tab w:val="left" w:pos="0"/>
              </w:tabs>
              <w:adjustRightInd w:val="0"/>
              <w:snapToGrid w:val="0"/>
              <w:spacing w:line="280" w:lineRule="exact"/>
              <w:rPr>
                <w:rFonts w:ascii="Times New Roman" w:hAnsi="Times New Roman"/>
              </w:rPr>
            </w:pPr>
          </w:p>
        </w:tc>
        <w:tc>
          <w:tcPr>
            <w:tcW w:w="1169" w:type="dxa"/>
            <w:vAlign w:val="center"/>
          </w:tcPr>
          <w:p>
            <w:pPr>
              <w:spacing w:line="280" w:lineRule="exact"/>
              <w:jc w:val="center"/>
              <w:rPr>
                <w:rFonts w:ascii="Times New Roman" w:hAnsi="Times New Roman"/>
              </w:rPr>
            </w:pPr>
            <w:r>
              <w:rPr>
                <w:rFonts w:ascii="Times New Roman" w:hAnsi="Times New Roman"/>
              </w:rPr>
              <w:t>30</w:t>
            </w:r>
            <w:r>
              <w:rPr>
                <w:rFonts w:ascii="Times New Roman" w:hAnsi="Times New Roman"/>
                <w:lang w:val="fr-FR"/>
              </w:rPr>
              <w:t>mg/L</w:t>
            </w:r>
          </w:p>
        </w:tc>
        <w:tc>
          <w:tcPr>
            <w:tcW w:w="1156" w:type="dxa"/>
            <w:vAlign w:val="center"/>
          </w:tcPr>
          <w:p>
            <w:pPr>
              <w:spacing w:line="280" w:lineRule="exact"/>
              <w:jc w:val="center"/>
              <w:rPr>
                <w:rFonts w:ascii="Times New Roman" w:hAnsi="Times New Roman"/>
              </w:rPr>
            </w:pPr>
            <w:r>
              <w:rPr>
                <w:rFonts w:ascii="Times New Roman" w:hAnsi="Times New Roman"/>
              </w:rPr>
              <w:t>0.002t</w:t>
            </w:r>
          </w:p>
        </w:tc>
        <w:tc>
          <w:tcPr>
            <w:tcW w:w="1360" w:type="dxa"/>
            <w:vAlign w:val="center"/>
          </w:tcPr>
          <w:p>
            <w:pPr>
              <w:spacing w:line="280" w:lineRule="exact"/>
              <w:jc w:val="center"/>
              <w:rPr>
                <w:rFonts w:ascii="Times New Roman" w:hAnsi="Times New Roman"/>
              </w:rPr>
            </w:pPr>
            <w:r>
              <w:rPr>
                <w:rFonts w:ascii="Times New Roman" w:hAnsi="Times New Roman"/>
              </w:rPr>
              <w:t>30</w:t>
            </w:r>
            <w:r>
              <w:rPr>
                <w:rFonts w:ascii="Times New Roman" w:hAnsi="Times New Roman"/>
                <w:lang w:val="fr-FR"/>
              </w:rPr>
              <w:t>mg/L</w:t>
            </w:r>
          </w:p>
        </w:tc>
        <w:tc>
          <w:tcPr>
            <w:tcW w:w="1247" w:type="dxa"/>
            <w:vAlign w:val="center"/>
          </w:tcPr>
          <w:p>
            <w:pPr>
              <w:spacing w:line="280" w:lineRule="exact"/>
              <w:jc w:val="center"/>
              <w:rPr>
                <w:rFonts w:ascii="Times New Roman" w:hAnsi="Times New Roman"/>
              </w:rPr>
            </w:pPr>
            <w:r>
              <w:rPr>
                <w:rFonts w:ascii="Times New Roman" w:hAnsi="Times New Roman"/>
              </w:rPr>
              <w:t>0.002t</w:t>
            </w:r>
          </w:p>
        </w:tc>
        <w:tc>
          <w:tcPr>
            <w:tcW w:w="2586" w:type="dxa"/>
            <w:vMerge w:val="continue"/>
            <w:vAlign w:val="center"/>
          </w:tcPr>
          <w:p>
            <w:pPr>
              <w:spacing w:line="280" w:lineRule="exact"/>
              <w:rPr>
                <w:rFonts w:ascii="Times New Roman" w:hAnsi="Times New Roma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35" w:hRule="atLeast"/>
          <w:jc w:val="center"/>
        </w:trPr>
        <w:tc>
          <w:tcPr>
            <w:tcW w:w="559" w:type="dxa"/>
            <w:vMerge w:val="continue"/>
            <w:vAlign w:val="center"/>
          </w:tcPr>
          <w:p>
            <w:pPr>
              <w:spacing w:line="280" w:lineRule="exact"/>
              <w:rPr>
                <w:rFonts w:ascii="Times New Roman" w:hAnsi="Times New Roman"/>
              </w:rPr>
            </w:pPr>
          </w:p>
        </w:tc>
        <w:tc>
          <w:tcPr>
            <w:tcW w:w="696" w:type="dxa"/>
            <w:vMerge w:val="restart"/>
            <w:vAlign w:val="center"/>
          </w:tcPr>
          <w:p>
            <w:pPr>
              <w:spacing w:line="280" w:lineRule="exact"/>
              <w:rPr>
                <w:rFonts w:ascii="Times New Roman" w:hAnsi="Times New Roman"/>
              </w:rPr>
            </w:pPr>
            <w:r>
              <w:rPr>
                <w:rFonts w:ascii="Times New Roman" w:hAnsi="Times New Roman"/>
              </w:rPr>
              <w:t>废气</w:t>
            </w:r>
          </w:p>
        </w:tc>
        <w:tc>
          <w:tcPr>
            <w:tcW w:w="1831" w:type="dxa"/>
            <w:gridSpan w:val="2"/>
            <w:vMerge w:val="restart"/>
            <w:vAlign w:val="center"/>
          </w:tcPr>
          <w:p>
            <w:pPr>
              <w:spacing w:line="280" w:lineRule="exact"/>
              <w:jc w:val="center"/>
              <w:rPr>
                <w:rFonts w:ascii="Times New Roman" w:hAnsi="Times New Roman"/>
              </w:rPr>
            </w:pPr>
            <w:r>
              <w:rPr>
                <w:rFonts w:ascii="Times New Roman" w:hAnsi="Times New Roman"/>
              </w:rPr>
              <w:t>运输车辆</w:t>
            </w:r>
          </w:p>
        </w:tc>
        <w:tc>
          <w:tcPr>
            <w:tcW w:w="1261" w:type="dxa"/>
            <w:vAlign w:val="center"/>
          </w:tcPr>
          <w:p>
            <w:pPr>
              <w:spacing w:line="280" w:lineRule="exact"/>
              <w:jc w:val="center"/>
              <w:rPr>
                <w:rFonts w:ascii="Times New Roman" w:hAnsi="Times New Roman"/>
              </w:rPr>
            </w:pPr>
            <w:r>
              <w:rPr>
                <w:rFonts w:ascii="Times New Roman" w:hAnsi="Times New Roman"/>
              </w:rPr>
              <w:t>扬尘</w:t>
            </w:r>
          </w:p>
        </w:tc>
        <w:tc>
          <w:tcPr>
            <w:tcW w:w="2042" w:type="dxa"/>
            <w:gridSpan w:val="2"/>
            <w:vMerge w:val="continue"/>
            <w:vAlign w:val="center"/>
          </w:tcPr>
          <w:p>
            <w:pPr>
              <w:spacing w:line="280" w:lineRule="exact"/>
              <w:rPr>
                <w:rFonts w:ascii="Times New Roman" w:hAnsi="Times New Roman"/>
              </w:rPr>
            </w:pPr>
          </w:p>
        </w:tc>
        <w:tc>
          <w:tcPr>
            <w:tcW w:w="2325" w:type="dxa"/>
            <w:gridSpan w:val="2"/>
            <w:vMerge w:val="restart"/>
            <w:vAlign w:val="center"/>
          </w:tcPr>
          <w:p>
            <w:pPr>
              <w:spacing w:line="280" w:lineRule="exact"/>
              <w:rPr>
                <w:rFonts w:ascii="Times New Roman" w:hAnsi="Times New Roman"/>
              </w:rPr>
            </w:pPr>
            <w:r>
              <w:rPr>
                <w:rFonts w:ascii="Times New Roman" w:hAnsi="Times New Roman"/>
              </w:rPr>
              <w:t>少量</w:t>
            </w:r>
          </w:p>
        </w:tc>
        <w:tc>
          <w:tcPr>
            <w:tcW w:w="2607" w:type="dxa"/>
            <w:gridSpan w:val="2"/>
            <w:vMerge w:val="restart"/>
            <w:vAlign w:val="center"/>
          </w:tcPr>
          <w:p>
            <w:pPr>
              <w:spacing w:line="280" w:lineRule="exact"/>
              <w:rPr>
                <w:rFonts w:ascii="Times New Roman" w:hAnsi="Times New Roman"/>
              </w:rPr>
            </w:pPr>
            <w:r>
              <w:rPr>
                <w:rFonts w:ascii="Times New Roman" w:hAnsi="Times New Roman"/>
              </w:rPr>
              <w:t>少量</w:t>
            </w:r>
          </w:p>
        </w:tc>
        <w:tc>
          <w:tcPr>
            <w:tcW w:w="2586" w:type="dxa"/>
            <w:vMerge w:val="restart"/>
            <w:vAlign w:val="center"/>
          </w:tcPr>
          <w:p>
            <w:pPr>
              <w:spacing w:line="280" w:lineRule="exact"/>
              <w:rPr>
                <w:rFonts w:ascii="Times New Roman" w:hAnsi="Times New Roman"/>
              </w:rPr>
            </w:pPr>
            <w:r>
              <w:rPr>
                <w:rFonts w:ascii="Times New Roman" w:hAnsi="Times New Roman"/>
              </w:rPr>
              <w:t>无组织排放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35" w:hRule="atLeast"/>
          <w:jc w:val="center"/>
        </w:trPr>
        <w:tc>
          <w:tcPr>
            <w:tcW w:w="559" w:type="dxa"/>
            <w:vMerge w:val="continue"/>
            <w:vAlign w:val="center"/>
          </w:tcPr>
          <w:p>
            <w:pPr>
              <w:spacing w:line="280" w:lineRule="exact"/>
              <w:rPr>
                <w:rFonts w:ascii="Times New Roman" w:hAnsi="Times New Roman"/>
              </w:rPr>
            </w:pPr>
          </w:p>
        </w:tc>
        <w:tc>
          <w:tcPr>
            <w:tcW w:w="696" w:type="dxa"/>
            <w:vMerge w:val="continue"/>
            <w:vAlign w:val="center"/>
          </w:tcPr>
          <w:p>
            <w:pPr>
              <w:spacing w:line="280" w:lineRule="exact"/>
              <w:rPr>
                <w:rFonts w:ascii="Times New Roman" w:hAnsi="Times New Roman"/>
              </w:rPr>
            </w:pPr>
          </w:p>
        </w:tc>
        <w:tc>
          <w:tcPr>
            <w:tcW w:w="1831" w:type="dxa"/>
            <w:gridSpan w:val="2"/>
            <w:vMerge w:val="continue"/>
            <w:vAlign w:val="center"/>
          </w:tcPr>
          <w:p>
            <w:pPr>
              <w:spacing w:line="280" w:lineRule="exact"/>
              <w:jc w:val="center"/>
              <w:rPr>
                <w:rFonts w:ascii="Times New Roman" w:hAnsi="Times New Roman"/>
              </w:rPr>
            </w:pPr>
          </w:p>
        </w:tc>
        <w:tc>
          <w:tcPr>
            <w:tcW w:w="1261" w:type="dxa"/>
            <w:vAlign w:val="center"/>
          </w:tcPr>
          <w:p>
            <w:pPr>
              <w:spacing w:line="280" w:lineRule="exact"/>
              <w:jc w:val="center"/>
              <w:rPr>
                <w:rFonts w:ascii="Times New Roman" w:hAnsi="Times New Roman"/>
              </w:rPr>
            </w:pPr>
            <w:r>
              <w:rPr>
                <w:rFonts w:ascii="Times New Roman" w:hAnsi="Times New Roman"/>
              </w:rPr>
              <w:t>尾气</w:t>
            </w:r>
          </w:p>
        </w:tc>
        <w:tc>
          <w:tcPr>
            <w:tcW w:w="2042" w:type="dxa"/>
            <w:gridSpan w:val="2"/>
            <w:vMerge w:val="continue"/>
            <w:vAlign w:val="center"/>
          </w:tcPr>
          <w:p>
            <w:pPr>
              <w:spacing w:line="280" w:lineRule="exact"/>
              <w:rPr>
                <w:rFonts w:ascii="Times New Roman" w:hAnsi="Times New Roman"/>
              </w:rPr>
            </w:pPr>
          </w:p>
        </w:tc>
        <w:tc>
          <w:tcPr>
            <w:tcW w:w="2325" w:type="dxa"/>
            <w:gridSpan w:val="2"/>
            <w:vMerge w:val="continue"/>
            <w:vAlign w:val="center"/>
          </w:tcPr>
          <w:p>
            <w:pPr>
              <w:spacing w:line="280" w:lineRule="exact"/>
              <w:rPr>
                <w:rFonts w:ascii="Times New Roman" w:hAnsi="Times New Roman"/>
              </w:rPr>
            </w:pPr>
          </w:p>
        </w:tc>
        <w:tc>
          <w:tcPr>
            <w:tcW w:w="2607" w:type="dxa"/>
            <w:gridSpan w:val="2"/>
            <w:vMerge w:val="continue"/>
            <w:vAlign w:val="center"/>
          </w:tcPr>
          <w:p>
            <w:pPr>
              <w:spacing w:line="280" w:lineRule="exact"/>
              <w:rPr>
                <w:rFonts w:ascii="Times New Roman" w:hAnsi="Times New Roman"/>
              </w:rPr>
            </w:pPr>
          </w:p>
        </w:tc>
        <w:tc>
          <w:tcPr>
            <w:tcW w:w="2586" w:type="dxa"/>
            <w:vMerge w:val="continue"/>
            <w:vAlign w:val="center"/>
          </w:tcPr>
          <w:p>
            <w:pPr>
              <w:spacing w:line="280" w:lineRule="exact"/>
              <w:rPr>
                <w:rFonts w:ascii="Times New Roman" w:hAnsi="Times New Roma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559" w:type="dxa"/>
            <w:vMerge w:val="continue"/>
            <w:vAlign w:val="center"/>
          </w:tcPr>
          <w:p>
            <w:pPr>
              <w:spacing w:line="280" w:lineRule="exact"/>
              <w:rPr>
                <w:rFonts w:ascii="Times New Roman" w:hAnsi="Times New Roman"/>
              </w:rPr>
            </w:pPr>
          </w:p>
        </w:tc>
        <w:tc>
          <w:tcPr>
            <w:tcW w:w="696" w:type="dxa"/>
            <w:vMerge w:val="continue"/>
            <w:vAlign w:val="center"/>
          </w:tcPr>
          <w:p>
            <w:pPr>
              <w:spacing w:line="280" w:lineRule="exact"/>
              <w:rPr>
                <w:rFonts w:ascii="Times New Roman" w:hAnsi="Times New Roman"/>
              </w:rPr>
            </w:pPr>
          </w:p>
        </w:tc>
        <w:tc>
          <w:tcPr>
            <w:tcW w:w="1831" w:type="dxa"/>
            <w:gridSpan w:val="2"/>
            <w:vAlign w:val="center"/>
          </w:tcPr>
          <w:p>
            <w:pPr>
              <w:spacing w:line="280" w:lineRule="exact"/>
              <w:jc w:val="center"/>
              <w:rPr>
                <w:rFonts w:ascii="Times New Roman" w:hAnsi="Times New Roman"/>
              </w:rPr>
            </w:pPr>
            <w:r>
              <w:rPr>
                <w:rFonts w:ascii="Times New Roman" w:hAnsi="Times New Roman"/>
              </w:rPr>
              <w:t>设备安装</w:t>
            </w:r>
          </w:p>
        </w:tc>
        <w:tc>
          <w:tcPr>
            <w:tcW w:w="1261" w:type="dxa"/>
            <w:vAlign w:val="center"/>
          </w:tcPr>
          <w:p>
            <w:pPr>
              <w:spacing w:line="280" w:lineRule="exact"/>
              <w:jc w:val="center"/>
              <w:rPr>
                <w:rFonts w:ascii="Times New Roman" w:hAnsi="Times New Roman"/>
              </w:rPr>
            </w:pPr>
            <w:r>
              <w:rPr>
                <w:rFonts w:ascii="Times New Roman" w:hAnsi="Times New Roman"/>
              </w:rPr>
              <w:t>废气</w:t>
            </w:r>
          </w:p>
        </w:tc>
        <w:tc>
          <w:tcPr>
            <w:tcW w:w="2042" w:type="dxa"/>
            <w:gridSpan w:val="2"/>
            <w:vMerge w:val="continue"/>
            <w:vAlign w:val="center"/>
          </w:tcPr>
          <w:p>
            <w:pPr>
              <w:spacing w:line="280" w:lineRule="exact"/>
              <w:rPr>
                <w:rFonts w:ascii="Times New Roman" w:hAnsi="Times New Roman"/>
              </w:rPr>
            </w:pPr>
          </w:p>
        </w:tc>
        <w:tc>
          <w:tcPr>
            <w:tcW w:w="2325" w:type="dxa"/>
            <w:gridSpan w:val="2"/>
            <w:vMerge w:val="continue"/>
            <w:vAlign w:val="center"/>
          </w:tcPr>
          <w:p>
            <w:pPr>
              <w:spacing w:line="280" w:lineRule="exact"/>
              <w:rPr>
                <w:rFonts w:ascii="Times New Roman" w:hAnsi="Times New Roman"/>
              </w:rPr>
            </w:pPr>
          </w:p>
        </w:tc>
        <w:tc>
          <w:tcPr>
            <w:tcW w:w="2607" w:type="dxa"/>
            <w:gridSpan w:val="2"/>
            <w:vMerge w:val="continue"/>
            <w:vAlign w:val="center"/>
          </w:tcPr>
          <w:p>
            <w:pPr>
              <w:spacing w:line="280" w:lineRule="exact"/>
              <w:rPr>
                <w:rFonts w:ascii="Times New Roman" w:hAnsi="Times New Roman"/>
              </w:rPr>
            </w:pPr>
          </w:p>
        </w:tc>
        <w:tc>
          <w:tcPr>
            <w:tcW w:w="2586" w:type="dxa"/>
            <w:vMerge w:val="continue"/>
            <w:vAlign w:val="center"/>
          </w:tcPr>
          <w:p>
            <w:pPr>
              <w:spacing w:line="280" w:lineRule="exact"/>
              <w:rPr>
                <w:rFonts w:ascii="Times New Roman" w:hAnsi="Times New Roma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559" w:type="dxa"/>
            <w:vMerge w:val="continue"/>
            <w:vAlign w:val="center"/>
          </w:tcPr>
          <w:p>
            <w:pPr>
              <w:spacing w:line="280" w:lineRule="exact"/>
              <w:rPr>
                <w:rFonts w:ascii="Times New Roman" w:hAnsi="Times New Roman"/>
              </w:rPr>
            </w:pPr>
          </w:p>
        </w:tc>
        <w:tc>
          <w:tcPr>
            <w:tcW w:w="696" w:type="dxa"/>
            <w:vMerge w:val="restart"/>
            <w:vAlign w:val="center"/>
          </w:tcPr>
          <w:p>
            <w:pPr>
              <w:spacing w:line="280" w:lineRule="exact"/>
              <w:rPr>
                <w:rFonts w:ascii="Times New Roman" w:hAnsi="Times New Roman"/>
              </w:rPr>
            </w:pPr>
            <w:r>
              <w:rPr>
                <w:rFonts w:ascii="Times New Roman" w:hAnsi="Times New Roman"/>
              </w:rPr>
              <w:t>噪声</w:t>
            </w:r>
          </w:p>
        </w:tc>
        <w:tc>
          <w:tcPr>
            <w:tcW w:w="1831" w:type="dxa"/>
            <w:gridSpan w:val="2"/>
            <w:vAlign w:val="center"/>
          </w:tcPr>
          <w:p>
            <w:pPr>
              <w:spacing w:line="280" w:lineRule="exact"/>
              <w:jc w:val="center"/>
              <w:rPr>
                <w:rFonts w:ascii="Times New Roman" w:hAnsi="Times New Roman"/>
              </w:rPr>
            </w:pPr>
            <w:r>
              <w:rPr>
                <w:rFonts w:ascii="Times New Roman" w:hAnsi="Times New Roman"/>
              </w:rPr>
              <w:t>施工机械</w:t>
            </w:r>
          </w:p>
        </w:tc>
        <w:tc>
          <w:tcPr>
            <w:tcW w:w="1261" w:type="dxa"/>
            <w:vMerge w:val="restart"/>
            <w:vAlign w:val="center"/>
          </w:tcPr>
          <w:p>
            <w:pPr>
              <w:spacing w:line="280" w:lineRule="exact"/>
              <w:jc w:val="center"/>
              <w:rPr>
                <w:rFonts w:ascii="Times New Roman" w:hAnsi="Times New Roman"/>
              </w:rPr>
            </w:pPr>
            <w:r>
              <w:rPr>
                <w:rFonts w:ascii="Times New Roman" w:hAnsi="Times New Roman"/>
              </w:rPr>
              <w:t>噪声</w:t>
            </w:r>
          </w:p>
        </w:tc>
        <w:tc>
          <w:tcPr>
            <w:tcW w:w="2042" w:type="dxa"/>
            <w:gridSpan w:val="2"/>
            <w:vMerge w:val="continue"/>
            <w:vAlign w:val="center"/>
          </w:tcPr>
          <w:p>
            <w:pPr>
              <w:spacing w:line="280" w:lineRule="exact"/>
              <w:rPr>
                <w:rFonts w:ascii="Times New Roman" w:hAnsi="Times New Roman"/>
              </w:rPr>
            </w:pPr>
          </w:p>
        </w:tc>
        <w:tc>
          <w:tcPr>
            <w:tcW w:w="2325" w:type="dxa"/>
            <w:gridSpan w:val="2"/>
            <w:vMerge w:val="restart"/>
            <w:vAlign w:val="center"/>
          </w:tcPr>
          <w:p>
            <w:pPr>
              <w:spacing w:line="280" w:lineRule="exact"/>
              <w:rPr>
                <w:rFonts w:ascii="Times New Roman" w:hAnsi="Times New Roman"/>
              </w:rPr>
            </w:pPr>
            <w:r>
              <w:rPr>
                <w:rFonts w:ascii="Times New Roman" w:hAnsi="Times New Roman"/>
              </w:rPr>
              <w:t>昼间＜70dB（A），</w:t>
            </w:r>
          </w:p>
          <w:p>
            <w:pPr>
              <w:spacing w:line="280" w:lineRule="exact"/>
              <w:rPr>
                <w:rFonts w:ascii="Times New Roman" w:hAnsi="Times New Roman"/>
              </w:rPr>
            </w:pPr>
            <w:r>
              <w:rPr>
                <w:rFonts w:ascii="Times New Roman" w:hAnsi="Times New Roman"/>
              </w:rPr>
              <w:t>夜间停止施工</w:t>
            </w:r>
          </w:p>
        </w:tc>
        <w:tc>
          <w:tcPr>
            <w:tcW w:w="2607" w:type="dxa"/>
            <w:gridSpan w:val="2"/>
            <w:vMerge w:val="restart"/>
            <w:vAlign w:val="center"/>
          </w:tcPr>
          <w:p>
            <w:pPr>
              <w:spacing w:line="280" w:lineRule="exact"/>
              <w:rPr>
                <w:rFonts w:ascii="Times New Roman" w:hAnsi="Times New Roman"/>
              </w:rPr>
            </w:pPr>
            <w:r>
              <w:rPr>
                <w:rFonts w:ascii="Times New Roman" w:hAnsi="Times New Roman"/>
              </w:rPr>
              <w:t>昼间＜70dB（A），</w:t>
            </w:r>
          </w:p>
          <w:p>
            <w:pPr>
              <w:spacing w:line="280" w:lineRule="exact"/>
              <w:rPr>
                <w:rFonts w:ascii="Times New Roman" w:hAnsi="Times New Roman"/>
              </w:rPr>
            </w:pPr>
            <w:r>
              <w:rPr>
                <w:rFonts w:ascii="Times New Roman" w:hAnsi="Times New Roman"/>
              </w:rPr>
              <w:t>夜间停止施工</w:t>
            </w:r>
          </w:p>
        </w:tc>
        <w:tc>
          <w:tcPr>
            <w:tcW w:w="2586" w:type="dxa"/>
            <w:vMerge w:val="restart"/>
            <w:vAlign w:val="center"/>
          </w:tcPr>
          <w:p>
            <w:pPr>
              <w:spacing w:line="280" w:lineRule="exact"/>
              <w:rPr>
                <w:rFonts w:ascii="Times New Roman" w:hAnsi="Times New Roman"/>
              </w:rPr>
            </w:pPr>
            <w:r>
              <w:rPr>
                <w:rFonts w:ascii="Times New Roman" w:hAnsi="Times New Roma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559" w:type="dxa"/>
            <w:vMerge w:val="continue"/>
            <w:vAlign w:val="center"/>
          </w:tcPr>
          <w:p>
            <w:pPr>
              <w:spacing w:line="280" w:lineRule="exact"/>
              <w:rPr>
                <w:rFonts w:ascii="Times New Roman" w:hAnsi="Times New Roman"/>
              </w:rPr>
            </w:pPr>
          </w:p>
        </w:tc>
        <w:tc>
          <w:tcPr>
            <w:tcW w:w="696" w:type="dxa"/>
            <w:vMerge w:val="continue"/>
            <w:vAlign w:val="center"/>
          </w:tcPr>
          <w:p>
            <w:pPr>
              <w:spacing w:line="280" w:lineRule="exact"/>
              <w:rPr>
                <w:rFonts w:ascii="Times New Roman" w:hAnsi="Times New Roman"/>
              </w:rPr>
            </w:pPr>
          </w:p>
        </w:tc>
        <w:tc>
          <w:tcPr>
            <w:tcW w:w="1831" w:type="dxa"/>
            <w:gridSpan w:val="2"/>
            <w:vAlign w:val="center"/>
          </w:tcPr>
          <w:p>
            <w:pPr>
              <w:spacing w:line="280" w:lineRule="exact"/>
              <w:jc w:val="center"/>
              <w:rPr>
                <w:rFonts w:ascii="Times New Roman" w:hAnsi="Times New Roman"/>
              </w:rPr>
            </w:pPr>
            <w:r>
              <w:rPr>
                <w:rFonts w:ascii="Times New Roman" w:hAnsi="Times New Roman"/>
              </w:rPr>
              <w:t>运输车辆</w:t>
            </w:r>
          </w:p>
        </w:tc>
        <w:tc>
          <w:tcPr>
            <w:tcW w:w="1261" w:type="dxa"/>
            <w:vMerge w:val="continue"/>
            <w:vAlign w:val="center"/>
          </w:tcPr>
          <w:p>
            <w:pPr>
              <w:spacing w:line="280" w:lineRule="exact"/>
              <w:jc w:val="center"/>
              <w:rPr>
                <w:rFonts w:ascii="Times New Roman" w:hAnsi="Times New Roman"/>
              </w:rPr>
            </w:pPr>
          </w:p>
        </w:tc>
        <w:tc>
          <w:tcPr>
            <w:tcW w:w="2042" w:type="dxa"/>
            <w:gridSpan w:val="2"/>
            <w:vMerge w:val="continue"/>
            <w:vAlign w:val="center"/>
          </w:tcPr>
          <w:p>
            <w:pPr>
              <w:spacing w:line="280" w:lineRule="exact"/>
              <w:rPr>
                <w:rFonts w:ascii="Times New Roman" w:hAnsi="Times New Roman"/>
              </w:rPr>
            </w:pPr>
          </w:p>
        </w:tc>
        <w:tc>
          <w:tcPr>
            <w:tcW w:w="2325" w:type="dxa"/>
            <w:gridSpan w:val="2"/>
            <w:vMerge w:val="continue"/>
            <w:vAlign w:val="center"/>
          </w:tcPr>
          <w:p>
            <w:pPr>
              <w:spacing w:line="280" w:lineRule="exact"/>
              <w:rPr>
                <w:rFonts w:ascii="Times New Roman" w:hAnsi="Times New Roman"/>
              </w:rPr>
            </w:pPr>
          </w:p>
        </w:tc>
        <w:tc>
          <w:tcPr>
            <w:tcW w:w="2607" w:type="dxa"/>
            <w:gridSpan w:val="2"/>
            <w:vMerge w:val="continue"/>
            <w:vAlign w:val="center"/>
          </w:tcPr>
          <w:p>
            <w:pPr>
              <w:spacing w:line="280" w:lineRule="exact"/>
              <w:rPr>
                <w:rFonts w:ascii="Times New Roman" w:hAnsi="Times New Roman"/>
              </w:rPr>
            </w:pPr>
          </w:p>
        </w:tc>
        <w:tc>
          <w:tcPr>
            <w:tcW w:w="2586" w:type="dxa"/>
            <w:vMerge w:val="continue"/>
            <w:vAlign w:val="center"/>
          </w:tcPr>
          <w:p>
            <w:pPr>
              <w:spacing w:line="280" w:lineRule="exact"/>
              <w:rPr>
                <w:rFonts w:ascii="Times New Roman" w:hAnsi="Times New Roma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559" w:type="dxa"/>
            <w:vMerge w:val="continue"/>
            <w:vAlign w:val="center"/>
          </w:tcPr>
          <w:p>
            <w:pPr>
              <w:spacing w:line="280" w:lineRule="exact"/>
              <w:rPr>
                <w:rFonts w:ascii="Times New Roman" w:hAnsi="Times New Roman"/>
              </w:rPr>
            </w:pPr>
          </w:p>
        </w:tc>
        <w:tc>
          <w:tcPr>
            <w:tcW w:w="696" w:type="dxa"/>
            <w:vAlign w:val="center"/>
          </w:tcPr>
          <w:p>
            <w:pPr>
              <w:spacing w:line="280" w:lineRule="exact"/>
              <w:rPr>
                <w:rFonts w:ascii="Times New Roman" w:hAnsi="Times New Roman"/>
              </w:rPr>
            </w:pPr>
            <w:r>
              <w:rPr>
                <w:rFonts w:ascii="Times New Roman" w:hAnsi="Times New Roman"/>
              </w:rPr>
              <w:t>固体</w:t>
            </w:r>
          </w:p>
          <w:p>
            <w:pPr>
              <w:spacing w:line="280" w:lineRule="exact"/>
              <w:rPr>
                <w:rFonts w:ascii="Times New Roman" w:hAnsi="Times New Roman"/>
              </w:rPr>
            </w:pPr>
            <w:r>
              <w:rPr>
                <w:rFonts w:ascii="Times New Roman" w:hAnsi="Times New Roman"/>
              </w:rPr>
              <w:t>废物</w:t>
            </w:r>
          </w:p>
        </w:tc>
        <w:tc>
          <w:tcPr>
            <w:tcW w:w="1831" w:type="dxa"/>
            <w:gridSpan w:val="2"/>
            <w:vAlign w:val="center"/>
          </w:tcPr>
          <w:p>
            <w:pPr>
              <w:spacing w:line="280" w:lineRule="exact"/>
              <w:jc w:val="center"/>
              <w:rPr>
                <w:rFonts w:ascii="Times New Roman" w:hAnsi="Times New Roman"/>
              </w:rPr>
            </w:pPr>
            <w:r>
              <w:rPr>
                <w:rFonts w:ascii="Times New Roman" w:hAnsi="Times New Roman"/>
              </w:rPr>
              <w:t>施工人员</w:t>
            </w:r>
          </w:p>
        </w:tc>
        <w:tc>
          <w:tcPr>
            <w:tcW w:w="1261" w:type="dxa"/>
            <w:vAlign w:val="center"/>
          </w:tcPr>
          <w:p>
            <w:pPr>
              <w:spacing w:line="280" w:lineRule="exact"/>
              <w:jc w:val="center"/>
              <w:rPr>
                <w:rFonts w:ascii="Times New Roman" w:hAnsi="Times New Roman"/>
              </w:rPr>
            </w:pPr>
            <w:r>
              <w:rPr>
                <w:rFonts w:ascii="Times New Roman" w:hAnsi="Times New Roman"/>
              </w:rPr>
              <w:t>生活垃圾</w:t>
            </w:r>
          </w:p>
        </w:tc>
        <w:tc>
          <w:tcPr>
            <w:tcW w:w="2042" w:type="dxa"/>
            <w:gridSpan w:val="2"/>
            <w:vMerge w:val="continue"/>
            <w:vAlign w:val="center"/>
          </w:tcPr>
          <w:p>
            <w:pPr>
              <w:spacing w:line="280" w:lineRule="exact"/>
              <w:jc w:val="center"/>
              <w:rPr>
                <w:rFonts w:ascii="Times New Roman" w:hAnsi="Times New Roman"/>
              </w:rPr>
            </w:pPr>
          </w:p>
        </w:tc>
        <w:tc>
          <w:tcPr>
            <w:tcW w:w="1169" w:type="dxa"/>
            <w:vAlign w:val="center"/>
          </w:tcPr>
          <w:p>
            <w:pPr>
              <w:spacing w:line="280" w:lineRule="exact"/>
              <w:jc w:val="center"/>
              <w:rPr>
                <w:rFonts w:ascii="Times New Roman" w:hAnsi="Times New Roman"/>
              </w:rPr>
            </w:pPr>
            <w:r>
              <w:rPr>
                <w:rFonts w:ascii="Times New Roman" w:hAnsi="Times New Roman"/>
              </w:rPr>
              <w:t>15kg/d</w:t>
            </w:r>
          </w:p>
        </w:tc>
        <w:tc>
          <w:tcPr>
            <w:tcW w:w="1156" w:type="dxa"/>
            <w:vAlign w:val="center"/>
          </w:tcPr>
          <w:p>
            <w:pPr>
              <w:spacing w:line="280" w:lineRule="exact"/>
              <w:jc w:val="center"/>
              <w:rPr>
                <w:rFonts w:ascii="Times New Roman" w:hAnsi="Times New Roman"/>
              </w:rPr>
            </w:pPr>
            <w:r>
              <w:rPr>
                <w:rFonts w:ascii="Times New Roman" w:hAnsi="Times New Roman"/>
              </w:rPr>
              <w:t>0.45t</w:t>
            </w:r>
          </w:p>
        </w:tc>
        <w:tc>
          <w:tcPr>
            <w:tcW w:w="1360" w:type="dxa"/>
            <w:vAlign w:val="center"/>
          </w:tcPr>
          <w:p>
            <w:pPr>
              <w:spacing w:line="280" w:lineRule="exact"/>
              <w:jc w:val="center"/>
              <w:rPr>
                <w:rFonts w:ascii="Times New Roman" w:hAnsi="Times New Roman"/>
              </w:rPr>
            </w:pPr>
            <w:r>
              <w:rPr>
                <w:rFonts w:ascii="Times New Roman" w:hAnsi="Times New Roman"/>
              </w:rPr>
              <w:t>15kg/d</w:t>
            </w:r>
          </w:p>
        </w:tc>
        <w:tc>
          <w:tcPr>
            <w:tcW w:w="1247" w:type="dxa"/>
            <w:vAlign w:val="center"/>
          </w:tcPr>
          <w:p>
            <w:pPr>
              <w:spacing w:line="280" w:lineRule="exact"/>
              <w:jc w:val="center"/>
              <w:rPr>
                <w:rFonts w:ascii="Times New Roman" w:hAnsi="Times New Roman"/>
              </w:rPr>
            </w:pPr>
            <w:r>
              <w:rPr>
                <w:rFonts w:ascii="Times New Roman" w:hAnsi="Times New Roman"/>
              </w:rPr>
              <w:t>0.45t</w:t>
            </w:r>
          </w:p>
        </w:tc>
        <w:tc>
          <w:tcPr>
            <w:tcW w:w="2586" w:type="dxa"/>
            <w:vAlign w:val="center"/>
          </w:tcPr>
          <w:p>
            <w:pPr>
              <w:spacing w:line="280" w:lineRule="exact"/>
              <w:rPr>
                <w:rFonts w:ascii="Times New Roman" w:hAnsi="Times New Roman"/>
              </w:rPr>
            </w:pPr>
            <w:r>
              <w:rPr>
                <w:rFonts w:ascii="Times New Roman" w:hAnsi="Times New Roman"/>
              </w:rPr>
              <w:t>由</w:t>
            </w:r>
            <w:r>
              <w:rPr>
                <w:rFonts w:ascii="Times New Roman" w:hAnsi="Times New Roman"/>
                <w:kern w:val="2"/>
              </w:rPr>
              <w:t>市政环卫部门清运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559" w:type="dxa"/>
            <w:vMerge w:val="restart"/>
            <w:vAlign w:val="center"/>
          </w:tcPr>
          <w:p>
            <w:pPr>
              <w:spacing w:line="280" w:lineRule="exact"/>
              <w:rPr>
                <w:rFonts w:ascii="Times New Roman" w:hAnsi="Times New Roman"/>
              </w:rPr>
            </w:pPr>
            <w:r>
              <w:rPr>
                <w:rFonts w:ascii="Times New Roman" w:hAnsi="Times New Roman"/>
              </w:rPr>
              <w:t>运</w:t>
            </w:r>
          </w:p>
          <w:p>
            <w:pPr>
              <w:spacing w:line="280" w:lineRule="exact"/>
              <w:rPr>
                <w:rFonts w:ascii="Times New Roman" w:hAnsi="Times New Roman"/>
              </w:rPr>
            </w:pPr>
            <w:r>
              <w:rPr>
                <w:rFonts w:ascii="Times New Roman" w:hAnsi="Times New Roman"/>
              </w:rPr>
              <w:t>营</w:t>
            </w:r>
          </w:p>
          <w:p>
            <w:pPr>
              <w:spacing w:line="280" w:lineRule="exact"/>
              <w:rPr>
                <w:rFonts w:ascii="Times New Roman" w:hAnsi="Times New Roman"/>
              </w:rPr>
            </w:pPr>
            <w:r>
              <w:rPr>
                <w:rFonts w:ascii="Times New Roman" w:hAnsi="Times New Roman"/>
              </w:rPr>
              <w:t>期</w:t>
            </w:r>
          </w:p>
        </w:tc>
        <w:tc>
          <w:tcPr>
            <w:tcW w:w="696" w:type="dxa"/>
            <w:vMerge w:val="restart"/>
            <w:vAlign w:val="center"/>
          </w:tcPr>
          <w:p>
            <w:pPr>
              <w:spacing w:line="280" w:lineRule="exact"/>
              <w:rPr>
                <w:rFonts w:ascii="Times New Roman" w:hAnsi="Times New Roman"/>
                <w:kern w:val="2"/>
              </w:rPr>
            </w:pPr>
            <w:r>
              <w:rPr>
                <w:rFonts w:ascii="Times New Roman" w:hAnsi="Times New Roman"/>
              </w:rPr>
              <w:t>废水</w:t>
            </w:r>
          </w:p>
        </w:tc>
        <w:tc>
          <w:tcPr>
            <w:tcW w:w="1831" w:type="dxa"/>
            <w:gridSpan w:val="2"/>
            <w:vMerge w:val="restart"/>
            <w:vAlign w:val="center"/>
          </w:tcPr>
          <w:p>
            <w:pPr>
              <w:textAlignment w:val="center"/>
              <w:rPr>
                <w:rFonts w:ascii="Times New Roman" w:hAnsi="Times New Roman"/>
                <w:kern w:val="2"/>
              </w:rPr>
            </w:pPr>
            <w:r>
              <w:rPr>
                <w:rFonts w:ascii="Times New Roman" w:hAnsi="Times New Roman"/>
                <w:kern w:val="2"/>
              </w:rPr>
              <w:t>污水</w:t>
            </w:r>
          </w:p>
        </w:tc>
        <w:tc>
          <w:tcPr>
            <w:tcW w:w="1261" w:type="dxa"/>
            <w:vAlign w:val="center"/>
          </w:tcPr>
          <w:p>
            <w:pPr>
              <w:jc w:val="center"/>
              <w:rPr>
                <w:rFonts w:ascii="Times New Roman" w:hAnsi="Times New Roman"/>
              </w:rPr>
            </w:pPr>
            <w:r>
              <w:rPr>
                <w:rFonts w:ascii="Times New Roman" w:hAnsi="Times New Roman"/>
              </w:rPr>
              <w:t>COD</w:t>
            </w:r>
          </w:p>
        </w:tc>
        <w:tc>
          <w:tcPr>
            <w:tcW w:w="1035" w:type="dxa"/>
            <w:vAlign w:val="center"/>
          </w:tcPr>
          <w:p>
            <w:pPr>
              <w:jc w:val="center"/>
              <w:rPr>
                <w:rFonts w:ascii="Times New Roman" w:hAnsi="Times New Roman"/>
              </w:rPr>
            </w:pPr>
            <w:r>
              <w:rPr>
                <w:rFonts w:ascii="Times New Roman" w:hAnsi="Times New Roman"/>
                <w:szCs w:val="20"/>
              </w:rPr>
              <w:t>6mg/L</w:t>
            </w:r>
          </w:p>
        </w:tc>
        <w:tc>
          <w:tcPr>
            <w:tcW w:w="1007" w:type="dxa"/>
            <w:vAlign w:val="center"/>
          </w:tcPr>
          <w:p>
            <w:pPr>
              <w:jc w:val="center"/>
              <w:rPr>
                <w:rFonts w:ascii="Times New Roman" w:hAnsi="Times New Roman"/>
              </w:rPr>
            </w:pPr>
            <w:r>
              <w:rPr>
                <w:rFonts w:ascii="Times New Roman" w:hAnsi="Times New Roman"/>
                <w:szCs w:val="20"/>
              </w:rPr>
              <w:t>0.010t/a</w:t>
            </w:r>
          </w:p>
        </w:tc>
        <w:tc>
          <w:tcPr>
            <w:tcW w:w="1169" w:type="dxa"/>
            <w:vAlign w:val="center"/>
          </w:tcPr>
          <w:p>
            <w:pPr>
              <w:jc w:val="center"/>
              <w:rPr>
                <w:rFonts w:ascii="Times New Roman" w:hAnsi="Times New Roman"/>
              </w:rPr>
            </w:pPr>
            <w:r>
              <w:rPr>
                <w:rFonts w:ascii="Times New Roman" w:hAnsi="Times New Roman"/>
                <w:kern w:val="2"/>
                <w:szCs w:val="20"/>
              </w:rPr>
              <w:t>45</w:t>
            </w:r>
            <w:r>
              <w:rPr>
                <w:rFonts w:ascii="Times New Roman" w:hAnsi="Times New Roman"/>
                <w:szCs w:val="20"/>
              </w:rPr>
              <w:t xml:space="preserve"> mg/L</w:t>
            </w:r>
          </w:p>
        </w:tc>
        <w:tc>
          <w:tcPr>
            <w:tcW w:w="1156" w:type="dxa"/>
            <w:vAlign w:val="center"/>
          </w:tcPr>
          <w:p>
            <w:pPr>
              <w:jc w:val="center"/>
              <w:rPr>
                <w:rFonts w:ascii="Times New Roman" w:hAnsi="Times New Roman"/>
              </w:rPr>
            </w:pPr>
            <w:r>
              <w:rPr>
                <w:rFonts w:ascii="Times New Roman" w:hAnsi="Times New Roman"/>
                <w:kern w:val="2"/>
                <w:szCs w:val="20"/>
              </w:rPr>
              <w:t>0.0493</w:t>
            </w:r>
            <w:r>
              <w:rPr>
                <w:rFonts w:ascii="Times New Roman" w:hAnsi="Times New Roman"/>
                <w:szCs w:val="20"/>
              </w:rPr>
              <w:t xml:space="preserve"> t/a</w:t>
            </w:r>
          </w:p>
        </w:tc>
        <w:tc>
          <w:tcPr>
            <w:tcW w:w="1360" w:type="dxa"/>
            <w:vAlign w:val="center"/>
          </w:tcPr>
          <w:p>
            <w:pPr>
              <w:jc w:val="center"/>
              <w:rPr>
                <w:rFonts w:ascii="Times New Roman" w:hAnsi="Times New Roman"/>
              </w:rPr>
            </w:pPr>
            <w:r>
              <w:rPr>
                <w:rFonts w:ascii="Times New Roman" w:hAnsi="Times New Roman"/>
                <w:kern w:val="2"/>
                <w:szCs w:val="20"/>
              </w:rPr>
              <w:t>51</w:t>
            </w:r>
            <w:r>
              <w:rPr>
                <w:rFonts w:ascii="Times New Roman" w:hAnsi="Times New Roman"/>
                <w:szCs w:val="20"/>
              </w:rPr>
              <w:t xml:space="preserve"> mg/L</w:t>
            </w:r>
          </w:p>
        </w:tc>
        <w:tc>
          <w:tcPr>
            <w:tcW w:w="1247" w:type="dxa"/>
            <w:vAlign w:val="center"/>
          </w:tcPr>
          <w:p>
            <w:pPr>
              <w:jc w:val="center"/>
              <w:rPr>
                <w:rFonts w:ascii="Times New Roman" w:hAnsi="Times New Roman"/>
              </w:rPr>
            </w:pPr>
            <w:r>
              <w:rPr>
                <w:rFonts w:ascii="Times New Roman" w:hAnsi="Times New Roman"/>
                <w:szCs w:val="20"/>
              </w:rPr>
              <w:t>0.0593t/a</w:t>
            </w:r>
          </w:p>
        </w:tc>
        <w:tc>
          <w:tcPr>
            <w:tcW w:w="2586" w:type="dxa"/>
            <w:vMerge w:val="restart"/>
            <w:vAlign w:val="center"/>
          </w:tcPr>
          <w:p>
            <w:pPr>
              <w:spacing w:line="280" w:lineRule="exact"/>
              <w:rPr>
                <w:rFonts w:ascii="Times New Roman" w:hAnsi="Times New Roman"/>
                <w:kern w:val="2"/>
              </w:rPr>
            </w:pPr>
            <w:r>
              <w:rPr>
                <w:rFonts w:ascii="Times New Roman" w:hAnsi="Times New Roman"/>
                <w:kern w:val="2"/>
              </w:rPr>
              <w:t>生产废水经企业原有污水处理站(工艺流程：格栅→调节池→一体化污水处理设备(水解酸化池→接触氧化池 →二沉池 →MBR池) →二氧化氯发生器→回用水池) 处理后满足《城市污水再生利用城市杂用水水质》( GB/T18920-2002 ) 中“车辆冲洗标准”，厂内全部回用 (回用于车间地面消毒清洗用水、转运车消毒清洗用水和周转箱消毒清洗用水) ，不外排。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559" w:type="dxa"/>
            <w:vMerge w:val="continue"/>
            <w:vAlign w:val="center"/>
          </w:tcPr>
          <w:p>
            <w:pPr>
              <w:textAlignment w:val="center"/>
              <w:rPr>
                <w:rFonts w:ascii="Times New Roman" w:hAnsi="Times New Roman"/>
                <w:kern w:val="2"/>
              </w:rPr>
            </w:pPr>
          </w:p>
        </w:tc>
        <w:tc>
          <w:tcPr>
            <w:tcW w:w="696" w:type="dxa"/>
            <w:vMerge w:val="continue"/>
            <w:vAlign w:val="center"/>
          </w:tcPr>
          <w:p>
            <w:pPr>
              <w:textAlignment w:val="center"/>
              <w:rPr>
                <w:rFonts w:ascii="Times New Roman" w:hAnsi="Times New Roman"/>
                <w:kern w:val="2"/>
              </w:rPr>
            </w:pPr>
          </w:p>
        </w:tc>
        <w:tc>
          <w:tcPr>
            <w:tcW w:w="1831" w:type="dxa"/>
            <w:gridSpan w:val="2"/>
            <w:vMerge w:val="continue"/>
            <w:vAlign w:val="center"/>
          </w:tcPr>
          <w:p>
            <w:pPr>
              <w:textAlignment w:val="center"/>
              <w:rPr>
                <w:rFonts w:ascii="Times New Roman" w:hAnsi="Times New Roman"/>
                <w:kern w:val="2"/>
              </w:rPr>
            </w:pPr>
          </w:p>
        </w:tc>
        <w:tc>
          <w:tcPr>
            <w:tcW w:w="1261" w:type="dxa"/>
            <w:vAlign w:val="center"/>
          </w:tcPr>
          <w:p>
            <w:pPr>
              <w:jc w:val="center"/>
              <w:rPr>
                <w:rFonts w:ascii="Times New Roman" w:hAnsi="Times New Roman"/>
              </w:rPr>
            </w:pPr>
            <w:r>
              <w:rPr>
                <w:rFonts w:ascii="Times New Roman" w:hAnsi="Times New Roman"/>
              </w:rPr>
              <w:t>BOD</w:t>
            </w:r>
            <w:r>
              <w:rPr>
                <w:rFonts w:ascii="Times New Roman" w:hAnsi="Times New Roman"/>
                <w:vertAlign w:val="subscript"/>
              </w:rPr>
              <w:t>5</w:t>
            </w:r>
          </w:p>
        </w:tc>
        <w:tc>
          <w:tcPr>
            <w:tcW w:w="1035" w:type="dxa"/>
            <w:vAlign w:val="center"/>
          </w:tcPr>
          <w:p>
            <w:pPr>
              <w:jc w:val="center"/>
              <w:rPr>
                <w:rFonts w:ascii="Times New Roman" w:hAnsi="Times New Roman"/>
              </w:rPr>
            </w:pPr>
            <w:r>
              <w:rPr>
                <w:rFonts w:ascii="Times New Roman" w:hAnsi="Times New Roman"/>
                <w:szCs w:val="20"/>
              </w:rPr>
              <w:t>2.94mg/L</w:t>
            </w:r>
          </w:p>
        </w:tc>
        <w:tc>
          <w:tcPr>
            <w:tcW w:w="1007" w:type="dxa"/>
            <w:vAlign w:val="center"/>
          </w:tcPr>
          <w:p>
            <w:pPr>
              <w:jc w:val="center"/>
              <w:rPr>
                <w:rFonts w:ascii="Times New Roman" w:hAnsi="Times New Roman"/>
              </w:rPr>
            </w:pPr>
            <w:r>
              <w:rPr>
                <w:rFonts w:ascii="Times New Roman" w:hAnsi="Times New Roman"/>
                <w:szCs w:val="20"/>
              </w:rPr>
              <w:t>0.0049t/a</w:t>
            </w:r>
          </w:p>
        </w:tc>
        <w:tc>
          <w:tcPr>
            <w:tcW w:w="1169" w:type="dxa"/>
            <w:vAlign w:val="center"/>
          </w:tcPr>
          <w:p>
            <w:pPr>
              <w:jc w:val="center"/>
              <w:rPr>
                <w:rFonts w:ascii="Times New Roman" w:hAnsi="Times New Roman"/>
              </w:rPr>
            </w:pPr>
            <w:r>
              <w:rPr>
                <w:rFonts w:ascii="Times New Roman" w:hAnsi="Times New Roman"/>
                <w:kern w:val="2"/>
                <w:szCs w:val="20"/>
              </w:rPr>
              <w:t>8</w:t>
            </w:r>
            <w:r>
              <w:rPr>
                <w:rFonts w:ascii="Times New Roman" w:hAnsi="Times New Roman"/>
                <w:szCs w:val="20"/>
              </w:rPr>
              <w:t xml:space="preserve"> mg/L</w:t>
            </w:r>
          </w:p>
        </w:tc>
        <w:tc>
          <w:tcPr>
            <w:tcW w:w="1156" w:type="dxa"/>
            <w:vAlign w:val="center"/>
          </w:tcPr>
          <w:p>
            <w:pPr>
              <w:jc w:val="center"/>
              <w:rPr>
                <w:rFonts w:ascii="Times New Roman" w:hAnsi="Times New Roman"/>
              </w:rPr>
            </w:pPr>
            <w:r>
              <w:rPr>
                <w:rFonts w:ascii="Times New Roman" w:hAnsi="Times New Roman"/>
                <w:kern w:val="2"/>
                <w:szCs w:val="20"/>
              </w:rPr>
              <w:t>0.0088</w:t>
            </w:r>
            <w:r>
              <w:rPr>
                <w:rFonts w:ascii="Times New Roman" w:hAnsi="Times New Roman"/>
                <w:szCs w:val="20"/>
              </w:rPr>
              <w:t xml:space="preserve"> t/a</w:t>
            </w:r>
          </w:p>
        </w:tc>
        <w:tc>
          <w:tcPr>
            <w:tcW w:w="1360" w:type="dxa"/>
            <w:vAlign w:val="center"/>
          </w:tcPr>
          <w:p>
            <w:pPr>
              <w:jc w:val="center"/>
              <w:rPr>
                <w:rFonts w:ascii="Times New Roman" w:hAnsi="Times New Roman"/>
              </w:rPr>
            </w:pPr>
            <w:r>
              <w:rPr>
                <w:rFonts w:ascii="Times New Roman" w:hAnsi="Times New Roman"/>
                <w:kern w:val="2"/>
                <w:szCs w:val="20"/>
              </w:rPr>
              <w:t>10.94</w:t>
            </w:r>
            <w:r>
              <w:rPr>
                <w:rFonts w:ascii="Times New Roman" w:hAnsi="Times New Roman"/>
                <w:szCs w:val="20"/>
              </w:rPr>
              <w:t>mg/L</w:t>
            </w:r>
          </w:p>
        </w:tc>
        <w:tc>
          <w:tcPr>
            <w:tcW w:w="1247" w:type="dxa"/>
            <w:vAlign w:val="center"/>
          </w:tcPr>
          <w:p>
            <w:pPr>
              <w:jc w:val="center"/>
              <w:rPr>
                <w:rFonts w:ascii="Times New Roman" w:hAnsi="Times New Roman"/>
              </w:rPr>
            </w:pPr>
            <w:r>
              <w:rPr>
                <w:rFonts w:ascii="Times New Roman" w:hAnsi="Times New Roman"/>
                <w:szCs w:val="20"/>
              </w:rPr>
              <w:t>0.0137t/a</w:t>
            </w:r>
          </w:p>
        </w:tc>
        <w:tc>
          <w:tcPr>
            <w:tcW w:w="2586" w:type="dxa"/>
            <w:vMerge w:val="continue"/>
            <w:vAlign w:val="center"/>
          </w:tcPr>
          <w:p>
            <w:pPr>
              <w:rPr>
                <w:rFonts w:ascii="Times New Roman" w:hAnsi="Times New Roman"/>
                <w:kern w:val="2"/>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559" w:type="dxa"/>
            <w:vMerge w:val="continue"/>
            <w:vAlign w:val="center"/>
          </w:tcPr>
          <w:p>
            <w:pPr>
              <w:textAlignment w:val="center"/>
              <w:rPr>
                <w:rFonts w:ascii="Times New Roman" w:hAnsi="Times New Roman"/>
                <w:kern w:val="2"/>
              </w:rPr>
            </w:pPr>
          </w:p>
        </w:tc>
        <w:tc>
          <w:tcPr>
            <w:tcW w:w="696" w:type="dxa"/>
            <w:vMerge w:val="continue"/>
            <w:vAlign w:val="center"/>
          </w:tcPr>
          <w:p>
            <w:pPr>
              <w:textAlignment w:val="center"/>
              <w:rPr>
                <w:rFonts w:ascii="Times New Roman" w:hAnsi="Times New Roman"/>
                <w:kern w:val="2"/>
              </w:rPr>
            </w:pPr>
          </w:p>
        </w:tc>
        <w:tc>
          <w:tcPr>
            <w:tcW w:w="1831" w:type="dxa"/>
            <w:gridSpan w:val="2"/>
            <w:vMerge w:val="continue"/>
            <w:vAlign w:val="center"/>
          </w:tcPr>
          <w:p>
            <w:pPr>
              <w:textAlignment w:val="center"/>
              <w:rPr>
                <w:rFonts w:ascii="Times New Roman" w:hAnsi="Times New Roman"/>
                <w:kern w:val="2"/>
              </w:rPr>
            </w:pPr>
          </w:p>
        </w:tc>
        <w:tc>
          <w:tcPr>
            <w:tcW w:w="1261" w:type="dxa"/>
            <w:vAlign w:val="center"/>
          </w:tcPr>
          <w:p>
            <w:pPr>
              <w:jc w:val="center"/>
              <w:rPr>
                <w:rFonts w:ascii="Times New Roman" w:hAnsi="Times New Roman"/>
              </w:rPr>
            </w:pPr>
            <w:r>
              <w:rPr>
                <w:rFonts w:ascii="Times New Roman" w:hAnsi="Times New Roman"/>
              </w:rPr>
              <w:t>SS</w:t>
            </w:r>
          </w:p>
        </w:tc>
        <w:tc>
          <w:tcPr>
            <w:tcW w:w="1035" w:type="dxa"/>
            <w:vAlign w:val="center"/>
          </w:tcPr>
          <w:p>
            <w:pPr>
              <w:jc w:val="center"/>
              <w:rPr>
                <w:rFonts w:ascii="Times New Roman" w:hAnsi="Times New Roman"/>
              </w:rPr>
            </w:pPr>
            <w:r>
              <w:rPr>
                <w:rFonts w:ascii="Times New Roman" w:hAnsi="Times New Roman"/>
                <w:szCs w:val="20"/>
              </w:rPr>
              <w:t>3mg/L</w:t>
            </w:r>
          </w:p>
        </w:tc>
        <w:tc>
          <w:tcPr>
            <w:tcW w:w="1007" w:type="dxa"/>
            <w:vAlign w:val="center"/>
          </w:tcPr>
          <w:p>
            <w:pPr>
              <w:jc w:val="center"/>
              <w:rPr>
                <w:rFonts w:ascii="Times New Roman" w:hAnsi="Times New Roman"/>
              </w:rPr>
            </w:pPr>
            <w:r>
              <w:rPr>
                <w:rFonts w:ascii="Times New Roman" w:hAnsi="Times New Roman"/>
                <w:szCs w:val="20"/>
              </w:rPr>
              <w:t>0.005t/a</w:t>
            </w:r>
          </w:p>
        </w:tc>
        <w:tc>
          <w:tcPr>
            <w:tcW w:w="1169" w:type="dxa"/>
            <w:vAlign w:val="center"/>
          </w:tcPr>
          <w:p>
            <w:pPr>
              <w:jc w:val="center"/>
              <w:rPr>
                <w:rFonts w:ascii="Times New Roman" w:hAnsi="Times New Roman"/>
              </w:rPr>
            </w:pPr>
            <w:r>
              <w:rPr>
                <w:rFonts w:ascii="Times New Roman" w:hAnsi="Times New Roman"/>
                <w:kern w:val="2"/>
                <w:szCs w:val="20"/>
              </w:rPr>
              <w:t>8</w:t>
            </w:r>
            <w:r>
              <w:rPr>
                <w:rFonts w:ascii="Times New Roman" w:hAnsi="Times New Roman"/>
                <w:szCs w:val="20"/>
              </w:rPr>
              <w:t xml:space="preserve"> mg/L</w:t>
            </w:r>
          </w:p>
        </w:tc>
        <w:tc>
          <w:tcPr>
            <w:tcW w:w="1156" w:type="dxa"/>
            <w:vAlign w:val="center"/>
          </w:tcPr>
          <w:p>
            <w:pPr>
              <w:jc w:val="center"/>
              <w:rPr>
                <w:rFonts w:ascii="Times New Roman" w:hAnsi="Times New Roman"/>
              </w:rPr>
            </w:pPr>
            <w:r>
              <w:rPr>
                <w:rFonts w:ascii="Times New Roman" w:hAnsi="Times New Roman"/>
                <w:kern w:val="2"/>
                <w:szCs w:val="20"/>
              </w:rPr>
              <w:t>0.0088</w:t>
            </w:r>
            <w:r>
              <w:rPr>
                <w:rFonts w:ascii="Times New Roman" w:hAnsi="Times New Roman"/>
                <w:szCs w:val="20"/>
              </w:rPr>
              <w:t xml:space="preserve"> t/a</w:t>
            </w:r>
          </w:p>
        </w:tc>
        <w:tc>
          <w:tcPr>
            <w:tcW w:w="1360" w:type="dxa"/>
            <w:vAlign w:val="center"/>
          </w:tcPr>
          <w:p>
            <w:pPr>
              <w:jc w:val="center"/>
              <w:rPr>
                <w:rFonts w:ascii="Times New Roman" w:hAnsi="Times New Roman"/>
              </w:rPr>
            </w:pPr>
            <w:r>
              <w:rPr>
                <w:rFonts w:ascii="Times New Roman" w:hAnsi="Times New Roman"/>
                <w:szCs w:val="20"/>
              </w:rPr>
              <w:t>12mg/L</w:t>
            </w:r>
          </w:p>
        </w:tc>
        <w:tc>
          <w:tcPr>
            <w:tcW w:w="1247" w:type="dxa"/>
            <w:vAlign w:val="center"/>
          </w:tcPr>
          <w:p>
            <w:pPr>
              <w:jc w:val="center"/>
              <w:rPr>
                <w:rFonts w:ascii="Times New Roman" w:hAnsi="Times New Roman"/>
              </w:rPr>
            </w:pPr>
            <w:r>
              <w:rPr>
                <w:rFonts w:ascii="Times New Roman" w:hAnsi="Times New Roman"/>
                <w:szCs w:val="20"/>
              </w:rPr>
              <w:t>0.0138t/a</w:t>
            </w:r>
          </w:p>
        </w:tc>
        <w:tc>
          <w:tcPr>
            <w:tcW w:w="2586" w:type="dxa"/>
            <w:vMerge w:val="continue"/>
            <w:vAlign w:val="center"/>
          </w:tcPr>
          <w:p>
            <w:pPr>
              <w:rPr>
                <w:rFonts w:ascii="Times New Roman" w:hAnsi="Times New Roman"/>
                <w:kern w:val="2"/>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559" w:type="dxa"/>
            <w:vMerge w:val="continue"/>
            <w:vAlign w:val="center"/>
          </w:tcPr>
          <w:p>
            <w:pPr>
              <w:textAlignment w:val="center"/>
              <w:rPr>
                <w:rFonts w:ascii="Times New Roman" w:hAnsi="Times New Roman"/>
                <w:kern w:val="2"/>
              </w:rPr>
            </w:pPr>
          </w:p>
        </w:tc>
        <w:tc>
          <w:tcPr>
            <w:tcW w:w="696" w:type="dxa"/>
            <w:vMerge w:val="continue"/>
            <w:vAlign w:val="center"/>
          </w:tcPr>
          <w:p>
            <w:pPr>
              <w:textAlignment w:val="center"/>
              <w:rPr>
                <w:rFonts w:ascii="Times New Roman" w:hAnsi="Times New Roman"/>
                <w:kern w:val="2"/>
              </w:rPr>
            </w:pPr>
          </w:p>
        </w:tc>
        <w:tc>
          <w:tcPr>
            <w:tcW w:w="1831" w:type="dxa"/>
            <w:gridSpan w:val="2"/>
            <w:vMerge w:val="continue"/>
            <w:vAlign w:val="center"/>
          </w:tcPr>
          <w:p>
            <w:pPr>
              <w:textAlignment w:val="center"/>
              <w:rPr>
                <w:rFonts w:ascii="Times New Roman" w:hAnsi="Times New Roman"/>
                <w:kern w:val="2"/>
              </w:rPr>
            </w:pPr>
          </w:p>
        </w:tc>
        <w:tc>
          <w:tcPr>
            <w:tcW w:w="1261" w:type="dxa"/>
            <w:vAlign w:val="center"/>
          </w:tcPr>
          <w:p>
            <w:pPr>
              <w:jc w:val="center"/>
              <w:rPr>
                <w:rFonts w:ascii="Times New Roman" w:hAnsi="Times New Roman"/>
              </w:rPr>
            </w:pPr>
            <w:r>
              <w:rPr>
                <w:rFonts w:ascii="Times New Roman" w:hAnsi="Times New Roman"/>
              </w:rPr>
              <w:t>NH</w:t>
            </w:r>
            <w:r>
              <w:rPr>
                <w:rFonts w:ascii="Times New Roman" w:hAnsi="Times New Roman"/>
                <w:vertAlign w:val="subscript"/>
              </w:rPr>
              <w:t>3</w:t>
            </w:r>
            <w:r>
              <w:rPr>
                <w:rFonts w:ascii="Times New Roman" w:hAnsi="Times New Roman"/>
              </w:rPr>
              <w:t>-N</w:t>
            </w:r>
          </w:p>
        </w:tc>
        <w:tc>
          <w:tcPr>
            <w:tcW w:w="1035" w:type="dxa"/>
            <w:vAlign w:val="center"/>
          </w:tcPr>
          <w:p>
            <w:pPr>
              <w:jc w:val="center"/>
              <w:rPr>
                <w:rFonts w:ascii="Times New Roman" w:hAnsi="Times New Roman"/>
              </w:rPr>
            </w:pPr>
            <w:r>
              <w:rPr>
                <w:rFonts w:ascii="Times New Roman" w:hAnsi="Times New Roman"/>
              </w:rPr>
              <w:t>7.1</w:t>
            </w:r>
            <w:r>
              <w:rPr>
                <w:rFonts w:ascii="Times New Roman" w:hAnsi="Times New Roman"/>
                <w:szCs w:val="20"/>
              </w:rPr>
              <w:t>mg/L</w:t>
            </w:r>
          </w:p>
        </w:tc>
        <w:tc>
          <w:tcPr>
            <w:tcW w:w="1007" w:type="dxa"/>
            <w:vAlign w:val="center"/>
          </w:tcPr>
          <w:p>
            <w:pPr>
              <w:jc w:val="center"/>
              <w:rPr>
                <w:rFonts w:ascii="Times New Roman" w:hAnsi="Times New Roman"/>
              </w:rPr>
            </w:pPr>
            <w:r>
              <w:rPr>
                <w:rFonts w:ascii="Times New Roman" w:hAnsi="Times New Roman"/>
                <w:szCs w:val="20"/>
              </w:rPr>
              <w:t>0.011t/a</w:t>
            </w:r>
          </w:p>
        </w:tc>
        <w:tc>
          <w:tcPr>
            <w:tcW w:w="1169" w:type="dxa"/>
            <w:vAlign w:val="center"/>
          </w:tcPr>
          <w:p>
            <w:pPr>
              <w:jc w:val="center"/>
              <w:rPr>
                <w:rFonts w:ascii="Times New Roman" w:hAnsi="Times New Roman"/>
              </w:rPr>
            </w:pPr>
            <w:r>
              <w:rPr>
                <w:rFonts w:ascii="Times New Roman" w:hAnsi="Times New Roman"/>
                <w:kern w:val="2"/>
                <w:szCs w:val="20"/>
              </w:rPr>
              <w:t>3</w:t>
            </w:r>
            <w:r>
              <w:rPr>
                <w:rFonts w:ascii="Times New Roman" w:hAnsi="Times New Roman"/>
                <w:szCs w:val="20"/>
              </w:rPr>
              <w:t xml:space="preserve"> mg/L</w:t>
            </w:r>
          </w:p>
        </w:tc>
        <w:tc>
          <w:tcPr>
            <w:tcW w:w="1156" w:type="dxa"/>
            <w:vAlign w:val="center"/>
          </w:tcPr>
          <w:p>
            <w:pPr>
              <w:jc w:val="center"/>
              <w:rPr>
                <w:rFonts w:ascii="Times New Roman" w:hAnsi="Times New Roman"/>
              </w:rPr>
            </w:pPr>
            <w:r>
              <w:rPr>
                <w:rFonts w:ascii="Times New Roman" w:hAnsi="Times New Roman"/>
                <w:kern w:val="2"/>
                <w:szCs w:val="20"/>
              </w:rPr>
              <w:t>0.0033</w:t>
            </w:r>
            <w:r>
              <w:rPr>
                <w:rFonts w:ascii="Times New Roman" w:hAnsi="Times New Roman"/>
                <w:szCs w:val="20"/>
              </w:rPr>
              <w:t xml:space="preserve"> t/a</w:t>
            </w:r>
          </w:p>
        </w:tc>
        <w:tc>
          <w:tcPr>
            <w:tcW w:w="1360" w:type="dxa"/>
            <w:vAlign w:val="center"/>
          </w:tcPr>
          <w:p>
            <w:pPr>
              <w:jc w:val="center"/>
              <w:rPr>
                <w:rFonts w:ascii="Times New Roman" w:hAnsi="Times New Roman"/>
              </w:rPr>
            </w:pPr>
            <w:r>
              <w:rPr>
                <w:rFonts w:ascii="Times New Roman" w:hAnsi="Times New Roman"/>
                <w:kern w:val="2"/>
                <w:szCs w:val="20"/>
              </w:rPr>
              <w:t>10.1</w:t>
            </w:r>
            <w:r>
              <w:rPr>
                <w:rFonts w:ascii="Times New Roman" w:hAnsi="Times New Roman"/>
                <w:szCs w:val="20"/>
              </w:rPr>
              <w:t>mg/L</w:t>
            </w:r>
          </w:p>
        </w:tc>
        <w:tc>
          <w:tcPr>
            <w:tcW w:w="1247" w:type="dxa"/>
            <w:vAlign w:val="center"/>
          </w:tcPr>
          <w:p>
            <w:pPr>
              <w:jc w:val="center"/>
              <w:rPr>
                <w:rFonts w:ascii="Times New Roman" w:hAnsi="Times New Roman"/>
              </w:rPr>
            </w:pPr>
            <w:r>
              <w:rPr>
                <w:rFonts w:ascii="Times New Roman" w:hAnsi="Times New Roman"/>
                <w:szCs w:val="20"/>
              </w:rPr>
              <w:t>0.0143t/a</w:t>
            </w:r>
          </w:p>
        </w:tc>
        <w:tc>
          <w:tcPr>
            <w:tcW w:w="2586" w:type="dxa"/>
            <w:vMerge w:val="continue"/>
            <w:vAlign w:val="center"/>
          </w:tcPr>
          <w:p>
            <w:pPr>
              <w:rPr>
                <w:rFonts w:ascii="Times New Roman" w:hAnsi="Times New Roman"/>
                <w:kern w:val="2"/>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559" w:type="dxa"/>
            <w:vMerge w:val="continue"/>
            <w:vAlign w:val="center"/>
          </w:tcPr>
          <w:p>
            <w:pPr>
              <w:spacing w:line="280" w:lineRule="exact"/>
              <w:rPr>
                <w:rFonts w:ascii="Times New Roman" w:hAnsi="Times New Roman"/>
              </w:rPr>
            </w:pPr>
          </w:p>
        </w:tc>
        <w:tc>
          <w:tcPr>
            <w:tcW w:w="696" w:type="dxa"/>
            <w:vMerge w:val="restart"/>
            <w:vAlign w:val="center"/>
          </w:tcPr>
          <w:p>
            <w:pPr>
              <w:spacing w:line="280" w:lineRule="exact"/>
              <w:rPr>
                <w:rFonts w:ascii="Times New Roman" w:hAnsi="Times New Roman"/>
                <w:bCs/>
                <w:kern w:val="2"/>
              </w:rPr>
            </w:pPr>
            <w:r>
              <w:rPr>
                <w:rFonts w:ascii="Times New Roman" w:hAnsi="Times New Roman"/>
              </w:rPr>
              <w:t>废气</w:t>
            </w:r>
          </w:p>
        </w:tc>
        <w:tc>
          <w:tcPr>
            <w:tcW w:w="1092" w:type="dxa"/>
            <w:vMerge w:val="restart"/>
            <w:vAlign w:val="center"/>
          </w:tcPr>
          <w:p>
            <w:pPr>
              <w:spacing w:line="280" w:lineRule="exact"/>
              <w:rPr>
                <w:rFonts w:ascii="Times New Roman" w:hAnsi="Times New Roman"/>
                <w:bCs/>
                <w:kern w:val="2"/>
              </w:rPr>
            </w:pPr>
            <w:r>
              <w:rPr>
                <w:rFonts w:ascii="Times New Roman" w:hAnsi="Times New Roman"/>
                <w:bCs/>
                <w:kern w:val="2"/>
              </w:rPr>
              <w:t>灭菌系统</w:t>
            </w:r>
          </w:p>
        </w:tc>
        <w:tc>
          <w:tcPr>
            <w:tcW w:w="739" w:type="dxa"/>
            <w:vMerge w:val="restart"/>
            <w:vAlign w:val="center"/>
          </w:tcPr>
          <w:p>
            <w:pPr>
              <w:textAlignment w:val="center"/>
              <w:rPr>
                <w:rFonts w:ascii="Times New Roman" w:hAnsi="Times New Roman"/>
                <w:kern w:val="2"/>
              </w:rPr>
            </w:pPr>
            <w:r>
              <w:rPr>
                <w:rFonts w:ascii="Times New Roman" w:hAnsi="Times New Roman"/>
                <w:kern w:val="2"/>
              </w:rPr>
              <w:t>有组织</w:t>
            </w:r>
          </w:p>
        </w:tc>
        <w:tc>
          <w:tcPr>
            <w:tcW w:w="1261" w:type="dxa"/>
            <w:vAlign w:val="center"/>
          </w:tcPr>
          <w:p>
            <w:pPr>
              <w:jc w:val="center"/>
              <w:rPr>
                <w:rFonts w:ascii="Times New Roman" w:hAnsi="Times New Roman"/>
                <w:bCs/>
                <w:kern w:val="2"/>
              </w:rPr>
            </w:pPr>
            <w:r>
              <w:rPr>
                <w:rFonts w:ascii="Times New Roman" w:hAnsi="Times New Roman"/>
                <w:bCs/>
              </w:rPr>
              <w:t>NH</w:t>
            </w:r>
            <w:r>
              <w:rPr>
                <w:rFonts w:ascii="Times New Roman" w:hAnsi="Times New Roman"/>
                <w:bCs/>
                <w:vertAlign w:val="subscript"/>
              </w:rPr>
              <w:t>3</w:t>
            </w:r>
          </w:p>
        </w:tc>
        <w:tc>
          <w:tcPr>
            <w:tcW w:w="1035" w:type="dxa"/>
            <w:vAlign w:val="center"/>
          </w:tcPr>
          <w:p>
            <w:pPr>
              <w:jc w:val="center"/>
              <w:rPr>
                <w:rFonts w:ascii="Times New Roman" w:hAnsi="Times New Roman"/>
                <w:bCs/>
              </w:rPr>
            </w:pPr>
            <w:r>
              <w:rPr>
                <w:rFonts w:ascii="Times New Roman" w:hAnsi="Times New Roman"/>
                <w:bCs/>
              </w:rPr>
              <w:t>0.3</w:t>
            </w:r>
            <w:r>
              <w:rPr>
                <w:rFonts w:ascii="Times New Roman" w:hAnsi="Times New Roman"/>
              </w:rPr>
              <w:t xml:space="preserve"> mg/m</w:t>
            </w:r>
            <w:r>
              <w:rPr>
                <w:rFonts w:ascii="Times New Roman" w:hAnsi="Times New Roman"/>
                <w:vertAlign w:val="superscript"/>
              </w:rPr>
              <w:t>3</w:t>
            </w:r>
          </w:p>
        </w:tc>
        <w:tc>
          <w:tcPr>
            <w:tcW w:w="1007" w:type="dxa"/>
            <w:vAlign w:val="center"/>
          </w:tcPr>
          <w:p>
            <w:pPr>
              <w:jc w:val="center"/>
              <w:rPr>
                <w:rFonts w:ascii="Times New Roman" w:hAnsi="Times New Roman"/>
                <w:bCs/>
              </w:rPr>
            </w:pPr>
            <w:r>
              <w:rPr>
                <w:rFonts w:ascii="Times New Roman" w:hAnsi="Times New Roman"/>
                <w:bCs/>
              </w:rPr>
              <w:t>0.00219</w:t>
            </w:r>
            <w:r>
              <w:rPr>
                <w:rFonts w:ascii="Times New Roman" w:hAnsi="Times New Roman"/>
              </w:rPr>
              <w:t xml:space="preserve"> t/a</w:t>
            </w:r>
          </w:p>
        </w:tc>
        <w:tc>
          <w:tcPr>
            <w:tcW w:w="1169" w:type="dxa"/>
            <w:vAlign w:val="center"/>
          </w:tcPr>
          <w:p>
            <w:pPr>
              <w:jc w:val="center"/>
              <w:rPr>
                <w:rFonts w:ascii="Times New Roman" w:hAnsi="Times New Roman"/>
              </w:rPr>
            </w:pPr>
            <w:r>
              <w:rPr>
                <w:rFonts w:ascii="Times New Roman" w:hAnsi="Times New Roman"/>
              </w:rPr>
              <w:t>6.84mg/m</w:t>
            </w:r>
            <w:r>
              <w:rPr>
                <w:rFonts w:ascii="Times New Roman" w:hAnsi="Times New Roman"/>
                <w:vertAlign w:val="superscript"/>
              </w:rPr>
              <w:t>3</w:t>
            </w:r>
          </w:p>
        </w:tc>
        <w:tc>
          <w:tcPr>
            <w:tcW w:w="1156" w:type="dxa"/>
            <w:vAlign w:val="center"/>
          </w:tcPr>
          <w:p>
            <w:pPr>
              <w:jc w:val="center"/>
              <w:rPr>
                <w:rFonts w:ascii="Times New Roman" w:hAnsi="Times New Roman"/>
              </w:rPr>
            </w:pPr>
            <w:r>
              <w:rPr>
                <w:rFonts w:ascii="Times New Roman" w:hAnsi="Times New Roman"/>
              </w:rPr>
              <w:t>0.3t/a</w:t>
            </w:r>
          </w:p>
        </w:tc>
        <w:tc>
          <w:tcPr>
            <w:tcW w:w="1360" w:type="dxa"/>
            <w:vAlign w:val="center"/>
          </w:tcPr>
          <w:p>
            <w:pPr>
              <w:jc w:val="center"/>
              <w:rPr>
                <w:rFonts w:ascii="Times New Roman" w:hAnsi="Times New Roman"/>
                <w:bCs/>
                <w:kern w:val="2"/>
              </w:rPr>
            </w:pPr>
            <w:r>
              <w:rPr>
                <w:rFonts w:ascii="Times New Roman" w:hAnsi="Times New Roman"/>
              </w:rPr>
              <w:t>7.15mg/m</w:t>
            </w:r>
            <w:r>
              <w:rPr>
                <w:rFonts w:ascii="Times New Roman" w:hAnsi="Times New Roman"/>
                <w:vertAlign w:val="superscript"/>
              </w:rPr>
              <w:t>3</w:t>
            </w:r>
          </w:p>
        </w:tc>
        <w:tc>
          <w:tcPr>
            <w:tcW w:w="1247" w:type="dxa"/>
            <w:vAlign w:val="center"/>
          </w:tcPr>
          <w:p>
            <w:pPr>
              <w:jc w:val="center"/>
              <w:rPr>
                <w:rFonts w:ascii="Times New Roman" w:hAnsi="Times New Roman"/>
                <w:bCs/>
                <w:kern w:val="2"/>
              </w:rPr>
            </w:pPr>
            <w:r>
              <w:rPr>
                <w:rFonts w:ascii="Times New Roman" w:hAnsi="Times New Roman"/>
              </w:rPr>
              <w:t>0.3022t/a</w:t>
            </w:r>
          </w:p>
        </w:tc>
        <w:tc>
          <w:tcPr>
            <w:tcW w:w="2586" w:type="dxa"/>
            <w:vMerge w:val="restart"/>
            <w:vAlign w:val="center"/>
          </w:tcPr>
          <w:p>
            <w:pPr>
              <w:spacing w:line="280" w:lineRule="exact"/>
              <w:rPr>
                <w:rFonts w:ascii="Times New Roman" w:hAnsi="Times New Roman"/>
                <w:bCs/>
                <w:kern w:val="2"/>
              </w:rPr>
            </w:pPr>
            <w:r>
              <w:rPr>
                <w:rFonts w:ascii="Times New Roman" w:hAnsi="Times New Roman"/>
                <w:bCs/>
                <w:kern w:val="2"/>
              </w:rPr>
              <w:t>原有：除臭塔+15m排气筒；</w:t>
            </w:r>
          </w:p>
          <w:p>
            <w:pPr>
              <w:spacing w:line="280" w:lineRule="exact"/>
              <w:rPr>
                <w:rFonts w:ascii="Times New Roman" w:hAnsi="Times New Roman"/>
              </w:rPr>
            </w:pPr>
            <w:r>
              <w:rPr>
                <w:rFonts w:ascii="Times New Roman" w:hAnsi="Times New Roman"/>
                <w:bCs/>
                <w:kern w:val="2"/>
              </w:rPr>
              <w:t>改扩建：粉尘阻拦干燥器+低温等离子废气净化器+15m排气筒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559" w:type="dxa"/>
            <w:vMerge w:val="continue"/>
            <w:vAlign w:val="center"/>
          </w:tcPr>
          <w:p>
            <w:pPr>
              <w:spacing w:line="280" w:lineRule="exact"/>
              <w:rPr>
                <w:rFonts w:ascii="Times New Roman" w:hAnsi="Times New Roman"/>
                <w:bCs/>
                <w:kern w:val="2"/>
              </w:rPr>
            </w:pPr>
          </w:p>
        </w:tc>
        <w:tc>
          <w:tcPr>
            <w:tcW w:w="696" w:type="dxa"/>
            <w:vMerge w:val="continue"/>
            <w:vAlign w:val="center"/>
          </w:tcPr>
          <w:p>
            <w:pPr>
              <w:spacing w:line="280" w:lineRule="exact"/>
              <w:rPr>
                <w:rFonts w:ascii="Times New Roman" w:hAnsi="Times New Roman"/>
                <w:bCs/>
                <w:kern w:val="2"/>
              </w:rPr>
            </w:pPr>
          </w:p>
        </w:tc>
        <w:tc>
          <w:tcPr>
            <w:tcW w:w="1092" w:type="dxa"/>
            <w:vMerge w:val="continue"/>
            <w:vAlign w:val="center"/>
          </w:tcPr>
          <w:p>
            <w:pPr>
              <w:spacing w:line="280" w:lineRule="exact"/>
              <w:rPr>
                <w:rFonts w:ascii="Times New Roman" w:hAnsi="Times New Roman"/>
                <w:bCs/>
                <w:kern w:val="2"/>
              </w:rPr>
            </w:pPr>
          </w:p>
        </w:tc>
        <w:tc>
          <w:tcPr>
            <w:tcW w:w="739" w:type="dxa"/>
            <w:vMerge w:val="continue"/>
            <w:vAlign w:val="center"/>
          </w:tcPr>
          <w:p>
            <w:pPr>
              <w:rPr>
                <w:rFonts w:ascii="Times New Roman" w:hAnsi="Times New Roman"/>
                <w:bCs/>
                <w:kern w:val="2"/>
              </w:rPr>
            </w:pPr>
          </w:p>
        </w:tc>
        <w:tc>
          <w:tcPr>
            <w:tcW w:w="1261" w:type="dxa"/>
            <w:vAlign w:val="center"/>
          </w:tcPr>
          <w:p>
            <w:pPr>
              <w:jc w:val="center"/>
              <w:rPr>
                <w:rFonts w:ascii="Times New Roman" w:hAnsi="Times New Roman"/>
                <w:bCs/>
                <w:kern w:val="2"/>
              </w:rPr>
            </w:pPr>
            <w:r>
              <w:rPr>
                <w:rFonts w:ascii="Times New Roman" w:hAnsi="Times New Roman"/>
                <w:bCs/>
              </w:rPr>
              <w:t>H</w:t>
            </w:r>
            <w:r>
              <w:rPr>
                <w:rFonts w:ascii="Times New Roman" w:hAnsi="Times New Roman"/>
                <w:bCs/>
                <w:vertAlign w:val="subscript"/>
              </w:rPr>
              <w:t>2</w:t>
            </w:r>
            <w:r>
              <w:rPr>
                <w:rFonts w:ascii="Times New Roman" w:hAnsi="Times New Roman"/>
                <w:bCs/>
              </w:rPr>
              <w:t>S</w:t>
            </w:r>
          </w:p>
        </w:tc>
        <w:tc>
          <w:tcPr>
            <w:tcW w:w="1035" w:type="dxa"/>
            <w:vAlign w:val="center"/>
          </w:tcPr>
          <w:p>
            <w:pPr>
              <w:jc w:val="center"/>
              <w:rPr>
                <w:rFonts w:ascii="Times New Roman" w:hAnsi="Times New Roman"/>
                <w:bCs/>
              </w:rPr>
            </w:pPr>
            <w:r>
              <w:rPr>
                <w:rFonts w:ascii="Times New Roman" w:hAnsi="Times New Roman"/>
                <w:bCs/>
              </w:rPr>
              <w:t>0.021</w:t>
            </w:r>
            <w:r>
              <w:rPr>
                <w:rFonts w:ascii="Times New Roman" w:hAnsi="Times New Roman"/>
              </w:rPr>
              <w:t xml:space="preserve"> mg/m</w:t>
            </w:r>
            <w:r>
              <w:rPr>
                <w:rFonts w:ascii="Times New Roman" w:hAnsi="Times New Roman"/>
                <w:vertAlign w:val="superscript"/>
              </w:rPr>
              <w:t>3</w:t>
            </w:r>
          </w:p>
        </w:tc>
        <w:tc>
          <w:tcPr>
            <w:tcW w:w="1007" w:type="dxa"/>
            <w:vAlign w:val="center"/>
          </w:tcPr>
          <w:p>
            <w:pPr>
              <w:jc w:val="center"/>
              <w:rPr>
                <w:rFonts w:ascii="Times New Roman" w:hAnsi="Times New Roman"/>
                <w:bCs/>
              </w:rPr>
            </w:pPr>
            <w:r>
              <w:rPr>
                <w:rFonts w:ascii="Times New Roman" w:hAnsi="Times New Roman"/>
                <w:bCs/>
              </w:rPr>
              <w:t>0.00016</w:t>
            </w:r>
            <w:r>
              <w:rPr>
                <w:rFonts w:ascii="Times New Roman" w:hAnsi="Times New Roman"/>
              </w:rPr>
              <w:t xml:space="preserve"> t/a</w:t>
            </w:r>
          </w:p>
        </w:tc>
        <w:tc>
          <w:tcPr>
            <w:tcW w:w="1169" w:type="dxa"/>
            <w:vAlign w:val="center"/>
          </w:tcPr>
          <w:p>
            <w:pPr>
              <w:jc w:val="center"/>
              <w:rPr>
                <w:rFonts w:ascii="Times New Roman" w:hAnsi="Times New Roman"/>
              </w:rPr>
            </w:pPr>
            <w:r>
              <w:rPr>
                <w:rFonts w:ascii="Times New Roman" w:hAnsi="Times New Roman"/>
              </w:rPr>
              <w:t>0.74mg/m</w:t>
            </w:r>
            <w:r>
              <w:rPr>
                <w:rFonts w:ascii="Times New Roman" w:hAnsi="Times New Roman"/>
                <w:vertAlign w:val="superscript"/>
              </w:rPr>
              <w:t>3</w:t>
            </w:r>
          </w:p>
        </w:tc>
        <w:tc>
          <w:tcPr>
            <w:tcW w:w="1156" w:type="dxa"/>
            <w:vAlign w:val="center"/>
          </w:tcPr>
          <w:p>
            <w:pPr>
              <w:jc w:val="center"/>
              <w:rPr>
                <w:rFonts w:ascii="Times New Roman" w:hAnsi="Times New Roman"/>
              </w:rPr>
            </w:pPr>
            <w:r>
              <w:rPr>
                <w:rFonts w:ascii="Times New Roman" w:hAnsi="Times New Roman"/>
              </w:rPr>
              <w:t>0.0341t/a</w:t>
            </w:r>
          </w:p>
        </w:tc>
        <w:tc>
          <w:tcPr>
            <w:tcW w:w="1360" w:type="dxa"/>
            <w:vAlign w:val="center"/>
          </w:tcPr>
          <w:p>
            <w:pPr>
              <w:jc w:val="center"/>
              <w:rPr>
                <w:rFonts w:ascii="Times New Roman" w:hAnsi="Times New Roman"/>
              </w:rPr>
            </w:pPr>
            <w:r>
              <w:rPr>
                <w:rFonts w:ascii="Times New Roman" w:hAnsi="Times New Roman"/>
              </w:rPr>
              <w:t>0.071mg/m</w:t>
            </w:r>
            <w:r>
              <w:rPr>
                <w:rFonts w:ascii="Times New Roman" w:hAnsi="Times New Roman"/>
                <w:vertAlign w:val="superscript"/>
              </w:rPr>
              <w:t>3</w:t>
            </w:r>
          </w:p>
        </w:tc>
        <w:tc>
          <w:tcPr>
            <w:tcW w:w="1247" w:type="dxa"/>
            <w:vAlign w:val="center"/>
          </w:tcPr>
          <w:p>
            <w:pPr>
              <w:jc w:val="center"/>
              <w:rPr>
                <w:rFonts w:ascii="Times New Roman" w:hAnsi="Times New Roman"/>
              </w:rPr>
            </w:pPr>
            <w:r>
              <w:rPr>
                <w:rFonts w:ascii="Times New Roman" w:hAnsi="Times New Roman"/>
              </w:rPr>
              <w:t>0.03426t/a</w:t>
            </w:r>
          </w:p>
        </w:tc>
        <w:tc>
          <w:tcPr>
            <w:tcW w:w="2586" w:type="dxa"/>
            <w:vMerge w:val="continue"/>
            <w:vAlign w:val="center"/>
          </w:tcPr>
          <w:p>
            <w:pPr>
              <w:rPr>
                <w:rFonts w:ascii="Times New Roman" w:hAnsi="Times New Roman"/>
                <w:kern w:val="2"/>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559" w:type="dxa"/>
            <w:vMerge w:val="continue"/>
            <w:vAlign w:val="center"/>
          </w:tcPr>
          <w:p>
            <w:pPr>
              <w:spacing w:line="280" w:lineRule="exact"/>
              <w:rPr>
                <w:rFonts w:ascii="Times New Roman" w:hAnsi="Times New Roman"/>
                <w:bCs/>
                <w:kern w:val="2"/>
              </w:rPr>
            </w:pPr>
          </w:p>
        </w:tc>
        <w:tc>
          <w:tcPr>
            <w:tcW w:w="696" w:type="dxa"/>
            <w:vMerge w:val="continue"/>
            <w:vAlign w:val="center"/>
          </w:tcPr>
          <w:p>
            <w:pPr>
              <w:spacing w:line="280" w:lineRule="exact"/>
              <w:rPr>
                <w:rFonts w:ascii="Times New Roman" w:hAnsi="Times New Roman"/>
                <w:bCs/>
                <w:kern w:val="2"/>
              </w:rPr>
            </w:pPr>
          </w:p>
        </w:tc>
        <w:tc>
          <w:tcPr>
            <w:tcW w:w="1092" w:type="dxa"/>
            <w:vMerge w:val="continue"/>
            <w:vAlign w:val="center"/>
          </w:tcPr>
          <w:p>
            <w:pPr>
              <w:spacing w:line="280" w:lineRule="exact"/>
              <w:rPr>
                <w:rFonts w:ascii="Times New Roman" w:hAnsi="Times New Roman"/>
                <w:bCs/>
                <w:kern w:val="2"/>
              </w:rPr>
            </w:pPr>
          </w:p>
        </w:tc>
        <w:tc>
          <w:tcPr>
            <w:tcW w:w="739" w:type="dxa"/>
            <w:vMerge w:val="continue"/>
            <w:vAlign w:val="center"/>
          </w:tcPr>
          <w:p>
            <w:pPr>
              <w:rPr>
                <w:rFonts w:ascii="Times New Roman" w:hAnsi="Times New Roman"/>
                <w:bCs/>
                <w:kern w:val="2"/>
              </w:rPr>
            </w:pPr>
          </w:p>
        </w:tc>
        <w:tc>
          <w:tcPr>
            <w:tcW w:w="1261" w:type="dxa"/>
            <w:vAlign w:val="center"/>
          </w:tcPr>
          <w:p>
            <w:pPr>
              <w:jc w:val="center"/>
              <w:rPr>
                <w:rFonts w:ascii="Times New Roman" w:hAnsi="Times New Roman"/>
                <w:bCs/>
                <w:kern w:val="2"/>
              </w:rPr>
            </w:pPr>
            <w:r>
              <w:rPr>
                <w:rFonts w:ascii="Times New Roman" w:hAnsi="Times New Roman"/>
                <w:bCs/>
              </w:rPr>
              <w:t>非甲烷总烃</w:t>
            </w:r>
          </w:p>
        </w:tc>
        <w:tc>
          <w:tcPr>
            <w:tcW w:w="1035" w:type="dxa"/>
            <w:vAlign w:val="center"/>
          </w:tcPr>
          <w:p>
            <w:pPr>
              <w:jc w:val="center"/>
              <w:rPr>
                <w:rFonts w:ascii="Times New Roman" w:hAnsi="Times New Roman"/>
                <w:bCs/>
              </w:rPr>
            </w:pPr>
            <w:r>
              <w:rPr>
                <w:rFonts w:ascii="Times New Roman" w:hAnsi="Times New Roman"/>
                <w:bCs/>
              </w:rPr>
              <w:t>0.07</w:t>
            </w:r>
            <w:r>
              <w:rPr>
                <w:rFonts w:ascii="Times New Roman" w:hAnsi="Times New Roman"/>
              </w:rPr>
              <w:t xml:space="preserve"> mg/m</w:t>
            </w:r>
            <w:r>
              <w:rPr>
                <w:rFonts w:ascii="Times New Roman" w:hAnsi="Times New Roman"/>
                <w:vertAlign w:val="superscript"/>
              </w:rPr>
              <w:t>3</w:t>
            </w:r>
          </w:p>
        </w:tc>
        <w:tc>
          <w:tcPr>
            <w:tcW w:w="1007" w:type="dxa"/>
            <w:vAlign w:val="center"/>
          </w:tcPr>
          <w:p>
            <w:pPr>
              <w:jc w:val="center"/>
              <w:rPr>
                <w:rFonts w:ascii="Times New Roman" w:hAnsi="Times New Roman"/>
                <w:bCs/>
              </w:rPr>
            </w:pPr>
            <w:r>
              <w:rPr>
                <w:rFonts w:ascii="Times New Roman" w:hAnsi="Times New Roman"/>
                <w:bCs/>
              </w:rPr>
              <w:t>0.000529</w:t>
            </w:r>
            <w:r>
              <w:rPr>
                <w:rFonts w:ascii="Times New Roman" w:hAnsi="Times New Roman"/>
              </w:rPr>
              <w:t xml:space="preserve"> t/a</w:t>
            </w:r>
          </w:p>
        </w:tc>
        <w:tc>
          <w:tcPr>
            <w:tcW w:w="1169" w:type="dxa"/>
            <w:vAlign w:val="center"/>
          </w:tcPr>
          <w:p>
            <w:pPr>
              <w:jc w:val="center"/>
              <w:rPr>
                <w:rFonts w:ascii="Times New Roman" w:hAnsi="Times New Roman"/>
              </w:rPr>
            </w:pPr>
            <w:r>
              <w:rPr>
                <w:rFonts w:ascii="Times New Roman" w:hAnsi="Times New Roman"/>
              </w:rPr>
              <w:t>0.074mg/m</w:t>
            </w:r>
            <w:r>
              <w:rPr>
                <w:rFonts w:ascii="Times New Roman" w:hAnsi="Times New Roman"/>
                <w:vertAlign w:val="superscript"/>
              </w:rPr>
              <w:t>3</w:t>
            </w:r>
          </w:p>
        </w:tc>
        <w:tc>
          <w:tcPr>
            <w:tcW w:w="1156" w:type="dxa"/>
            <w:vAlign w:val="center"/>
          </w:tcPr>
          <w:p>
            <w:pPr>
              <w:jc w:val="center"/>
              <w:rPr>
                <w:rFonts w:ascii="Times New Roman" w:hAnsi="Times New Roman"/>
              </w:rPr>
            </w:pPr>
            <w:r>
              <w:rPr>
                <w:rFonts w:ascii="Times New Roman" w:hAnsi="Times New Roman"/>
              </w:rPr>
              <w:t>0.0098t/a</w:t>
            </w:r>
          </w:p>
        </w:tc>
        <w:tc>
          <w:tcPr>
            <w:tcW w:w="1360" w:type="dxa"/>
            <w:vAlign w:val="center"/>
          </w:tcPr>
          <w:p>
            <w:pPr>
              <w:jc w:val="center"/>
              <w:rPr>
                <w:rFonts w:ascii="Times New Roman" w:hAnsi="Times New Roman"/>
              </w:rPr>
            </w:pPr>
            <w:r>
              <w:rPr>
                <w:rFonts w:ascii="Times New Roman" w:hAnsi="Times New Roman"/>
              </w:rPr>
              <w:t>0.144mg/m</w:t>
            </w:r>
            <w:r>
              <w:rPr>
                <w:rFonts w:ascii="Times New Roman" w:hAnsi="Times New Roman"/>
                <w:vertAlign w:val="superscript"/>
              </w:rPr>
              <w:t>3</w:t>
            </w:r>
          </w:p>
        </w:tc>
        <w:tc>
          <w:tcPr>
            <w:tcW w:w="1247" w:type="dxa"/>
            <w:vAlign w:val="center"/>
          </w:tcPr>
          <w:p>
            <w:pPr>
              <w:jc w:val="center"/>
              <w:rPr>
                <w:rFonts w:ascii="Times New Roman" w:hAnsi="Times New Roman"/>
              </w:rPr>
            </w:pPr>
            <w:r>
              <w:rPr>
                <w:rFonts w:ascii="Times New Roman" w:hAnsi="Times New Roman"/>
              </w:rPr>
              <w:t>0.01033t/a</w:t>
            </w:r>
          </w:p>
        </w:tc>
        <w:tc>
          <w:tcPr>
            <w:tcW w:w="2586" w:type="dxa"/>
            <w:vMerge w:val="continue"/>
            <w:vAlign w:val="center"/>
          </w:tcPr>
          <w:p>
            <w:pPr>
              <w:rPr>
                <w:rFonts w:ascii="Times New Roman" w:hAnsi="Times New Roman"/>
                <w:kern w:val="2"/>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559" w:type="dxa"/>
            <w:vMerge w:val="continue"/>
            <w:vAlign w:val="center"/>
          </w:tcPr>
          <w:p>
            <w:pPr>
              <w:spacing w:line="280" w:lineRule="exact"/>
              <w:rPr>
                <w:rFonts w:ascii="Times New Roman" w:hAnsi="Times New Roman"/>
                <w:bCs/>
                <w:kern w:val="2"/>
              </w:rPr>
            </w:pPr>
          </w:p>
        </w:tc>
        <w:tc>
          <w:tcPr>
            <w:tcW w:w="696" w:type="dxa"/>
            <w:vMerge w:val="continue"/>
            <w:vAlign w:val="center"/>
          </w:tcPr>
          <w:p>
            <w:pPr>
              <w:spacing w:line="280" w:lineRule="exact"/>
              <w:rPr>
                <w:rFonts w:ascii="Times New Roman" w:hAnsi="Times New Roman"/>
                <w:bCs/>
                <w:kern w:val="2"/>
              </w:rPr>
            </w:pPr>
          </w:p>
        </w:tc>
        <w:tc>
          <w:tcPr>
            <w:tcW w:w="1092" w:type="dxa"/>
            <w:vMerge w:val="continue"/>
            <w:vAlign w:val="center"/>
          </w:tcPr>
          <w:p>
            <w:pPr>
              <w:spacing w:line="280" w:lineRule="exact"/>
              <w:rPr>
                <w:rFonts w:ascii="Times New Roman" w:hAnsi="Times New Roman"/>
                <w:bCs/>
                <w:kern w:val="2"/>
              </w:rPr>
            </w:pPr>
          </w:p>
        </w:tc>
        <w:tc>
          <w:tcPr>
            <w:tcW w:w="739" w:type="dxa"/>
            <w:vMerge w:val="continue"/>
            <w:vAlign w:val="center"/>
          </w:tcPr>
          <w:p>
            <w:pPr>
              <w:rPr>
                <w:rFonts w:ascii="Times New Roman" w:hAnsi="Times New Roman"/>
                <w:bCs/>
                <w:kern w:val="2"/>
              </w:rPr>
            </w:pPr>
          </w:p>
        </w:tc>
        <w:tc>
          <w:tcPr>
            <w:tcW w:w="1261" w:type="dxa"/>
            <w:vAlign w:val="center"/>
          </w:tcPr>
          <w:p>
            <w:pPr>
              <w:jc w:val="center"/>
              <w:rPr>
                <w:rFonts w:ascii="Times New Roman" w:hAnsi="Times New Roman"/>
                <w:bCs/>
              </w:rPr>
            </w:pPr>
            <w:r>
              <w:rPr>
                <w:rFonts w:ascii="Times New Roman" w:hAnsi="Times New Roman"/>
                <w:bCs/>
              </w:rPr>
              <w:t>颗粒物</w:t>
            </w:r>
          </w:p>
        </w:tc>
        <w:tc>
          <w:tcPr>
            <w:tcW w:w="1035" w:type="dxa"/>
            <w:vAlign w:val="center"/>
          </w:tcPr>
          <w:p>
            <w:pPr>
              <w:jc w:val="center"/>
              <w:rPr>
                <w:rFonts w:ascii="Times New Roman" w:hAnsi="Times New Roman"/>
                <w:bCs/>
              </w:rPr>
            </w:pPr>
            <w:r>
              <w:rPr>
                <w:rFonts w:ascii="Times New Roman" w:hAnsi="Times New Roman"/>
                <w:bCs/>
              </w:rPr>
              <w:t>/</w:t>
            </w:r>
          </w:p>
        </w:tc>
        <w:tc>
          <w:tcPr>
            <w:tcW w:w="1007" w:type="dxa"/>
            <w:vAlign w:val="center"/>
          </w:tcPr>
          <w:p>
            <w:pPr>
              <w:jc w:val="center"/>
              <w:rPr>
                <w:rFonts w:ascii="Times New Roman" w:hAnsi="Times New Roman"/>
                <w:bCs/>
              </w:rPr>
            </w:pPr>
            <w:r>
              <w:rPr>
                <w:rFonts w:ascii="Times New Roman" w:hAnsi="Times New Roman"/>
                <w:bCs/>
              </w:rPr>
              <w:t>/</w:t>
            </w:r>
          </w:p>
        </w:tc>
        <w:tc>
          <w:tcPr>
            <w:tcW w:w="1169" w:type="dxa"/>
            <w:vAlign w:val="center"/>
          </w:tcPr>
          <w:p>
            <w:pPr>
              <w:jc w:val="center"/>
              <w:rPr>
                <w:rFonts w:ascii="Times New Roman" w:hAnsi="Times New Roman"/>
              </w:rPr>
            </w:pPr>
            <w:r>
              <w:rPr>
                <w:rFonts w:ascii="Times New Roman" w:hAnsi="Times New Roman"/>
              </w:rPr>
              <w:t>33.26mg/m</w:t>
            </w:r>
            <w:r>
              <w:rPr>
                <w:rFonts w:ascii="Times New Roman" w:hAnsi="Times New Roman"/>
                <w:vertAlign w:val="superscript"/>
              </w:rPr>
              <w:t>3</w:t>
            </w:r>
          </w:p>
        </w:tc>
        <w:tc>
          <w:tcPr>
            <w:tcW w:w="1156" w:type="dxa"/>
            <w:vAlign w:val="center"/>
          </w:tcPr>
          <w:p>
            <w:pPr>
              <w:jc w:val="center"/>
              <w:rPr>
                <w:rFonts w:ascii="Times New Roman" w:hAnsi="Times New Roman"/>
              </w:rPr>
            </w:pPr>
            <w:r>
              <w:rPr>
                <w:rFonts w:hint="eastAsia" w:ascii="Times New Roman" w:hAnsi="Times New Roman"/>
              </w:rPr>
              <w:t>0</w:t>
            </w:r>
            <w:r>
              <w:rPr>
                <w:rFonts w:ascii="Times New Roman" w:hAnsi="Times New Roman"/>
              </w:rPr>
              <w:t>.3053 t/a</w:t>
            </w:r>
          </w:p>
        </w:tc>
        <w:tc>
          <w:tcPr>
            <w:tcW w:w="1360" w:type="dxa"/>
            <w:vAlign w:val="center"/>
          </w:tcPr>
          <w:p>
            <w:pPr>
              <w:jc w:val="center"/>
              <w:rPr>
                <w:rFonts w:ascii="Times New Roman" w:hAnsi="Times New Roman"/>
              </w:rPr>
            </w:pPr>
            <w:r>
              <w:rPr>
                <w:rFonts w:ascii="Times New Roman" w:hAnsi="Times New Roman"/>
              </w:rPr>
              <w:t>33.26mg/m</w:t>
            </w:r>
            <w:r>
              <w:rPr>
                <w:rFonts w:ascii="Times New Roman" w:hAnsi="Times New Roman"/>
                <w:vertAlign w:val="superscript"/>
              </w:rPr>
              <w:t>3</w:t>
            </w:r>
          </w:p>
        </w:tc>
        <w:tc>
          <w:tcPr>
            <w:tcW w:w="1247" w:type="dxa"/>
            <w:vAlign w:val="center"/>
          </w:tcPr>
          <w:p>
            <w:pPr>
              <w:jc w:val="center"/>
              <w:rPr>
                <w:rFonts w:ascii="Times New Roman" w:hAnsi="Times New Roman"/>
              </w:rPr>
            </w:pPr>
            <w:r>
              <w:rPr>
                <w:rFonts w:hint="eastAsia" w:ascii="Times New Roman" w:hAnsi="Times New Roman"/>
              </w:rPr>
              <w:t>0</w:t>
            </w:r>
            <w:r>
              <w:rPr>
                <w:rFonts w:ascii="Times New Roman" w:hAnsi="Times New Roman"/>
              </w:rPr>
              <w:t>.3053 t/a</w:t>
            </w:r>
          </w:p>
        </w:tc>
        <w:tc>
          <w:tcPr>
            <w:tcW w:w="2586" w:type="dxa"/>
            <w:vMerge w:val="continue"/>
            <w:vAlign w:val="center"/>
          </w:tcPr>
          <w:p>
            <w:pPr>
              <w:rPr>
                <w:rFonts w:ascii="Times New Roman" w:hAnsi="Times New Roman"/>
                <w:kern w:val="2"/>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559" w:type="dxa"/>
            <w:vMerge w:val="continue"/>
            <w:vAlign w:val="center"/>
          </w:tcPr>
          <w:p>
            <w:pPr>
              <w:spacing w:line="280" w:lineRule="exact"/>
              <w:rPr>
                <w:rFonts w:ascii="Times New Roman" w:hAnsi="Times New Roman"/>
                <w:bCs/>
                <w:kern w:val="2"/>
              </w:rPr>
            </w:pPr>
          </w:p>
        </w:tc>
        <w:tc>
          <w:tcPr>
            <w:tcW w:w="696" w:type="dxa"/>
            <w:vMerge w:val="continue"/>
            <w:vAlign w:val="center"/>
          </w:tcPr>
          <w:p>
            <w:pPr>
              <w:spacing w:line="280" w:lineRule="exact"/>
              <w:rPr>
                <w:rFonts w:ascii="Times New Roman" w:hAnsi="Times New Roman"/>
                <w:bCs/>
                <w:kern w:val="2"/>
              </w:rPr>
            </w:pPr>
          </w:p>
        </w:tc>
        <w:tc>
          <w:tcPr>
            <w:tcW w:w="1092" w:type="dxa"/>
            <w:vMerge w:val="continue"/>
            <w:vAlign w:val="center"/>
          </w:tcPr>
          <w:p>
            <w:pPr>
              <w:spacing w:line="280" w:lineRule="exact"/>
              <w:rPr>
                <w:rFonts w:ascii="Times New Roman" w:hAnsi="Times New Roman"/>
                <w:bCs/>
                <w:kern w:val="2"/>
              </w:rPr>
            </w:pPr>
          </w:p>
        </w:tc>
        <w:tc>
          <w:tcPr>
            <w:tcW w:w="739" w:type="dxa"/>
            <w:vMerge w:val="continue"/>
            <w:vAlign w:val="center"/>
          </w:tcPr>
          <w:p>
            <w:pPr>
              <w:rPr>
                <w:rFonts w:ascii="Times New Roman" w:hAnsi="Times New Roman"/>
                <w:bCs/>
                <w:kern w:val="2"/>
              </w:rPr>
            </w:pPr>
          </w:p>
        </w:tc>
        <w:tc>
          <w:tcPr>
            <w:tcW w:w="1261" w:type="dxa"/>
            <w:vAlign w:val="center"/>
          </w:tcPr>
          <w:p>
            <w:pPr>
              <w:jc w:val="center"/>
              <w:rPr>
                <w:rFonts w:ascii="Times New Roman" w:hAnsi="Times New Roman"/>
                <w:bCs/>
              </w:rPr>
            </w:pPr>
            <w:r>
              <w:rPr>
                <w:rFonts w:ascii="Times New Roman" w:hAnsi="Times New Roman"/>
              </w:rPr>
              <w:t>SO</w:t>
            </w:r>
            <w:r>
              <w:rPr>
                <w:rFonts w:ascii="Times New Roman" w:hAnsi="Times New Roman"/>
                <w:vertAlign w:val="subscript"/>
              </w:rPr>
              <w:t>2</w:t>
            </w:r>
          </w:p>
        </w:tc>
        <w:tc>
          <w:tcPr>
            <w:tcW w:w="1035" w:type="dxa"/>
            <w:vAlign w:val="center"/>
          </w:tcPr>
          <w:p>
            <w:pPr>
              <w:jc w:val="center"/>
              <w:rPr>
                <w:rFonts w:ascii="Times New Roman" w:hAnsi="Times New Roman"/>
                <w:bCs/>
              </w:rPr>
            </w:pPr>
            <w:r>
              <w:rPr>
                <w:rFonts w:hint="eastAsia" w:ascii="Times New Roman" w:hAnsi="Times New Roman"/>
                <w:bCs/>
              </w:rPr>
              <w:t>/</w:t>
            </w:r>
          </w:p>
        </w:tc>
        <w:tc>
          <w:tcPr>
            <w:tcW w:w="1007" w:type="dxa"/>
            <w:vAlign w:val="center"/>
          </w:tcPr>
          <w:p>
            <w:pPr>
              <w:jc w:val="center"/>
              <w:rPr>
                <w:rFonts w:ascii="Times New Roman" w:hAnsi="Times New Roman"/>
                <w:bCs/>
              </w:rPr>
            </w:pPr>
            <w:r>
              <w:rPr>
                <w:rFonts w:hint="eastAsia" w:ascii="Times New Roman" w:hAnsi="Times New Roman"/>
                <w:bCs/>
              </w:rPr>
              <w:t>/</w:t>
            </w:r>
          </w:p>
        </w:tc>
        <w:tc>
          <w:tcPr>
            <w:tcW w:w="1169" w:type="dxa"/>
            <w:vAlign w:val="center"/>
          </w:tcPr>
          <w:p>
            <w:pPr>
              <w:jc w:val="center"/>
              <w:rPr>
                <w:rFonts w:ascii="Times New Roman" w:hAnsi="Times New Roman"/>
              </w:rPr>
            </w:pPr>
            <w:r>
              <w:rPr>
                <w:rFonts w:ascii="Times New Roman" w:hAnsi="Times New Roman"/>
              </w:rPr>
              <w:t>1.103 mg/m</w:t>
            </w:r>
            <w:r>
              <w:rPr>
                <w:rFonts w:ascii="Times New Roman" w:hAnsi="Times New Roman"/>
                <w:vertAlign w:val="superscript"/>
              </w:rPr>
              <w:t>3</w:t>
            </w:r>
          </w:p>
        </w:tc>
        <w:tc>
          <w:tcPr>
            <w:tcW w:w="1156" w:type="dxa"/>
            <w:vAlign w:val="center"/>
          </w:tcPr>
          <w:p>
            <w:pPr>
              <w:jc w:val="center"/>
              <w:rPr>
                <w:rFonts w:ascii="Times New Roman" w:hAnsi="Times New Roman"/>
              </w:rPr>
            </w:pPr>
            <w:r>
              <w:rPr>
                <w:rFonts w:ascii="Times New Roman" w:hAnsi="Times New Roman"/>
              </w:rPr>
              <w:t>0.000566 t/a</w:t>
            </w:r>
          </w:p>
        </w:tc>
        <w:tc>
          <w:tcPr>
            <w:tcW w:w="1360" w:type="dxa"/>
            <w:vAlign w:val="center"/>
          </w:tcPr>
          <w:p>
            <w:pPr>
              <w:jc w:val="center"/>
              <w:rPr>
                <w:rFonts w:ascii="Times New Roman" w:hAnsi="Times New Roman"/>
              </w:rPr>
            </w:pPr>
            <w:r>
              <w:rPr>
                <w:rFonts w:ascii="Times New Roman" w:hAnsi="Times New Roman"/>
              </w:rPr>
              <w:t>1.103 mg/m</w:t>
            </w:r>
            <w:r>
              <w:rPr>
                <w:rFonts w:ascii="Times New Roman" w:hAnsi="Times New Roman"/>
                <w:vertAlign w:val="superscript"/>
              </w:rPr>
              <w:t>3</w:t>
            </w:r>
          </w:p>
        </w:tc>
        <w:tc>
          <w:tcPr>
            <w:tcW w:w="1247" w:type="dxa"/>
            <w:vAlign w:val="center"/>
          </w:tcPr>
          <w:p>
            <w:pPr>
              <w:jc w:val="center"/>
              <w:rPr>
                <w:rFonts w:ascii="Times New Roman" w:hAnsi="Times New Roman"/>
              </w:rPr>
            </w:pPr>
            <w:r>
              <w:rPr>
                <w:rFonts w:ascii="Times New Roman" w:hAnsi="Times New Roman"/>
              </w:rPr>
              <w:t>0.000566 t/a</w:t>
            </w:r>
          </w:p>
        </w:tc>
        <w:tc>
          <w:tcPr>
            <w:tcW w:w="2586" w:type="dxa"/>
            <w:vMerge w:val="continue"/>
            <w:vAlign w:val="center"/>
          </w:tcPr>
          <w:p>
            <w:pPr>
              <w:rPr>
                <w:rFonts w:ascii="Times New Roman" w:hAnsi="Times New Roman"/>
                <w:kern w:val="2"/>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559" w:type="dxa"/>
            <w:vMerge w:val="continue"/>
            <w:vAlign w:val="center"/>
          </w:tcPr>
          <w:p>
            <w:pPr>
              <w:spacing w:line="280" w:lineRule="exact"/>
              <w:rPr>
                <w:rFonts w:ascii="Times New Roman" w:hAnsi="Times New Roman"/>
                <w:bCs/>
                <w:kern w:val="2"/>
              </w:rPr>
            </w:pPr>
          </w:p>
        </w:tc>
        <w:tc>
          <w:tcPr>
            <w:tcW w:w="696" w:type="dxa"/>
            <w:vMerge w:val="continue"/>
            <w:vAlign w:val="center"/>
          </w:tcPr>
          <w:p>
            <w:pPr>
              <w:spacing w:line="280" w:lineRule="exact"/>
              <w:rPr>
                <w:rFonts w:ascii="Times New Roman" w:hAnsi="Times New Roman"/>
                <w:bCs/>
                <w:kern w:val="2"/>
              </w:rPr>
            </w:pPr>
          </w:p>
        </w:tc>
        <w:tc>
          <w:tcPr>
            <w:tcW w:w="1092" w:type="dxa"/>
            <w:vMerge w:val="continue"/>
            <w:vAlign w:val="center"/>
          </w:tcPr>
          <w:p>
            <w:pPr>
              <w:spacing w:line="280" w:lineRule="exact"/>
              <w:rPr>
                <w:rFonts w:ascii="Times New Roman" w:hAnsi="Times New Roman"/>
                <w:bCs/>
                <w:kern w:val="2"/>
              </w:rPr>
            </w:pPr>
          </w:p>
        </w:tc>
        <w:tc>
          <w:tcPr>
            <w:tcW w:w="739" w:type="dxa"/>
            <w:vMerge w:val="continue"/>
            <w:vAlign w:val="center"/>
          </w:tcPr>
          <w:p>
            <w:pPr>
              <w:rPr>
                <w:rFonts w:ascii="Times New Roman" w:hAnsi="Times New Roman"/>
                <w:bCs/>
                <w:kern w:val="2"/>
              </w:rPr>
            </w:pPr>
          </w:p>
        </w:tc>
        <w:tc>
          <w:tcPr>
            <w:tcW w:w="1261" w:type="dxa"/>
            <w:vAlign w:val="center"/>
          </w:tcPr>
          <w:p>
            <w:pPr>
              <w:jc w:val="center"/>
              <w:rPr>
                <w:rFonts w:ascii="Times New Roman" w:hAnsi="Times New Roman"/>
                <w:bCs/>
              </w:rPr>
            </w:pPr>
            <w:r>
              <w:rPr>
                <w:rFonts w:ascii="Times New Roman" w:hAnsi="Times New Roman"/>
              </w:rPr>
              <w:t>NO</w:t>
            </w:r>
            <w:r>
              <w:rPr>
                <w:rFonts w:ascii="Times New Roman" w:hAnsi="Times New Roman"/>
                <w:vertAlign w:val="subscript"/>
              </w:rPr>
              <w:t>X</w:t>
            </w:r>
          </w:p>
        </w:tc>
        <w:tc>
          <w:tcPr>
            <w:tcW w:w="1035" w:type="dxa"/>
            <w:vAlign w:val="center"/>
          </w:tcPr>
          <w:p>
            <w:pPr>
              <w:jc w:val="center"/>
              <w:rPr>
                <w:rFonts w:ascii="Times New Roman" w:hAnsi="Times New Roman"/>
                <w:bCs/>
              </w:rPr>
            </w:pPr>
            <w:r>
              <w:rPr>
                <w:rFonts w:hint="eastAsia" w:ascii="Times New Roman" w:hAnsi="Times New Roman"/>
                <w:bCs/>
              </w:rPr>
              <w:t>/</w:t>
            </w:r>
          </w:p>
        </w:tc>
        <w:tc>
          <w:tcPr>
            <w:tcW w:w="1007" w:type="dxa"/>
            <w:vAlign w:val="center"/>
          </w:tcPr>
          <w:p>
            <w:pPr>
              <w:jc w:val="center"/>
              <w:rPr>
                <w:rFonts w:ascii="Times New Roman" w:hAnsi="Times New Roman"/>
                <w:bCs/>
              </w:rPr>
            </w:pPr>
            <w:r>
              <w:rPr>
                <w:rFonts w:hint="eastAsia" w:ascii="Times New Roman" w:hAnsi="Times New Roman"/>
                <w:bCs/>
              </w:rPr>
              <w:t>/</w:t>
            </w:r>
          </w:p>
        </w:tc>
        <w:tc>
          <w:tcPr>
            <w:tcW w:w="1169" w:type="dxa"/>
            <w:vAlign w:val="center"/>
          </w:tcPr>
          <w:p>
            <w:pPr>
              <w:jc w:val="center"/>
              <w:rPr>
                <w:rFonts w:ascii="Times New Roman" w:hAnsi="Times New Roman"/>
              </w:rPr>
            </w:pPr>
            <w:r>
              <w:rPr>
                <w:rFonts w:hint="eastAsia" w:ascii="Times New Roman" w:hAnsi="Times New Roman"/>
              </w:rPr>
              <w:t>3</w:t>
            </w:r>
            <w:r>
              <w:rPr>
                <w:rFonts w:ascii="Times New Roman" w:hAnsi="Times New Roman"/>
              </w:rPr>
              <w:t>0 mg/m</w:t>
            </w:r>
            <w:r>
              <w:rPr>
                <w:rFonts w:ascii="Times New Roman" w:hAnsi="Times New Roman"/>
                <w:vertAlign w:val="superscript"/>
              </w:rPr>
              <w:t>3</w:t>
            </w:r>
          </w:p>
        </w:tc>
        <w:tc>
          <w:tcPr>
            <w:tcW w:w="1156" w:type="dxa"/>
            <w:vAlign w:val="center"/>
          </w:tcPr>
          <w:p>
            <w:pPr>
              <w:jc w:val="center"/>
              <w:rPr>
                <w:rFonts w:ascii="Times New Roman" w:hAnsi="Times New Roman"/>
              </w:rPr>
            </w:pPr>
            <w:r>
              <w:rPr>
                <w:rFonts w:hint="eastAsia" w:ascii="Times New Roman" w:hAnsi="Times New Roman"/>
              </w:rPr>
              <w:t>0</w:t>
            </w:r>
            <w:r>
              <w:rPr>
                <w:rFonts w:ascii="Times New Roman" w:hAnsi="Times New Roman"/>
              </w:rPr>
              <w:t>.015 t/a</w:t>
            </w:r>
          </w:p>
        </w:tc>
        <w:tc>
          <w:tcPr>
            <w:tcW w:w="1360" w:type="dxa"/>
            <w:vAlign w:val="center"/>
          </w:tcPr>
          <w:p>
            <w:pPr>
              <w:jc w:val="center"/>
              <w:rPr>
                <w:rFonts w:ascii="Times New Roman" w:hAnsi="Times New Roman"/>
              </w:rPr>
            </w:pPr>
            <w:r>
              <w:rPr>
                <w:rFonts w:hint="eastAsia" w:ascii="Times New Roman" w:hAnsi="Times New Roman"/>
              </w:rPr>
              <w:t>3</w:t>
            </w:r>
            <w:r>
              <w:rPr>
                <w:rFonts w:ascii="Times New Roman" w:hAnsi="Times New Roman"/>
              </w:rPr>
              <w:t>0 mg/m</w:t>
            </w:r>
            <w:r>
              <w:rPr>
                <w:rFonts w:ascii="Times New Roman" w:hAnsi="Times New Roman"/>
                <w:vertAlign w:val="superscript"/>
              </w:rPr>
              <w:t>3</w:t>
            </w:r>
          </w:p>
        </w:tc>
        <w:tc>
          <w:tcPr>
            <w:tcW w:w="1247" w:type="dxa"/>
            <w:vAlign w:val="center"/>
          </w:tcPr>
          <w:p>
            <w:pPr>
              <w:jc w:val="center"/>
              <w:rPr>
                <w:rFonts w:ascii="Times New Roman" w:hAnsi="Times New Roman"/>
              </w:rPr>
            </w:pPr>
            <w:r>
              <w:rPr>
                <w:rFonts w:hint="eastAsia" w:ascii="Times New Roman" w:hAnsi="Times New Roman"/>
              </w:rPr>
              <w:t>0</w:t>
            </w:r>
            <w:r>
              <w:rPr>
                <w:rFonts w:ascii="Times New Roman" w:hAnsi="Times New Roman"/>
              </w:rPr>
              <w:t>.015 t/a</w:t>
            </w:r>
          </w:p>
        </w:tc>
        <w:tc>
          <w:tcPr>
            <w:tcW w:w="2586" w:type="dxa"/>
            <w:vMerge w:val="continue"/>
            <w:vAlign w:val="center"/>
          </w:tcPr>
          <w:p>
            <w:pPr>
              <w:rPr>
                <w:rFonts w:ascii="Times New Roman" w:hAnsi="Times New Roman"/>
                <w:kern w:val="2"/>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559" w:type="dxa"/>
            <w:vMerge w:val="continue"/>
            <w:vAlign w:val="center"/>
          </w:tcPr>
          <w:p>
            <w:pPr>
              <w:spacing w:line="280" w:lineRule="exact"/>
              <w:rPr>
                <w:rFonts w:ascii="Times New Roman" w:hAnsi="Times New Roman"/>
                <w:bCs/>
                <w:kern w:val="2"/>
              </w:rPr>
            </w:pPr>
          </w:p>
        </w:tc>
        <w:tc>
          <w:tcPr>
            <w:tcW w:w="696" w:type="dxa"/>
            <w:vMerge w:val="continue"/>
            <w:vAlign w:val="center"/>
          </w:tcPr>
          <w:p>
            <w:pPr>
              <w:spacing w:line="280" w:lineRule="exact"/>
              <w:rPr>
                <w:rFonts w:ascii="Times New Roman" w:hAnsi="Times New Roman"/>
                <w:bCs/>
                <w:kern w:val="2"/>
              </w:rPr>
            </w:pPr>
          </w:p>
        </w:tc>
        <w:tc>
          <w:tcPr>
            <w:tcW w:w="1092" w:type="dxa"/>
            <w:vMerge w:val="restart"/>
            <w:vAlign w:val="center"/>
          </w:tcPr>
          <w:p>
            <w:pPr>
              <w:textAlignment w:val="center"/>
              <w:rPr>
                <w:rFonts w:ascii="Times New Roman" w:hAnsi="Times New Roman"/>
                <w:kern w:val="2"/>
              </w:rPr>
            </w:pPr>
            <w:r>
              <w:rPr>
                <w:rFonts w:ascii="Times New Roman" w:hAnsi="Times New Roman"/>
                <w:bCs/>
                <w:kern w:val="2"/>
              </w:rPr>
              <w:t>医疗废物处置间、医疗废物暂存间（冷库）和消毒间</w:t>
            </w:r>
          </w:p>
        </w:tc>
        <w:tc>
          <w:tcPr>
            <w:tcW w:w="739" w:type="dxa"/>
            <w:vMerge w:val="restart"/>
            <w:vAlign w:val="center"/>
          </w:tcPr>
          <w:p>
            <w:pPr>
              <w:jc w:val="center"/>
              <w:textAlignment w:val="center"/>
              <w:rPr>
                <w:rFonts w:ascii="Times New Roman" w:hAnsi="Times New Roman"/>
                <w:kern w:val="2"/>
              </w:rPr>
            </w:pPr>
            <w:r>
              <w:rPr>
                <w:rFonts w:ascii="Times New Roman" w:hAnsi="Times New Roman"/>
                <w:kern w:val="2"/>
              </w:rPr>
              <w:t>有组织</w:t>
            </w:r>
          </w:p>
        </w:tc>
        <w:tc>
          <w:tcPr>
            <w:tcW w:w="1261" w:type="dxa"/>
            <w:vAlign w:val="center"/>
          </w:tcPr>
          <w:p>
            <w:pPr>
              <w:jc w:val="center"/>
              <w:rPr>
                <w:rFonts w:ascii="Times New Roman" w:hAnsi="Times New Roman"/>
                <w:kern w:val="2"/>
              </w:rPr>
            </w:pPr>
            <w:r>
              <w:rPr>
                <w:rFonts w:ascii="Times New Roman" w:hAnsi="Times New Roman"/>
                <w:bCs/>
              </w:rPr>
              <w:t>NH</w:t>
            </w:r>
            <w:r>
              <w:rPr>
                <w:rFonts w:ascii="Times New Roman" w:hAnsi="Times New Roman"/>
                <w:bCs/>
                <w:vertAlign w:val="subscript"/>
              </w:rPr>
              <w:t>3</w:t>
            </w:r>
          </w:p>
        </w:tc>
        <w:tc>
          <w:tcPr>
            <w:tcW w:w="1035" w:type="dxa"/>
            <w:vAlign w:val="center"/>
          </w:tcPr>
          <w:p>
            <w:pPr>
              <w:jc w:val="center"/>
              <w:rPr>
                <w:rFonts w:ascii="Times New Roman" w:hAnsi="Times New Roman"/>
                <w:bCs/>
              </w:rPr>
            </w:pPr>
            <w:r>
              <w:rPr>
                <w:rFonts w:ascii="Times New Roman" w:hAnsi="Times New Roman"/>
                <w:szCs w:val="20"/>
              </w:rPr>
              <w:t>1.15</w:t>
            </w:r>
          </w:p>
        </w:tc>
        <w:tc>
          <w:tcPr>
            <w:tcW w:w="1007" w:type="dxa"/>
            <w:vAlign w:val="center"/>
          </w:tcPr>
          <w:p>
            <w:pPr>
              <w:jc w:val="center"/>
              <w:rPr>
                <w:rFonts w:ascii="Times New Roman" w:hAnsi="Times New Roman"/>
                <w:bCs/>
              </w:rPr>
            </w:pPr>
            <w:r>
              <w:rPr>
                <w:rFonts w:ascii="Times New Roman" w:hAnsi="Times New Roman"/>
                <w:szCs w:val="20"/>
              </w:rPr>
              <w:t>0.12</w:t>
            </w:r>
          </w:p>
        </w:tc>
        <w:tc>
          <w:tcPr>
            <w:tcW w:w="1169" w:type="dxa"/>
            <w:vAlign w:val="center"/>
          </w:tcPr>
          <w:p>
            <w:pPr>
              <w:jc w:val="center"/>
              <w:rPr>
                <w:rFonts w:ascii="Times New Roman" w:hAnsi="Times New Roman"/>
              </w:rPr>
            </w:pPr>
            <w:r>
              <w:rPr>
                <w:rFonts w:ascii="Times New Roman" w:hAnsi="Times New Roman"/>
              </w:rPr>
              <w:t>/</w:t>
            </w:r>
          </w:p>
        </w:tc>
        <w:tc>
          <w:tcPr>
            <w:tcW w:w="1156" w:type="dxa"/>
            <w:vAlign w:val="center"/>
          </w:tcPr>
          <w:p>
            <w:pPr>
              <w:jc w:val="center"/>
              <w:rPr>
                <w:rFonts w:ascii="Times New Roman" w:hAnsi="Times New Roman"/>
              </w:rPr>
            </w:pPr>
            <w:r>
              <w:rPr>
                <w:rFonts w:ascii="Times New Roman" w:hAnsi="Times New Roman"/>
              </w:rPr>
              <w:t>/</w:t>
            </w:r>
          </w:p>
        </w:tc>
        <w:tc>
          <w:tcPr>
            <w:tcW w:w="1360" w:type="dxa"/>
            <w:vAlign w:val="center"/>
          </w:tcPr>
          <w:p>
            <w:pPr>
              <w:jc w:val="center"/>
              <w:rPr>
                <w:rFonts w:ascii="Times New Roman" w:hAnsi="Times New Roman"/>
              </w:rPr>
            </w:pPr>
            <w:r>
              <w:rPr>
                <w:rFonts w:ascii="Times New Roman" w:hAnsi="Times New Roman"/>
                <w:szCs w:val="20"/>
              </w:rPr>
              <w:t>1.15</w:t>
            </w:r>
          </w:p>
        </w:tc>
        <w:tc>
          <w:tcPr>
            <w:tcW w:w="1247" w:type="dxa"/>
            <w:vAlign w:val="center"/>
          </w:tcPr>
          <w:p>
            <w:pPr>
              <w:jc w:val="center"/>
              <w:rPr>
                <w:rFonts w:ascii="Times New Roman" w:hAnsi="Times New Roman"/>
              </w:rPr>
            </w:pPr>
            <w:r>
              <w:rPr>
                <w:rFonts w:ascii="Times New Roman" w:hAnsi="Times New Roman"/>
                <w:szCs w:val="20"/>
              </w:rPr>
              <w:t>0.12</w:t>
            </w:r>
          </w:p>
        </w:tc>
        <w:tc>
          <w:tcPr>
            <w:tcW w:w="2586" w:type="dxa"/>
            <w:vMerge w:val="restart"/>
            <w:vAlign w:val="center"/>
          </w:tcPr>
          <w:p>
            <w:pPr>
              <w:rPr>
                <w:rFonts w:ascii="Times New Roman" w:hAnsi="Times New Roman"/>
                <w:szCs w:val="20"/>
              </w:rPr>
            </w:pPr>
            <w:r>
              <w:rPr>
                <w:rFonts w:hint="eastAsia" w:ascii="Times New Roman" w:hAnsi="Times New Roman"/>
                <w:szCs w:val="20"/>
              </w:rPr>
              <w:t>与D</w:t>
            </w:r>
            <w:r>
              <w:rPr>
                <w:rFonts w:ascii="Times New Roman" w:hAnsi="Times New Roman"/>
                <w:szCs w:val="20"/>
              </w:rPr>
              <w:t>A001</w:t>
            </w:r>
            <w:r>
              <w:rPr>
                <w:rFonts w:hint="eastAsia" w:ascii="Times New Roman" w:hAnsi="Times New Roman"/>
                <w:szCs w:val="20"/>
              </w:rPr>
              <w:t>号排气筒一同排放，处理措施为：除臭塔</w:t>
            </w:r>
            <w:r>
              <w:rPr>
                <w:rFonts w:ascii="Times New Roman" w:hAnsi="Times New Roman"/>
                <w:szCs w:val="20"/>
              </w:rPr>
              <w:t>+15m排气筒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559" w:type="dxa"/>
            <w:vMerge w:val="continue"/>
            <w:vAlign w:val="center"/>
          </w:tcPr>
          <w:p>
            <w:pPr>
              <w:textAlignment w:val="center"/>
              <w:rPr>
                <w:rFonts w:ascii="Times New Roman" w:hAnsi="Times New Roman"/>
                <w:kern w:val="2"/>
              </w:rPr>
            </w:pPr>
          </w:p>
        </w:tc>
        <w:tc>
          <w:tcPr>
            <w:tcW w:w="696" w:type="dxa"/>
            <w:vMerge w:val="continue"/>
            <w:vAlign w:val="center"/>
          </w:tcPr>
          <w:p>
            <w:pPr>
              <w:textAlignment w:val="center"/>
              <w:rPr>
                <w:rFonts w:ascii="Times New Roman" w:hAnsi="Times New Roman"/>
                <w:kern w:val="2"/>
              </w:rPr>
            </w:pPr>
          </w:p>
        </w:tc>
        <w:tc>
          <w:tcPr>
            <w:tcW w:w="1092" w:type="dxa"/>
            <w:vMerge w:val="continue"/>
            <w:vAlign w:val="center"/>
          </w:tcPr>
          <w:p>
            <w:pPr>
              <w:jc w:val="center"/>
              <w:textAlignment w:val="center"/>
              <w:rPr>
                <w:rFonts w:ascii="Times New Roman" w:hAnsi="Times New Roman"/>
                <w:kern w:val="2"/>
              </w:rPr>
            </w:pPr>
          </w:p>
        </w:tc>
        <w:tc>
          <w:tcPr>
            <w:tcW w:w="739" w:type="dxa"/>
            <w:vMerge w:val="continue"/>
            <w:vAlign w:val="center"/>
          </w:tcPr>
          <w:p>
            <w:pPr>
              <w:jc w:val="center"/>
              <w:textAlignment w:val="center"/>
              <w:rPr>
                <w:rFonts w:ascii="Times New Roman" w:hAnsi="Times New Roman"/>
                <w:kern w:val="2"/>
              </w:rPr>
            </w:pPr>
          </w:p>
        </w:tc>
        <w:tc>
          <w:tcPr>
            <w:tcW w:w="1261" w:type="dxa"/>
            <w:vAlign w:val="center"/>
          </w:tcPr>
          <w:p>
            <w:pPr>
              <w:jc w:val="center"/>
              <w:rPr>
                <w:rFonts w:ascii="Times New Roman" w:hAnsi="Times New Roman"/>
                <w:kern w:val="2"/>
              </w:rPr>
            </w:pPr>
            <w:r>
              <w:rPr>
                <w:rFonts w:ascii="Times New Roman" w:hAnsi="Times New Roman"/>
                <w:bCs/>
              </w:rPr>
              <w:t>H</w:t>
            </w:r>
            <w:r>
              <w:rPr>
                <w:rFonts w:ascii="Times New Roman" w:hAnsi="Times New Roman"/>
                <w:bCs/>
                <w:vertAlign w:val="subscript"/>
              </w:rPr>
              <w:t>2</w:t>
            </w:r>
            <w:r>
              <w:rPr>
                <w:rFonts w:ascii="Times New Roman" w:hAnsi="Times New Roman"/>
                <w:bCs/>
              </w:rPr>
              <w:t>S</w:t>
            </w:r>
          </w:p>
        </w:tc>
        <w:tc>
          <w:tcPr>
            <w:tcW w:w="1035" w:type="dxa"/>
            <w:vAlign w:val="center"/>
          </w:tcPr>
          <w:p>
            <w:pPr>
              <w:jc w:val="center"/>
              <w:rPr>
                <w:rFonts w:ascii="Times New Roman" w:hAnsi="Times New Roman"/>
                <w:bCs/>
              </w:rPr>
            </w:pPr>
            <w:r>
              <w:rPr>
                <w:rFonts w:ascii="Times New Roman" w:hAnsi="Times New Roman"/>
                <w:szCs w:val="20"/>
              </w:rPr>
              <w:t>0.09</w:t>
            </w:r>
          </w:p>
        </w:tc>
        <w:tc>
          <w:tcPr>
            <w:tcW w:w="1007" w:type="dxa"/>
            <w:vAlign w:val="center"/>
          </w:tcPr>
          <w:p>
            <w:pPr>
              <w:jc w:val="center"/>
              <w:rPr>
                <w:rFonts w:ascii="Times New Roman" w:hAnsi="Times New Roman"/>
                <w:bCs/>
              </w:rPr>
            </w:pPr>
            <w:r>
              <w:rPr>
                <w:rFonts w:ascii="Times New Roman" w:hAnsi="Times New Roman"/>
                <w:szCs w:val="20"/>
              </w:rPr>
              <w:t>0.00099</w:t>
            </w:r>
          </w:p>
        </w:tc>
        <w:tc>
          <w:tcPr>
            <w:tcW w:w="1169" w:type="dxa"/>
            <w:vAlign w:val="center"/>
          </w:tcPr>
          <w:p>
            <w:pPr>
              <w:jc w:val="center"/>
              <w:rPr>
                <w:rFonts w:ascii="Times New Roman" w:hAnsi="Times New Roman"/>
              </w:rPr>
            </w:pPr>
            <w:r>
              <w:rPr>
                <w:rFonts w:ascii="Times New Roman" w:hAnsi="Times New Roman"/>
              </w:rPr>
              <w:t>/</w:t>
            </w:r>
          </w:p>
        </w:tc>
        <w:tc>
          <w:tcPr>
            <w:tcW w:w="1156" w:type="dxa"/>
            <w:vAlign w:val="center"/>
          </w:tcPr>
          <w:p>
            <w:pPr>
              <w:jc w:val="center"/>
              <w:rPr>
                <w:rFonts w:ascii="Times New Roman" w:hAnsi="Times New Roman"/>
              </w:rPr>
            </w:pPr>
            <w:r>
              <w:rPr>
                <w:rFonts w:ascii="Times New Roman" w:hAnsi="Times New Roman"/>
              </w:rPr>
              <w:t>/</w:t>
            </w:r>
          </w:p>
        </w:tc>
        <w:tc>
          <w:tcPr>
            <w:tcW w:w="1360" w:type="dxa"/>
            <w:vAlign w:val="center"/>
          </w:tcPr>
          <w:p>
            <w:pPr>
              <w:jc w:val="center"/>
              <w:rPr>
                <w:rFonts w:ascii="Times New Roman" w:hAnsi="Times New Roman"/>
              </w:rPr>
            </w:pPr>
            <w:r>
              <w:rPr>
                <w:rFonts w:ascii="Times New Roman" w:hAnsi="Times New Roman"/>
                <w:szCs w:val="20"/>
              </w:rPr>
              <w:t>0.09</w:t>
            </w:r>
          </w:p>
        </w:tc>
        <w:tc>
          <w:tcPr>
            <w:tcW w:w="1247" w:type="dxa"/>
            <w:vAlign w:val="center"/>
          </w:tcPr>
          <w:p>
            <w:pPr>
              <w:jc w:val="center"/>
              <w:rPr>
                <w:rFonts w:ascii="Times New Roman" w:hAnsi="Times New Roman"/>
              </w:rPr>
            </w:pPr>
            <w:r>
              <w:rPr>
                <w:rFonts w:ascii="Times New Roman" w:hAnsi="Times New Roman"/>
                <w:szCs w:val="20"/>
              </w:rPr>
              <w:t>0.00099</w:t>
            </w:r>
          </w:p>
        </w:tc>
        <w:tc>
          <w:tcPr>
            <w:tcW w:w="2586" w:type="dxa"/>
            <w:vMerge w:val="continue"/>
            <w:vAlign w:val="center"/>
          </w:tcPr>
          <w:p>
            <w:pPr>
              <w:rPr>
                <w:rFonts w:ascii="Times New Roman" w:hAnsi="Times New Roman"/>
                <w:kern w:val="2"/>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559" w:type="dxa"/>
            <w:vMerge w:val="continue"/>
            <w:vAlign w:val="center"/>
          </w:tcPr>
          <w:p>
            <w:pPr>
              <w:textAlignment w:val="center"/>
              <w:rPr>
                <w:rFonts w:ascii="Times New Roman" w:hAnsi="Times New Roman"/>
                <w:kern w:val="2"/>
              </w:rPr>
            </w:pPr>
          </w:p>
        </w:tc>
        <w:tc>
          <w:tcPr>
            <w:tcW w:w="696" w:type="dxa"/>
            <w:vMerge w:val="continue"/>
            <w:vAlign w:val="center"/>
          </w:tcPr>
          <w:p>
            <w:pPr>
              <w:textAlignment w:val="center"/>
              <w:rPr>
                <w:rFonts w:ascii="Times New Roman" w:hAnsi="Times New Roman"/>
                <w:kern w:val="2"/>
              </w:rPr>
            </w:pPr>
          </w:p>
        </w:tc>
        <w:tc>
          <w:tcPr>
            <w:tcW w:w="1092" w:type="dxa"/>
            <w:vMerge w:val="continue"/>
            <w:vAlign w:val="center"/>
          </w:tcPr>
          <w:p>
            <w:pPr>
              <w:jc w:val="center"/>
              <w:textAlignment w:val="center"/>
              <w:rPr>
                <w:rFonts w:ascii="Times New Roman" w:hAnsi="Times New Roman"/>
                <w:kern w:val="2"/>
              </w:rPr>
            </w:pPr>
          </w:p>
        </w:tc>
        <w:tc>
          <w:tcPr>
            <w:tcW w:w="739" w:type="dxa"/>
            <w:vMerge w:val="restart"/>
            <w:vAlign w:val="center"/>
          </w:tcPr>
          <w:p>
            <w:pPr>
              <w:jc w:val="center"/>
              <w:textAlignment w:val="center"/>
              <w:rPr>
                <w:rFonts w:ascii="Times New Roman" w:hAnsi="Times New Roman"/>
                <w:kern w:val="2"/>
              </w:rPr>
            </w:pPr>
            <w:r>
              <w:rPr>
                <w:rFonts w:ascii="Times New Roman" w:hAnsi="Times New Roman"/>
                <w:kern w:val="2"/>
              </w:rPr>
              <w:t>无组织</w:t>
            </w:r>
          </w:p>
        </w:tc>
        <w:tc>
          <w:tcPr>
            <w:tcW w:w="1261" w:type="dxa"/>
            <w:vAlign w:val="center"/>
          </w:tcPr>
          <w:p>
            <w:pPr>
              <w:jc w:val="center"/>
              <w:rPr>
                <w:rFonts w:ascii="Times New Roman" w:hAnsi="Times New Roman"/>
                <w:bCs/>
              </w:rPr>
            </w:pPr>
            <w:r>
              <w:rPr>
                <w:rFonts w:ascii="Times New Roman" w:hAnsi="Times New Roman"/>
                <w:bCs/>
              </w:rPr>
              <w:t>NH</w:t>
            </w:r>
            <w:r>
              <w:rPr>
                <w:rFonts w:ascii="Times New Roman" w:hAnsi="Times New Roman"/>
                <w:bCs/>
                <w:vertAlign w:val="subscript"/>
              </w:rPr>
              <w:t>3</w:t>
            </w:r>
          </w:p>
        </w:tc>
        <w:tc>
          <w:tcPr>
            <w:tcW w:w="1035" w:type="dxa"/>
            <w:vAlign w:val="center"/>
          </w:tcPr>
          <w:p>
            <w:pPr>
              <w:jc w:val="center"/>
              <w:rPr>
                <w:rFonts w:ascii="Times New Roman" w:hAnsi="Times New Roman"/>
                <w:szCs w:val="20"/>
              </w:rPr>
            </w:pPr>
            <w:r>
              <w:rPr>
                <w:rFonts w:ascii="Times New Roman" w:hAnsi="Times New Roman"/>
                <w:szCs w:val="20"/>
              </w:rPr>
              <w:t>/</w:t>
            </w:r>
          </w:p>
        </w:tc>
        <w:tc>
          <w:tcPr>
            <w:tcW w:w="1007" w:type="dxa"/>
            <w:vAlign w:val="center"/>
          </w:tcPr>
          <w:p>
            <w:pPr>
              <w:jc w:val="center"/>
              <w:rPr>
                <w:rFonts w:ascii="Times New Roman" w:hAnsi="Times New Roman"/>
                <w:szCs w:val="20"/>
              </w:rPr>
            </w:pPr>
            <w:r>
              <w:rPr>
                <w:rFonts w:ascii="Times New Roman" w:hAnsi="Times New Roman"/>
                <w:szCs w:val="20"/>
              </w:rPr>
              <w:t>0.0035</w:t>
            </w:r>
            <w:r>
              <w:rPr>
                <w:rFonts w:ascii="Times New Roman" w:hAnsi="Times New Roman"/>
              </w:rPr>
              <w:t xml:space="preserve"> t/a</w:t>
            </w:r>
          </w:p>
        </w:tc>
        <w:tc>
          <w:tcPr>
            <w:tcW w:w="1169" w:type="dxa"/>
            <w:vAlign w:val="center"/>
          </w:tcPr>
          <w:p>
            <w:pPr>
              <w:jc w:val="center"/>
              <w:rPr>
                <w:rFonts w:ascii="Times New Roman" w:hAnsi="Times New Roman"/>
              </w:rPr>
            </w:pPr>
            <w:r>
              <w:rPr>
                <w:rFonts w:ascii="Times New Roman" w:hAnsi="Times New Roman"/>
              </w:rPr>
              <w:t>/</w:t>
            </w:r>
          </w:p>
        </w:tc>
        <w:tc>
          <w:tcPr>
            <w:tcW w:w="1156" w:type="dxa"/>
            <w:vAlign w:val="center"/>
          </w:tcPr>
          <w:p>
            <w:pPr>
              <w:jc w:val="center"/>
              <w:rPr>
                <w:rFonts w:ascii="Times New Roman" w:hAnsi="Times New Roman"/>
              </w:rPr>
            </w:pPr>
            <w:r>
              <w:rPr>
                <w:rFonts w:ascii="Times New Roman" w:hAnsi="Times New Roman"/>
              </w:rPr>
              <w:t>/</w:t>
            </w:r>
          </w:p>
        </w:tc>
        <w:tc>
          <w:tcPr>
            <w:tcW w:w="1360" w:type="dxa"/>
            <w:vAlign w:val="center"/>
          </w:tcPr>
          <w:p>
            <w:pPr>
              <w:jc w:val="center"/>
              <w:rPr>
                <w:rFonts w:ascii="Times New Roman" w:hAnsi="Times New Roman"/>
              </w:rPr>
            </w:pPr>
            <w:r>
              <w:rPr>
                <w:rFonts w:ascii="Times New Roman" w:hAnsi="Times New Roman"/>
                <w:szCs w:val="20"/>
              </w:rPr>
              <w:t>/</w:t>
            </w:r>
          </w:p>
        </w:tc>
        <w:tc>
          <w:tcPr>
            <w:tcW w:w="1247" w:type="dxa"/>
            <w:vAlign w:val="center"/>
          </w:tcPr>
          <w:p>
            <w:pPr>
              <w:jc w:val="center"/>
              <w:rPr>
                <w:rFonts w:ascii="Times New Roman" w:hAnsi="Times New Roman"/>
              </w:rPr>
            </w:pPr>
            <w:r>
              <w:rPr>
                <w:rFonts w:ascii="Times New Roman" w:hAnsi="Times New Roman"/>
                <w:szCs w:val="20"/>
              </w:rPr>
              <w:t>0.0035</w:t>
            </w:r>
            <w:r>
              <w:rPr>
                <w:rFonts w:ascii="Times New Roman" w:hAnsi="Times New Roman"/>
              </w:rPr>
              <w:t xml:space="preserve"> t/a</w:t>
            </w:r>
          </w:p>
        </w:tc>
        <w:tc>
          <w:tcPr>
            <w:tcW w:w="2586" w:type="dxa"/>
            <w:vMerge w:val="restart"/>
            <w:vAlign w:val="center"/>
          </w:tcPr>
          <w:p>
            <w:pPr>
              <w:rPr>
                <w:rFonts w:ascii="Times New Roman" w:hAnsi="Times New Roman"/>
                <w:kern w:val="2"/>
              </w:rPr>
            </w:pPr>
            <w:r>
              <w:rPr>
                <w:rFonts w:ascii="Times New Roman" w:hAnsi="Times New Roman"/>
                <w:szCs w:val="20"/>
              </w:rPr>
              <w:t>无组织逸散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559" w:type="dxa"/>
            <w:vMerge w:val="continue"/>
            <w:vAlign w:val="center"/>
          </w:tcPr>
          <w:p>
            <w:pPr>
              <w:textAlignment w:val="center"/>
              <w:rPr>
                <w:rFonts w:ascii="Times New Roman" w:hAnsi="Times New Roman"/>
                <w:kern w:val="2"/>
              </w:rPr>
            </w:pPr>
          </w:p>
        </w:tc>
        <w:tc>
          <w:tcPr>
            <w:tcW w:w="696" w:type="dxa"/>
            <w:vMerge w:val="continue"/>
            <w:vAlign w:val="center"/>
          </w:tcPr>
          <w:p>
            <w:pPr>
              <w:textAlignment w:val="center"/>
              <w:rPr>
                <w:rFonts w:ascii="Times New Roman" w:hAnsi="Times New Roman"/>
                <w:kern w:val="2"/>
              </w:rPr>
            </w:pPr>
          </w:p>
        </w:tc>
        <w:tc>
          <w:tcPr>
            <w:tcW w:w="1092" w:type="dxa"/>
            <w:vMerge w:val="continue"/>
            <w:vAlign w:val="center"/>
          </w:tcPr>
          <w:p>
            <w:pPr>
              <w:jc w:val="center"/>
              <w:textAlignment w:val="center"/>
              <w:rPr>
                <w:rFonts w:ascii="Times New Roman" w:hAnsi="Times New Roman"/>
                <w:kern w:val="2"/>
              </w:rPr>
            </w:pPr>
          </w:p>
        </w:tc>
        <w:tc>
          <w:tcPr>
            <w:tcW w:w="739" w:type="dxa"/>
            <w:vMerge w:val="continue"/>
            <w:vAlign w:val="center"/>
          </w:tcPr>
          <w:p>
            <w:pPr>
              <w:jc w:val="center"/>
              <w:textAlignment w:val="center"/>
              <w:rPr>
                <w:rFonts w:ascii="Times New Roman" w:hAnsi="Times New Roman"/>
                <w:kern w:val="2"/>
              </w:rPr>
            </w:pPr>
          </w:p>
        </w:tc>
        <w:tc>
          <w:tcPr>
            <w:tcW w:w="1261" w:type="dxa"/>
            <w:vAlign w:val="center"/>
          </w:tcPr>
          <w:p>
            <w:pPr>
              <w:jc w:val="center"/>
              <w:rPr>
                <w:rFonts w:ascii="Times New Roman" w:hAnsi="Times New Roman"/>
                <w:bCs/>
              </w:rPr>
            </w:pPr>
            <w:r>
              <w:rPr>
                <w:rFonts w:ascii="Times New Roman" w:hAnsi="Times New Roman"/>
                <w:bCs/>
              </w:rPr>
              <w:t>H</w:t>
            </w:r>
            <w:r>
              <w:rPr>
                <w:rFonts w:ascii="Times New Roman" w:hAnsi="Times New Roman"/>
                <w:bCs/>
                <w:vertAlign w:val="subscript"/>
              </w:rPr>
              <w:t>2</w:t>
            </w:r>
            <w:r>
              <w:rPr>
                <w:rFonts w:ascii="Times New Roman" w:hAnsi="Times New Roman"/>
                <w:bCs/>
              </w:rPr>
              <w:t>S</w:t>
            </w:r>
          </w:p>
        </w:tc>
        <w:tc>
          <w:tcPr>
            <w:tcW w:w="1035" w:type="dxa"/>
            <w:vAlign w:val="center"/>
          </w:tcPr>
          <w:p>
            <w:pPr>
              <w:jc w:val="center"/>
              <w:rPr>
                <w:rFonts w:ascii="Times New Roman" w:hAnsi="Times New Roman"/>
                <w:szCs w:val="20"/>
              </w:rPr>
            </w:pPr>
            <w:r>
              <w:rPr>
                <w:rFonts w:ascii="Times New Roman" w:hAnsi="Times New Roman"/>
                <w:szCs w:val="20"/>
              </w:rPr>
              <w:t>/</w:t>
            </w:r>
          </w:p>
        </w:tc>
        <w:tc>
          <w:tcPr>
            <w:tcW w:w="1007" w:type="dxa"/>
            <w:vAlign w:val="center"/>
          </w:tcPr>
          <w:p>
            <w:pPr>
              <w:jc w:val="center"/>
              <w:rPr>
                <w:rFonts w:ascii="Times New Roman" w:hAnsi="Times New Roman"/>
                <w:szCs w:val="20"/>
              </w:rPr>
            </w:pPr>
            <w:r>
              <w:rPr>
                <w:rFonts w:ascii="Times New Roman" w:hAnsi="Times New Roman"/>
                <w:szCs w:val="20"/>
              </w:rPr>
              <w:t>0.00044</w:t>
            </w:r>
            <w:r>
              <w:rPr>
                <w:rFonts w:ascii="Times New Roman" w:hAnsi="Times New Roman"/>
              </w:rPr>
              <w:t xml:space="preserve"> t/a</w:t>
            </w:r>
          </w:p>
        </w:tc>
        <w:tc>
          <w:tcPr>
            <w:tcW w:w="1169" w:type="dxa"/>
            <w:vAlign w:val="center"/>
          </w:tcPr>
          <w:p>
            <w:pPr>
              <w:jc w:val="center"/>
              <w:rPr>
                <w:rFonts w:ascii="Times New Roman" w:hAnsi="Times New Roman"/>
              </w:rPr>
            </w:pPr>
            <w:r>
              <w:rPr>
                <w:rFonts w:ascii="Times New Roman" w:hAnsi="Times New Roman"/>
              </w:rPr>
              <w:t>/</w:t>
            </w:r>
          </w:p>
        </w:tc>
        <w:tc>
          <w:tcPr>
            <w:tcW w:w="1156" w:type="dxa"/>
            <w:vAlign w:val="center"/>
          </w:tcPr>
          <w:p>
            <w:pPr>
              <w:jc w:val="center"/>
              <w:rPr>
                <w:rFonts w:ascii="Times New Roman" w:hAnsi="Times New Roman"/>
              </w:rPr>
            </w:pPr>
            <w:r>
              <w:rPr>
                <w:rFonts w:ascii="Times New Roman" w:hAnsi="Times New Roman"/>
              </w:rPr>
              <w:t>/</w:t>
            </w:r>
          </w:p>
        </w:tc>
        <w:tc>
          <w:tcPr>
            <w:tcW w:w="1360" w:type="dxa"/>
            <w:vAlign w:val="center"/>
          </w:tcPr>
          <w:p>
            <w:pPr>
              <w:jc w:val="center"/>
              <w:rPr>
                <w:rFonts w:ascii="Times New Roman" w:hAnsi="Times New Roman"/>
              </w:rPr>
            </w:pPr>
            <w:r>
              <w:rPr>
                <w:rFonts w:ascii="Times New Roman" w:hAnsi="Times New Roman"/>
                <w:szCs w:val="20"/>
              </w:rPr>
              <w:t>/</w:t>
            </w:r>
          </w:p>
        </w:tc>
        <w:tc>
          <w:tcPr>
            <w:tcW w:w="1247" w:type="dxa"/>
            <w:vAlign w:val="center"/>
          </w:tcPr>
          <w:p>
            <w:pPr>
              <w:jc w:val="center"/>
              <w:rPr>
                <w:rFonts w:ascii="Times New Roman" w:hAnsi="Times New Roman"/>
              </w:rPr>
            </w:pPr>
            <w:r>
              <w:rPr>
                <w:rFonts w:ascii="Times New Roman" w:hAnsi="Times New Roman"/>
                <w:szCs w:val="20"/>
              </w:rPr>
              <w:t>0.00044</w:t>
            </w:r>
            <w:r>
              <w:rPr>
                <w:rFonts w:ascii="Times New Roman" w:hAnsi="Times New Roman"/>
              </w:rPr>
              <w:t xml:space="preserve"> t/a</w:t>
            </w:r>
          </w:p>
        </w:tc>
        <w:tc>
          <w:tcPr>
            <w:tcW w:w="2586" w:type="dxa"/>
            <w:vMerge w:val="continue"/>
            <w:vAlign w:val="center"/>
          </w:tcPr>
          <w:p>
            <w:pPr>
              <w:rPr>
                <w:rFonts w:ascii="Times New Roman" w:hAnsi="Times New Roman"/>
                <w:kern w:val="2"/>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559" w:type="dxa"/>
            <w:vMerge w:val="continue"/>
            <w:vAlign w:val="center"/>
          </w:tcPr>
          <w:p>
            <w:pPr>
              <w:textAlignment w:val="center"/>
              <w:rPr>
                <w:rFonts w:ascii="Times New Roman" w:hAnsi="Times New Roman"/>
                <w:kern w:val="2"/>
              </w:rPr>
            </w:pPr>
          </w:p>
        </w:tc>
        <w:tc>
          <w:tcPr>
            <w:tcW w:w="696" w:type="dxa"/>
            <w:vMerge w:val="restart"/>
            <w:vAlign w:val="center"/>
          </w:tcPr>
          <w:p>
            <w:pPr>
              <w:spacing w:line="280" w:lineRule="exact"/>
              <w:rPr>
                <w:rFonts w:ascii="Times New Roman" w:hAnsi="Times New Roman"/>
                <w:bCs/>
                <w:kern w:val="2"/>
              </w:rPr>
            </w:pPr>
            <w:r>
              <w:rPr>
                <w:rFonts w:ascii="Times New Roman" w:hAnsi="Times New Roman"/>
                <w:bCs/>
                <w:kern w:val="2"/>
              </w:rPr>
              <w:t>污水</w:t>
            </w:r>
          </w:p>
          <w:p>
            <w:pPr>
              <w:spacing w:line="280" w:lineRule="exact"/>
              <w:rPr>
                <w:rFonts w:ascii="Times New Roman" w:hAnsi="Times New Roman"/>
                <w:bCs/>
                <w:kern w:val="2"/>
              </w:rPr>
            </w:pPr>
            <w:r>
              <w:rPr>
                <w:rFonts w:ascii="Times New Roman" w:hAnsi="Times New Roman"/>
                <w:bCs/>
                <w:kern w:val="2"/>
              </w:rPr>
              <w:t>处理</w:t>
            </w:r>
          </w:p>
        </w:tc>
        <w:tc>
          <w:tcPr>
            <w:tcW w:w="1092" w:type="dxa"/>
            <w:vMerge w:val="restart"/>
            <w:vAlign w:val="center"/>
          </w:tcPr>
          <w:p>
            <w:pPr>
              <w:spacing w:line="280" w:lineRule="exact"/>
              <w:jc w:val="center"/>
              <w:rPr>
                <w:rFonts w:ascii="Times New Roman" w:hAnsi="Times New Roman"/>
                <w:bCs/>
                <w:kern w:val="2"/>
              </w:rPr>
            </w:pPr>
            <w:r>
              <w:rPr>
                <w:rFonts w:ascii="Times New Roman" w:hAnsi="Times New Roman"/>
                <w:bCs/>
                <w:kern w:val="2"/>
              </w:rPr>
              <w:t>污水</w:t>
            </w:r>
          </w:p>
          <w:p>
            <w:pPr>
              <w:spacing w:line="280" w:lineRule="exact"/>
              <w:jc w:val="center"/>
              <w:rPr>
                <w:rFonts w:ascii="Times New Roman" w:hAnsi="Times New Roman"/>
                <w:bCs/>
                <w:kern w:val="2"/>
              </w:rPr>
            </w:pPr>
            <w:r>
              <w:rPr>
                <w:rFonts w:ascii="Times New Roman" w:hAnsi="Times New Roman"/>
                <w:bCs/>
                <w:kern w:val="2"/>
              </w:rPr>
              <w:t>处理间</w:t>
            </w:r>
          </w:p>
        </w:tc>
        <w:tc>
          <w:tcPr>
            <w:tcW w:w="739" w:type="dxa"/>
            <w:vMerge w:val="restart"/>
            <w:vAlign w:val="center"/>
          </w:tcPr>
          <w:p>
            <w:pPr>
              <w:spacing w:line="280" w:lineRule="exact"/>
              <w:jc w:val="center"/>
              <w:rPr>
                <w:rFonts w:ascii="Times New Roman" w:hAnsi="Times New Roman"/>
                <w:bCs/>
                <w:kern w:val="2"/>
              </w:rPr>
            </w:pPr>
            <w:r>
              <w:rPr>
                <w:rFonts w:ascii="Times New Roman" w:hAnsi="Times New Roman"/>
                <w:bCs/>
                <w:kern w:val="2"/>
              </w:rPr>
              <w:t>有组织</w:t>
            </w:r>
          </w:p>
        </w:tc>
        <w:tc>
          <w:tcPr>
            <w:tcW w:w="1261" w:type="dxa"/>
            <w:vAlign w:val="center"/>
          </w:tcPr>
          <w:p>
            <w:pPr>
              <w:jc w:val="center"/>
              <w:rPr>
                <w:rFonts w:ascii="Times New Roman" w:hAnsi="Times New Roman"/>
                <w:bCs/>
              </w:rPr>
            </w:pPr>
            <w:r>
              <w:rPr>
                <w:rFonts w:ascii="Times New Roman" w:hAnsi="Times New Roman"/>
                <w:bCs/>
              </w:rPr>
              <w:t>NH</w:t>
            </w:r>
            <w:r>
              <w:rPr>
                <w:rFonts w:ascii="Times New Roman" w:hAnsi="Times New Roman"/>
                <w:bCs/>
                <w:vertAlign w:val="subscript"/>
              </w:rPr>
              <w:t>3</w:t>
            </w:r>
          </w:p>
        </w:tc>
        <w:tc>
          <w:tcPr>
            <w:tcW w:w="1035" w:type="dxa"/>
          </w:tcPr>
          <w:p>
            <w:pPr>
              <w:jc w:val="center"/>
              <w:rPr>
                <w:rFonts w:ascii="Times New Roman" w:hAnsi="Times New Roman"/>
                <w:szCs w:val="20"/>
              </w:rPr>
            </w:pPr>
            <w:r>
              <w:rPr>
                <w:rFonts w:ascii="Times New Roman" w:hAnsi="Times New Roman"/>
                <w:szCs w:val="20"/>
              </w:rPr>
              <w:t>/</w:t>
            </w:r>
          </w:p>
        </w:tc>
        <w:tc>
          <w:tcPr>
            <w:tcW w:w="1007" w:type="dxa"/>
          </w:tcPr>
          <w:p>
            <w:pPr>
              <w:jc w:val="center"/>
              <w:rPr>
                <w:rFonts w:ascii="Times New Roman" w:hAnsi="Times New Roman"/>
                <w:szCs w:val="20"/>
              </w:rPr>
            </w:pPr>
            <w:r>
              <w:rPr>
                <w:rFonts w:ascii="Times New Roman" w:hAnsi="Times New Roman"/>
                <w:szCs w:val="20"/>
              </w:rPr>
              <w:t>/</w:t>
            </w:r>
          </w:p>
        </w:tc>
        <w:tc>
          <w:tcPr>
            <w:tcW w:w="1169" w:type="dxa"/>
          </w:tcPr>
          <w:p>
            <w:pPr>
              <w:jc w:val="center"/>
              <w:rPr>
                <w:rFonts w:ascii="Times New Roman" w:hAnsi="Times New Roman"/>
              </w:rPr>
            </w:pPr>
            <w:r>
              <w:rPr>
                <w:rFonts w:ascii="Times New Roman" w:hAnsi="Times New Roman"/>
                <w:szCs w:val="20"/>
              </w:rPr>
              <w:t>/</w:t>
            </w:r>
          </w:p>
        </w:tc>
        <w:tc>
          <w:tcPr>
            <w:tcW w:w="1156" w:type="dxa"/>
            <w:vAlign w:val="center"/>
          </w:tcPr>
          <w:p>
            <w:pPr>
              <w:jc w:val="center"/>
              <w:rPr>
                <w:rFonts w:ascii="Times New Roman" w:hAnsi="Times New Roman"/>
              </w:rPr>
            </w:pPr>
            <w:r>
              <w:rPr>
                <w:rFonts w:ascii="Times New Roman" w:hAnsi="Times New Roman"/>
                <w:kern w:val="2"/>
              </w:rPr>
              <w:t>1.08×10</w:t>
            </w:r>
            <w:r>
              <w:rPr>
                <w:rFonts w:ascii="Times New Roman" w:hAnsi="Times New Roman"/>
                <w:kern w:val="2"/>
                <w:vertAlign w:val="superscript"/>
              </w:rPr>
              <w:t>-7</w:t>
            </w:r>
            <w:r>
              <w:rPr>
                <w:rFonts w:ascii="Times New Roman" w:hAnsi="Times New Roman"/>
              </w:rPr>
              <w:t xml:space="preserve"> t/a</w:t>
            </w:r>
          </w:p>
        </w:tc>
        <w:tc>
          <w:tcPr>
            <w:tcW w:w="1360" w:type="dxa"/>
          </w:tcPr>
          <w:p>
            <w:pPr>
              <w:jc w:val="center"/>
              <w:rPr>
                <w:rFonts w:ascii="Times New Roman" w:hAnsi="Times New Roman"/>
              </w:rPr>
            </w:pPr>
            <w:r>
              <w:rPr>
                <w:rFonts w:ascii="Times New Roman" w:hAnsi="Times New Roman"/>
                <w:szCs w:val="20"/>
              </w:rPr>
              <w:t>/</w:t>
            </w:r>
          </w:p>
        </w:tc>
        <w:tc>
          <w:tcPr>
            <w:tcW w:w="1247" w:type="dxa"/>
            <w:vAlign w:val="center"/>
          </w:tcPr>
          <w:p>
            <w:pPr>
              <w:jc w:val="center"/>
              <w:rPr>
                <w:rFonts w:ascii="Times New Roman" w:hAnsi="Times New Roman"/>
              </w:rPr>
            </w:pPr>
            <w:r>
              <w:rPr>
                <w:rFonts w:ascii="Times New Roman" w:hAnsi="Times New Roman"/>
                <w:kern w:val="2"/>
              </w:rPr>
              <w:t>1.08×10</w:t>
            </w:r>
            <w:r>
              <w:rPr>
                <w:rFonts w:ascii="Times New Roman" w:hAnsi="Times New Roman"/>
                <w:kern w:val="2"/>
                <w:vertAlign w:val="superscript"/>
              </w:rPr>
              <w:t>-7</w:t>
            </w:r>
            <w:r>
              <w:rPr>
                <w:rFonts w:ascii="Times New Roman" w:hAnsi="Times New Roman"/>
              </w:rPr>
              <w:t xml:space="preserve"> t/a</w:t>
            </w:r>
          </w:p>
        </w:tc>
        <w:tc>
          <w:tcPr>
            <w:tcW w:w="2586" w:type="dxa"/>
            <w:vMerge w:val="restart"/>
            <w:vAlign w:val="center"/>
          </w:tcPr>
          <w:p>
            <w:pPr>
              <w:rPr>
                <w:rFonts w:ascii="Times New Roman" w:hAnsi="Times New Roman"/>
                <w:kern w:val="2"/>
              </w:rPr>
            </w:pPr>
            <w:r>
              <w:rPr>
                <w:rFonts w:hint="eastAsia" w:ascii="Times New Roman" w:hAnsi="Times New Roman"/>
                <w:kern w:val="2"/>
              </w:rPr>
              <w:t>除臭塔</w:t>
            </w:r>
            <w:r>
              <w:rPr>
                <w:rFonts w:ascii="Times New Roman" w:hAnsi="Times New Roman"/>
                <w:kern w:val="2"/>
              </w:rPr>
              <w:t>+15m排气筒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559" w:type="dxa"/>
            <w:vMerge w:val="continue"/>
            <w:vAlign w:val="center"/>
          </w:tcPr>
          <w:p>
            <w:pPr>
              <w:textAlignment w:val="center"/>
              <w:rPr>
                <w:rFonts w:ascii="Times New Roman" w:hAnsi="Times New Roman"/>
                <w:kern w:val="2"/>
              </w:rPr>
            </w:pPr>
          </w:p>
        </w:tc>
        <w:tc>
          <w:tcPr>
            <w:tcW w:w="696" w:type="dxa"/>
            <w:vMerge w:val="continue"/>
            <w:vAlign w:val="center"/>
          </w:tcPr>
          <w:p>
            <w:pPr>
              <w:spacing w:line="280" w:lineRule="exact"/>
              <w:rPr>
                <w:rFonts w:ascii="Times New Roman" w:hAnsi="Times New Roman"/>
                <w:bCs/>
                <w:kern w:val="2"/>
              </w:rPr>
            </w:pPr>
          </w:p>
        </w:tc>
        <w:tc>
          <w:tcPr>
            <w:tcW w:w="1092" w:type="dxa"/>
            <w:vMerge w:val="continue"/>
            <w:vAlign w:val="center"/>
          </w:tcPr>
          <w:p>
            <w:pPr>
              <w:spacing w:line="280" w:lineRule="exact"/>
              <w:jc w:val="center"/>
              <w:rPr>
                <w:rFonts w:ascii="Times New Roman" w:hAnsi="Times New Roman"/>
                <w:bCs/>
                <w:kern w:val="2"/>
              </w:rPr>
            </w:pPr>
          </w:p>
        </w:tc>
        <w:tc>
          <w:tcPr>
            <w:tcW w:w="739" w:type="dxa"/>
            <w:vMerge w:val="continue"/>
            <w:vAlign w:val="center"/>
          </w:tcPr>
          <w:p>
            <w:pPr>
              <w:spacing w:line="280" w:lineRule="exact"/>
              <w:jc w:val="center"/>
              <w:rPr>
                <w:rFonts w:ascii="Times New Roman" w:hAnsi="Times New Roman"/>
                <w:bCs/>
                <w:kern w:val="2"/>
              </w:rPr>
            </w:pPr>
          </w:p>
        </w:tc>
        <w:tc>
          <w:tcPr>
            <w:tcW w:w="1261" w:type="dxa"/>
            <w:vAlign w:val="center"/>
          </w:tcPr>
          <w:p>
            <w:pPr>
              <w:jc w:val="center"/>
              <w:rPr>
                <w:rFonts w:ascii="Times New Roman" w:hAnsi="Times New Roman"/>
                <w:bCs/>
              </w:rPr>
            </w:pPr>
            <w:r>
              <w:rPr>
                <w:rFonts w:ascii="Times New Roman" w:hAnsi="Times New Roman"/>
                <w:bCs/>
              </w:rPr>
              <w:t>H</w:t>
            </w:r>
            <w:r>
              <w:rPr>
                <w:rFonts w:ascii="Times New Roman" w:hAnsi="Times New Roman"/>
                <w:bCs/>
                <w:vertAlign w:val="subscript"/>
              </w:rPr>
              <w:t>2</w:t>
            </w:r>
            <w:r>
              <w:rPr>
                <w:rFonts w:ascii="Times New Roman" w:hAnsi="Times New Roman"/>
                <w:bCs/>
              </w:rPr>
              <w:t>S</w:t>
            </w:r>
          </w:p>
        </w:tc>
        <w:tc>
          <w:tcPr>
            <w:tcW w:w="1035" w:type="dxa"/>
          </w:tcPr>
          <w:p>
            <w:pPr>
              <w:jc w:val="center"/>
              <w:rPr>
                <w:rFonts w:ascii="Times New Roman" w:hAnsi="Times New Roman"/>
                <w:szCs w:val="20"/>
              </w:rPr>
            </w:pPr>
            <w:r>
              <w:rPr>
                <w:rFonts w:ascii="Times New Roman" w:hAnsi="Times New Roman"/>
                <w:szCs w:val="20"/>
              </w:rPr>
              <w:t>/</w:t>
            </w:r>
          </w:p>
        </w:tc>
        <w:tc>
          <w:tcPr>
            <w:tcW w:w="1007" w:type="dxa"/>
          </w:tcPr>
          <w:p>
            <w:pPr>
              <w:jc w:val="center"/>
              <w:rPr>
                <w:rFonts w:ascii="Times New Roman" w:hAnsi="Times New Roman"/>
                <w:szCs w:val="20"/>
              </w:rPr>
            </w:pPr>
            <w:r>
              <w:rPr>
                <w:rFonts w:ascii="Times New Roman" w:hAnsi="Times New Roman"/>
                <w:szCs w:val="20"/>
              </w:rPr>
              <w:t>/</w:t>
            </w:r>
          </w:p>
        </w:tc>
        <w:tc>
          <w:tcPr>
            <w:tcW w:w="1169" w:type="dxa"/>
          </w:tcPr>
          <w:p>
            <w:pPr>
              <w:jc w:val="center"/>
              <w:rPr>
                <w:rFonts w:ascii="Times New Roman" w:hAnsi="Times New Roman"/>
              </w:rPr>
            </w:pPr>
            <w:r>
              <w:rPr>
                <w:rFonts w:ascii="Times New Roman" w:hAnsi="Times New Roman"/>
                <w:szCs w:val="20"/>
              </w:rPr>
              <w:t>/</w:t>
            </w:r>
          </w:p>
        </w:tc>
        <w:tc>
          <w:tcPr>
            <w:tcW w:w="1156" w:type="dxa"/>
            <w:vAlign w:val="center"/>
          </w:tcPr>
          <w:p>
            <w:pPr>
              <w:jc w:val="center"/>
              <w:rPr>
                <w:rFonts w:ascii="Times New Roman" w:hAnsi="Times New Roman"/>
              </w:rPr>
            </w:pPr>
            <w:r>
              <w:rPr>
                <w:rFonts w:ascii="Times New Roman" w:hAnsi="Times New Roman"/>
                <w:kern w:val="2"/>
              </w:rPr>
              <w:t>4.19×10</w:t>
            </w:r>
            <w:r>
              <w:rPr>
                <w:rFonts w:ascii="Times New Roman" w:hAnsi="Times New Roman"/>
                <w:kern w:val="2"/>
                <w:vertAlign w:val="superscript"/>
              </w:rPr>
              <w:t>-9</w:t>
            </w:r>
            <w:r>
              <w:rPr>
                <w:rFonts w:ascii="Times New Roman" w:hAnsi="Times New Roman"/>
              </w:rPr>
              <w:t xml:space="preserve"> t/a</w:t>
            </w:r>
          </w:p>
        </w:tc>
        <w:tc>
          <w:tcPr>
            <w:tcW w:w="1360" w:type="dxa"/>
          </w:tcPr>
          <w:p>
            <w:pPr>
              <w:jc w:val="center"/>
              <w:rPr>
                <w:rFonts w:ascii="Times New Roman" w:hAnsi="Times New Roman"/>
              </w:rPr>
            </w:pPr>
            <w:r>
              <w:rPr>
                <w:rFonts w:ascii="Times New Roman" w:hAnsi="Times New Roman"/>
                <w:szCs w:val="20"/>
              </w:rPr>
              <w:t>/</w:t>
            </w:r>
          </w:p>
        </w:tc>
        <w:tc>
          <w:tcPr>
            <w:tcW w:w="1247" w:type="dxa"/>
            <w:vAlign w:val="center"/>
          </w:tcPr>
          <w:p>
            <w:pPr>
              <w:jc w:val="center"/>
              <w:rPr>
                <w:rFonts w:ascii="Times New Roman" w:hAnsi="Times New Roman"/>
              </w:rPr>
            </w:pPr>
            <w:r>
              <w:rPr>
                <w:rFonts w:ascii="Times New Roman" w:hAnsi="Times New Roman"/>
                <w:kern w:val="2"/>
              </w:rPr>
              <w:t>4.19×10</w:t>
            </w:r>
            <w:r>
              <w:rPr>
                <w:rFonts w:ascii="Times New Roman" w:hAnsi="Times New Roman"/>
                <w:kern w:val="2"/>
                <w:vertAlign w:val="superscript"/>
              </w:rPr>
              <w:t>-9</w:t>
            </w:r>
            <w:r>
              <w:rPr>
                <w:rFonts w:ascii="Times New Roman" w:hAnsi="Times New Roman"/>
              </w:rPr>
              <w:t xml:space="preserve"> t/a</w:t>
            </w:r>
          </w:p>
        </w:tc>
        <w:tc>
          <w:tcPr>
            <w:tcW w:w="2586" w:type="dxa"/>
            <w:vMerge w:val="continue"/>
            <w:vAlign w:val="center"/>
          </w:tcPr>
          <w:p>
            <w:pPr>
              <w:rPr>
                <w:rFonts w:ascii="Times New Roman" w:hAnsi="Times New Roman"/>
                <w:kern w:val="2"/>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559" w:type="dxa"/>
            <w:vMerge w:val="continue"/>
            <w:vAlign w:val="center"/>
          </w:tcPr>
          <w:p>
            <w:pPr>
              <w:textAlignment w:val="center"/>
              <w:rPr>
                <w:rFonts w:ascii="Times New Roman" w:hAnsi="Times New Roman"/>
                <w:kern w:val="2"/>
              </w:rPr>
            </w:pPr>
          </w:p>
        </w:tc>
        <w:tc>
          <w:tcPr>
            <w:tcW w:w="696" w:type="dxa"/>
            <w:vMerge w:val="continue"/>
            <w:vAlign w:val="center"/>
          </w:tcPr>
          <w:p>
            <w:pPr>
              <w:spacing w:line="280" w:lineRule="exact"/>
              <w:rPr>
                <w:rFonts w:ascii="Times New Roman" w:hAnsi="Times New Roman"/>
                <w:kern w:val="2"/>
              </w:rPr>
            </w:pPr>
          </w:p>
        </w:tc>
        <w:tc>
          <w:tcPr>
            <w:tcW w:w="1092" w:type="dxa"/>
            <w:vMerge w:val="continue"/>
            <w:vAlign w:val="center"/>
          </w:tcPr>
          <w:p>
            <w:pPr>
              <w:spacing w:line="280" w:lineRule="exact"/>
              <w:jc w:val="center"/>
              <w:rPr>
                <w:rFonts w:ascii="Times New Roman" w:hAnsi="Times New Roman"/>
                <w:kern w:val="2"/>
              </w:rPr>
            </w:pPr>
          </w:p>
        </w:tc>
        <w:tc>
          <w:tcPr>
            <w:tcW w:w="739" w:type="dxa"/>
            <w:vMerge w:val="restart"/>
            <w:vAlign w:val="center"/>
          </w:tcPr>
          <w:p>
            <w:pPr>
              <w:spacing w:line="280" w:lineRule="exact"/>
              <w:jc w:val="center"/>
              <w:rPr>
                <w:rFonts w:ascii="Times New Roman" w:hAnsi="Times New Roman"/>
                <w:kern w:val="2"/>
              </w:rPr>
            </w:pPr>
            <w:r>
              <w:rPr>
                <w:rFonts w:ascii="Times New Roman" w:hAnsi="Times New Roman"/>
                <w:bCs/>
                <w:kern w:val="2"/>
              </w:rPr>
              <w:t>无组织</w:t>
            </w:r>
          </w:p>
        </w:tc>
        <w:tc>
          <w:tcPr>
            <w:tcW w:w="1261" w:type="dxa"/>
            <w:vAlign w:val="center"/>
          </w:tcPr>
          <w:p>
            <w:pPr>
              <w:jc w:val="center"/>
              <w:rPr>
                <w:rFonts w:ascii="Times New Roman" w:hAnsi="Times New Roman"/>
                <w:bCs/>
                <w:kern w:val="2"/>
              </w:rPr>
            </w:pPr>
            <w:r>
              <w:rPr>
                <w:rFonts w:ascii="Times New Roman" w:hAnsi="Times New Roman"/>
                <w:bCs/>
              </w:rPr>
              <w:t>NH</w:t>
            </w:r>
            <w:r>
              <w:rPr>
                <w:rFonts w:ascii="Times New Roman" w:hAnsi="Times New Roman"/>
                <w:bCs/>
                <w:vertAlign w:val="subscript"/>
              </w:rPr>
              <w:t>3</w:t>
            </w:r>
          </w:p>
        </w:tc>
        <w:tc>
          <w:tcPr>
            <w:tcW w:w="1035" w:type="dxa"/>
            <w:vAlign w:val="center"/>
          </w:tcPr>
          <w:p>
            <w:pPr>
              <w:jc w:val="center"/>
              <w:rPr>
                <w:rFonts w:ascii="Times New Roman" w:hAnsi="Times New Roman"/>
                <w:szCs w:val="20"/>
              </w:rPr>
            </w:pPr>
            <w:r>
              <w:rPr>
                <w:rFonts w:ascii="Times New Roman" w:hAnsi="Times New Roman"/>
                <w:szCs w:val="20"/>
              </w:rPr>
              <w:t>/</w:t>
            </w:r>
          </w:p>
        </w:tc>
        <w:tc>
          <w:tcPr>
            <w:tcW w:w="1007" w:type="dxa"/>
            <w:vAlign w:val="center"/>
          </w:tcPr>
          <w:p>
            <w:pPr>
              <w:jc w:val="center"/>
              <w:rPr>
                <w:rFonts w:ascii="Times New Roman" w:hAnsi="Times New Roman"/>
                <w:szCs w:val="20"/>
              </w:rPr>
            </w:pPr>
            <w:r>
              <w:rPr>
                <w:rFonts w:ascii="Times New Roman" w:hAnsi="Times New Roman"/>
                <w:szCs w:val="20"/>
              </w:rPr>
              <w:t>/</w:t>
            </w:r>
          </w:p>
        </w:tc>
        <w:tc>
          <w:tcPr>
            <w:tcW w:w="1169" w:type="dxa"/>
            <w:vAlign w:val="center"/>
          </w:tcPr>
          <w:p>
            <w:pPr>
              <w:jc w:val="center"/>
              <w:rPr>
                <w:rFonts w:ascii="Times New Roman" w:hAnsi="Times New Roman"/>
              </w:rPr>
            </w:pPr>
            <w:r>
              <w:rPr>
                <w:rFonts w:ascii="Times New Roman" w:hAnsi="Times New Roman"/>
              </w:rPr>
              <w:t>/</w:t>
            </w:r>
          </w:p>
        </w:tc>
        <w:tc>
          <w:tcPr>
            <w:tcW w:w="1156" w:type="dxa"/>
            <w:vAlign w:val="center"/>
          </w:tcPr>
          <w:p>
            <w:pPr>
              <w:jc w:val="center"/>
              <w:rPr>
                <w:rFonts w:ascii="Times New Roman" w:hAnsi="Times New Roman"/>
              </w:rPr>
            </w:pPr>
            <w:r>
              <w:rPr>
                <w:rFonts w:ascii="Times New Roman" w:hAnsi="Times New Roman"/>
              </w:rPr>
              <w:t>1.13×10</w:t>
            </w:r>
            <w:r>
              <w:rPr>
                <w:rFonts w:ascii="Times New Roman" w:hAnsi="Times New Roman"/>
                <w:vertAlign w:val="superscript"/>
              </w:rPr>
              <w:t>-4</w:t>
            </w:r>
          </w:p>
        </w:tc>
        <w:tc>
          <w:tcPr>
            <w:tcW w:w="1360" w:type="dxa"/>
            <w:vAlign w:val="center"/>
          </w:tcPr>
          <w:p>
            <w:pPr>
              <w:jc w:val="center"/>
              <w:rPr>
                <w:rFonts w:ascii="Times New Roman" w:hAnsi="Times New Roman"/>
              </w:rPr>
            </w:pPr>
            <w:r>
              <w:rPr>
                <w:rFonts w:ascii="Times New Roman" w:hAnsi="Times New Roman"/>
              </w:rPr>
              <w:t>/</w:t>
            </w:r>
          </w:p>
        </w:tc>
        <w:tc>
          <w:tcPr>
            <w:tcW w:w="1247" w:type="dxa"/>
            <w:vAlign w:val="center"/>
          </w:tcPr>
          <w:p>
            <w:pPr>
              <w:jc w:val="center"/>
              <w:rPr>
                <w:rFonts w:ascii="Times New Roman" w:hAnsi="Times New Roman"/>
              </w:rPr>
            </w:pPr>
            <w:r>
              <w:rPr>
                <w:rFonts w:ascii="Times New Roman" w:hAnsi="Times New Roman"/>
              </w:rPr>
              <w:t>1.13×10</w:t>
            </w:r>
            <w:r>
              <w:rPr>
                <w:rFonts w:ascii="Times New Roman" w:hAnsi="Times New Roman"/>
                <w:vertAlign w:val="superscript"/>
              </w:rPr>
              <w:t>-4</w:t>
            </w:r>
          </w:p>
        </w:tc>
        <w:tc>
          <w:tcPr>
            <w:tcW w:w="2586" w:type="dxa"/>
            <w:vMerge w:val="restart"/>
            <w:vAlign w:val="center"/>
          </w:tcPr>
          <w:p>
            <w:pPr>
              <w:rPr>
                <w:rFonts w:ascii="Times New Roman" w:hAnsi="Times New Roman"/>
                <w:kern w:val="2"/>
              </w:rPr>
            </w:pPr>
            <w:r>
              <w:rPr>
                <w:rFonts w:ascii="Times New Roman" w:hAnsi="Times New Roman"/>
                <w:szCs w:val="20"/>
              </w:rPr>
              <w:t>无组织逸散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559" w:type="dxa"/>
            <w:vMerge w:val="continue"/>
            <w:vAlign w:val="center"/>
          </w:tcPr>
          <w:p>
            <w:pPr>
              <w:textAlignment w:val="center"/>
              <w:rPr>
                <w:rFonts w:ascii="Times New Roman" w:hAnsi="Times New Roman"/>
                <w:kern w:val="2"/>
              </w:rPr>
            </w:pPr>
          </w:p>
        </w:tc>
        <w:tc>
          <w:tcPr>
            <w:tcW w:w="696" w:type="dxa"/>
            <w:vMerge w:val="continue"/>
            <w:vAlign w:val="center"/>
          </w:tcPr>
          <w:p>
            <w:pPr>
              <w:textAlignment w:val="center"/>
              <w:rPr>
                <w:rFonts w:ascii="Times New Roman" w:hAnsi="Times New Roman"/>
                <w:kern w:val="2"/>
              </w:rPr>
            </w:pPr>
          </w:p>
        </w:tc>
        <w:tc>
          <w:tcPr>
            <w:tcW w:w="1092" w:type="dxa"/>
            <w:vMerge w:val="continue"/>
            <w:vAlign w:val="center"/>
          </w:tcPr>
          <w:p>
            <w:pPr>
              <w:jc w:val="center"/>
              <w:textAlignment w:val="center"/>
              <w:rPr>
                <w:rFonts w:ascii="Times New Roman" w:hAnsi="Times New Roman"/>
                <w:kern w:val="2"/>
              </w:rPr>
            </w:pPr>
          </w:p>
        </w:tc>
        <w:tc>
          <w:tcPr>
            <w:tcW w:w="739" w:type="dxa"/>
            <w:vMerge w:val="continue"/>
            <w:vAlign w:val="center"/>
          </w:tcPr>
          <w:p>
            <w:pPr>
              <w:jc w:val="center"/>
              <w:textAlignment w:val="center"/>
              <w:rPr>
                <w:rFonts w:ascii="Times New Roman" w:hAnsi="Times New Roman"/>
                <w:kern w:val="2"/>
              </w:rPr>
            </w:pPr>
          </w:p>
        </w:tc>
        <w:tc>
          <w:tcPr>
            <w:tcW w:w="1261" w:type="dxa"/>
            <w:vAlign w:val="center"/>
          </w:tcPr>
          <w:p>
            <w:pPr>
              <w:jc w:val="center"/>
              <w:rPr>
                <w:rFonts w:ascii="Times New Roman" w:hAnsi="Times New Roman"/>
                <w:bCs/>
                <w:kern w:val="2"/>
              </w:rPr>
            </w:pPr>
            <w:r>
              <w:rPr>
                <w:rFonts w:ascii="Times New Roman" w:hAnsi="Times New Roman"/>
                <w:bCs/>
              </w:rPr>
              <w:t>H</w:t>
            </w:r>
            <w:r>
              <w:rPr>
                <w:rFonts w:ascii="Times New Roman" w:hAnsi="Times New Roman"/>
                <w:bCs/>
                <w:vertAlign w:val="subscript"/>
              </w:rPr>
              <w:t>2</w:t>
            </w:r>
            <w:r>
              <w:rPr>
                <w:rFonts w:ascii="Times New Roman" w:hAnsi="Times New Roman"/>
                <w:bCs/>
              </w:rPr>
              <w:t>S</w:t>
            </w:r>
          </w:p>
        </w:tc>
        <w:tc>
          <w:tcPr>
            <w:tcW w:w="1035" w:type="dxa"/>
            <w:vAlign w:val="center"/>
          </w:tcPr>
          <w:p>
            <w:pPr>
              <w:jc w:val="center"/>
              <w:rPr>
                <w:rFonts w:ascii="Times New Roman" w:hAnsi="Times New Roman"/>
                <w:szCs w:val="20"/>
              </w:rPr>
            </w:pPr>
            <w:r>
              <w:rPr>
                <w:rFonts w:ascii="Times New Roman" w:hAnsi="Times New Roman"/>
                <w:szCs w:val="20"/>
              </w:rPr>
              <w:t>/</w:t>
            </w:r>
          </w:p>
        </w:tc>
        <w:tc>
          <w:tcPr>
            <w:tcW w:w="1007" w:type="dxa"/>
            <w:vAlign w:val="center"/>
          </w:tcPr>
          <w:p>
            <w:pPr>
              <w:jc w:val="center"/>
              <w:rPr>
                <w:rFonts w:ascii="Times New Roman" w:hAnsi="Times New Roman"/>
                <w:szCs w:val="20"/>
              </w:rPr>
            </w:pPr>
            <w:r>
              <w:rPr>
                <w:rFonts w:ascii="Times New Roman" w:hAnsi="Times New Roman"/>
                <w:szCs w:val="20"/>
              </w:rPr>
              <w:t>/</w:t>
            </w:r>
          </w:p>
        </w:tc>
        <w:tc>
          <w:tcPr>
            <w:tcW w:w="1169" w:type="dxa"/>
            <w:vAlign w:val="center"/>
          </w:tcPr>
          <w:p>
            <w:pPr>
              <w:jc w:val="center"/>
              <w:rPr>
                <w:rFonts w:ascii="Times New Roman" w:hAnsi="Times New Roman"/>
              </w:rPr>
            </w:pPr>
            <w:r>
              <w:rPr>
                <w:rFonts w:ascii="Times New Roman" w:hAnsi="Times New Roman"/>
              </w:rPr>
              <w:t>/</w:t>
            </w:r>
          </w:p>
        </w:tc>
        <w:tc>
          <w:tcPr>
            <w:tcW w:w="1156" w:type="dxa"/>
            <w:vAlign w:val="center"/>
          </w:tcPr>
          <w:p>
            <w:pPr>
              <w:jc w:val="center"/>
              <w:rPr>
                <w:rFonts w:ascii="Times New Roman" w:hAnsi="Times New Roman"/>
              </w:rPr>
            </w:pPr>
            <w:r>
              <w:rPr>
                <w:rFonts w:ascii="Times New Roman" w:hAnsi="Times New Roman"/>
              </w:rPr>
              <w:t>4.38×10</w:t>
            </w:r>
            <w:r>
              <w:rPr>
                <w:rFonts w:ascii="Times New Roman" w:hAnsi="Times New Roman"/>
                <w:vertAlign w:val="superscript"/>
              </w:rPr>
              <w:t>-6</w:t>
            </w:r>
          </w:p>
        </w:tc>
        <w:tc>
          <w:tcPr>
            <w:tcW w:w="1360" w:type="dxa"/>
            <w:vAlign w:val="center"/>
          </w:tcPr>
          <w:p>
            <w:pPr>
              <w:jc w:val="center"/>
              <w:rPr>
                <w:rFonts w:ascii="Times New Roman" w:hAnsi="Times New Roman"/>
              </w:rPr>
            </w:pPr>
            <w:r>
              <w:rPr>
                <w:rFonts w:ascii="Times New Roman" w:hAnsi="Times New Roman"/>
              </w:rPr>
              <w:t>/</w:t>
            </w:r>
          </w:p>
        </w:tc>
        <w:tc>
          <w:tcPr>
            <w:tcW w:w="1247" w:type="dxa"/>
            <w:vAlign w:val="center"/>
          </w:tcPr>
          <w:p>
            <w:pPr>
              <w:jc w:val="center"/>
              <w:rPr>
                <w:rFonts w:ascii="Times New Roman" w:hAnsi="Times New Roman"/>
              </w:rPr>
            </w:pPr>
            <w:r>
              <w:rPr>
                <w:rFonts w:ascii="Times New Roman" w:hAnsi="Times New Roman"/>
              </w:rPr>
              <w:t>4.38×10</w:t>
            </w:r>
            <w:r>
              <w:rPr>
                <w:rFonts w:ascii="Times New Roman" w:hAnsi="Times New Roman"/>
                <w:vertAlign w:val="superscript"/>
              </w:rPr>
              <w:t>-6</w:t>
            </w:r>
          </w:p>
        </w:tc>
        <w:tc>
          <w:tcPr>
            <w:tcW w:w="2586" w:type="dxa"/>
            <w:vMerge w:val="continue"/>
            <w:vAlign w:val="center"/>
          </w:tcPr>
          <w:p>
            <w:pPr>
              <w:rPr>
                <w:rFonts w:ascii="Times New Roman" w:hAnsi="Times New Roman"/>
                <w:kern w:val="2"/>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559" w:type="dxa"/>
            <w:vMerge w:val="continue"/>
            <w:vAlign w:val="center"/>
          </w:tcPr>
          <w:p>
            <w:pPr>
              <w:spacing w:line="280" w:lineRule="exact"/>
              <w:rPr>
                <w:rFonts w:ascii="Times New Roman" w:hAnsi="Times New Roman"/>
              </w:rPr>
            </w:pPr>
          </w:p>
        </w:tc>
        <w:tc>
          <w:tcPr>
            <w:tcW w:w="696" w:type="dxa"/>
            <w:vMerge w:val="restart"/>
            <w:vAlign w:val="center"/>
          </w:tcPr>
          <w:p>
            <w:pPr>
              <w:spacing w:line="280" w:lineRule="exact"/>
              <w:rPr>
                <w:rFonts w:ascii="Times New Roman" w:hAnsi="Times New Roman"/>
                <w:kern w:val="2"/>
                <w:szCs w:val="20"/>
              </w:rPr>
            </w:pPr>
            <w:r>
              <w:rPr>
                <w:rFonts w:ascii="Times New Roman" w:hAnsi="Times New Roman"/>
              </w:rPr>
              <w:t>噪声</w:t>
            </w:r>
          </w:p>
        </w:tc>
        <w:tc>
          <w:tcPr>
            <w:tcW w:w="1831" w:type="dxa"/>
            <w:gridSpan w:val="2"/>
            <w:vAlign w:val="center"/>
          </w:tcPr>
          <w:p>
            <w:pPr>
              <w:widowControl/>
              <w:spacing w:line="280" w:lineRule="exact"/>
              <w:jc w:val="center"/>
              <w:rPr>
                <w:rFonts w:ascii="Times New Roman" w:hAnsi="Times New Roman"/>
              </w:rPr>
            </w:pPr>
            <w:r>
              <w:rPr>
                <w:rFonts w:ascii="Times New Roman" w:hAnsi="Times New Roman"/>
              </w:rPr>
              <w:t>高温蒸煮设备</w:t>
            </w:r>
          </w:p>
        </w:tc>
        <w:tc>
          <w:tcPr>
            <w:tcW w:w="1261" w:type="dxa"/>
            <w:vMerge w:val="restart"/>
            <w:vAlign w:val="center"/>
          </w:tcPr>
          <w:p>
            <w:pPr>
              <w:widowControl/>
              <w:spacing w:line="280" w:lineRule="exact"/>
              <w:jc w:val="center"/>
              <w:rPr>
                <w:rFonts w:ascii="Times New Roman" w:hAnsi="Times New Roman"/>
              </w:rPr>
            </w:pPr>
            <w:r>
              <w:rPr>
                <w:rFonts w:ascii="Times New Roman" w:hAnsi="Times New Roman"/>
                <w:kern w:val="2"/>
              </w:rPr>
              <w:t>等效声级</w:t>
            </w:r>
          </w:p>
        </w:tc>
        <w:tc>
          <w:tcPr>
            <w:tcW w:w="2042" w:type="dxa"/>
            <w:gridSpan w:val="2"/>
            <w:vMerge w:val="restart"/>
            <w:vAlign w:val="center"/>
          </w:tcPr>
          <w:p>
            <w:pPr>
              <w:jc w:val="center"/>
              <w:rPr>
                <w:rFonts w:ascii="Times New Roman" w:hAnsi="Times New Roman"/>
              </w:rPr>
            </w:pPr>
            <w:r>
              <w:rPr>
                <w:rFonts w:ascii="Times New Roman" w:hAnsi="Times New Roman"/>
              </w:rPr>
              <w:t>昼间＜65dB（A）</w:t>
            </w:r>
          </w:p>
          <w:p>
            <w:pPr>
              <w:jc w:val="center"/>
              <w:rPr>
                <w:rFonts w:ascii="Times New Roman" w:hAnsi="Times New Roman"/>
              </w:rPr>
            </w:pPr>
            <w:r>
              <w:rPr>
                <w:rFonts w:ascii="Times New Roman" w:hAnsi="Times New Roman"/>
              </w:rPr>
              <w:t>夜间＜55dB（A）</w:t>
            </w:r>
          </w:p>
        </w:tc>
        <w:tc>
          <w:tcPr>
            <w:tcW w:w="2325" w:type="dxa"/>
            <w:gridSpan w:val="2"/>
            <w:vMerge w:val="restart"/>
            <w:vAlign w:val="center"/>
          </w:tcPr>
          <w:p>
            <w:pPr>
              <w:jc w:val="center"/>
              <w:rPr>
                <w:rFonts w:ascii="Times New Roman" w:hAnsi="Times New Roman"/>
              </w:rPr>
            </w:pPr>
            <w:r>
              <w:rPr>
                <w:rFonts w:ascii="Times New Roman" w:hAnsi="Times New Roman"/>
              </w:rPr>
              <w:t>昼间＜65dB（A）</w:t>
            </w:r>
          </w:p>
          <w:p>
            <w:pPr>
              <w:jc w:val="center"/>
              <w:rPr>
                <w:rFonts w:ascii="Times New Roman" w:hAnsi="Times New Roman"/>
              </w:rPr>
            </w:pPr>
            <w:r>
              <w:rPr>
                <w:rFonts w:ascii="Times New Roman" w:hAnsi="Times New Roman"/>
              </w:rPr>
              <w:t>夜间＜55dB（A）</w:t>
            </w:r>
          </w:p>
        </w:tc>
        <w:tc>
          <w:tcPr>
            <w:tcW w:w="2607" w:type="dxa"/>
            <w:gridSpan w:val="2"/>
            <w:vMerge w:val="restart"/>
            <w:vAlign w:val="center"/>
          </w:tcPr>
          <w:p>
            <w:pPr>
              <w:jc w:val="center"/>
              <w:rPr>
                <w:rFonts w:ascii="Times New Roman" w:hAnsi="Times New Roman"/>
              </w:rPr>
            </w:pPr>
            <w:r>
              <w:rPr>
                <w:rFonts w:ascii="Times New Roman" w:hAnsi="Times New Roman"/>
              </w:rPr>
              <w:t>昼间＜65dB（A）</w:t>
            </w:r>
          </w:p>
          <w:p>
            <w:pPr>
              <w:jc w:val="center"/>
              <w:rPr>
                <w:rFonts w:ascii="Times New Roman" w:hAnsi="Times New Roman"/>
              </w:rPr>
            </w:pPr>
            <w:r>
              <w:rPr>
                <w:rFonts w:ascii="Times New Roman" w:hAnsi="Times New Roman"/>
              </w:rPr>
              <w:t>夜间＜55dB（A）</w:t>
            </w:r>
          </w:p>
        </w:tc>
        <w:tc>
          <w:tcPr>
            <w:tcW w:w="2586" w:type="dxa"/>
            <w:vMerge w:val="restart"/>
            <w:vAlign w:val="center"/>
          </w:tcPr>
          <w:p>
            <w:pPr>
              <w:rPr>
                <w:rFonts w:ascii="Times New Roman" w:hAnsi="Times New Roman"/>
                <w:kern w:val="2"/>
              </w:rPr>
            </w:pPr>
            <w:r>
              <w:rPr>
                <w:rFonts w:ascii="Times New Roman" w:hAnsi="Times New Roman"/>
                <w:kern w:val="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559" w:type="dxa"/>
            <w:vMerge w:val="continue"/>
            <w:vAlign w:val="center"/>
          </w:tcPr>
          <w:p>
            <w:pPr>
              <w:widowControl/>
              <w:spacing w:line="280" w:lineRule="exact"/>
              <w:rPr>
                <w:rFonts w:ascii="Times New Roman" w:hAnsi="Times New Roman"/>
              </w:rPr>
            </w:pPr>
          </w:p>
        </w:tc>
        <w:tc>
          <w:tcPr>
            <w:tcW w:w="696" w:type="dxa"/>
            <w:vMerge w:val="continue"/>
            <w:vAlign w:val="center"/>
          </w:tcPr>
          <w:p>
            <w:pPr>
              <w:widowControl/>
              <w:spacing w:line="280" w:lineRule="exact"/>
              <w:rPr>
                <w:rFonts w:ascii="Times New Roman" w:hAnsi="Times New Roman"/>
              </w:rPr>
            </w:pPr>
          </w:p>
        </w:tc>
        <w:tc>
          <w:tcPr>
            <w:tcW w:w="1831" w:type="dxa"/>
            <w:gridSpan w:val="2"/>
            <w:vAlign w:val="center"/>
          </w:tcPr>
          <w:p>
            <w:pPr>
              <w:widowControl/>
              <w:spacing w:line="280" w:lineRule="exact"/>
              <w:jc w:val="center"/>
              <w:rPr>
                <w:rFonts w:ascii="Times New Roman" w:hAnsi="Times New Roman"/>
              </w:rPr>
            </w:pPr>
            <w:r>
              <w:rPr>
                <w:rFonts w:ascii="Times New Roman" w:hAnsi="Times New Roman"/>
              </w:rPr>
              <w:t>破碎机</w:t>
            </w:r>
          </w:p>
        </w:tc>
        <w:tc>
          <w:tcPr>
            <w:tcW w:w="1261" w:type="dxa"/>
            <w:vMerge w:val="continue"/>
            <w:vAlign w:val="center"/>
          </w:tcPr>
          <w:p>
            <w:pPr>
              <w:widowControl/>
              <w:spacing w:line="280" w:lineRule="exact"/>
              <w:jc w:val="center"/>
              <w:rPr>
                <w:rFonts w:ascii="Times New Roman" w:hAnsi="Times New Roman"/>
              </w:rPr>
            </w:pPr>
          </w:p>
        </w:tc>
        <w:tc>
          <w:tcPr>
            <w:tcW w:w="2042" w:type="dxa"/>
            <w:gridSpan w:val="2"/>
            <w:vMerge w:val="continue"/>
            <w:vAlign w:val="center"/>
          </w:tcPr>
          <w:p>
            <w:pPr>
              <w:widowControl/>
              <w:spacing w:line="280" w:lineRule="exact"/>
              <w:jc w:val="center"/>
              <w:rPr>
                <w:rFonts w:ascii="Times New Roman" w:hAnsi="Times New Roman"/>
              </w:rPr>
            </w:pPr>
          </w:p>
        </w:tc>
        <w:tc>
          <w:tcPr>
            <w:tcW w:w="2325" w:type="dxa"/>
            <w:gridSpan w:val="2"/>
            <w:vMerge w:val="continue"/>
            <w:vAlign w:val="center"/>
          </w:tcPr>
          <w:p>
            <w:pPr>
              <w:jc w:val="center"/>
              <w:rPr>
                <w:rFonts w:ascii="Times New Roman" w:hAnsi="Times New Roman"/>
              </w:rPr>
            </w:pPr>
          </w:p>
        </w:tc>
        <w:tc>
          <w:tcPr>
            <w:tcW w:w="2607" w:type="dxa"/>
            <w:gridSpan w:val="2"/>
            <w:vMerge w:val="continue"/>
            <w:vAlign w:val="center"/>
          </w:tcPr>
          <w:p>
            <w:pPr>
              <w:jc w:val="center"/>
              <w:rPr>
                <w:rFonts w:ascii="Times New Roman" w:hAnsi="Times New Roman"/>
              </w:rPr>
            </w:pPr>
          </w:p>
        </w:tc>
        <w:tc>
          <w:tcPr>
            <w:tcW w:w="2586" w:type="dxa"/>
            <w:vMerge w:val="continue"/>
            <w:vAlign w:val="center"/>
          </w:tcPr>
          <w:p>
            <w:pPr>
              <w:rPr>
                <w:rFonts w:ascii="Times New Roman" w:hAnsi="Times New Roman"/>
                <w:kern w:val="2"/>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82" w:hRule="atLeast"/>
          <w:jc w:val="center"/>
        </w:trPr>
        <w:tc>
          <w:tcPr>
            <w:tcW w:w="559" w:type="dxa"/>
            <w:vMerge w:val="continue"/>
            <w:vAlign w:val="center"/>
          </w:tcPr>
          <w:p>
            <w:pPr>
              <w:spacing w:line="280" w:lineRule="exact"/>
              <w:rPr>
                <w:rFonts w:ascii="Times New Roman" w:hAnsi="Times New Roman"/>
              </w:rPr>
            </w:pPr>
          </w:p>
        </w:tc>
        <w:tc>
          <w:tcPr>
            <w:tcW w:w="696" w:type="dxa"/>
            <w:vMerge w:val="continue"/>
            <w:vAlign w:val="center"/>
          </w:tcPr>
          <w:p>
            <w:pPr>
              <w:spacing w:line="280" w:lineRule="exact"/>
              <w:rPr>
                <w:rFonts w:ascii="Times New Roman" w:hAnsi="Times New Roman"/>
              </w:rPr>
            </w:pPr>
          </w:p>
        </w:tc>
        <w:tc>
          <w:tcPr>
            <w:tcW w:w="1831" w:type="dxa"/>
            <w:gridSpan w:val="2"/>
            <w:vAlign w:val="center"/>
          </w:tcPr>
          <w:p>
            <w:pPr>
              <w:spacing w:line="280" w:lineRule="atLeast"/>
              <w:jc w:val="center"/>
              <w:rPr>
                <w:rFonts w:ascii="Times New Roman" w:hAnsi="Times New Roman"/>
              </w:rPr>
            </w:pPr>
            <w:r>
              <w:rPr>
                <w:rFonts w:ascii="Times New Roman" w:hAnsi="Times New Roman"/>
              </w:rPr>
              <w:t>水泵</w:t>
            </w:r>
          </w:p>
        </w:tc>
        <w:tc>
          <w:tcPr>
            <w:tcW w:w="1261" w:type="dxa"/>
            <w:vMerge w:val="continue"/>
            <w:vAlign w:val="center"/>
          </w:tcPr>
          <w:p>
            <w:pPr>
              <w:spacing w:line="280" w:lineRule="atLeast"/>
              <w:jc w:val="center"/>
              <w:rPr>
                <w:rFonts w:ascii="Times New Roman" w:hAnsi="Times New Roman"/>
              </w:rPr>
            </w:pPr>
          </w:p>
        </w:tc>
        <w:tc>
          <w:tcPr>
            <w:tcW w:w="2042" w:type="dxa"/>
            <w:gridSpan w:val="2"/>
            <w:vMerge w:val="continue"/>
            <w:vAlign w:val="center"/>
          </w:tcPr>
          <w:p>
            <w:pPr>
              <w:spacing w:line="280" w:lineRule="atLeast"/>
              <w:jc w:val="center"/>
              <w:rPr>
                <w:rFonts w:ascii="Times New Roman" w:hAnsi="Times New Roman"/>
              </w:rPr>
            </w:pPr>
          </w:p>
        </w:tc>
        <w:tc>
          <w:tcPr>
            <w:tcW w:w="2325" w:type="dxa"/>
            <w:gridSpan w:val="2"/>
            <w:vMerge w:val="continue"/>
            <w:vAlign w:val="center"/>
          </w:tcPr>
          <w:p>
            <w:pPr>
              <w:jc w:val="center"/>
              <w:rPr>
                <w:rFonts w:ascii="Times New Roman" w:hAnsi="Times New Roman"/>
              </w:rPr>
            </w:pPr>
          </w:p>
        </w:tc>
        <w:tc>
          <w:tcPr>
            <w:tcW w:w="2607" w:type="dxa"/>
            <w:gridSpan w:val="2"/>
            <w:vMerge w:val="continue"/>
            <w:vAlign w:val="center"/>
          </w:tcPr>
          <w:p>
            <w:pPr>
              <w:jc w:val="center"/>
              <w:rPr>
                <w:rFonts w:ascii="Times New Roman" w:hAnsi="Times New Roman"/>
              </w:rPr>
            </w:pPr>
          </w:p>
        </w:tc>
        <w:tc>
          <w:tcPr>
            <w:tcW w:w="2586" w:type="dxa"/>
            <w:vMerge w:val="continue"/>
            <w:vAlign w:val="center"/>
          </w:tcPr>
          <w:p>
            <w:pPr>
              <w:rPr>
                <w:rFonts w:ascii="Times New Roman" w:hAnsi="Times New Roman"/>
                <w:kern w:val="2"/>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27" w:hRule="atLeast"/>
          <w:jc w:val="center"/>
        </w:trPr>
        <w:tc>
          <w:tcPr>
            <w:tcW w:w="559" w:type="dxa"/>
            <w:vMerge w:val="continue"/>
            <w:vAlign w:val="center"/>
          </w:tcPr>
          <w:p>
            <w:pPr>
              <w:spacing w:line="280" w:lineRule="atLeast"/>
              <w:rPr>
                <w:rFonts w:ascii="Times New Roman" w:hAnsi="Times New Roman"/>
                <w:kern w:val="2"/>
              </w:rPr>
            </w:pPr>
          </w:p>
        </w:tc>
        <w:tc>
          <w:tcPr>
            <w:tcW w:w="696" w:type="dxa"/>
            <w:vMerge w:val="continue"/>
            <w:vAlign w:val="center"/>
          </w:tcPr>
          <w:p>
            <w:pPr>
              <w:spacing w:line="280" w:lineRule="atLeast"/>
              <w:rPr>
                <w:rFonts w:ascii="Times New Roman" w:hAnsi="Times New Roman"/>
                <w:kern w:val="2"/>
              </w:rPr>
            </w:pPr>
          </w:p>
        </w:tc>
        <w:tc>
          <w:tcPr>
            <w:tcW w:w="1831" w:type="dxa"/>
            <w:gridSpan w:val="2"/>
            <w:vAlign w:val="center"/>
          </w:tcPr>
          <w:p>
            <w:pPr>
              <w:widowControl/>
              <w:spacing w:line="280" w:lineRule="exact"/>
              <w:jc w:val="center"/>
              <w:rPr>
                <w:rFonts w:ascii="Times New Roman" w:hAnsi="Times New Roman"/>
                <w:kern w:val="2"/>
              </w:rPr>
            </w:pPr>
            <w:r>
              <w:rPr>
                <w:rFonts w:ascii="Times New Roman" w:hAnsi="Times New Roman"/>
                <w:kern w:val="2"/>
              </w:rPr>
              <w:t>空压机</w:t>
            </w:r>
          </w:p>
        </w:tc>
        <w:tc>
          <w:tcPr>
            <w:tcW w:w="1261" w:type="dxa"/>
            <w:vMerge w:val="continue"/>
            <w:vAlign w:val="center"/>
          </w:tcPr>
          <w:p>
            <w:pPr>
              <w:widowControl/>
              <w:spacing w:line="280" w:lineRule="exact"/>
              <w:jc w:val="center"/>
              <w:rPr>
                <w:rFonts w:ascii="Times New Roman" w:hAnsi="Times New Roman"/>
                <w:kern w:val="2"/>
              </w:rPr>
            </w:pPr>
          </w:p>
        </w:tc>
        <w:tc>
          <w:tcPr>
            <w:tcW w:w="2042" w:type="dxa"/>
            <w:gridSpan w:val="2"/>
            <w:vMerge w:val="continue"/>
            <w:vAlign w:val="center"/>
          </w:tcPr>
          <w:p>
            <w:pPr>
              <w:widowControl/>
              <w:spacing w:line="280" w:lineRule="exact"/>
              <w:jc w:val="center"/>
              <w:rPr>
                <w:rFonts w:ascii="Times New Roman" w:hAnsi="Times New Roman"/>
                <w:kern w:val="2"/>
              </w:rPr>
            </w:pPr>
          </w:p>
        </w:tc>
        <w:tc>
          <w:tcPr>
            <w:tcW w:w="2325" w:type="dxa"/>
            <w:gridSpan w:val="2"/>
            <w:vMerge w:val="continue"/>
            <w:vAlign w:val="center"/>
          </w:tcPr>
          <w:p>
            <w:pPr>
              <w:jc w:val="center"/>
              <w:rPr>
                <w:rFonts w:ascii="Times New Roman" w:hAnsi="Times New Roman"/>
              </w:rPr>
            </w:pPr>
          </w:p>
        </w:tc>
        <w:tc>
          <w:tcPr>
            <w:tcW w:w="2607" w:type="dxa"/>
            <w:gridSpan w:val="2"/>
            <w:vMerge w:val="continue"/>
            <w:vAlign w:val="center"/>
          </w:tcPr>
          <w:p>
            <w:pPr>
              <w:jc w:val="center"/>
              <w:rPr>
                <w:rFonts w:ascii="Times New Roman" w:hAnsi="Times New Roman"/>
              </w:rPr>
            </w:pPr>
          </w:p>
        </w:tc>
        <w:tc>
          <w:tcPr>
            <w:tcW w:w="2586" w:type="dxa"/>
            <w:vMerge w:val="continue"/>
            <w:vAlign w:val="center"/>
          </w:tcPr>
          <w:p>
            <w:pPr>
              <w:rPr>
                <w:rFonts w:ascii="Times New Roman" w:hAnsi="Times New Roman"/>
                <w:kern w:val="2"/>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559" w:type="dxa"/>
            <w:vMerge w:val="continue"/>
            <w:vAlign w:val="center"/>
          </w:tcPr>
          <w:p>
            <w:pPr>
              <w:spacing w:line="280" w:lineRule="atLeast"/>
              <w:rPr>
                <w:rFonts w:ascii="Times New Roman" w:hAnsi="Times New Roman"/>
                <w:kern w:val="2"/>
              </w:rPr>
            </w:pPr>
          </w:p>
        </w:tc>
        <w:tc>
          <w:tcPr>
            <w:tcW w:w="696" w:type="dxa"/>
            <w:vMerge w:val="continue"/>
            <w:vAlign w:val="center"/>
          </w:tcPr>
          <w:p>
            <w:pPr>
              <w:spacing w:line="280" w:lineRule="atLeast"/>
              <w:rPr>
                <w:rFonts w:ascii="Times New Roman" w:hAnsi="Times New Roman"/>
                <w:kern w:val="2"/>
              </w:rPr>
            </w:pPr>
          </w:p>
        </w:tc>
        <w:tc>
          <w:tcPr>
            <w:tcW w:w="1831" w:type="dxa"/>
            <w:gridSpan w:val="2"/>
            <w:vAlign w:val="center"/>
          </w:tcPr>
          <w:p>
            <w:pPr>
              <w:widowControl/>
              <w:spacing w:line="280" w:lineRule="exact"/>
              <w:jc w:val="center"/>
              <w:rPr>
                <w:rFonts w:ascii="Times New Roman" w:hAnsi="Times New Roman"/>
                <w:kern w:val="2"/>
              </w:rPr>
            </w:pPr>
            <w:r>
              <w:rPr>
                <w:rFonts w:ascii="Times New Roman" w:hAnsi="Times New Roman"/>
                <w:kern w:val="2"/>
              </w:rPr>
              <w:t>风机</w:t>
            </w:r>
          </w:p>
        </w:tc>
        <w:tc>
          <w:tcPr>
            <w:tcW w:w="1261" w:type="dxa"/>
            <w:vMerge w:val="continue"/>
            <w:vAlign w:val="center"/>
          </w:tcPr>
          <w:p>
            <w:pPr>
              <w:widowControl/>
              <w:spacing w:line="280" w:lineRule="exact"/>
              <w:jc w:val="center"/>
              <w:rPr>
                <w:rFonts w:ascii="Times New Roman" w:hAnsi="Times New Roman"/>
                <w:kern w:val="2"/>
              </w:rPr>
            </w:pPr>
          </w:p>
        </w:tc>
        <w:tc>
          <w:tcPr>
            <w:tcW w:w="2042" w:type="dxa"/>
            <w:gridSpan w:val="2"/>
            <w:vMerge w:val="continue"/>
            <w:vAlign w:val="center"/>
          </w:tcPr>
          <w:p>
            <w:pPr>
              <w:widowControl/>
              <w:spacing w:line="280" w:lineRule="exact"/>
              <w:jc w:val="center"/>
              <w:rPr>
                <w:rFonts w:ascii="Times New Roman" w:hAnsi="Times New Roman"/>
                <w:kern w:val="2"/>
              </w:rPr>
            </w:pPr>
          </w:p>
        </w:tc>
        <w:tc>
          <w:tcPr>
            <w:tcW w:w="2325" w:type="dxa"/>
            <w:gridSpan w:val="2"/>
            <w:vMerge w:val="continue"/>
            <w:vAlign w:val="center"/>
          </w:tcPr>
          <w:p>
            <w:pPr>
              <w:jc w:val="center"/>
              <w:rPr>
                <w:rFonts w:ascii="Times New Roman" w:hAnsi="Times New Roman"/>
              </w:rPr>
            </w:pPr>
          </w:p>
        </w:tc>
        <w:tc>
          <w:tcPr>
            <w:tcW w:w="2607" w:type="dxa"/>
            <w:gridSpan w:val="2"/>
            <w:vMerge w:val="continue"/>
            <w:vAlign w:val="center"/>
          </w:tcPr>
          <w:p>
            <w:pPr>
              <w:jc w:val="center"/>
              <w:rPr>
                <w:rFonts w:ascii="Times New Roman" w:hAnsi="Times New Roman"/>
              </w:rPr>
            </w:pPr>
          </w:p>
        </w:tc>
        <w:tc>
          <w:tcPr>
            <w:tcW w:w="2586" w:type="dxa"/>
            <w:vMerge w:val="continue"/>
            <w:vAlign w:val="center"/>
          </w:tcPr>
          <w:p>
            <w:pPr>
              <w:rPr>
                <w:rFonts w:ascii="Times New Roman" w:hAnsi="Times New Roman"/>
                <w:kern w:val="2"/>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57" w:hRule="atLeast"/>
          <w:jc w:val="center"/>
        </w:trPr>
        <w:tc>
          <w:tcPr>
            <w:tcW w:w="559" w:type="dxa"/>
            <w:vMerge w:val="continue"/>
            <w:vAlign w:val="center"/>
          </w:tcPr>
          <w:p>
            <w:pPr>
              <w:spacing w:line="280" w:lineRule="atLeast"/>
              <w:rPr>
                <w:rFonts w:ascii="Times New Roman" w:hAnsi="Times New Roman"/>
                <w:kern w:val="2"/>
              </w:rPr>
            </w:pPr>
          </w:p>
        </w:tc>
        <w:tc>
          <w:tcPr>
            <w:tcW w:w="696" w:type="dxa"/>
            <w:vMerge w:val="continue"/>
            <w:vAlign w:val="center"/>
          </w:tcPr>
          <w:p>
            <w:pPr>
              <w:spacing w:line="280" w:lineRule="atLeast"/>
              <w:rPr>
                <w:rFonts w:ascii="Times New Roman" w:hAnsi="Times New Roman"/>
                <w:kern w:val="2"/>
              </w:rPr>
            </w:pPr>
          </w:p>
        </w:tc>
        <w:tc>
          <w:tcPr>
            <w:tcW w:w="1831" w:type="dxa"/>
            <w:gridSpan w:val="2"/>
            <w:vAlign w:val="center"/>
          </w:tcPr>
          <w:p>
            <w:pPr>
              <w:widowControl/>
              <w:spacing w:line="280" w:lineRule="exact"/>
              <w:jc w:val="center"/>
              <w:rPr>
                <w:rFonts w:ascii="Times New Roman" w:hAnsi="Times New Roman"/>
                <w:kern w:val="2"/>
              </w:rPr>
            </w:pPr>
            <w:r>
              <w:rPr>
                <w:rFonts w:ascii="Times New Roman" w:hAnsi="Times New Roman"/>
                <w:kern w:val="2"/>
              </w:rPr>
              <w:t>制冷机</w:t>
            </w:r>
          </w:p>
        </w:tc>
        <w:tc>
          <w:tcPr>
            <w:tcW w:w="1261" w:type="dxa"/>
            <w:vMerge w:val="continue"/>
            <w:vAlign w:val="center"/>
          </w:tcPr>
          <w:p>
            <w:pPr>
              <w:widowControl/>
              <w:spacing w:line="280" w:lineRule="exact"/>
              <w:jc w:val="center"/>
              <w:rPr>
                <w:rFonts w:ascii="Times New Roman" w:hAnsi="Times New Roman"/>
                <w:kern w:val="2"/>
              </w:rPr>
            </w:pPr>
          </w:p>
        </w:tc>
        <w:tc>
          <w:tcPr>
            <w:tcW w:w="2042" w:type="dxa"/>
            <w:gridSpan w:val="2"/>
            <w:vMerge w:val="continue"/>
            <w:vAlign w:val="center"/>
          </w:tcPr>
          <w:p>
            <w:pPr>
              <w:widowControl/>
              <w:spacing w:line="280" w:lineRule="exact"/>
              <w:jc w:val="center"/>
              <w:rPr>
                <w:rFonts w:ascii="Times New Roman" w:hAnsi="Times New Roman"/>
                <w:kern w:val="2"/>
              </w:rPr>
            </w:pPr>
          </w:p>
        </w:tc>
        <w:tc>
          <w:tcPr>
            <w:tcW w:w="2325" w:type="dxa"/>
            <w:gridSpan w:val="2"/>
            <w:vMerge w:val="continue"/>
            <w:vAlign w:val="center"/>
          </w:tcPr>
          <w:p>
            <w:pPr>
              <w:jc w:val="center"/>
              <w:rPr>
                <w:rFonts w:ascii="Times New Roman" w:hAnsi="Times New Roman"/>
              </w:rPr>
            </w:pPr>
          </w:p>
        </w:tc>
        <w:tc>
          <w:tcPr>
            <w:tcW w:w="2607" w:type="dxa"/>
            <w:gridSpan w:val="2"/>
            <w:vMerge w:val="continue"/>
            <w:vAlign w:val="center"/>
          </w:tcPr>
          <w:p>
            <w:pPr>
              <w:jc w:val="center"/>
              <w:rPr>
                <w:rFonts w:ascii="Times New Roman" w:hAnsi="Times New Roman"/>
              </w:rPr>
            </w:pPr>
          </w:p>
        </w:tc>
        <w:tc>
          <w:tcPr>
            <w:tcW w:w="2586" w:type="dxa"/>
            <w:vMerge w:val="continue"/>
            <w:vAlign w:val="center"/>
          </w:tcPr>
          <w:p>
            <w:pPr>
              <w:rPr>
                <w:rFonts w:ascii="Times New Roman" w:hAnsi="Times New Roman"/>
                <w:kern w:val="2"/>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559" w:type="dxa"/>
            <w:vMerge w:val="continue"/>
            <w:vAlign w:val="center"/>
          </w:tcPr>
          <w:p>
            <w:pPr>
              <w:spacing w:line="280" w:lineRule="exact"/>
              <w:rPr>
                <w:rFonts w:ascii="Times New Roman" w:hAnsi="Times New Roman"/>
              </w:rPr>
            </w:pPr>
          </w:p>
        </w:tc>
        <w:tc>
          <w:tcPr>
            <w:tcW w:w="696" w:type="dxa"/>
            <w:vMerge w:val="restart"/>
            <w:vAlign w:val="center"/>
          </w:tcPr>
          <w:p>
            <w:pPr>
              <w:spacing w:line="280" w:lineRule="exact"/>
              <w:rPr>
                <w:rFonts w:ascii="Times New Roman" w:hAnsi="Times New Roman"/>
              </w:rPr>
            </w:pPr>
            <w:r>
              <w:rPr>
                <w:rFonts w:ascii="Times New Roman" w:hAnsi="Times New Roman"/>
              </w:rPr>
              <w:t>固体</w:t>
            </w:r>
          </w:p>
          <w:p>
            <w:pPr>
              <w:spacing w:line="280" w:lineRule="exact"/>
              <w:rPr>
                <w:rFonts w:ascii="Times New Roman" w:hAnsi="Times New Roman"/>
              </w:rPr>
            </w:pPr>
            <w:r>
              <w:rPr>
                <w:rFonts w:ascii="Times New Roman" w:hAnsi="Times New Roman"/>
              </w:rPr>
              <w:t>废物</w:t>
            </w:r>
          </w:p>
        </w:tc>
        <w:tc>
          <w:tcPr>
            <w:tcW w:w="1831" w:type="dxa"/>
            <w:gridSpan w:val="2"/>
            <w:vAlign w:val="center"/>
          </w:tcPr>
          <w:p>
            <w:pPr>
              <w:pStyle w:val="160"/>
              <w:contextualSpacing/>
              <w:rPr>
                <w:rFonts w:cs="Times New Roman"/>
                <w:szCs w:val="21"/>
              </w:rPr>
            </w:pPr>
            <w:r>
              <w:rPr>
                <w:rFonts w:cs="Times New Roman"/>
                <w:kern w:val="0"/>
                <w:szCs w:val="21"/>
              </w:rPr>
              <w:t>医疗废物消毒破碎处理后的破碎废渣</w:t>
            </w:r>
          </w:p>
        </w:tc>
        <w:tc>
          <w:tcPr>
            <w:tcW w:w="1261" w:type="dxa"/>
            <w:vAlign w:val="center"/>
          </w:tcPr>
          <w:p>
            <w:pPr>
              <w:pStyle w:val="160"/>
              <w:contextualSpacing/>
              <w:rPr>
                <w:rFonts w:cs="Times New Roman"/>
                <w:szCs w:val="21"/>
              </w:rPr>
            </w:pPr>
            <w:r>
              <w:rPr>
                <w:rFonts w:hint="eastAsia" w:cs="Times New Roman"/>
                <w:bCs/>
                <w:kern w:val="0"/>
                <w:szCs w:val="21"/>
              </w:rPr>
              <w:t>编码为：H</w:t>
            </w:r>
            <w:r>
              <w:rPr>
                <w:rFonts w:cs="Times New Roman"/>
                <w:bCs/>
                <w:kern w:val="0"/>
                <w:szCs w:val="21"/>
              </w:rPr>
              <w:t>W01</w:t>
            </w:r>
            <w:r>
              <w:rPr>
                <w:rFonts w:hint="eastAsia" w:cs="Times New Roman"/>
                <w:bCs/>
                <w:kern w:val="0"/>
                <w:szCs w:val="21"/>
              </w:rPr>
              <w:t>医疗废物-</w:t>
            </w:r>
            <w:r>
              <w:rPr>
                <w:rFonts w:cs="Times New Roman"/>
                <w:bCs/>
                <w:kern w:val="0"/>
                <w:szCs w:val="21"/>
              </w:rPr>
              <w:t>841-001-01</w:t>
            </w:r>
            <w:r>
              <w:rPr>
                <w:rFonts w:hint="eastAsia" w:cs="Times New Roman"/>
                <w:bCs/>
                <w:kern w:val="0"/>
                <w:szCs w:val="21"/>
              </w:rPr>
              <w:t>和H</w:t>
            </w:r>
            <w:r>
              <w:rPr>
                <w:rFonts w:cs="Times New Roman"/>
                <w:bCs/>
                <w:kern w:val="0"/>
                <w:szCs w:val="21"/>
              </w:rPr>
              <w:t>W01</w:t>
            </w:r>
            <w:r>
              <w:rPr>
                <w:rFonts w:hint="eastAsia" w:cs="Times New Roman"/>
                <w:bCs/>
                <w:kern w:val="0"/>
                <w:szCs w:val="21"/>
              </w:rPr>
              <w:t>医疗废物-</w:t>
            </w:r>
            <w:r>
              <w:rPr>
                <w:rFonts w:cs="Times New Roman"/>
                <w:bCs/>
                <w:kern w:val="0"/>
                <w:szCs w:val="21"/>
              </w:rPr>
              <w:t>841-002-01</w:t>
            </w:r>
          </w:p>
        </w:tc>
        <w:tc>
          <w:tcPr>
            <w:tcW w:w="2042" w:type="dxa"/>
            <w:gridSpan w:val="2"/>
            <w:vAlign w:val="center"/>
          </w:tcPr>
          <w:p>
            <w:pPr>
              <w:pStyle w:val="160"/>
              <w:contextualSpacing/>
              <w:rPr>
                <w:rFonts w:cs="Times New Roman"/>
                <w:bCs/>
                <w:kern w:val="0"/>
                <w:szCs w:val="21"/>
              </w:rPr>
            </w:pPr>
            <w:r>
              <w:rPr>
                <w:rFonts w:cs="Times New Roman"/>
                <w:bCs/>
                <w:kern w:val="0"/>
                <w:szCs w:val="21"/>
              </w:rPr>
              <w:t>0</w:t>
            </w:r>
          </w:p>
        </w:tc>
        <w:tc>
          <w:tcPr>
            <w:tcW w:w="2325" w:type="dxa"/>
            <w:gridSpan w:val="2"/>
            <w:vAlign w:val="center"/>
          </w:tcPr>
          <w:p>
            <w:pPr>
              <w:pStyle w:val="160"/>
              <w:contextualSpacing/>
              <w:rPr>
                <w:rFonts w:cs="Times New Roman"/>
                <w:szCs w:val="21"/>
              </w:rPr>
            </w:pPr>
            <w:r>
              <w:rPr>
                <w:rFonts w:cs="Times New Roman"/>
                <w:bCs/>
                <w:kern w:val="0"/>
                <w:szCs w:val="21"/>
              </w:rPr>
              <w:t>0</w:t>
            </w:r>
          </w:p>
        </w:tc>
        <w:tc>
          <w:tcPr>
            <w:tcW w:w="2607" w:type="dxa"/>
            <w:gridSpan w:val="2"/>
            <w:vAlign w:val="center"/>
          </w:tcPr>
          <w:p>
            <w:pPr>
              <w:pStyle w:val="160"/>
              <w:contextualSpacing/>
              <w:rPr>
                <w:rFonts w:cs="Times New Roman"/>
                <w:bCs/>
                <w:kern w:val="0"/>
                <w:szCs w:val="21"/>
              </w:rPr>
            </w:pPr>
            <w:r>
              <w:rPr>
                <w:rFonts w:cs="Times New Roman"/>
                <w:bCs/>
                <w:kern w:val="0"/>
                <w:szCs w:val="21"/>
              </w:rPr>
              <w:t>0</w:t>
            </w:r>
          </w:p>
        </w:tc>
        <w:tc>
          <w:tcPr>
            <w:tcW w:w="2586" w:type="dxa"/>
            <w:vAlign w:val="center"/>
          </w:tcPr>
          <w:p>
            <w:pPr>
              <w:pStyle w:val="160"/>
              <w:contextualSpacing/>
              <w:jc w:val="both"/>
              <w:rPr>
                <w:rFonts w:cs="Times New Roman"/>
                <w:szCs w:val="21"/>
              </w:rPr>
            </w:pPr>
            <w:r>
              <w:rPr>
                <w:rFonts w:cs="Times New Roman"/>
                <w:bCs/>
                <w:kern w:val="0"/>
                <w:szCs w:val="21"/>
              </w:rPr>
              <w:t>运送至厂址东侧双鸭山市生活垃圾填埋场处理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559" w:type="dxa"/>
            <w:vMerge w:val="continue"/>
            <w:vAlign w:val="center"/>
          </w:tcPr>
          <w:p>
            <w:pPr>
              <w:spacing w:line="280" w:lineRule="exact"/>
              <w:rPr>
                <w:rFonts w:ascii="Times New Roman" w:hAnsi="Times New Roman"/>
              </w:rPr>
            </w:pPr>
          </w:p>
        </w:tc>
        <w:tc>
          <w:tcPr>
            <w:tcW w:w="696" w:type="dxa"/>
            <w:vMerge w:val="continue"/>
            <w:vAlign w:val="center"/>
          </w:tcPr>
          <w:p>
            <w:pPr>
              <w:spacing w:line="280" w:lineRule="exact"/>
              <w:rPr>
                <w:rFonts w:ascii="Times New Roman" w:hAnsi="Times New Roman"/>
              </w:rPr>
            </w:pPr>
          </w:p>
        </w:tc>
        <w:tc>
          <w:tcPr>
            <w:tcW w:w="1831" w:type="dxa"/>
            <w:gridSpan w:val="2"/>
            <w:vAlign w:val="center"/>
          </w:tcPr>
          <w:p>
            <w:pPr>
              <w:pStyle w:val="160"/>
              <w:contextualSpacing/>
              <w:rPr>
                <w:rFonts w:cs="Times New Roman"/>
                <w:kern w:val="0"/>
                <w:szCs w:val="21"/>
              </w:rPr>
            </w:pPr>
            <w:r>
              <w:rPr>
                <w:rFonts w:cs="Times New Roman"/>
                <w:kern w:val="0"/>
                <w:szCs w:val="21"/>
              </w:rPr>
              <w:t>废导热油</w:t>
            </w:r>
          </w:p>
        </w:tc>
        <w:tc>
          <w:tcPr>
            <w:tcW w:w="1261" w:type="dxa"/>
            <w:vAlign w:val="center"/>
          </w:tcPr>
          <w:p>
            <w:pPr>
              <w:pStyle w:val="160"/>
              <w:contextualSpacing/>
              <w:rPr>
                <w:rFonts w:cs="Times New Roman"/>
                <w:bCs/>
                <w:kern w:val="0"/>
                <w:szCs w:val="21"/>
              </w:rPr>
            </w:pPr>
            <w:r>
              <w:rPr>
                <w:rFonts w:cs="Times New Roman"/>
                <w:bCs/>
                <w:kern w:val="0"/>
                <w:szCs w:val="21"/>
              </w:rPr>
              <w:t>HW08-900-249-08</w:t>
            </w:r>
          </w:p>
        </w:tc>
        <w:tc>
          <w:tcPr>
            <w:tcW w:w="2042" w:type="dxa"/>
            <w:gridSpan w:val="2"/>
            <w:vAlign w:val="center"/>
          </w:tcPr>
          <w:p>
            <w:pPr>
              <w:pStyle w:val="160"/>
              <w:contextualSpacing/>
              <w:rPr>
                <w:rFonts w:cs="Times New Roman"/>
                <w:bCs/>
                <w:kern w:val="0"/>
                <w:szCs w:val="21"/>
              </w:rPr>
            </w:pPr>
            <w:r>
              <w:rPr>
                <w:rFonts w:cs="Times New Roman"/>
                <w:bCs/>
                <w:kern w:val="0"/>
                <w:szCs w:val="21"/>
              </w:rPr>
              <w:t>0</w:t>
            </w:r>
          </w:p>
        </w:tc>
        <w:tc>
          <w:tcPr>
            <w:tcW w:w="2325" w:type="dxa"/>
            <w:gridSpan w:val="2"/>
            <w:vAlign w:val="center"/>
          </w:tcPr>
          <w:p>
            <w:pPr>
              <w:pStyle w:val="160"/>
              <w:contextualSpacing/>
              <w:rPr>
                <w:rFonts w:cs="Times New Roman"/>
                <w:bCs/>
                <w:kern w:val="0"/>
                <w:szCs w:val="21"/>
              </w:rPr>
            </w:pPr>
            <w:r>
              <w:rPr>
                <w:rFonts w:cs="Times New Roman"/>
                <w:bCs/>
                <w:kern w:val="0"/>
                <w:szCs w:val="21"/>
              </w:rPr>
              <w:t>0</w:t>
            </w:r>
          </w:p>
        </w:tc>
        <w:tc>
          <w:tcPr>
            <w:tcW w:w="2607" w:type="dxa"/>
            <w:gridSpan w:val="2"/>
            <w:vAlign w:val="center"/>
          </w:tcPr>
          <w:p>
            <w:pPr>
              <w:pStyle w:val="160"/>
              <w:contextualSpacing/>
              <w:rPr>
                <w:rFonts w:cs="Times New Roman"/>
                <w:bCs/>
                <w:kern w:val="0"/>
                <w:szCs w:val="21"/>
              </w:rPr>
            </w:pPr>
            <w:r>
              <w:rPr>
                <w:rFonts w:cs="Times New Roman"/>
                <w:bCs/>
                <w:kern w:val="0"/>
                <w:szCs w:val="21"/>
              </w:rPr>
              <w:t>0</w:t>
            </w:r>
          </w:p>
        </w:tc>
        <w:tc>
          <w:tcPr>
            <w:tcW w:w="2586" w:type="dxa"/>
            <w:vAlign w:val="center"/>
          </w:tcPr>
          <w:p>
            <w:pPr>
              <w:pStyle w:val="160"/>
              <w:contextualSpacing/>
              <w:jc w:val="both"/>
              <w:rPr>
                <w:rFonts w:cs="Times New Roman"/>
                <w:bCs/>
                <w:kern w:val="0"/>
                <w:szCs w:val="21"/>
              </w:rPr>
            </w:pPr>
            <w:r>
              <w:rPr>
                <w:rFonts w:cs="Times New Roman"/>
                <w:bCs/>
                <w:kern w:val="0"/>
                <w:szCs w:val="21"/>
              </w:rPr>
              <w:t>交由黑龙江京盛华环保科技有限公司处置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559" w:type="dxa"/>
            <w:vMerge w:val="continue"/>
            <w:vAlign w:val="center"/>
          </w:tcPr>
          <w:p>
            <w:pPr>
              <w:spacing w:line="280" w:lineRule="atLeast"/>
              <w:rPr>
                <w:rFonts w:ascii="Times New Roman" w:hAnsi="Times New Roman"/>
              </w:rPr>
            </w:pPr>
          </w:p>
        </w:tc>
        <w:tc>
          <w:tcPr>
            <w:tcW w:w="696" w:type="dxa"/>
            <w:vMerge w:val="continue"/>
            <w:vAlign w:val="center"/>
          </w:tcPr>
          <w:p>
            <w:pPr>
              <w:spacing w:line="280" w:lineRule="atLeast"/>
              <w:rPr>
                <w:rFonts w:ascii="Times New Roman" w:hAnsi="Times New Roman"/>
              </w:rPr>
            </w:pPr>
          </w:p>
        </w:tc>
        <w:tc>
          <w:tcPr>
            <w:tcW w:w="1831" w:type="dxa"/>
            <w:gridSpan w:val="2"/>
            <w:vAlign w:val="center"/>
          </w:tcPr>
          <w:p>
            <w:pPr>
              <w:spacing w:line="280" w:lineRule="atLeast"/>
              <w:jc w:val="center"/>
              <w:rPr>
                <w:rFonts w:ascii="Times New Roman" w:hAnsi="Times New Roman"/>
              </w:rPr>
            </w:pPr>
            <w:r>
              <w:rPr>
                <w:rFonts w:ascii="Times New Roman" w:hAnsi="Times New Roman"/>
              </w:rPr>
              <w:t>废活性炭</w:t>
            </w:r>
          </w:p>
        </w:tc>
        <w:tc>
          <w:tcPr>
            <w:tcW w:w="1261" w:type="dxa"/>
            <w:vAlign w:val="center"/>
          </w:tcPr>
          <w:p>
            <w:pPr>
              <w:pStyle w:val="160"/>
              <w:contextualSpacing/>
              <w:rPr>
                <w:rFonts w:cs="Times New Roman"/>
                <w:bCs/>
                <w:kern w:val="0"/>
                <w:szCs w:val="21"/>
              </w:rPr>
            </w:pPr>
            <w:r>
              <w:rPr>
                <w:rFonts w:cs="Times New Roman"/>
                <w:bCs/>
                <w:kern w:val="0"/>
                <w:szCs w:val="21"/>
              </w:rPr>
              <w:t>HW49</w:t>
            </w:r>
          </w:p>
          <w:p>
            <w:pPr>
              <w:pStyle w:val="160"/>
              <w:contextualSpacing/>
              <w:rPr>
                <w:rFonts w:cs="Times New Roman"/>
                <w:szCs w:val="21"/>
              </w:rPr>
            </w:pPr>
            <w:r>
              <w:rPr>
                <w:rFonts w:cs="Times New Roman"/>
                <w:bCs/>
                <w:kern w:val="0"/>
                <w:szCs w:val="21"/>
              </w:rPr>
              <w:t>900-041-49</w:t>
            </w:r>
          </w:p>
        </w:tc>
        <w:tc>
          <w:tcPr>
            <w:tcW w:w="2042" w:type="dxa"/>
            <w:gridSpan w:val="2"/>
            <w:vAlign w:val="center"/>
          </w:tcPr>
          <w:p>
            <w:pPr>
              <w:pStyle w:val="160"/>
              <w:contextualSpacing/>
              <w:rPr>
                <w:rFonts w:cs="Times New Roman"/>
                <w:bCs/>
                <w:kern w:val="0"/>
                <w:szCs w:val="21"/>
              </w:rPr>
            </w:pPr>
            <w:r>
              <w:rPr>
                <w:rFonts w:cs="Times New Roman"/>
                <w:bCs/>
                <w:kern w:val="0"/>
                <w:szCs w:val="21"/>
              </w:rPr>
              <w:t>0</w:t>
            </w:r>
          </w:p>
        </w:tc>
        <w:tc>
          <w:tcPr>
            <w:tcW w:w="2325" w:type="dxa"/>
            <w:gridSpan w:val="2"/>
            <w:vAlign w:val="center"/>
          </w:tcPr>
          <w:p>
            <w:pPr>
              <w:pStyle w:val="160"/>
              <w:contextualSpacing/>
              <w:rPr>
                <w:rFonts w:cs="Times New Roman"/>
                <w:szCs w:val="21"/>
              </w:rPr>
            </w:pPr>
            <w:r>
              <w:rPr>
                <w:rFonts w:cs="Times New Roman"/>
                <w:bCs/>
                <w:kern w:val="0"/>
                <w:szCs w:val="21"/>
              </w:rPr>
              <w:t>0</w:t>
            </w:r>
          </w:p>
        </w:tc>
        <w:tc>
          <w:tcPr>
            <w:tcW w:w="2607" w:type="dxa"/>
            <w:gridSpan w:val="2"/>
            <w:vAlign w:val="center"/>
          </w:tcPr>
          <w:p>
            <w:pPr>
              <w:pStyle w:val="160"/>
              <w:contextualSpacing/>
              <w:rPr>
                <w:rFonts w:cs="Times New Roman"/>
                <w:bCs/>
                <w:kern w:val="0"/>
                <w:szCs w:val="21"/>
              </w:rPr>
            </w:pPr>
            <w:r>
              <w:rPr>
                <w:rFonts w:cs="Times New Roman"/>
                <w:bCs/>
                <w:kern w:val="0"/>
                <w:szCs w:val="21"/>
              </w:rPr>
              <w:t>0</w:t>
            </w:r>
          </w:p>
        </w:tc>
        <w:tc>
          <w:tcPr>
            <w:tcW w:w="2586" w:type="dxa"/>
            <w:vAlign w:val="center"/>
          </w:tcPr>
          <w:p>
            <w:pPr>
              <w:pStyle w:val="160"/>
              <w:contextualSpacing/>
              <w:jc w:val="both"/>
              <w:rPr>
                <w:rFonts w:cs="Times New Roman"/>
                <w:kern w:val="0"/>
                <w:szCs w:val="21"/>
              </w:rPr>
            </w:pPr>
            <w:r>
              <w:rPr>
                <w:rFonts w:cs="Times New Roman"/>
                <w:bCs/>
                <w:kern w:val="0"/>
                <w:szCs w:val="21"/>
              </w:rPr>
              <w:t>交由黑龙江京盛华环保科技有限公司处置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559" w:type="dxa"/>
            <w:vMerge w:val="continue"/>
            <w:vAlign w:val="center"/>
          </w:tcPr>
          <w:p>
            <w:pPr>
              <w:spacing w:line="280" w:lineRule="atLeast"/>
              <w:rPr>
                <w:rFonts w:ascii="Times New Roman" w:hAnsi="Times New Roman"/>
              </w:rPr>
            </w:pPr>
          </w:p>
        </w:tc>
        <w:tc>
          <w:tcPr>
            <w:tcW w:w="696" w:type="dxa"/>
            <w:vMerge w:val="continue"/>
            <w:vAlign w:val="center"/>
          </w:tcPr>
          <w:p>
            <w:pPr>
              <w:spacing w:line="280" w:lineRule="atLeast"/>
              <w:rPr>
                <w:rFonts w:ascii="Times New Roman" w:hAnsi="Times New Roman"/>
              </w:rPr>
            </w:pPr>
          </w:p>
        </w:tc>
        <w:tc>
          <w:tcPr>
            <w:tcW w:w="1831" w:type="dxa"/>
            <w:gridSpan w:val="2"/>
            <w:vAlign w:val="center"/>
          </w:tcPr>
          <w:p>
            <w:pPr>
              <w:spacing w:line="280" w:lineRule="atLeast"/>
              <w:jc w:val="center"/>
              <w:rPr>
                <w:rFonts w:ascii="Times New Roman" w:hAnsi="Times New Roman"/>
              </w:rPr>
            </w:pPr>
            <w:r>
              <w:rPr>
                <w:rFonts w:ascii="Times New Roman" w:hAnsi="Times New Roman"/>
              </w:rPr>
              <w:t>污泥</w:t>
            </w:r>
          </w:p>
        </w:tc>
        <w:tc>
          <w:tcPr>
            <w:tcW w:w="1261" w:type="dxa"/>
            <w:vMerge w:val="restart"/>
            <w:vAlign w:val="center"/>
          </w:tcPr>
          <w:p>
            <w:pPr>
              <w:pStyle w:val="160"/>
              <w:contextualSpacing/>
              <w:rPr>
                <w:rFonts w:cs="Times New Roman"/>
                <w:bCs/>
                <w:kern w:val="0"/>
                <w:szCs w:val="21"/>
              </w:rPr>
            </w:pPr>
            <w:r>
              <w:rPr>
                <w:rFonts w:cs="Times New Roman"/>
                <w:bCs/>
                <w:kern w:val="0"/>
                <w:szCs w:val="21"/>
              </w:rPr>
              <w:t>根据《医疗机构水污染物排放标准》( GB18466-2005 )， 属于危险废物</w:t>
            </w:r>
          </w:p>
        </w:tc>
        <w:tc>
          <w:tcPr>
            <w:tcW w:w="2042" w:type="dxa"/>
            <w:gridSpan w:val="2"/>
            <w:vAlign w:val="center"/>
          </w:tcPr>
          <w:p>
            <w:pPr>
              <w:pStyle w:val="160"/>
              <w:contextualSpacing/>
              <w:rPr>
                <w:rFonts w:cs="Times New Roman"/>
                <w:bCs/>
                <w:kern w:val="0"/>
                <w:szCs w:val="21"/>
              </w:rPr>
            </w:pPr>
            <w:r>
              <w:rPr>
                <w:rFonts w:cs="Times New Roman"/>
                <w:bCs/>
                <w:kern w:val="0"/>
                <w:szCs w:val="21"/>
              </w:rPr>
              <w:t>0</w:t>
            </w:r>
          </w:p>
        </w:tc>
        <w:tc>
          <w:tcPr>
            <w:tcW w:w="2325" w:type="dxa"/>
            <w:gridSpan w:val="2"/>
            <w:vAlign w:val="center"/>
          </w:tcPr>
          <w:p>
            <w:pPr>
              <w:pStyle w:val="160"/>
              <w:contextualSpacing/>
              <w:rPr>
                <w:rFonts w:cs="Times New Roman"/>
                <w:bCs/>
                <w:kern w:val="0"/>
                <w:szCs w:val="21"/>
              </w:rPr>
            </w:pPr>
            <w:r>
              <w:rPr>
                <w:rFonts w:cs="Times New Roman"/>
                <w:bCs/>
                <w:kern w:val="0"/>
                <w:szCs w:val="21"/>
              </w:rPr>
              <w:t>0</w:t>
            </w:r>
          </w:p>
        </w:tc>
        <w:tc>
          <w:tcPr>
            <w:tcW w:w="2607" w:type="dxa"/>
            <w:gridSpan w:val="2"/>
            <w:vAlign w:val="center"/>
          </w:tcPr>
          <w:p>
            <w:pPr>
              <w:pStyle w:val="160"/>
              <w:contextualSpacing/>
              <w:rPr>
                <w:rFonts w:cs="Times New Roman"/>
                <w:bCs/>
                <w:kern w:val="0"/>
                <w:szCs w:val="21"/>
              </w:rPr>
            </w:pPr>
            <w:r>
              <w:rPr>
                <w:rFonts w:cs="Times New Roman"/>
                <w:bCs/>
                <w:kern w:val="0"/>
                <w:szCs w:val="21"/>
              </w:rPr>
              <w:t>0</w:t>
            </w:r>
          </w:p>
        </w:tc>
        <w:tc>
          <w:tcPr>
            <w:tcW w:w="2586" w:type="dxa"/>
            <w:vAlign w:val="center"/>
          </w:tcPr>
          <w:p>
            <w:pPr>
              <w:pStyle w:val="160"/>
              <w:contextualSpacing/>
              <w:jc w:val="both"/>
              <w:rPr>
                <w:rFonts w:cs="Times New Roman"/>
                <w:bCs/>
                <w:kern w:val="0"/>
                <w:szCs w:val="21"/>
              </w:rPr>
            </w:pPr>
            <w:r>
              <w:rPr>
                <w:rFonts w:cs="Times New Roman"/>
                <w:bCs/>
                <w:kern w:val="0"/>
                <w:szCs w:val="21"/>
              </w:rPr>
              <w:t>交由黑龙江京盛华环保科技有限公司处置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559" w:type="dxa"/>
            <w:vMerge w:val="continue"/>
            <w:vAlign w:val="center"/>
          </w:tcPr>
          <w:p>
            <w:pPr>
              <w:spacing w:line="280" w:lineRule="atLeast"/>
              <w:rPr>
                <w:rFonts w:ascii="Times New Roman" w:hAnsi="Times New Roman"/>
              </w:rPr>
            </w:pPr>
          </w:p>
        </w:tc>
        <w:tc>
          <w:tcPr>
            <w:tcW w:w="696" w:type="dxa"/>
            <w:vMerge w:val="continue"/>
            <w:vAlign w:val="center"/>
          </w:tcPr>
          <w:p>
            <w:pPr>
              <w:spacing w:line="280" w:lineRule="atLeast"/>
              <w:rPr>
                <w:rFonts w:ascii="Times New Roman" w:hAnsi="Times New Roman"/>
              </w:rPr>
            </w:pPr>
          </w:p>
        </w:tc>
        <w:tc>
          <w:tcPr>
            <w:tcW w:w="1831" w:type="dxa"/>
            <w:gridSpan w:val="2"/>
            <w:vAlign w:val="center"/>
          </w:tcPr>
          <w:p>
            <w:pPr>
              <w:spacing w:line="280" w:lineRule="atLeast"/>
              <w:jc w:val="center"/>
              <w:rPr>
                <w:rFonts w:ascii="Times New Roman" w:hAnsi="Times New Roman"/>
              </w:rPr>
            </w:pPr>
            <w:r>
              <w:rPr>
                <w:rFonts w:hint="eastAsia" w:ascii="Times New Roman" w:hAnsi="Times New Roman"/>
              </w:rPr>
              <w:t>栅渣</w:t>
            </w:r>
          </w:p>
        </w:tc>
        <w:tc>
          <w:tcPr>
            <w:tcW w:w="1261" w:type="dxa"/>
            <w:vMerge w:val="continue"/>
            <w:vAlign w:val="center"/>
          </w:tcPr>
          <w:p>
            <w:pPr>
              <w:pStyle w:val="160"/>
              <w:contextualSpacing/>
              <w:rPr>
                <w:rFonts w:cs="Times New Roman"/>
                <w:bCs/>
                <w:kern w:val="0"/>
                <w:szCs w:val="21"/>
              </w:rPr>
            </w:pPr>
          </w:p>
        </w:tc>
        <w:tc>
          <w:tcPr>
            <w:tcW w:w="2042" w:type="dxa"/>
            <w:gridSpan w:val="2"/>
            <w:vAlign w:val="center"/>
          </w:tcPr>
          <w:p>
            <w:pPr>
              <w:pStyle w:val="160"/>
              <w:contextualSpacing/>
              <w:rPr>
                <w:rFonts w:cs="Times New Roman"/>
                <w:bCs/>
                <w:kern w:val="0"/>
                <w:szCs w:val="21"/>
              </w:rPr>
            </w:pPr>
            <w:r>
              <w:rPr>
                <w:rFonts w:hint="eastAsia" w:cs="Times New Roman"/>
                <w:bCs/>
                <w:kern w:val="0"/>
                <w:szCs w:val="21"/>
              </w:rPr>
              <w:t>0</w:t>
            </w:r>
          </w:p>
        </w:tc>
        <w:tc>
          <w:tcPr>
            <w:tcW w:w="2325" w:type="dxa"/>
            <w:gridSpan w:val="2"/>
            <w:vAlign w:val="center"/>
          </w:tcPr>
          <w:p>
            <w:pPr>
              <w:pStyle w:val="160"/>
              <w:contextualSpacing/>
              <w:rPr>
                <w:rFonts w:cs="Times New Roman"/>
                <w:bCs/>
                <w:kern w:val="0"/>
                <w:szCs w:val="21"/>
              </w:rPr>
            </w:pPr>
            <w:r>
              <w:rPr>
                <w:rFonts w:hint="eastAsia" w:cs="Times New Roman"/>
                <w:bCs/>
                <w:kern w:val="0"/>
                <w:szCs w:val="21"/>
              </w:rPr>
              <w:t>0</w:t>
            </w:r>
          </w:p>
        </w:tc>
        <w:tc>
          <w:tcPr>
            <w:tcW w:w="2607" w:type="dxa"/>
            <w:gridSpan w:val="2"/>
            <w:vAlign w:val="center"/>
          </w:tcPr>
          <w:p>
            <w:pPr>
              <w:pStyle w:val="160"/>
              <w:contextualSpacing/>
              <w:rPr>
                <w:rFonts w:cs="Times New Roman"/>
                <w:bCs/>
                <w:kern w:val="0"/>
                <w:szCs w:val="21"/>
              </w:rPr>
            </w:pPr>
            <w:r>
              <w:rPr>
                <w:rFonts w:hint="eastAsia" w:cs="Times New Roman"/>
                <w:bCs/>
                <w:kern w:val="0"/>
                <w:szCs w:val="21"/>
              </w:rPr>
              <w:t>0</w:t>
            </w:r>
          </w:p>
        </w:tc>
        <w:tc>
          <w:tcPr>
            <w:tcW w:w="2586" w:type="dxa"/>
            <w:vAlign w:val="center"/>
          </w:tcPr>
          <w:p>
            <w:pPr>
              <w:pStyle w:val="160"/>
              <w:contextualSpacing/>
              <w:jc w:val="both"/>
              <w:rPr>
                <w:rFonts w:cs="Times New Roman"/>
                <w:bCs/>
                <w:kern w:val="0"/>
                <w:szCs w:val="21"/>
              </w:rPr>
            </w:pPr>
            <w:r>
              <w:rPr>
                <w:rFonts w:cs="Times New Roman"/>
                <w:bCs/>
                <w:kern w:val="0"/>
                <w:szCs w:val="21"/>
              </w:rPr>
              <w:t>交由黑龙江京盛华环保科技有限公司处置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559" w:type="dxa"/>
            <w:vMerge w:val="continue"/>
            <w:vAlign w:val="center"/>
          </w:tcPr>
          <w:p>
            <w:pPr>
              <w:spacing w:line="280" w:lineRule="atLeast"/>
              <w:rPr>
                <w:rFonts w:ascii="Times New Roman" w:hAnsi="Times New Roman"/>
              </w:rPr>
            </w:pPr>
          </w:p>
        </w:tc>
        <w:tc>
          <w:tcPr>
            <w:tcW w:w="696" w:type="dxa"/>
            <w:vMerge w:val="continue"/>
            <w:vAlign w:val="center"/>
          </w:tcPr>
          <w:p>
            <w:pPr>
              <w:spacing w:line="280" w:lineRule="atLeast"/>
              <w:rPr>
                <w:rFonts w:ascii="Times New Roman" w:hAnsi="Times New Roman"/>
              </w:rPr>
            </w:pPr>
          </w:p>
        </w:tc>
        <w:tc>
          <w:tcPr>
            <w:tcW w:w="1831" w:type="dxa"/>
            <w:gridSpan w:val="2"/>
            <w:vAlign w:val="center"/>
          </w:tcPr>
          <w:p>
            <w:pPr>
              <w:spacing w:line="280" w:lineRule="atLeast"/>
              <w:jc w:val="center"/>
              <w:rPr>
                <w:rFonts w:ascii="Times New Roman" w:hAnsi="Times New Roman"/>
              </w:rPr>
            </w:pPr>
            <w:r>
              <w:rPr>
                <w:rFonts w:ascii="Times New Roman" w:hAnsi="Times New Roman"/>
              </w:rPr>
              <w:t>生活垃圾</w:t>
            </w:r>
          </w:p>
        </w:tc>
        <w:tc>
          <w:tcPr>
            <w:tcW w:w="1261" w:type="dxa"/>
            <w:vAlign w:val="center"/>
          </w:tcPr>
          <w:p>
            <w:pPr>
              <w:pStyle w:val="160"/>
              <w:contextualSpacing/>
              <w:rPr>
                <w:rFonts w:cs="Times New Roman"/>
                <w:bCs/>
                <w:kern w:val="0"/>
                <w:szCs w:val="21"/>
              </w:rPr>
            </w:pPr>
            <w:r>
              <w:rPr>
                <w:rFonts w:cs="Times New Roman"/>
                <w:kern w:val="0"/>
                <w:szCs w:val="21"/>
              </w:rPr>
              <w:t>生活垃圾</w:t>
            </w:r>
          </w:p>
        </w:tc>
        <w:tc>
          <w:tcPr>
            <w:tcW w:w="2042" w:type="dxa"/>
            <w:gridSpan w:val="2"/>
            <w:vAlign w:val="center"/>
          </w:tcPr>
          <w:p>
            <w:pPr>
              <w:pStyle w:val="160"/>
              <w:contextualSpacing/>
              <w:rPr>
                <w:rFonts w:cs="Times New Roman"/>
                <w:bCs/>
                <w:kern w:val="0"/>
                <w:szCs w:val="21"/>
              </w:rPr>
            </w:pPr>
            <w:r>
              <w:rPr>
                <w:rFonts w:cs="Times New Roman"/>
                <w:bCs/>
                <w:kern w:val="0"/>
                <w:szCs w:val="21"/>
              </w:rPr>
              <w:t>0</w:t>
            </w:r>
          </w:p>
        </w:tc>
        <w:tc>
          <w:tcPr>
            <w:tcW w:w="2325" w:type="dxa"/>
            <w:gridSpan w:val="2"/>
            <w:vAlign w:val="center"/>
          </w:tcPr>
          <w:p>
            <w:pPr>
              <w:pStyle w:val="160"/>
              <w:contextualSpacing/>
              <w:rPr>
                <w:rFonts w:cs="Times New Roman"/>
                <w:bCs/>
                <w:kern w:val="0"/>
                <w:szCs w:val="21"/>
              </w:rPr>
            </w:pPr>
            <w:r>
              <w:rPr>
                <w:rFonts w:cs="Times New Roman"/>
                <w:bCs/>
                <w:kern w:val="0"/>
                <w:szCs w:val="21"/>
              </w:rPr>
              <w:t>/</w:t>
            </w:r>
          </w:p>
        </w:tc>
        <w:tc>
          <w:tcPr>
            <w:tcW w:w="2607" w:type="dxa"/>
            <w:gridSpan w:val="2"/>
            <w:vAlign w:val="center"/>
          </w:tcPr>
          <w:p>
            <w:pPr>
              <w:pStyle w:val="160"/>
              <w:contextualSpacing/>
              <w:rPr>
                <w:rFonts w:cs="Times New Roman"/>
                <w:bCs/>
                <w:kern w:val="0"/>
                <w:szCs w:val="21"/>
              </w:rPr>
            </w:pPr>
            <w:r>
              <w:rPr>
                <w:rFonts w:cs="Times New Roman"/>
                <w:bCs/>
                <w:kern w:val="0"/>
                <w:szCs w:val="21"/>
              </w:rPr>
              <w:t>0</w:t>
            </w:r>
          </w:p>
        </w:tc>
        <w:tc>
          <w:tcPr>
            <w:tcW w:w="2586" w:type="dxa"/>
            <w:vAlign w:val="center"/>
          </w:tcPr>
          <w:p>
            <w:pPr>
              <w:pStyle w:val="160"/>
              <w:contextualSpacing/>
              <w:jc w:val="both"/>
              <w:rPr>
                <w:rFonts w:cs="Times New Roman"/>
                <w:bCs/>
                <w:kern w:val="0"/>
                <w:szCs w:val="21"/>
              </w:rPr>
            </w:pPr>
            <w:r>
              <w:rPr>
                <w:rFonts w:cs="Times New Roman"/>
                <w:bCs/>
                <w:kern w:val="0"/>
                <w:szCs w:val="21"/>
              </w:rPr>
              <w:t>交由环卫部门处置</w:t>
            </w:r>
          </w:p>
        </w:tc>
      </w:tr>
    </w:tbl>
    <w:p>
      <w:pPr>
        <w:rPr>
          <w:rFonts w:ascii="Times New Roman" w:hAnsi="Times New Roman"/>
        </w:rPr>
        <w:sectPr>
          <w:pgSz w:w="16839" w:h="11907" w:orient="landscape"/>
          <w:pgMar w:top="1440" w:right="1797" w:bottom="1440" w:left="1797" w:header="851" w:footer="850" w:gutter="0"/>
          <w:cols w:space="720" w:num="1"/>
          <w:docGrid w:linePitch="312" w:charSpace="0"/>
        </w:sectPr>
      </w:pPr>
    </w:p>
    <w:bookmarkEnd w:id="1532"/>
    <w:bookmarkEnd w:id="1533"/>
    <w:bookmarkEnd w:id="1534"/>
    <w:bookmarkEnd w:id="1535"/>
    <w:bookmarkEnd w:id="1589"/>
    <w:bookmarkEnd w:id="1590"/>
    <w:bookmarkEnd w:id="1591"/>
    <w:bookmarkEnd w:id="1592"/>
    <w:bookmarkEnd w:id="1593"/>
    <w:bookmarkEnd w:id="1594"/>
    <w:bookmarkEnd w:id="1595"/>
    <w:bookmarkEnd w:id="1596"/>
    <w:bookmarkEnd w:id="1597"/>
    <w:p>
      <w:pPr>
        <w:pStyle w:val="2"/>
        <w:numPr>
          <w:ilvl w:val="0"/>
          <w:numId w:val="2"/>
        </w:numPr>
        <w:jc w:val="both"/>
        <w:rPr>
          <w:color w:val="auto"/>
        </w:rPr>
      </w:pPr>
      <w:bookmarkStart w:id="1598" w:name="_Toc116379737"/>
      <w:r>
        <w:rPr>
          <w:color w:val="auto"/>
        </w:rPr>
        <w:t>环境影响评价结论</w:t>
      </w:r>
      <w:bookmarkEnd w:id="1598"/>
    </w:p>
    <w:p>
      <w:pPr>
        <w:pStyle w:val="3"/>
        <w:spacing w:before="120" w:beforeLines="50" w:after="120" w:afterLines="50" w:line="480" w:lineRule="exact"/>
        <w:ind w:left="-11"/>
        <w:rPr>
          <w:rFonts w:ascii="Times New Roman" w:hAnsi="Times New Roman" w:eastAsia="黑体"/>
          <w:sz w:val="30"/>
          <w:szCs w:val="30"/>
        </w:rPr>
      </w:pPr>
      <w:bookmarkStart w:id="1599" w:name="_Toc116379738"/>
      <w:r>
        <w:rPr>
          <w:rFonts w:ascii="Times New Roman" w:hAnsi="Times New Roman" w:eastAsia="黑体"/>
          <w:sz w:val="30"/>
          <w:szCs w:val="30"/>
        </w:rPr>
        <w:t>评价结论</w:t>
      </w:r>
      <w:bookmarkEnd w:id="1599"/>
    </w:p>
    <w:p>
      <w:pPr>
        <w:pStyle w:val="4"/>
        <w:spacing w:before="120" w:beforeLines="50" w:after="120" w:afterLines="50" w:line="480" w:lineRule="exact"/>
        <w:rPr>
          <w:rFonts w:ascii="Times New Roman" w:hAnsi="Times New Roman" w:eastAsia="黑体"/>
          <w:bCs/>
          <w:sz w:val="28"/>
          <w:szCs w:val="28"/>
        </w:rPr>
      </w:pPr>
      <w:bookmarkStart w:id="1600" w:name="_Toc416967055"/>
      <w:bookmarkStart w:id="1601" w:name="_Toc535348553"/>
      <w:bookmarkStart w:id="1602" w:name="_Toc406572639"/>
      <w:bookmarkStart w:id="1603" w:name="_Toc464036881"/>
      <w:bookmarkStart w:id="1604" w:name="_Toc535169017"/>
      <w:bookmarkStart w:id="1605" w:name="_Toc534537730"/>
      <w:bookmarkStart w:id="1606" w:name="_Toc458063992"/>
      <w:bookmarkStart w:id="1607" w:name="_Toc406772178"/>
      <w:bookmarkStart w:id="1608" w:name="_Toc407350394"/>
      <w:bookmarkStart w:id="1609" w:name="_Toc487111586"/>
      <w:bookmarkStart w:id="1610" w:name="_Toc482020764"/>
      <w:bookmarkStart w:id="1611" w:name="_Toc532556711"/>
      <w:bookmarkStart w:id="1612" w:name="_Toc480983974"/>
      <w:bookmarkStart w:id="1613" w:name="_Toc486970483"/>
      <w:bookmarkStart w:id="1614" w:name="_Toc527205839"/>
      <w:bookmarkStart w:id="1615" w:name="_Toc466271535"/>
      <w:bookmarkStart w:id="1616" w:name="_Toc497228926"/>
      <w:bookmarkStart w:id="1617" w:name="_Toc480190591"/>
      <w:bookmarkStart w:id="1618" w:name="_Toc409530087"/>
      <w:bookmarkStart w:id="1619" w:name="_Toc530656074"/>
      <w:bookmarkStart w:id="1620" w:name="_Toc347586325"/>
      <w:bookmarkStart w:id="1621" w:name="_Toc453709096"/>
      <w:bookmarkStart w:id="1622" w:name="_Toc9843902"/>
      <w:bookmarkStart w:id="1623" w:name="_Toc27134402"/>
      <w:bookmarkStart w:id="1624" w:name="_Toc27822"/>
      <w:bookmarkStart w:id="1625" w:name="_Toc14595"/>
      <w:bookmarkStart w:id="1626" w:name="_Toc16225"/>
      <w:bookmarkStart w:id="1627" w:name="_Toc26188109"/>
      <w:bookmarkStart w:id="1628" w:name="_Toc26049"/>
      <w:bookmarkStart w:id="1629" w:name="_Toc22252"/>
      <w:r>
        <w:rPr>
          <w:rFonts w:ascii="Times New Roman" w:hAnsi="Times New Roman" w:eastAsia="黑体"/>
          <w:bCs/>
          <w:sz w:val="28"/>
          <w:szCs w:val="28"/>
        </w:rPr>
        <w:t>项目</w:t>
      </w:r>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r>
        <w:rPr>
          <w:rFonts w:ascii="Times New Roman" w:hAnsi="Times New Roman" w:eastAsia="黑体"/>
          <w:bCs/>
          <w:sz w:val="28"/>
          <w:szCs w:val="28"/>
        </w:rPr>
        <w:t>概况</w:t>
      </w:r>
      <w:bookmarkEnd w:id="1622"/>
      <w:bookmarkEnd w:id="1623"/>
      <w:bookmarkEnd w:id="1624"/>
      <w:bookmarkEnd w:id="1625"/>
      <w:bookmarkEnd w:id="1626"/>
      <w:bookmarkEnd w:id="1627"/>
      <w:bookmarkEnd w:id="1628"/>
      <w:bookmarkEnd w:id="1629"/>
    </w:p>
    <w:p>
      <w:pPr>
        <w:pStyle w:val="155"/>
        <w:spacing w:line="480" w:lineRule="exact"/>
        <w:ind w:firstLine="480"/>
        <w:rPr>
          <w:szCs w:val="24"/>
        </w:rPr>
      </w:pPr>
      <w:r>
        <w:rPr>
          <w:szCs w:val="24"/>
        </w:rPr>
        <w:t>黑龙江省双鸭山市医疗废物集中处置中心在</w:t>
      </w:r>
      <w:r>
        <w:t>双鸭山市四方台梨花盖子沟垃圾处理场院内</w:t>
      </w:r>
      <w:r>
        <w:rPr>
          <w:szCs w:val="24"/>
        </w:rPr>
        <w:t>。项目在黑龙江省双鸭山市医疗废物集中处置中心原有的3t/d处理设备基础上新增1条5t/d处理设备，扩能提质到日处理8t/d规模。同时为完善县级地区医疗废物收集转运处置体系。项目</w:t>
      </w:r>
      <w:r>
        <w:t>现有工程占地面积3093m</w:t>
      </w:r>
      <w:r>
        <w:rPr>
          <w:vertAlign w:val="superscript"/>
        </w:rPr>
        <w:t>2</w:t>
      </w:r>
      <w:r>
        <w:t>，本次改扩建不新增占地</w:t>
      </w:r>
      <w:r>
        <w:rPr>
          <w:szCs w:val="24"/>
        </w:rPr>
        <w:t>。项目</w:t>
      </w:r>
      <w:r>
        <w:t>现有工程</w:t>
      </w:r>
      <w:r>
        <w:rPr>
          <w:szCs w:val="24"/>
        </w:rPr>
        <w:t>工作人员22人，实行2班制，每班工作8h，年工作日为365天。</w:t>
      </w:r>
      <w:r>
        <w:t>本次改扩建不新增</w:t>
      </w:r>
      <w:r>
        <w:rPr>
          <w:szCs w:val="24"/>
        </w:rPr>
        <w:t>劳动定员，不改变生产制度。</w:t>
      </w:r>
    </w:p>
    <w:p>
      <w:pPr>
        <w:pStyle w:val="4"/>
        <w:spacing w:before="120" w:beforeLines="50" w:after="120" w:afterLines="50" w:line="480" w:lineRule="exact"/>
        <w:rPr>
          <w:rFonts w:ascii="Times New Roman" w:hAnsi="Times New Roman" w:eastAsia="黑体"/>
          <w:bCs/>
          <w:sz w:val="28"/>
          <w:szCs w:val="28"/>
        </w:rPr>
      </w:pPr>
      <w:bookmarkStart w:id="1630" w:name="_Toc27626"/>
      <w:bookmarkStart w:id="1631" w:name="_Toc26188110"/>
      <w:bookmarkStart w:id="1632" w:name="_Toc9843903"/>
      <w:bookmarkStart w:id="1633" w:name="_Toc20953"/>
      <w:bookmarkStart w:id="1634" w:name="_Toc27134403"/>
      <w:bookmarkStart w:id="1635" w:name="_Toc28569"/>
      <w:bookmarkStart w:id="1636" w:name="_Toc13522"/>
      <w:bookmarkStart w:id="1637" w:name="_Toc10459"/>
      <w:r>
        <w:rPr>
          <w:rFonts w:ascii="Times New Roman" w:hAnsi="Times New Roman" w:eastAsia="黑体"/>
          <w:bCs/>
          <w:sz w:val="28"/>
          <w:szCs w:val="28"/>
        </w:rPr>
        <w:t>与产业政策和相关规划的符合性</w:t>
      </w:r>
      <w:bookmarkEnd w:id="1630"/>
      <w:bookmarkEnd w:id="1631"/>
      <w:bookmarkEnd w:id="1632"/>
      <w:bookmarkEnd w:id="1633"/>
      <w:bookmarkEnd w:id="1634"/>
      <w:bookmarkEnd w:id="1635"/>
      <w:bookmarkEnd w:id="1636"/>
      <w:bookmarkEnd w:id="1637"/>
    </w:p>
    <w:p>
      <w:pPr>
        <w:pStyle w:val="528"/>
        <w:spacing w:before="0" w:after="0" w:line="480" w:lineRule="exact"/>
        <w:ind w:firstLine="480" w:firstLineChars="200"/>
        <w:rPr>
          <w:rFonts w:cs="Times New Roman"/>
          <w:szCs w:val="24"/>
        </w:rPr>
      </w:pPr>
      <w:r>
        <w:rPr>
          <w:rFonts w:cs="Times New Roman"/>
        </w:rPr>
        <w:t>根据《产业结构调整指导目录》（2019年本），本项目属于鼓励类“</w:t>
      </w:r>
      <w:r>
        <w:rPr>
          <w:rFonts w:cs="Times New Roman"/>
          <w:szCs w:val="24"/>
        </w:rPr>
        <w:t>四十三、环境保护与资源节约综合利用 8、危险废物（医疗废物）及含重金属废物安全处置技术设备开发制造及处置中心建设及运营</w:t>
      </w:r>
      <w:r>
        <w:rPr>
          <w:rFonts w:cs="Times New Roman"/>
        </w:rPr>
        <w:t>”项目，符合国家产业政策要求</w:t>
      </w:r>
      <w:r>
        <w:rPr>
          <w:rFonts w:cs="Times New Roman"/>
          <w:szCs w:val="24"/>
        </w:rPr>
        <w:t>。本项目符合《危险废物贮存污染控制标准》（GB18597-2001）及修改单、《危险废物收集、贮存、运输技术规范》（HJ2025-2012）、《危险废物处置工程技术导则》（HJ2025-2012）、《医疗废物处理处置污染防治最佳可行技术指南（试行）》、《危险废物和医疗废物处置设施建设项目环境影响评价技术原则》（试行）、《全国危险废物和医疗废物处置设施建设规划》、“三线一单”等政策要求。</w:t>
      </w:r>
    </w:p>
    <w:p>
      <w:pPr>
        <w:pStyle w:val="528"/>
        <w:spacing w:before="0" w:after="0" w:line="480" w:lineRule="exact"/>
        <w:ind w:firstLine="480" w:firstLineChars="200"/>
        <w:rPr>
          <w:rFonts w:cs="Times New Roman"/>
          <w:szCs w:val="24"/>
        </w:rPr>
      </w:pPr>
      <w:r>
        <w:rPr>
          <w:rFonts w:cs="Times New Roman"/>
          <w:szCs w:val="24"/>
        </w:rPr>
        <w:t>综上所述，本项目的建设符合现行的产业政策和相关规划要求。</w:t>
      </w:r>
    </w:p>
    <w:p>
      <w:pPr>
        <w:pStyle w:val="4"/>
        <w:spacing w:before="120" w:beforeLines="50" w:after="120" w:afterLines="50" w:line="480" w:lineRule="exact"/>
        <w:rPr>
          <w:rFonts w:ascii="Times New Roman" w:hAnsi="Times New Roman" w:eastAsia="黑体"/>
          <w:bCs/>
          <w:sz w:val="28"/>
          <w:szCs w:val="28"/>
        </w:rPr>
      </w:pPr>
      <w:bookmarkStart w:id="1638" w:name="_Toc347586327"/>
      <w:bookmarkStart w:id="1639" w:name="_Toc406572640"/>
      <w:bookmarkStart w:id="1640" w:name="_Toc407350395"/>
      <w:bookmarkStart w:id="1641" w:name="_Toc406772179"/>
      <w:bookmarkStart w:id="1642" w:name="_Toc482020765"/>
      <w:bookmarkStart w:id="1643" w:name="_Toc530656075"/>
      <w:bookmarkStart w:id="1644" w:name="_Toc6345"/>
      <w:bookmarkStart w:id="1645" w:name="_Toc497228927"/>
      <w:bookmarkStart w:id="1646" w:name="_Toc409530088"/>
      <w:bookmarkStart w:id="1647" w:name="_Toc416967056"/>
      <w:bookmarkStart w:id="1648" w:name="_Toc480190592"/>
      <w:bookmarkStart w:id="1649" w:name="_Toc27134404"/>
      <w:bookmarkStart w:id="1650" w:name="_Toc9843904"/>
      <w:bookmarkStart w:id="1651" w:name="_Toc464036882"/>
      <w:bookmarkStart w:id="1652" w:name="_Toc453709097"/>
      <w:bookmarkStart w:id="1653" w:name="_Toc527205840"/>
      <w:bookmarkStart w:id="1654" w:name="_Toc466271536"/>
      <w:bookmarkStart w:id="1655" w:name="_Toc26188111"/>
      <w:bookmarkStart w:id="1656" w:name="_Toc480983975"/>
      <w:bookmarkStart w:id="1657" w:name="_Toc458063993"/>
      <w:bookmarkStart w:id="1658" w:name="_Toc486970484"/>
      <w:bookmarkStart w:id="1659" w:name="_Toc23295"/>
      <w:bookmarkStart w:id="1660" w:name="_Toc487111587"/>
      <w:bookmarkStart w:id="1661" w:name="_Toc535348554"/>
      <w:bookmarkStart w:id="1662" w:name="_Toc104"/>
      <w:bookmarkStart w:id="1663" w:name="_Toc25439"/>
      <w:bookmarkStart w:id="1664" w:name="_Toc7146"/>
      <w:bookmarkStart w:id="1665" w:name="_Toc532556712"/>
      <w:bookmarkStart w:id="1666" w:name="_Toc534537731"/>
      <w:bookmarkStart w:id="1667" w:name="_Toc535169018"/>
      <w:r>
        <w:rPr>
          <w:rFonts w:ascii="Times New Roman" w:hAnsi="Times New Roman" w:eastAsia="黑体"/>
          <w:bCs/>
          <w:sz w:val="28"/>
          <w:szCs w:val="28"/>
        </w:rPr>
        <w:t>环境质量现状</w:t>
      </w:r>
      <w:bookmarkEnd w:id="1638"/>
      <w:r>
        <w:rPr>
          <w:rFonts w:ascii="Times New Roman" w:hAnsi="Times New Roman" w:eastAsia="黑体"/>
          <w:bCs/>
          <w:sz w:val="28"/>
          <w:szCs w:val="28"/>
        </w:rPr>
        <w:t>评价</w:t>
      </w:r>
      <w:bookmarkEnd w:id="1639"/>
      <w:bookmarkEnd w:id="1640"/>
      <w:bookmarkEnd w:id="1641"/>
      <w:r>
        <w:rPr>
          <w:rFonts w:ascii="Times New Roman" w:hAnsi="Times New Roman" w:eastAsia="黑体"/>
          <w:bCs/>
          <w:sz w:val="28"/>
          <w:szCs w:val="28"/>
        </w:rPr>
        <w:t>结论</w:t>
      </w:r>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p>
    <w:p>
      <w:pPr>
        <w:widowControl/>
        <w:spacing w:line="480" w:lineRule="exact"/>
        <w:outlineLvl w:val="3"/>
        <w:rPr>
          <w:rFonts w:ascii="Times New Roman" w:hAnsi="Times New Roman" w:eastAsia="黑体"/>
          <w:sz w:val="24"/>
        </w:rPr>
      </w:pPr>
      <w:bookmarkStart w:id="1668" w:name="_Toc347586328"/>
      <w:r>
        <w:rPr>
          <w:rFonts w:ascii="Times New Roman" w:hAnsi="Times New Roman" w:eastAsia="黑体"/>
          <w:sz w:val="24"/>
        </w:rPr>
        <w:t>9.1.3.1.环境空气</w:t>
      </w:r>
    </w:p>
    <w:p>
      <w:pPr>
        <w:pStyle w:val="155"/>
        <w:spacing w:line="480" w:lineRule="exact"/>
        <w:ind w:firstLine="480"/>
      </w:pPr>
      <w:r>
        <w:t>根据双鸭山市生态环境局公布的《2020年双鸭山市环境空气质量状况》可知，2020年</w:t>
      </w:r>
      <w:r>
        <w:rPr>
          <w:rFonts w:hint="eastAsia"/>
        </w:rPr>
        <w:t>双鸭山</w:t>
      </w:r>
      <w:r>
        <w:t>市SO</w:t>
      </w:r>
      <w:r>
        <w:rPr>
          <w:vertAlign w:val="subscript"/>
        </w:rPr>
        <w:t>2</w:t>
      </w:r>
      <w:r>
        <w:t>、NO</w:t>
      </w:r>
      <w:r>
        <w:rPr>
          <w:vertAlign w:val="subscript"/>
        </w:rPr>
        <w:t>2</w:t>
      </w:r>
      <w:r>
        <w:t>、PM</w:t>
      </w:r>
      <w:r>
        <w:rPr>
          <w:vertAlign w:val="subscript"/>
        </w:rPr>
        <w:t>10</w:t>
      </w:r>
      <w:r>
        <w:t>、PM</w:t>
      </w:r>
      <w:r>
        <w:rPr>
          <w:vertAlign w:val="subscript"/>
        </w:rPr>
        <w:t>2.5</w:t>
      </w:r>
      <w:r>
        <w:t>、CO和O</w:t>
      </w:r>
      <w:r>
        <w:rPr>
          <w:vertAlign w:val="subscript"/>
        </w:rPr>
        <w:t>3</w:t>
      </w:r>
      <w:r>
        <w:t>均满足《环境空气质量标准》（GB3095-2012）及修改单中的二级标准要求，因此判定本项目所在区域属于达标区</w:t>
      </w:r>
      <w:r>
        <w:rPr>
          <w:szCs w:val="24"/>
        </w:rPr>
        <w:t>。根据</w:t>
      </w:r>
      <w:r>
        <w:t>黑龙江省华裕检测技术有限公司</w:t>
      </w:r>
      <w:r>
        <w:rPr>
          <w:szCs w:val="24"/>
        </w:rPr>
        <w:t>2022年5月20日~2022年5月26日对本项目的监测数据可知，</w:t>
      </w:r>
      <w:r>
        <w:t>本项目所在区域在监测时段内TSP的24小时浓度满足《环境空气质量标准》（GB3096-2012）中的二级标准限值要求；非甲烷总烃的小时浓度满足《大气污染物综合排放标准详解》中非甲烷总烃2.0mg/m</w:t>
      </w:r>
      <w:r>
        <w:rPr>
          <w:vertAlign w:val="superscript"/>
        </w:rPr>
        <w:t>3</w:t>
      </w:r>
      <w:r>
        <w:t>要求；TVOC、氨、硫化氢的小时浓度满足</w:t>
      </w:r>
      <w:r>
        <w:rPr>
          <w:kern w:val="0"/>
          <w:szCs w:val="21"/>
        </w:rPr>
        <w:t>《环境影响评价技术导则 大气环境》（HJ2.2-2018）附录D</w:t>
      </w:r>
      <w:r>
        <w:t>限值要求</w:t>
      </w:r>
      <w:r>
        <w:rPr>
          <w:rFonts w:hint="eastAsia"/>
        </w:rPr>
        <w:t>。</w:t>
      </w:r>
      <w:r>
        <w:t xml:space="preserve"> </w:t>
      </w:r>
    </w:p>
    <w:p>
      <w:pPr>
        <w:widowControl/>
        <w:spacing w:line="480" w:lineRule="exact"/>
        <w:outlineLvl w:val="3"/>
        <w:rPr>
          <w:rFonts w:ascii="Times New Roman" w:hAnsi="Times New Roman" w:eastAsia="黑体"/>
          <w:sz w:val="24"/>
        </w:rPr>
      </w:pPr>
      <w:r>
        <w:rPr>
          <w:rFonts w:ascii="Times New Roman" w:hAnsi="Times New Roman" w:eastAsia="黑体"/>
          <w:sz w:val="24"/>
        </w:rPr>
        <w:t>9.1.3.2.地表水</w:t>
      </w:r>
    </w:p>
    <w:p>
      <w:pPr>
        <w:spacing w:line="500" w:lineRule="exact"/>
        <w:ind w:firstLine="480" w:firstLineChars="200"/>
        <w:rPr>
          <w:rFonts w:ascii="Times New Roman" w:hAnsi="Times New Roman"/>
          <w:kern w:val="2"/>
          <w:sz w:val="24"/>
          <w:szCs w:val="20"/>
        </w:rPr>
      </w:pPr>
      <w:r>
        <w:rPr>
          <w:rFonts w:ascii="Times New Roman" w:hAnsi="Times New Roman"/>
          <w:kern w:val="2"/>
          <w:sz w:val="24"/>
          <w:szCs w:val="20"/>
        </w:rPr>
        <w:t>本项目地表径流汇入扁石河，根据</w:t>
      </w:r>
      <w:r>
        <w:rPr>
          <w:rFonts w:hint="eastAsia" w:ascii="Times New Roman" w:hAnsi="Times New Roman"/>
          <w:kern w:val="2"/>
          <w:sz w:val="24"/>
          <w:szCs w:val="20"/>
        </w:rPr>
        <w:t>《黑龙江省地表水功能区标准》</w:t>
      </w:r>
      <w:r>
        <w:rPr>
          <w:rFonts w:ascii="Times New Roman" w:hAnsi="Times New Roman"/>
          <w:kern w:val="2"/>
          <w:sz w:val="24"/>
          <w:szCs w:val="20"/>
        </w:rPr>
        <w:t>(DB23/T740-2003)</w:t>
      </w:r>
      <w:r>
        <w:rPr>
          <w:rFonts w:hint="eastAsia" w:ascii="Times New Roman" w:hAnsi="Times New Roman"/>
          <w:kern w:val="2"/>
          <w:sz w:val="24"/>
          <w:szCs w:val="20"/>
        </w:rPr>
        <w:t>，本项目</w:t>
      </w:r>
      <w:r>
        <w:rPr>
          <w:rFonts w:ascii="Times New Roman" w:hAnsi="Times New Roman"/>
          <w:kern w:val="2"/>
          <w:sz w:val="24"/>
          <w:szCs w:val="20"/>
        </w:rPr>
        <w:t>地表水体扁石河水质目标执行《地表水环境质量标准》（GB3838-2002）Ⅲ类标准。本项目地表水环境现状引用《双鸭山新时代水泥有限责任公司顺兴达煤矿改扩建项目环境影响报告书》中的监测数据，报告书监测水体为扁石河，监测数据满足《地表水环境质量标准》（GB3838-2002）中Ⅲ类标准。</w:t>
      </w:r>
    </w:p>
    <w:p>
      <w:pPr>
        <w:widowControl/>
        <w:spacing w:line="480" w:lineRule="exact"/>
        <w:outlineLvl w:val="3"/>
        <w:rPr>
          <w:rFonts w:ascii="Times New Roman" w:hAnsi="Times New Roman" w:eastAsia="黑体"/>
          <w:sz w:val="24"/>
        </w:rPr>
      </w:pPr>
      <w:r>
        <w:rPr>
          <w:rFonts w:ascii="Times New Roman" w:hAnsi="Times New Roman" w:eastAsia="黑体"/>
          <w:sz w:val="24"/>
        </w:rPr>
        <w:t>9.1.3.3.地下水</w:t>
      </w:r>
    </w:p>
    <w:p>
      <w:pPr>
        <w:pStyle w:val="282"/>
        <w:spacing w:line="480" w:lineRule="exact"/>
        <w:ind w:firstLine="480" w:firstLineChars="200"/>
        <w:rPr>
          <w:szCs w:val="24"/>
        </w:rPr>
      </w:pPr>
      <w:r>
        <w:rPr>
          <w:szCs w:val="24"/>
        </w:rPr>
        <w:t>根据</w:t>
      </w:r>
      <w:r>
        <w:t>黑龙江省华裕检测技术有限公司2022年5月25日</w:t>
      </w:r>
      <w:r>
        <w:rPr>
          <w:szCs w:val="24"/>
        </w:rPr>
        <w:t>对本项目的监测数据可知，</w:t>
      </w:r>
      <w:r>
        <w:t>各监测点位监测因子均满足《地下水质量标准》（GB/T14852.65-2017）中Ⅲ类标准</w:t>
      </w:r>
      <w:r>
        <w:rPr>
          <w:szCs w:val="21"/>
        </w:rPr>
        <w:t>。</w:t>
      </w:r>
    </w:p>
    <w:p>
      <w:pPr>
        <w:widowControl/>
        <w:spacing w:line="480" w:lineRule="exact"/>
        <w:outlineLvl w:val="3"/>
        <w:rPr>
          <w:rFonts w:ascii="Times New Roman" w:hAnsi="Times New Roman" w:eastAsia="黑体"/>
          <w:sz w:val="24"/>
        </w:rPr>
      </w:pPr>
      <w:r>
        <w:rPr>
          <w:rFonts w:ascii="Times New Roman" w:hAnsi="Times New Roman" w:eastAsia="黑体"/>
          <w:sz w:val="24"/>
        </w:rPr>
        <w:t>9.1.3.4.声环境</w:t>
      </w:r>
    </w:p>
    <w:p>
      <w:pPr>
        <w:pStyle w:val="282"/>
        <w:spacing w:line="480" w:lineRule="exact"/>
        <w:ind w:firstLine="480" w:firstLineChars="200"/>
        <w:rPr>
          <w:szCs w:val="24"/>
        </w:rPr>
      </w:pPr>
      <w:r>
        <w:rPr>
          <w:szCs w:val="24"/>
        </w:rPr>
        <w:t>根据</w:t>
      </w:r>
      <w:r>
        <w:t>黑龙江省华裕检测技术有限公司2022年5月25日~2022年5月26日</w:t>
      </w:r>
      <w:r>
        <w:rPr>
          <w:szCs w:val="24"/>
        </w:rPr>
        <w:t>对本项目的监测数据可知，项目所在区域噪声满足《声环境质量标准》（GB3096-2008）中的3类标准要求。</w:t>
      </w:r>
    </w:p>
    <w:p>
      <w:pPr>
        <w:widowControl/>
        <w:spacing w:line="480" w:lineRule="exact"/>
        <w:outlineLvl w:val="3"/>
        <w:rPr>
          <w:rFonts w:ascii="Times New Roman" w:hAnsi="Times New Roman" w:eastAsia="黑体"/>
          <w:sz w:val="24"/>
        </w:rPr>
      </w:pPr>
      <w:r>
        <w:rPr>
          <w:rFonts w:ascii="Times New Roman" w:hAnsi="Times New Roman" w:eastAsia="黑体"/>
          <w:sz w:val="24"/>
        </w:rPr>
        <w:t>9.1.3.5.土壤环境</w:t>
      </w:r>
    </w:p>
    <w:p>
      <w:pPr>
        <w:pStyle w:val="282"/>
        <w:spacing w:line="480" w:lineRule="exact"/>
        <w:ind w:firstLine="480" w:firstLineChars="200"/>
        <w:rPr>
          <w:szCs w:val="24"/>
        </w:rPr>
      </w:pPr>
      <w:r>
        <w:rPr>
          <w:szCs w:val="24"/>
        </w:rPr>
        <w:t>根据</w:t>
      </w:r>
      <w:r>
        <w:t>黑龙江省华裕检测技术有限公司</w:t>
      </w:r>
      <w:r>
        <w:rPr>
          <w:kern w:val="2"/>
        </w:rPr>
        <w:t>2022年5月24日对本项目的监测数据</w:t>
      </w:r>
      <w:r>
        <w:rPr>
          <w:szCs w:val="24"/>
        </w:rPr>
        <w:t>可知，</w:t>
      </w:r>
      <w:r>
        <w:t>项目</w:t>
      </w:r>
      <w:r>
        <w:rPr>
          <w:szCs w:val="24"/>
        </w:rPr>
        <w:t>厂区及周边工业用地</w:t>
      </w:r>
      <w:r>
        <w:t>各监测点各层土壤中各监测因子标准指数均小于1，满足</w:t>
      </w:r>
      <w:r>
        <w:rPr>
          <w:bCs/>
          <w:szCs w:val="32"/>
        </w:rPr>
        <w:t>《土壤环境质量建设用地土壤污染风险管控标准》（试行）（GB36600-2018）中第二类用地筛选值标准</w:t>
      </w:r>
      <w:r>
        <w:rPr>
          <w:rFonts w:hint="eastAsia"/>
        </w:rPr>
        <w:t>。</w:t>
      </w:r>
    </w:p>
    <w:bookmarkEnd w:id="1668"/>
    <w:p>
      <w:pPr>
        <w:pStyle w:val="4"/>
        <w:spacing w:before="120" w:beforeLines="50" w:after="120" w:afterLines="50" w:line="480" w:lineRule="exact"/>
        <w:rPr>
          <w:rFonts w:ascii="Times New Roman" w:hAnsi="Times New Roman" w:eastAsia="黑体"/>
          <w:bCs/>
          <w:sz w:val="28"/>
          <w:szCs w:val="28"/>
        </w:rPr>
      </w:pPr>
      <w:bookmarkStart w:id="1669" w:name="_Toc458063995"/>
      <w:bookmarkStart w:id="1670" w:name="_Toc466271537"/>
      <w:bookmarkStart w:id="1671" w:name="_Toc453709099"/>
      <w:bookmarkStart w:id="1672" w:name="_Toc407350396"/>
      <w:bookmarkStart w:id="1673" w:name="_Toc406572641"/>
      <w:bookmarkStart w:id="1674" w:name="_Toc409530090"/>
      <w:bookmarkStart w:id="1675" w:name="_Toc416967058"/>
      <w:bookmarkStart w:id="1676" w:name="_Toc464036883"/>
      <w:bookmarkStart w:id="1677" w:name="_Toc406772180"/>
      <w:bookmarkStart w:id="1678" w:name="_Toc7639"/>
      <w:bookmarkStart w:id="1679" w:name="_Toc480983976"/>
      <w:bookmarkStart w:id="1680" w:name="_Toc486970485"/>
      <w:bookmarkStart w:id="1681" w:name="_Toc527205841"/>
      <w:bookmarkStart w:id="1682" w:name="_Toc487111588"/>
      <w:bookmarkStart w:id="1683" w:name="_Toc27134405"/>
      <w:bookmarkStart w:id="1684" w:name="_Toc5608"/>
      <w:bookmarkStart w:id="1685" w:name="_Toc480190593"/>
      <w:bookmarkStart w:id="1686" w:name="_Toc530656076"/>
      <w:bookmarkStart w:id="1687" w:name="_Toc20466"/>
      <w:bookmarkStart w:id="1688" w:name="_Toc27289"/>
      <w:bookmarkStart w:id="1689" w:name="_Toc18649"/>
      <w:bookmarkStart w:id="1690" w:name="_Toc534537732"/>
      <w:bookmarkStart w:id="1691" w:name="_Toc9843905"/>
      <w:bookmarkStart w:id="1692" w:name="_Toc535348555"/>
      <w:bookmarkStart w:id="1693" w:name="_Toc532556713"/>
      <w:bookmarkStart w:id="1694" w:name="_Toc535169019"/>
      <w:bookmarkStart w:id="1695" w:name="_Toc482020766"/>
      <w:bookmarkStart w:id="1696" w:name="_Toc26188112"/>
      <w:bookmarkStart w:id="1697" w:name="_Toc497228928"/>
      <w:bookmarkStart w:id="1698" w:name="_Toc406572648"/>
      <w:bookmarkStart w:id="1699" w:name="_Toc406772187"/>
      <w:bookmarkStart w:id="1700" w:name="_Toc416967064"/>
      <w:bookmarkStart w:id="1701" w:name="_Toc347586334"/>
      <w:bookmarkStart w:id="1702" w:name="_Toc407350403"/>
      <w:bookmarkStart w:id="1703" w:name="_Toc480190596"/>
      <w:bookmarkStart w:id="1704" w:name="_Toc464036888"/>
      <w:bookmarkStart w:id="1705" w:name="_Toc486970489"/>
      <w:bookmarkStart w:id="1706" w:name="_Toc466271542"/>
      <w:bookmarkStart w:id="1707" w:name="_Toc480190594"/>
      <w:bookmarkStart w:id="1708" w:name="_Toc480983979"/>
      <w:bookmarkStart w:id="1709" w:name="_Toc453709105"/>
      <w:bookmarkStart w:id="1710" w:name="_Toc486970487"/>
      <w:bookmarkStart w:id="1711" w:name="_Toc480983977"/>
      <w:bookmarkStart w:id="1712" w:name="_Toc458064001"/>
      <w:bookmarkStart w:id="1713" w:name="_Toc482020768"/>
      <w:bookmarkStart w:id="1714" w:name="_Toc409530096"/>
      <w:bookmarkStart w:id="1715" w:name="_Toc482020770"/>
      <w:r>
        <w:rPr>
          <w:rFonts w:ascii="Times New Roman" w:hAnsi="Times New Roman" w:eastAsia="黑体"/>
          <w:bCs/>
          <w:sz w:val="28"/>
          <w:szCs w:val="28"/>
        </w:rPr>
        <w:t>环境</w:t>
      </w:r>
      <w:bookmarkEnd w:id="1669"/>
      <w:bookmarkEnd w:id="1670"/>
      <w:bookmarkEnd w:id="1671"/>
      <w:bookmarkEnd w:id="1672"/>
      <w:bookmarkEnd w:id="1673"/>
      <w:bookmarkEnd w:id="1674"/>
      <w:bookmarkEnd w:id="1675"/>
      <w:bookmarkEnd w:id="1676"/>
      <w:bookmarkEnd w:id="1677"/>
      <w:r>
        <w:rPr>
          <w:rFonts w:ascii="Times New Roman" w:hAnsi="Times New Roman" w:eastAsia="黑体"/>
          <w:bCs/>
          <w:sz w:val="28"/>
          <w:szCs w:val="28"/>
        </w:rPr>
        <w:t>治理措施</w:t>
      </w:r>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p>
    <w:p>
      <w:pPr>
        <w:widowControl/>
        <w:spacing w:line="480" w:lineRule="exact"/>
        <w:outlineLvl w:val="3"/>
        <w:rPr>
          <w:rFonts w:ascii="Times New Roman" w:hAnsi="Times New Roman" w:eastAsia="黑体"/>
          <w:sz w:val="24"/>
        </w:rPr>
      </w:pPr>
      <w:r>
        <w:rPr>
          <w:rFonts w:ascii="Times New Roman" w:hAnsi="Times New Roman" w:eastAsia="黑体"/>
          <w:sz w:val="24"/>
        </w:rPr>
        <w:t>9.1.4.1.施工期污染防治措施</w:t>
      </w:r>
    </w:p>
    <w:p>
      <w:pPr>
        <w:pStyle w:val="282"/>
        <w:spacing w:line="480" w:lineRule="exact"/>
        <w:ind w:firstLine="480" w:firstLineChars="200"/>
        <w:rPr>
          <w:szCs w:val="24"/>
          <w:lang w:val="zh-CN"/>
        </w:rPr>
      </w:pPr>
      <w:r>
        <w:t>本项目在施工期间将会对周围环境产生一定的影响，伴随着施工结束，施工期对外界环境的影响也将消失。施工期间，对周围环境的影响是暂时的</w:t>
      </w:r>
      <w:r>
        <w:rPr>
          <w:szCs w:val="24"/>
          <w:lang w:val="zh-CN"/>
        </w:rPr>
        <w:t>。</w:t>
      </w:r>
    </w:p>
    <w:p>
      <w:pPr>
        <w:widowControl/>
        <w:spacing w:line="480" w:lineRule="exact"/>
        <w:outlineLvl w:val="3"/>
        <w:rPr>
          <w:rFonts w:ascii="Times New Roman" w:hAnsi="Times New Roman" w:eastAsia="黑体"/>
          <w:sz w:val="24"/>
        </w:rPr>
      </w:pPr>
      <w:r>
        <w:rPr>
          <w:rFonts w:ascii="Times New Roman" w:hAnsi="Times New Roman" w:eastAsia="黑体"/>
          <w:sz w:val="24"/>
        </w:rPr>
        <w:t>9.1.4.2.运营期污染防治措施</w:t>
      </w:r>
    </w:p>
    <w:p>
      <w:pPr>
        <w:pStyle w:val="282"/>
        <w:spacing w:line="480" w:lineRule="exact"/>
        <w:ind w:firstLine="480" w:firstLineChars="200"/>
        <w:rPr>
          <w:szCs w:val="24"/>
          <w:lang w:val="zh-CN"/>
        </w:rPr>
      </w:pPr>
      <w:r>
        <w:rPr>
          <w:szCs w:val="24"/>
          <w:lang w:val="zh-CN"/>
        </w:rPr>
        <w:t>（1）废水</w:t>
      </w:r>
    </w:p>
    <w:p>
      <w:pPr>
        <w:widowControl/>
        <w:spacing w:line="480" w:lineRule="exact"/>
        <w:ind w:firstLine="480" w:firstLineChars="200"/>
        <w:rPr>
          <w:rFonts w:ascii="Times New Roman" w:hAnsi="Times New Roman"/>
          <w:sz w:val="24"/>
          <w:szCs w:val="24"/>
        </w:rPr>
      </w:pPr>
      <w:r>
        <w:rPr>
          <w:rFonts w:ascii="Times New Roman" w:hAnsi="Times New Roman"/>
          <w:sz w:val="24"/>
          <w:szCs w:val="24"/>
        </w:rPr>
        <w:t>生产废水经企业原有污水处理站（工艺流程：格栅→调节池→一体化污水处理设备(水解酸化池→接触氧化池 →二沉池 →MBR池) →二氧化氯发生器→回用水池）处理后满足《城市污水再生利用城市杂用水水质》( GB/T18920-2002 ) 中“车辆冲洗标准”厂内全部回用 （回用于车间地面消毒清洗用水、转运车消毒清洗用水和周转箱消毒清洗用水），不外排。</w:t>
      </w:r>
    </w:p>
    <w:p>
      <w:pPr>
        <w:pStyle w:val="282"/>
        <w:spacing w:line="480" w:lineRule="exact"/>
        <w:ind w:firstLine="480" w:firstLineChars="200"/>
        <w:rPr>
          <w:szCs w:val="24"/>
        </w:rPr>
      </w:pPr>
      <w:r>
        <w:rPr>
          <w:szCs w:val="24"/>
        </w:rPr>
        <w:t>按照“源头控制、分区防治、污染监控、应急响应”相结合的原则，从污染物的产生、入渗、扩散、应急响应进行控制。医疗废物暂存间（冷库）已按照《危险废物储存污染控制标准》（GB18597-2001）的要求进行设计。本次改扩建将灭菌车间、污水处理间、危废暂存间、事故应急池和初期雨水池作为重点防渗区；厂区其余建筑物为一般污染防渗区；厂区地面进行硬化。重点污染防渗区参照《危险废物贮存污染控制标准》（GB18597-2001）及其修改单的相关要求，基础做防渗，采用2mm厚的高密度聚乙烯或其它人工材料，防渗系数≤10</w:t>
      </w:r>
      <w:r>
        <w:rPr>
          <w:szCs w:val="24"/>
          <w:vertAlign w:val="superscript"/>
        </w:rPr>
        <w:t>-10</w:t>
      </w:r>
      <w:r>
        <w:rPr>
          <w:szCs w:val="24"/>
        </w:rPr>
        <w:t>cm/s；一般污染防治区参照《危险废物贮存污染控制标准》（GB18597-2001）及其修改单的相关要求，基础做防渗，采用2mm厚的高密度聚乙烯或其它人工材料，防渗系数≤10</w:t>
      </w:r>
      <w:r>
        <w:rPr>
          <w:szCs w:val="24"/>
          <w:vertAlign w:val="superscript"/>
        </w:rPr>
        <w:t>-7</w:t>
      </w:r>
      <w:r>
        <w:rPr>
          <w:szCs w:val="24"/>
        </w:rPr>
        <w:t>cm/s。建立地下水监测系统，布设3口跟踪监测井，定期进行地下水跟踪监测</w:t>
      </w:r>
      <w:r>
        <w:t>。</w:t>
      </w:r>
    </w:p>
    <w:p>
      <w:pPr>
        <w:pStyle w:val="282"/>
        <w:spacing w:line="480" w:lineRule="exact"/>
        <w:ind w:firstLine="480" w:firstLineChars="200"/>
        <w:rPr>
          <w:szCs w:val="24"/>
          <w:lang w:val="zh-CN"/>
        </w:rPr>
      </w:pPr>
      <w:r>
        <w:rPr>
          <w:szCs w:val="24"/>
          <w:lang w:val="zh-CN"/>
        </w:rPr>
        <w:t>（2）废气</w:t>
      </w:r>
    </w:p>
    <w:p>
      <w:pPr>
        <w:pStyle w:val="420"/>
        <w:spacing w:line="480" w:lineRule="exact"/>
        <w:ind w:firstLine="480"/>
        <w:rPr>
          <w:rFonts w:cs="Times New Roman"/>
          <w:szCs w:val="24"/>
        </w:rPr>
      </w:pPr>
      <w:r>
        <w:rPr>
          <w:rFonts w:cs="Times New Roman"/>
          <w:szCs w:val="24"/>
        </w:rPr>
        <w:t>本项目改扩建工程大气污染物主要来源于灭菌系统产生的废气、车间恶臭气体</w:t>
      </w:r>
      <w:r>
        <w:rPr>
          <w:rFonts w:hint="eastAsia" w:cs="Times New Roman"/>
          <w:szCs w:val="24"/>
        </w:rPr>
        <w:t>和</w:t>
      </w:r>
      <w:r>
        <w:rPr>
          <w:rFonts w:cs="Times New Roman"/>
          <w:szCs w:val="24"/>
        </w:rPr>
        <w:t>污水处理间恶臭。</w:t>
      </w:r>
    </w:p>
    <w:p>
      <w:pPr>
        <w:pStyle w:val="155"/>
        <w:spacing w:line="480" w:lineRule="exact"/>
        <w:ind w:firstLine="480"/>
      </w:pPr>
      <w:r>
        <w:rPr>
          <w:szCs w:val="24"/>
        </w:rPr>
        <w:t>本项目高温干热系统产生的废气经“粉尘阻拦干燥器+低温等离子废气净化器”处理后由15m排气筒</w:t>
      </w:r>
      <w:r>
        <w:rPr>
          <w:rFonts w:hint="eastAsia"/>
          <w:szCs w:val="24"/>
          <w:highlight w:val="yellow"/>
        </w:rPr>
        <w:t>（D</w:t>
      </w:r>
      <w:r>
        <w:rPr>
          <w:szCs w:val="24"/>
          <w:highlight w:val="yellow"/>
        </w:rPr>
        <w:t>A002</w:t>
      </w:r>
      <w:r>
        <w:rPr>
          <w:rFonts w:hint="eastAsia"/>
          <w:szCs w:val="24"/>
          <w:highlight w:val="yellow"/>
        </w:rPr>
        <w:t>）</w:t>
      </w:r>
      <w:r>
        <w:rPr>
          <w:szCs w:val="24"/>
        </w:rPr>
        <w:t>排放。</w:t>
      </w:r>
      <w:r>
        <w:rPr>
          <w:rFonts w:hint="eastAsia"/>
          <w:szCs w:val="24"/>
          <w:highlight w:val="yellow"/>
        </w:rPr>
        <w:t>医疗废物处置间、医疗废物暂存间</w:t>
      </w:r>
      <w:r>
        <w:rPr>
          <w:szCs w:val="24"/>
          <w:highlight w:val="yellow"/>
        </w:rPr>
        <w:t>(冷库) 、转运车消毒间和周转箱消毒间封闭、微负压设计，室内换出的空气经活性炭吸附装置处理后通过15m高排气筒（DA001）排放。污水处理站废气经除臭塔吸附处理后通过15m高排气筒（DA003）排放。</w:t>
      </w:r>
      <w:r>
        <w:rPr>
          <w:rFonts w:hint="eastAsia"/>
        </w:rPr>
        <w:t>硫化氢、氨气、臭气浓度满足《恶臭污染物排放标准》（</w:t>
      </w:r>
      <w:r>
        <w:t>GB14554-93）标准要求，非甲烷总烃、颗粒物、满足《大气污染物综合排放标准》（GB16297-1996）表2中二级标准。消毒处理设施15m高排气筒排放的非甲烷总烃满足《医疗废物处理处置污染控制标准》（GB39707-2020）中20 mg/m</w:t>
      </w:r>
      <w:r>
        <w:rPr>
          <w:vertAlign w:val="superscript"/>
        </w:rPr>
        <w:t>3</w:t>
      </w:r>
      <w:r>
        <w:t>限值要求。本项目导热油炉燃料为轻质柴油，为清洁燃料，经工程分析可知， SO</w:t>
      </w:r>
      <w:r>
        <w:rPr>
          <w:vertAlign w:val="subscript"/>
        </w:rPr>
        <w:t>2</w:t>
      </w:r>
      <w:r>
        <w:t>、烟尘、NO</w:t>
      </w:r>
      <w:r>
        <w:rPr>
          <w:vertAlign w:val="subscript"/>
        </w:rPr>
        <w:t>X</w:t>
      </w:r>
      <w:r>
        <w:t xml:space="preserve"> 、林格曼黑度产生量满足《锅炉大气污染物排放标准》(GB13271-2014)表2中燃油锅炉排放标准限值。</w:t>
      </w:r>
    </w:p>
    <w:p>
      <w:pPr>
        <w:pStyle w:val="155"/>
        <w:spacing w:line="480" w:lineRule="exact"/>
        <w:ind w:firstLine="480"/>
        <w:rPr>
          <w:szCs w:val="24"/>
          <w:lang w:val="zh-CN"/>
        </w:rPr>
      </w:pPr>
      <w:r>
        <w:rPr>
          <w:szCs w:val="24"/>
          <w:lang w:val="zh-CN"/>
        </w:rPr>
        <w:t>（3）噪声</w:t>
      </w:r>
    </w:p>
    <w:p>
      <w:pPr>
        <w:pStyle w:val="282"/>
        <w:spacing w:line="480" w:lineRule="exact"/>
        <w:ind w:firstLine="480" w:firstLineChars="200"/>
        <w:rPr>
          <w:szCs w:val="24"/>
          <w:lang w:val="zh-CN"/>
        </w:rPr>
      </w:pPr>
      <w:r>
        <w:t>本项目运营期噪声主要来源</w:t>
      </w:r>
      <w:r>
        <w:rPr>
          <w:szCs w:val="24"/>
        </w:rPr>
        <w:t>于高温干热灭菌设备、水泵、风机等设备</w:t>
      </w:r>
      <w:r>
        <w:t>，噪声强度在75~95dB（A）的范围内。选用低噪声设备，</w:t>
      </w:r>
      <w:r>
        <w:rPr>
          <w:kern w:val="2"/>
        </w:rPr>
        <w:t>采用基础减震等措施</w:t>
      </w:r>
      <w:r>
        <w:t>，</w:t>
      </w:r>
      <w:r>
        <w:rPr>
          <w:szCs w:val="24"/>
          <w:lang w:val="zh-CN"/>
        </w:rPr>
        <w:t>可使厂界噪声满足《工业企业厂界噪声排放标准》（GB12348-2008）</w:t>
      </w:r>
      <w:r>
        <w:rPr>
          <w:szCs w:val="24"/>
        </w:rPr>
        <w:t>2</w:t>
      </w:r>
      <w:r>
        <w:rPr>
          <w:szCs w:val="24"/>
          <w:lang w:val="zh-CN"/>
        </w:rPr>
        <w:t>类标准要求。</w:t>
      </w:r>
    </w:p>
    <w:p>
      <w:pPr>
        <w:pStyle w:val="282"/>
        <w:spacing w:line="480" w:lineRule="exact"/>
        <w:ind w:firstLine="480" w:firstLineChars="200"/>
        <w:rPr>
          <w:szCs w:val="24"/>
          <w:lang w:val="zh-CN"/>
        </w:rPr>
      </w:pPr>
      <w:r>
        <w:rPr>
          <w:szCs w:val="24"/>
          <w:lang w:val="zh-CN"/>
        </w:rPr>
        <w:t>（4）固体废物</w:t>
      </w:r>
    </w:p>
    <w:p>
      <w:pPr>
        <w:spacing w:line="480" w:lineRule="exact"/>
        <w:ind w:firstLine="480" w:firstLineChars="200"/>
        <w:rPr>
          <w:rFonts w:ascii="Times New Roman" w:hAnsi="Times New Roman"/>
          <w:sz w:val="24"/>
          <w:szCs w:val="20"/>
        </w:rPr>
      </w:pPr>
      <w:r>
        <w:rPr>
          <w:rFonts w:ascii="Times New Roman" w:hAnsi="Times New Roman"/>
          <w:sz w:val="24"/>
          <w:szCs w:val="20"/>
        </w:rPr>
        <w:t>本项目职工生活垃圾集中收集，交由环卫部门处置；医疗废物消毒破碎处理后的破碎废渣运送至厂址东侧双鸭山市生活垃圾填埋场处理；</w:t>
      </w:r>
      <w:r>
        <w:rPr>
          <w:rFonts w:ascii="Times New Roman" w:hAnsi="Times New Roman"/>
          <w:sz w:val="24"/>
          <w:szCs w:val="24"/>
        </w:rPr>
        <w:t>废活性炭、废导热油和污水处理间污泥</w:t>
      </w:r>
      <w:r>
        <w:rPr>
          <w:rFonts w:hint="eastAsia" w:ascii="Times New Roman" w:hAnsi="Times New Roman"/>
          <w:sz w:val="24"/>
          <w:szCs w:val="24"/>
        </w:rPr>
        <w:t>栅渣</w:t>
      </w:r>
      <w:r>
        <w:rPr>
          <w:rFonts w:ascii="Times New Roman" w:hAnsi="Times New Roman"/>
          <w:sz w:val="24"/>
          <w:szCs w:val="24"/>
        </w:rPr>
        <w:t>暂存于危险废物暂存间（占地面积10m</w:t>
      </w:r>
      <w:r>
        <w:rPr>
          <w:rFonts w:ascii="Times New Roman" w:hAnsi="Times New Roman"/>
          <w:sz w:val="24"/>
          <w:szCs w:val="24"/>
          <w:vertAlign w:val="superscript"/>
        </w:rPr>
        <w:t>2</w:t>
      </w:r>
      <w:r>
        <w:rPr>
          <w:rFonts w:ascii="Times New Roman" w:hAnsi="Times New Roman"/>
          <w:sz w:val="24"/>
          <w:szCs w:val="24"/>
        </w:rPr>
        <w:t>），污泥</w:t>
      </w:r>
      <w:r>
        <w:rPr>
          <w:rFonts w:hint="eastAsia" w:ascii="Times New Roman" w:hAnsi="Times New Roman"/>
          <w:sz w:val="24"/>
          <w:szCs w:val="24"/>
        </w:rPr>
        <w:t>栅渣消毒后、</w:t>
      </w:r>
      <w:r>
        <w:rPr>
          <w:rFonts w:ascii="Times New Roman" w:hAnsi="Times New Roman"/>
          <w:sz w:val="24"/>
          <w:szCs w:val="24"/>
        </w:rPr>
        <w:t>废活性炭、废导热油更换后直接交由黑龙江京盛华环保科技有限公司处置</w:t>
      </w:r>
      <w:r>
        <w:rPr>
          <w:rFonts w:ascii="Times New Roman" w:hAnsi="Times New Roman"/>
          <w:sz w:val="24"/>
          <w:szCs w:val="20"/>
        </w:rPr>
        <w:t>。</w:t>
      </w:r>
    </w:p>
    <w:p>
      <w:pPr>
        <w:pStyle w:val="4"/>
        <w:spacing w:before="120" w:beforeLines="50" w:after="120" w:afterLines="50" w:line="480" w:lineRule="exact"/>
        <w:rPr>
          <w:rFonts w:ascii="Times New Roman" w:hAnsi="Times New Roman" w:eastAsia="黑体"/>
          <w:bCs/>
          <w:sz w:val="28"/>
          <w:szCs w:val="28"/>
        </w:rPr>
      </w:pPr>
      <w:bookmarkStart w:id="1716" w:name="_Toc9843906"/>
      <w:bookmarkStart w:id="1717" w:name="_Toc27210"/>
      <w:bookmarkStart w:id="1718" w:name="_Toc534537733"/>
      <w:bookmarkStart w:id="1719" w:name="_Toc532556714"/>
      <w:bookmarkStart w:id="1720" w:name="_Toc27134406"/>
      <w:bookmarkStart w:id="1721" w:name="_Toc28321"/>
      <w:bookmarkStart w:id="1722" w:name="_Toc535169020"/>
      <w:bookmarkStart w:id="1723" w:name="_Toc527205842"/>
      <w:bookmarkStart w:id="1724" w:name="_Toc13391"/>
      <w:bookmarkStart w:id="1725" w:name="_Toc530656077"/>
      <w:bookmarkStart w:id="1726" w:name="_Toc14868"/>
      <w:bookmarkStart w:id="1727" w:name="_Toc26188113"/>
      <w:bookmarkStart w:id="1728" w:name="_Toc12314"/>
      <w:bookmarkStart w:id="1729" w:name="_Toc535348556"/>
      <w:r>
        <w:rPr>
          <w:rFonts w:ascii="Times New Roman" w:hAnsi="Times New Roman" w:eastAsia="黑体"/>
          <w:bCs/>
          <w:sz w:val="28"/>
          <w:szCs w:val="28"/>
        </w:rPr>
        <w:t>环境风险评价</w:t>
      </w:r>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p>
    <w:p>
      <w:pPr>
        <w:spacing w:line="480" w:lineRule="exact"/>
        <w:ind w:firstLine="480" w:firstLineChars="200"/>
        <w:rPr>
          <w:rFonts w:ascii="Times New Roman" w:hAnsi="Times New Roman"/>
          <w:sz w:val="24"/>
          <w:szCs w:val="24"/>
        </w:rPr>
      </w:pPr>
      <w:bookmarkStart w:id="1730" w:name="_Toc203791601"/>
      <w:bookmarkStart w:id="1731" w:name="_Toc203787803"/>
      <w:bookmarkStart w:id="1732" w:name="_Toc129942400"/>
      <w:bookmarkStart w:id="1733" w:name="_Toc129943054"/>
      <w:r>
        <w:rPr>
          <w:rFonts w:ascii="Times New Roman" w:hAnsi="Times New Roman"/>
          <w:sz w:val="24"/>
        </w:rPr>
        <w:t>本项目认真落实并严格执行本报告书中关于风险防范等方面的措施，并加强风险管理，杜绝违章操作，完善各类安全设备、设施，建立相应的风险管理制度和应急救援预案，严格执行并遵守风险管理制度和安全生产操作规程，可以使本项目的环境风险值大大降低，使本项目的环境风险达到可接受水平</w:t>
      </w:r>
      <w:r>
        <w:rPr>
          <w:rFonts w:ascii="Times New Roman" w:hAnsi="Times New Roman"/>
          <w:bCs/>
          <w:sz w:val="24"/>
          <w:szCs w:val="24"/>
        </w:rPr>
        <w:t>。</w:t>
      </w:r>
      <w:bookmarkEnd w:id="1730"/>
      <w:bookmarkEnd w:id="1731"/>
      <w:bookmarkEnd w:id="1732"/>
      <w:bookmarkEnd w:id="1733"/>
    </w:p>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p>
      <w:pPr>
        <w:pStyle w:val="4"/>
        <w:spacing w:before="120" w:beforeLines="50" w:after="120" w:afterLines="50" w:line="480" w:lineRule="exact"/>
        <w:rPr>
          <w:rFonts w:ascii="Times New Roman" w:hAnsi="Times New Roman" w:eastAsia="黑体"/>
          <w:bCs/>
          <w:sz w:val="28"/>
          <w:szCs w:val="28"/>
        </w:rPr>
      </w:pPr>
      <w:bookmarkStart w:id="1734" w:name="_Toc487111591"/>
      <w:bookmarkStart w:id="1735" w:name="_Toc530656079"/>
      <w:bookmarkStart w:id="1736" w:name="_Toc1435"/>
      <w:bookmarkStart w:id="1737" w:name="_Toc26188114"/>
      <w:bookmarkStart w:id="1738" w:name="_Toc534537735"/>
      <w:bookmarkStart w:id="1739" w:name="_Toc497228931"/>
      <w:bookmarkStart w:id="1740" w:name="_Toc527205844"/>
      <w:bookmarkStart w:id="1741" w:name="_Toc9843907"/>
      <w:bookmarkStart w:id="1742" w:name="_Toc27134407"/>
      <w:bookmarkStart w:id="1743" w:name="_Toc535169022"/>
      <w:bookmarkStart w:id="1744" w:name="_Toc7558"/>
      <w:bookmarkStart w:id="1745" w:name="_Toc535348558"/>
      <w:bookmarkStart w:id="1746" w:name="_Toc12820"/>
      <w:bookmarkStart w:id="1747" w:name="_Toc17409"/>
      <w:bookmarkStart w:id="1748" w:name="_Toc13591"/>
      <w:bookmarkStart w:id="1749" w:name="_Toc532556716"/>
      <w:r>
        <w:rPr>
          <w:rFonts w:ascii="Times New Roman" w:hAnsi="Times New Roman" w:eastAsia="黑体"/>
          <w:bCs/>
          <w:sz w:val="28"/>
          <w:szCs w:val="28"/>
        </w:rPr>
        <w:t>环境经济损益分析</w:t>
      </w:r>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p>
    <w:p>
      <w:pPr>
        <w:spacing w:line="480" w:lineRule="exact"/>
        <w:ind w:firstLine="480" w:firstLineChars="200"/>
        <w:rPr>
          <w:rFonts w:ascii="Times New Roman" w:hAnsi="Times New Roman"/>
          <w:sz w:val="24"/>
          <w:szCs w:val="24"/>
        </w:rPr>
      </w:pPr>
      <w:r>
        <w:rPr>
          <w:rFonts w:ascii="Times New Roman" w:hAnsi="Times New Roman"/>
          <w:sz w:val="24"/>
          <w:szCs w:val="24"/>
        </w:rPr>
        <w:t>本项目如认真落实本环评提出的各项环境保护措施，保证项目的环境可行性，将具有较为良好的经济效益、社会效益及环境效益。项目的建设运行，有利于增强地方经济实力、财力，增加就业机会；增强企业的盈利能力和资源综合利用水平；有利于地方产业结构的调整；大大改善了环境资源的利用效率。因此，在社会效益、经济效益和环境效益三个方面都是可行的。</w:t>
      </w:r>
    </w:p>
    <w:p>
      <w:pPr>
        <w:pStyle w:val="4"/>
        <w:spacing w:before="120" w:beforeLines="50" w:after="120" w:afterLines="50" w:line="480" w:lineRule="exact"/>
        <w:rPr>
          <w:rFonts w:ascii="Times New Roman" w:hAnsi="Times New Roman" w:eastAsia="黑体"/>
          <w:bCs/>
          <w:sz w:val="28"/>
          <w:szCs w:val="28"/>
        </w:rPr>
      </w:pPr>
      <w:bookmarkStart w:id="1750" w:name="_Toc497228930"/>
      <w:bookmarkStart w:id="1751" w:name="_Toc487111590"/>
      <w:bookmarkStart w:id="1752" w:name="_Toc535348557"/>
      <w:bookmarkStart w:id="1753" w:name="_Toc532556715"/>
      <w:bookmarkStart w:id="1754" w:name="_Toc534537734"/>
      <w:bookmarkStart w:id="1755" w:name="_Toc527205843"/>
      <w:bookmarkStart w:id="1756" w:name="_Toc535169021"/>
      <w:bookmarkStart w:id="1757" w:name="_Toc530656078"/>
      <w:bookmarkStart w:id="1758" w:name="_Toc30677"/>
      <w:bookmarkStart w:id="1759" w:name="_Toc29083"/>
      <w:bookmarkStart w:id="1760" w:name="_Toc29881"/>
      <w:bookmarkStart w:id="1761" w:name="_Toc5394"/>
      <w:bookmarkStart w:id="1762" w:name="_Toc27134408"/>
      <w:bookmarkStart w:id="1763" w:name="_Toc26188115"/>
      <w:bookmarkStart w:id="1764" w:name="_Toc9843908"/>
      <w:bookmarkStart w:id="1765" w:name="_Toc8959"/>
      <w:bookmarkStart w:id="1766" w:name="_Toc466271539"/>
      <w:bookmarkStart w:id="1767" w:name="_Toc458063997"/>
      <w:bookmarkStart w:id="1768" w:name="_Toc416967060"/>
      <w:bookmarkStart w:id="1769" w:name="_Toc406772183"/>
      <w:bookmarkStart w:id="1770" w:name="_Toc407350399"/>
      <w:bookmarkStart w:id="1771" w:name="_Toc409530092"/>
      <w:bookmarkStart w:id="1772" w:name="_Toc464036885"/>
      <w:bookmarkStart w:id="1773" w:name="_Toc453709101"/>
      <w:bookmarkStart w:id="1774" w:name="_Toc487111592"/>
      <w:bookmarkStart w:id="1775" w:name="_Toc534537736"/>
      <w:bookmarkStart w:id="1776" w:name="_Toc535169023"/>
      <w:bookmarkStart w:id="1777" w:name="_Toc480190595"/>
      <w:bookmarkStart w:id="1778" w:name="_Toc532556717"/>
      <w:bookmarkStart w:id="1779" w:name="_Toc527205845"/>
      <w:bookmarkStart w:id="1780" w:name="_Toc480983978"/>
      <w:bookmarkStart w:id="1781" w:name="_Toc486970488"/>
      <w:bookmarkStart w:id="1782" w:name="_Toc482020769"/>
      <w:bookmarkStart w:id="1783" w:name="_Toc530656080"/>
      <w:bookmarkStart w:id="1784" w:name="_Toc535348559"/>
      <w:bookmarkStart w:id="1785" w:name="_Toc497228932"/>
      <w:r>
        <w:rPr>
          <w:rFonts w:ascii="Times New Roman" w:hAnsi="Times New Roman" w:eastAsia="黑体"/>
          <w:bCs/>
          <w:sz w:val="28"/>
          <w:szCs w:val="28"/>
        </w:rPr>
        <w:t>公众参与</w:t>
      </w:r>
      <w:bookmarkEnd w:id="1750"/>
      <w:bookmarkEnd w:id="1751"/>
      <w:bookmarkEnd w:id="1752"/>
      <w:bookmarkEnd w:id="1753"/>
      <w:bookmarkEnd w:id="1754"/>
      <w:bookmarkEnd w:id="1755"/>
      <w:bookmarkEnd w:id="1756"/>
      <w:bookmarkEnd w:id="1757"/>
      <w:r>
        <w:rPr>
          <w:rFonts w:ascii="Times New Roman" w:hAnsi="Times New Roman" w:eastAsia="黑体"/>
          <w:bCs/>
          <w:sz w:val="28"/>
          <w:szCs w:val="28"/>
        </w:rPr>
        <w:t>采纳情况</w:t>
      </w:r>
      <w:bookmarkEnd w:id="1758"/>
      <w:bookmarkEnd w:id="1759"/>
      <w:bookmarkEnd w:id="1760"/>
      <w:bookmarkEnd w:id="1761"/>
      <w:bookmarkEnd w:id="1762"/>
      <w:bookmarkEnd w:id="1763"/>
      <w:bookmarkEnd w:id="1764"/>
      <w:bookmarkEnd w:id="1765"/>
    </w:p>
    <w:p>
      <w:pPr>
        <w:spacing w:line="480" w:lineRule="exact"/>
        <w:ind w:firstLine="480" w:firstLineChars="200"/>
        <w:rPr>
          <w:rFonts w:ascii="Times New Roman" w:hAnsi="Times New Roman"/>
          <w:sz w:val="24"/>
          <w:szCs w:val="24"/>
        </w:rPr>
      </w:pPr>
      <w:r>
        <w:rPr>
          <w:rFonts w:ascii="Times New Roman" w:hAnsi="Times New Roman"/>
          <w:sz w:val="24"/>
          <w:szCs w:val="24"/>
        </w:rPr>
        <w:t>本项目公众参与由建设单位完成并单独出具报告，公众参与工作采用网络公示、报纸公示相结合的方式以便广泛听取各界对工程建设及环境保护方面的意见和要求。</w:t>
      </w:r>
    </w:p>
    <w:p>
      <w:pPr>
        <w:spacing w:line="480" w:lineRule="exact"/>
        <w:ind w:firstLine="480" w:firstLineChars="200"/>
        <w:rPr>
          <w:rFonts w:ascii="Times New Roman" w:hAnsi="Times New Roman"/>
          <w:sz w:val="24"/>
          <w:szCs w:val="24"/>
        </w:rPr>
      </w:pPr>
      <w:r>
        <w:rPr>
          <w:rFonts w:ascii="Times New Roman" w:hAnsi="Times New Roman"/>
          <w:sz w:val="24"/>
          <w:szCs w:val="24"/>
        </w:rPr>
        <w:t>在公示期间建设单位及环评单位未收到相关反馈，公司承诺一定会加强企业环境管理，强化诚信意识，恪守环保信用，将项目建设得更好，项目运行中主动公开环保信息，接受公众监督。</w:t>
      </w:r>
    </w:p>
    <w:p>
      <w:pPr>
        <w:pStyle w:val="4"/>
        <w:spacing w:before="120" w:beforeLines="50" w:after="120" w:afterLines="50" w:line="480" w:lineRule="exact"/>
        <w:rPr>
          <w:rFonts w:ascii="Times New Roman" w:hAnsi="Times New Roman" w:eastAsia="黑体"/>
          <w:bCs/>
          <w:sz w:val="28"/>
          <w:szCs w:val="28"/>
        </w:rPr>
      </w:pPr>
      <w:bookmarkStart w:id="1786" w:name="_Toc4301"/>
      <w:bookmarkStart w:id="1787" w:name="_Toc7376"/>
      <w:bookmarkStart w:id="1788" w:name="_Toc9843909"/>
      <w:bookmarkStart w:id="1789" w:name="_Toc11796"/>
      <w:bookmarkStart w:id="1790" w:name="_Toc26188116"/>
      <w:bookmarkStart w:id="1791" w:name="_Toc139"/>
      <w:bookmarkStart w:id="1792" w:name="_Toc336"/>
      <w:bookmarkStart w:id="1793" w:name="_Toc27134409"/>
      <w:r>
        <w:rPr>
          <w:rFonts w:ascii="Times New Roman" w:hAnsi="Times New Roman" w:eastAsia="黑体"/>
          <w:bCs/>
          <w:sz w:val="28"/>
          <w:szCs w:val="28"/>
        </w:rPr>
        <w:t>环境</w:t>
      </w:r>
      <w:bookmarkEnd w:id="1766"/>
      <w:bookmarkEnd w:id="1767"/>
      <w:bookmarkEnd w:id="1768"/>
      <w:bookmarkEnd w:id="1769"/>
      <w:bookmarkEnd w:id="1770"/>
      <w:bookmarkEnd w:id="1771"/>
      <w:bookmarkEnd w:id="1772"/>
      <w:bookmarkEnd w:id="1773"/>
      <w:r>
        <w:rPr>
          <w:rFonts w:ascii="Times New Roman" w:hAnsi="Times New Roman" w:eastAsia="黑体"/>
          <w:bCs/>
          <w:sz w:val="28"/>
          <w:szCs w:val="28"/>
        </w:rPr>
        <w:t>管理与监测计划</w:t>
      </w:r>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p>
    <w:p>
      <w:pPr>
        <w:pStyle w:val="567"/>
        <w:spacing w:before="0" w:after="0" w:line="480" w:lineRule="exact"/>
        <w:ind w:firstLine="480" w:firstLineChars="200"/>
        <w:rPr>
          <w:rFonts w:cs="Times New Roman"/>
        </w:rPr>
      </w:pPr>
      <w:r>
        <w:rPr>
          <w:rFonts w:cs="Times New Roman"/>
        </w:rPr>
        <w:t>（1）制定环境管理计划，明确环境管理机构、环境监督机构的职责。</w:t>
      </w:r>
    </w:p>
    <w:p>
      <w:pPr>
        <w:pStyle w:val="567"/>
        <w:spacing w:before="0" w:after="0" w:line="480" w:lineRule="exact"/>
        <w:ind w:firstLine="480" w:firstLineChars="200"/>
        <w:rPr>
          <w:rFonts w:cs="Times New Roman"/>
        </w:rPr>
      </w:pPr>
      <w:r>
        <w:rPr>
          <w:rFonts w:cs="Times New Roman"/>
        </w:rPr>
        <w:t>（2）按有关规程定期监测，建立环保档案；负责有关环保文件、技术资料的收集建档。</w:t>
      </w:r>
    </w:p>
    <w:p>
      <w:pPr>
        <w:pStyle w:val="567"/>
        <w:spacing w:before="0" w:after="0" w:line="480" w:lineRule="exact"/>
        <w:ind w:firstLine="480" w:firstLineChars="200"/>
        <w:rPr>
          <w:rFonts w:cs="Times New Roman"/>
        </w:rPr>
      </w:pPr>
      <w:r>
        <w:rPr>
          <w:rFonts w:cs="Times New Roman"/>
        </w:rPr>
        <w:t>（3）及时发现新出现的环境问题，提出改善措施。</w:t>
      </w:r>
    </w:p>
    <w:p>
      <w:pPr>
        <w:pStyle w:val="567"/>
        <w:spacing w:before="0" w:after="0" w:line="480" w:lineRule="exact"/>
        <w:ind w:firstLine="480" w:firstLineChars="200"/>
        <w:rPr>
          <w:rFonts w:cs="Times New Roman"/>
        </w:rPr>
      </w:pPr>
      <w:r>
        <w:rPr>
          <w:rFonts w:cs="Times New Roman"/>
        </w:rPr>
        <w:t>（4）强化规范管理。</w:t>
      </w:r>
    </w:p>
    <w:p>
      <w:pPr>
        <w:pStyle w:val="567"/>
        <w:spacing w:before="0" w:after="0" w:line="480" w:lineRule="exact"/>
        <w:ind w:firstLine="480" w:firstLineChars="200"/>
        <w:rPr>
          <w:rFonts w:cs="Times New Roman"/>
        </w:rPr>
      </w:pPr>
      <w:r>
        <w:rPr>
          <w:rFonts w:cs="Times New Roman"/>
        </w:rPr>
        <w:t>（5）项目“三同时”验收按表8.4-1中执行。</w:t>
      </w:r>
      <w:bookmarkStart w:id="1794" w:name="_Toc347586333"/>
    </w:p>
    <w:bookmarkEnd w:id="1794"/>
    <w:p>
      <w:pPr>
        <w:pStyle w:val="3"/>
        <w:spacing w:before="120" w:beforeLines="50" w:after="120" w:afterLines="50" w:line="480" w:lineRule="exact"/>
        <w:ind w:left="-11"/>
        <w:rPr>
          <w:rFonts w:ascii="Times New Roman" w:hAnsi="Times New Roman" w:eastAsia="黑体"/>
          <w:sz w:val="30"/>
          <w:szCs w:val="30"/>
        </w:rPr>
      </w:pPr>
      <w:bookmarkStart w:id="1795" w:name="_Toc116379740"/>
      <w:bookmarkStart w:id="1796" w:name="_Toc458064002"/>
      <w:bookmarkStart w:id="1797" w:name="_Toc409530098"/>
      <w:bookmarkStart w:id="1798" w:name="_Toc466271543"/>
      <w:bookmarkStart w:id="1799" w:name="_Toc406772189"/>
      <w:bookmarkStart w:id="1800" w:name="_Toc407350405"/>
      <w:bookmarkStart w:id="1801" w:name="_Toc464036889"/>
      <w:bookmarkStart w:id="1802" w:name="_Toc453709106"/>
      <w:bookmarkStart w:id="1803" w:name="_Toc347586339"/>
      <w:bookmarkStart w:id="1804" w:name="_Toc416967065"/>
      <w:r>
        <w:rPr>
          <w:rFonts w:ascii="Times New Roman" w:hAnsi="Times New Roman" w:eastAsia="黑体"/>
          <w:sz w:val="30"/>
          <w:szCs w:val="30"/>
        </w:rPr>
        <w:t>总体结论</w:t>
      </w:r>
      <w:bookmarkEnd w:id="1795"/>
      <w:bookmarkEnd w:id="1796"/>
      <w:bookmarkEnd w:id="1797"/>
      <w:bookmarkEnd w:id="1798"/>
      <w:bookmarkEnd w:id="1799"/>
      <w:bookmarkEnd w:id="1800"/>
      <w:bookmarkEnd w:id="1801"/>
      <w:bookmarkEnd w:id="1802"/>
      <w:bookmarkEnd w:id="1803"/>
      <w:bookmarkEnd w:id="1804"/>
    </w:p>
    <w:p>
      <w:pPr>
        <w:snapToGrid w:val="0"/>
        <w:spacing w:line="480" w:lineRule="exact"/>
        <w:ind w:firstLine="480" w:firstLineChars="200"/>
        <w:rPr>
          <w:rFonts w:ascii="Times New Roman" w:hAnsi="Times New Roman"/>
          <w:sz w:val="24"/>
          <w:szCs w:val="28"/>
        </w:rPr>
      </w:pPr>
      <w:r>
        <w:rPr>
          <w:rFonts w:ascii="Times New Roman" w:hAnsi="Times New Roman"/>
          <w:sz w:val="24"/>
          <w:szCs w:val="28"/>
        </w:rPr>
        <w:t>综上所述，本项目建设后工程的环境影响符合环境功能要求，各主要污染物达标排放。从产业政策、环保政策、总量控制等方面考虑，本项目符合国家产业政策和环保政策，符合地方发展中长期发展规划，工程建设经济效益、社会效益、环境效益均较好。在认真贯彻落实报告书所提出的治理措施并确保其正常运行的前提下，通过强化环境管理和环境监测，工程产生的环境问题可被周围的环境所接受，因此，从环境保护角度，本项目选址合理，工程建设可行。</w:t>
      </w:r>
      <w:bookmarkEnd w:id="951"/>
      <w:bookmarkEnd w:id="952"/>
    </w:p>
    <w:p>
      <w:pPr>
        <w:pStyle w:val="3"/>
        <w:spacing w:before="120" w:beforeLines="50" w:after="120" w:afterLines="50" w:line="480" w:lineRule="exact"/>
        <w:ind w:left="-11"/>
        <w:rPr>
          <w:rFonts w:ascii="Times New Roman" w:hAnsi="Times New Roman" w:eastAsia="黑体"/>
          <w:sz w:val="30"/>
          <w:szCs w:val="30"/>
        </w:rPr>
      </w:pPr>
      <w:bookmarkStart w:id="1805" w:name="_Toc116379741"/>
      <w:r>
        <w:rPr>
          <w:rFonts w:ascii="Times New Roman" w:hAnsi="Times New Roman" w:eastAsia="黑体"/>
          <w:sz w:val="30"/>
          <w:szCs w:val="30"/>
        </w:rPr>
        <w:t>建议</w:t>
      </w:r>
      <w:bookmarkEnd w:id="1805"/>
    </w:p>
    <w:p>
      <w:pPr>
        <w:pStyle w:val="155"/>
        <w:spacing w:line="480" w:lineRule="exact"/>
        <w:ind w:firstLine="480"/>
      </w:pPr>
      <w:r>
        <w:t>（1）企业应当实行环保目标厂长经理负责制，项目法人应对项目环保工作总负责，把企业的环境保护工作列入生产管理中去，并且在生产中加以检查和落实。</w:t>
      </w:r>
    </w:p>
    <w:p>
      <w:pPr>
        <w:pStyle w:val="155"/>
        <w:spacing w:line="480" w:lineRule="exact"/>
        <w:ind w:firstLine="480"/>
      </w:pPr>
      <w:r>
        <w:t>（2）企业应制定专人分管环保工作，并建立专门的环保机构，同时检查，监督企业环保设施的正常运行，保证污染物达标排放。</w:t>
      </w:r>
    </w:p>
    <w:p>
      <w:pPr>
        <w:pStyle w:val="155"/>
        <w:spacing w:line="480" w:lineRule="exact"/>
        <w:ind w:firstLine="480"/>
      </w:pPr>
      <w:r>
        <w:t>（3）加强企业体系管理，开展清洁生产审核，提高员工的素质和能力，提高企业的管理水平和清洁生产水平。</w:t>
      </w:r>
    </w:p>
    <w:p>
      <w:pPr>
        <w:pStyle w:val="155"/>
        <w:spacing w:line="480" w:lineRule="exact"/>
        <w:ind w:firstLine="480"/>
      </w:pPr>
      <w:r>
        <w:t>（4）加强企业管理的同时，应注意对职工环境保护的宣传教育工作，提高全体员工的环保意识，做到环境保护，人人有责，积极探索进一步提高清洁生产水平。</w:t>
      </w:r>
    </w:p>
    <w:p>
      <w:pPr>
        <w:pStyle w:val="155"/>
        <w:spacing w:line="480" w:lineRule="exact"/>
        <w:ind w:firstLine="480"/>
      </w:pPr>
      <w:r>
        <w:t>（5）加强厂区绿化，美化环境，绿化点有建筑物周边、道路两旁、厂界、厂门口等。</w:t>
      </w:r>
    </w:p>
    <w:p>
      <w:pPr>
        <w:pStyle w:val="155"/>
        <w:spacing w:line="480" w:lineRule="exact"/>
        <w:ind w:firstLine="480"/>
      </w:pPr>
      <w:r>
        <w:t>（6）制定各岗位操作规程，操作时按照规程操作，防止生产事故和环境事故的发生。</w:t>
      </w:r>
    </w:p>
    <w:sectPr>
      <w:pgSz w:w="11907" w:h="16839"/>
      <w:pgMar w:top="1440" w:right="1797" w:bottom="1440" w:left="1797" w:header="851" w:footer="850" w:gutter="0"/>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Black">
    <w:panose1 w:val="020B0A04020102020204"/>
    <w:charset w:val="00"/>
    <w:family w:val="swiss"/>
    <w:pitch w:val="default"/>
    <w:sig w:usb0="A00002AF" w:usb1="400078FB" w:usb2="00000000" w:usb3="00000000" w:csb0="6000009F" w:csb1="DFD70000"/>
  </w:font>
  <w:font w:name="仿宋_GB2312">
    <w:panose1 w:val="02010609030101010101"/>
    <w:charset w:val="86"/>
    <w:family w:val="modern"/>
    <w:pitch w:val="default"/>
    <w:sig w:usb0="00000001" w:usb1="080E0000" w:usb2="00000000" w:usb3="00000000" w:csb0="00040000" w:csb1="00000000"/>
  </w:font>
  <w:font w:name="Cambria">
    <w:panose1 w:val="02040503050406030204"/>
    <w:charset w:val="00"/>
    <w:family w:val="roman"/>
    <w:pitch w:val="default"/>
    <w:sig w:usb0="E00006FF" w:usb1="420024FF" w:usb2="02000000" w:usb3="00000000" w:csb0="2000019F" w:csb1="00000000"/>
  </w:font>
  <w:font w:name="微软雅黑">
    <w:panose1 w:val="020B0503020204020204"/>
    <w:charset w:val="86"/>
    <w:family w:val="swiss"/>
    <w:pitch w:val="default"/>
    <w:sig w:usb0="80000287" w:usb1="2ACF3C50" w:usb2="00000016" w:usb3="00000000" w:csb0="0004001F" w:csb1="00000000"/>
  </w:font>
  <w:font w:name="Sylfaen">
    <w:panose1 w:val="010A0502050306030303"/>
    <w:charset w:val="00"/>
    <w:family w:val="roman"/>
    <w:pitch w:val="default"/>
    <w:sig w:usb0="04000687" w:usb1="00000000" w:usb2="00000000" w:usb3="00000000" w:csb0="2000009F" w:csb1="00000000"/>
  </w:font>
  <w:font w:name="MingLiU">
    <w:altName w:val="PMingLiU-ExtB"/>
    <w:panose1 w:val="02010609000101010101"/>
    <w:charset w:val="88"/>
    <w:family w:val="modern"/>
    <w:pitch w:val="default"/>
    <w:sig w:usb0="00000000" w:usb1="00000000" w:usb2="00000016" w:usb3="00000000" w:csb0="00100001" w:csb1="00000000"/>
  </w:font>
  <w:font w:name="PMingLiU-ExtB">
    <w:panose1 w:val="02020500000000000000"/>
    <w:charset w:val="88"/>
    <w:family w:val="auto"/>
    <w:pitch w:val="default"/>
    <w:sig w:usb0="8000002F" w:usb1="02000008" w:usb2="00000000" w:usb3="00000000" w:csb0="00100001" w:csb1="00000000"/>
  </w:font>
  <w:font w:name="华文中宋">
    <w:altName w:val="宋体"/>
    <w:panose1 w:val="02010600040101010101"/>
    <w:charset w:val="86"/>
    <w:family w:val="auto"/>
    <w:pitch w:val="default"/>
    <w:sig w:usb0="00000000" w:usb1="00000000" w:usb2="00000010" w:usb3="00000000" w:csb0="0004009F" w:csb1="00000000"/>
  </w:font>
  <w:font w:name="Bold">
    <w:altName w:val="微软雅黑"/>
    <w:panose1 w:val="00000000000000000000"/>
    <w:charset w:val="00"/>
    <w:family w:val="roman"/>
    <w:pitch w:val="default"/>
    <w:sig w:usb0="00000000" w:usb1="00000000" w:usb2="00000000" w:usb3="00000000" w:csb0="00040001" w:csb1="00000000"/>
  </w:font>
  <w:font w:name="Arial Unicode MS">
    <w:altName w:val="宋体"/>
    <w:panose1 w:val="020B0604020202020204"/>
    <w:charset w:val="86"/>
    <w:family w:val="swiss"/>
    <w:pitch w:val="default"/>
    <w:sig w:usb0="00000000" w:usb1="00000000" w:usb2="0000003F" w:usb3="00000000" w:csb0="603F01FF" w:csb1="FFFF0000"/>
  </w:font>
  <w:font w:name="Angsana New">
    <w:altName w:val="Microsoft Sans Serif"/>
    <w:panose1 w:val="02020603050405020304"/>
    <w:charset w:val="DE"/>
    <w:family w:val="roman"/>
    <w:pitch w:val="default"/>
    <w:sig w:usb0="00000000" w:usb1="00000000" w:usb2="00000000" w:usb3="00000000" w:csb0="00010001" w:csb1="00000000"/>
  </w:font>
  <w:font w:name="Microsoft Sans Serif">
    <w:panose1 w:val="020B0604020202020204"/>
    <w:charset w:val="00"/>
    <w:family w:val="auto"/>
    <w:pitch w:val="default"/>
    <w:sig w:usb0="E5002EFF" w:usb1="C000605B" w:usb2="00000029" w:usb3="00000000" w:csb0="200101FF" w:csb1="20280000"/>
  </w:font>
  <w:font w:name="Constantia">
    <w:panose1 w:val="02030602050306030303"/>
    <w:charset w:val="00"/>
    <w:family w:val="roman"/>
    <w:pitch w:val="default"/>
    <w:sig w:usb0="A00002EF" w:usb1="4000204B" w:usb2="00000000" w:usb3="00000000" w:csb0="2000019F" w:csb1="00000000"/>
  </w:font>
  <w:font w:name="TT1Do01">
    <w:altName w:val="Times New Roman"/>
    <w:panose1 w:val="00000000000000000000"/>
    <w:charset w:val="00"/>
    <w:family w:val="roman"/>
    <w:pitch w:val="default"/>
    <w:sig w:usb0="00000000" w:usb1="00000000" w:usb2="00000000" w:usb3="00000000" w:csb0="00040001" w:csb1="00000000"/>
  </w:font>
  <w:font w:name="ˎ̥">
    <w:altName w:val="Times New Roman"/>
    <w:panose1 w:val="00000000000000000000"/>
    <w:charset w:val="00"/>
    <w:family w:val="auto"/>
    <w:pitch w:val="default"/>
    <w:sig w:usb0="00000000" w:usb1="00000000" w:usb2="00000000" w:usb3="00000000" w:csb0="00040001" w:csb1="00000000"/>
  </w:font>
  <w:font w:name="TimesNewRoman">
    <w:altName w:val="Times New Roman"/>
    <w:panose1 w:val="00000000000000000000"/>
    <w:charset w:val="00"/>
    <w:family w:val="auto"/>
    <w:pitch w:val="default"/>
    <w:sig w:usb0="00000000" w:usb1="00000000" w:usb2="00000000" w:usb3="00000000" w:csb0="00000001" w:csb1="00000000"/>
  </w:font>
  <w:font w:name="华文楷体">
    <w:altName w:val="楷体_GB2312"/>
    <w:panose1 w:val="02010600040101010101"/>
    <w:charset w:val="86"/>
    <w:family w:val="auto"/>
    <w:pitch w:val="default"/>
    <w:sig w:usb0="00000000" w:usb1="00000000" w:usb2="00000010" w:usb3="00000000" w:csb0="0004009F" w:csb1="00000000"/>
  </w:font>
  <w:font w:name="楷体_GB2312">
    <w:panose1 w:val="02010609030101010101"/>
    <w:charset w:val="86"/>
    <w:family w:val="auto"/>
    <w:pitch w:val="default"/>
    <w:sig w:usb0="00000001" w:usb1="080E0000" w:usb2="00000000" w:usb3="00000000" w:csb0="00040000" w:csb1="00000000"/>
  </w:font>
  <w:font w:name="Tahoma">
    <w:panose1 w:val="020B0604030504040204"/>
    <w:charset w:val="00"/>
    <w:family w:val="swiss"/>
    <w:pitch w:val="default"/>
    <w:sig w:usb0="E1002EFF" w:usb1="C000605B" w:usb2="00000029" w:usb3="00000000" w:csb0="200101FF" w:csb1="20280000"/>
  </w:font>
  <w:font w:name="Verdana">
    <w:panose1 w:val="020B0604030504040204"/>
    <w:charset w:val="00"/>
    <w:family w:val="swiss"/>
    <w:pitch w:val="default"/>
    <w:sig w:usb0="A00006FF" w:usb1="4000205B" w:usb2="00000010" w:usb3="00000000" w:csb0="2000019F" w:csb1="00000000"/>
  </w:font>
  <w:font w:name="”“Times New Roman”“">
    <w:altName w:val="宋体"/>
    <w:panose1 w:val="00000000000000000000"/>
    <w:charset w:val="86"/>
    <w:family w:val="roman"/>
    <w:pitch w:val="default"/>
    <w:sig w:usb0="00000000" w:usb1="00000000" w:usb2="00000010" w:usb3="00000000" w:csb0="00040000" w:csb1="00000000"/>
  </w:font>
  <w:font w:name="Tms Rmn">
    <w:altName w:val="Segoe Print"/>
    <w:panose1 w:val="02020603040505020304"/>
    <w:charset w:val="00"/>
    <w:family w:val="roman"/>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Microsoft JhengHei Light">
    <w:panose1 w:val="020B0304030504040204"/>
    <w:charset w:val="88"/>
    <w:family w:val="swiss"/>
    <w:pitch w:val="default"/>
    <w:sig w:usb0="800002A7" w:usb1="28CF4400" w:usb2="00000016" w:usb3="00000000" w:csb0="00100009" w:csb1="00000000"/>
  </w:font>
  <w:font w:name="华文仿宋">
    <w:altName w:val="仿宋"/>
    <w:panose1 w:val="02010600040101010101"/>
    <w:charset w:val="86"/>
    <w:family w:val="auto"/>
    <w:pitch w:val="default"/>
    <w:sig w:usb0="00000000" w:usb1="00000000" w:usb2="00000010" w:usb3="00000000" w:csb0="0004009F" w:csb1="00000000"/>
  </w:font>
  <w:font w:name="仿宋">
    <w:panose1 w:val="02010609060101010101"/>
    <w:charset w:val="86"/>
    <w:family w:val="auto"/>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Segoe UI Symbol">
    <w:panose1 w:val="020B0502040204020203"/>
    <w:charset w:val="00"/>
    <w:family w:val="swiss"/>
    <w:pitch w:val="default"/>
    <w:sig w:usb0="800001E3" w:usb1="1200FFEF" w:usb2="00040000" w:usb3="04000000" w:csb0="00000001" w:csb1="4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9"/>
      <w:rPr>
        <w:rFonts w:ascii="Cambria" w:hAnsi="Cambria"/>
      </w:rPr>
    </w:pPr>
  </w:p>
  <w:p>
    <w:pPr>
      <w:pStyle w:val="4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9"/>
      <w:framePr w:wrap="around" w:vAnchor="text" w:hAnchor="margin" w:xAlign="center" w:y="1"/>
      <w:rPr>
        <w:rStyle w:val="82"/>
      </w:rPr>
    </w:pPr>
    <w:r>
      <w:fldChar w:fldCharType="begin"/>
    </w:r>
    <w:r>
      <w:rPr>
        <w:rStyle w:val="82"/>
      </w:rPr>
      <w:instrText xml:space="preserve">PAGE  </w:instrText>
    </w:r>
    <w:r>
      <w:fldChar w:fldCharType="end"/>
    </w:r>
  </w:p>
  <w:p>
    <w:pPr>
      <w:pStyle w:val="4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243154196"/>
    </w:sdtPr>
    <w:sdtContent>
      <w:p>
        <w:pPr>
          <w:pStyle w:val="49"/>
          <w:jc w:val="center"/>
        </w:pPr>
        <w:r>
          <w:fldChar w:fldCharType="begin"/>
        </w:r>
        <w:r>
          <w:instrText xml:space="preserve">PAGE   \* MERGEFORMAT</w:instrText>
        </w:r>
        <w:r>
          <w:fldChar w:fldCharType="separate"/>
        </w:r>
        <w:r>
          <w:rPr>
            <w:lang w:val="zh-CN"/>
          </w:rPr>
          <w:t>2</w:t>
        </w:r>
        <w:r>
          <w:fldChar w:fldCharType="end"/>
        </w:r>
      </w:p>
    </w:sdtContent>
  </w:sdt>
  <w:p>
    <w:pPr>
      <w:pStyle w:val="49"/>
      <w:ind w:right="180"/>
      <w:rPr>
        <w:rFonts w:ascii="Times New Roman" w:hAnsi="Times New Roman"/>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9"/>
      <w:framePr w:wrap="around" w:vAnchor="text" w:hAnchor="margin" w:xAlign="center" w:y="1"/>
      <w:rPr>
        <w:rStyle w:val="82"/>
      </w:rPr>
    </w:pPr>
    <w:r>
      <w:fldChar w:fldCharType="begin"/>
    </w:r>
    <w:r>
      <w:rPr>
        <w:rStyle w:val="82"/>
      </w:rPr>
      <w:instrText xml:space="preserve">PAGE  </w:instrText>
    </w:r>
    <w:r>
      <w:fldChar w:fldCharType="end"/>
    </w:r>
  </w:p>
  <w:p>
    <w:pPr>
      <w:pStyle w:val="49"/>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678314264"/>
    </w:sdtPr>
    <w:sdtContent>
      <w:p>
        <w:pPr>
          <w:pStyle w:val="49"/>
          <w:jc w:val="center"/>
        </w:pPr>
        <w:r>
          <w:fldChar w:fldCharType="begin"/>
        </w:r>
        <w:r>
          <w:instrText xml:space="preserve">PAGE   \* MERGEFORMAT</w:instrText>
        </w:r>
        <w:r>
          <w:fldChar w:fldCharType="separate"/>
        </w:r>
        <w:r>
          <w:rPr>
            <w:lang w:val="zh-CN"/>
          </w:rPr>
          <w:t>2</w:t>
        </w:r>
        <w:r>
          <w:fldChar w:fldCharType="end"/>
        </w:r>
      </w:p>
    </w:sdtContent>
  </w:sdt>
  <w:p>
    <w:pPr>
      <w:pStyle w:val="49"/>
      <w:ind w:right="180"/>
      <w:rPr>
        <w:rFonts w:ascii="Times New Roman" w:hAnsi="Times New Roman"/>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8" w:lineRule="auto"/>
      <w:ind w:left="4617"/>
      <w:rPr>
        <w:sz w:val="18"/>
      </w:rP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70" name="文本框 4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49"/>
                          </w:pPr>
                          <w:r>
                            <w:fldChar w:fldCharType="begin"/>
                          </w:r>
                          <w:r>
                            <w:instrText xml:space="preserve"> PAGE  \* MERGEFORMAT </w:instrText>
                          </w:r>
                          <w:r>
                            <w:fldChar w:fldCharType="separate"/>
                          </w:r>
                          <w:r>
                            <w:t>72</w:t>
                          </w:r>
                          <w:r>
                            <w:fldChar w:fldCharType="end"/>
                          </w:r>
                        </w:p>
                      </w:txbxContent>
                    </wps:txbx>
                    <wps:bodyPr vert="horz" wrap="none" lIns="0" tIns="0" rIns="0" bIns="0" anchor="t" anchorCtr="0">
                      <a:spAutoFit/>
                    </wps:bodyPr>
                  </wps:wsp>
                </a:graphicData>
              </a:graphic>
            </wp:anchor>
          </w:drawing>
        </mc:Choice>
        <mc:Fallback>
          <w:pict>
            <v:shape id="文本框 49"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M6pebnPAAAABQEAAA8AAAAAAAAAAQAgAAAAIgAA&#10;AGRycy9kb3ducmV2LnhtbFBLAQIUABQAAAAIAIdO4kAZqMDT2AEAALQDAAAOAAAAAAAAAAEAIAAA&#10;AB4BAABkcnMvZTJvRG9jLnhtbFBLBQYAAAAABgAGAFkBAABoBQAAAAA=&#10;">
              <v:fill on="f" focussize="0,0"/>
              <v:stroke on="f"/>
              <v:imagedata o:title=""/>
              <o:lock v:ext="edit" aspectratio="f"/>
              <v:textbox inset="0mm,0mm,0mm,0mm" style="mso-fit-shape-to-text:t;">
                <w:txbxContent>
                  <w:p>
                    <w:pPr>
                      <w:pStyle w:val="49"/>
                    </w:pPr>
                    <w:r>
                      <w:fldChar w:fldCharType="begin"/>
                    </w:r>
                    <w:r>
                      <w:instrText xml:space="preserve"> PAGE  \* MERGEFORMAT </w:instrText>
                    </w:r>
                    <w:r>
                      <w:fldChar w:fldCharType="separate"/>
                    </w:r>
                    <w:r>
                      <w:t>72</w:t>
                    </w:r>
                    <w:r>
                      <w:fldChar w:fldCharType="end"/>
                    </w:r>
                  </w:p>
                </w:txbxContent>
              </v:textbox>
            </v:shape>
          </w:pict>
        </mc:Fallback>
      </mc:AlternateContent>
    </w:r>
  </w:p>
  <w:p>
    <w:pPr>
      <w:spacing w:line="178" w:lineRule="auto"/>
      <w:rPr>
        <w:sz w:val="18"/>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8" w:lineRule="auto"/>
      <w:ind w:left="4617"/>
      <w:rPr>
        <w:rFonts w:ascii="Calibri" w:hAnsi="Calibri" w:eastAsia="Calibri" w:cs="Calibri"/>
        <w:sz w:val="18"/>
        <w:szCs w:val="18"/>
      </w:rP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1" name="文本框 5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49"/>
                          </w:pPr>
                          <w:r>
                            <w:fldChar w:fldCharType="begin"/>
                          </w:r>
                          <w:r>
                            <w:instrText xml:space="preserve"> PAGE  \* MERGEFORMAT </w:instrText>
                          </w:r>
                          <w:r>
                            <w:fldChar w:fldCharType="separate"/>
                          </w:r>
                          <w:r>
                            <w:t>75</w:t>
                          </w:r>
                          <w:r>
                            <w:fldChar w:fldCharType="end"/>
                          </w:r>
                        </w:p>
                      </w:txbxContent>
                    </wps:txbx>
                    <wps:bodyPr vert="horz" wrap="none" lIns="0" tIns="0" rIns="0" bIns="0" anchor="t" anchorCtr="0">
                      <a:spAutoFit/>
                    </wps:bodyPr>
                  </wps:wsp>
                </a:graphicData>
              </a:graphic>
            </wp:anchor>
          </w:drawing>
        </mc:Choice>
        <mc:Fallback>
          <w:pict>
            <v:shape id="文本框 50"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M6pebnPAAAABQEAAA8AAAAAAAAAAQAgAAAAIgAA&#10;AGRycy9kb3ducmV2LnhtbFBLAQIUABQAAAAIAIdO4kCNQAnk2AEAALQDAAAOAAAAAAAAAAEAIAAA&#10;AB4BAABkcnMvZTJvRG9jLnhtbFBLBQYAAAAABgAGAFkBAABoBQAAAAA=&#10;">
              <v:fill on="f" focussize="0,0"/>
              <v:stroke on="f"/>
              <v:imagedata o:title=""/>
              <o:lock v:ext="edit" aspectratio="f"/>
              <v:textbox inset="0mm,0mm,0mm,0mm" style="mso-fit-shape-to-text:t;">
                <w:txbxContent>
                  <w:p>
                    <w:pPr>
                      <w:pStyle w:val="49"/>
                    </w:pPr>
                    <w:r>
                      <w:fldChar w:fldCharType="begin"/>
                    </w:r>
                    <w:r>
                      <w:instrText xml:space="preserve"> PAGE  \* MERGEFORMAT </w:instrText>
                    </w:r>
                    <w:r>
                      <w:fldChar w:fldCharType="separate"/>
                    </w:r>
                    <w:r>
                      <w:t>75</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55829421"/>
    </w:sdtPr>
    <w:sdtContent>
      <w:p>
        <w:pPr>
          <w:pStyle w:val="49"/>
          <w:jc w:val="center"/>
        </w:pPr>
        <w:r>
          <w:fldChar w:fldCharType="begin"/>
        </w:r>
        <w:r>
          <w:instrText xml:space="preserve">PAGE   \* MERGEFORMAT</w:instrText>
        </w:r>
        <w:r>
          <w:fldChar w:fldCharType="separate"/>
        </w:r>
        <w:r>
          <w:rPr>
            <w:lang w:val="zh-CN"/>
          </w:rPr>
          <w:t>2</w:t>
        </w:r>
        <w:r>
          <w:fldChar w:fldCharType="end"/>
        </w:r>
      </w:p>
    </w:sdtContent>
  </w:sdt>
  <w:p>
    <w:pPr>
      <w:spacing w:line="178" w:lineRule="auto"/>
      <w:rPr>
        <w:rFonts w:ascii="Calibri" w:hAnsi="Calibri" w:cs="Calibri" w:eastAsiaTheme="minorEastAsia"/>
        <w:sz w:val="18"/>
        <w:szCs w:val="18"/>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1"/>
      <w:pBdr>
        <w:bottom w:val="none" w:color="auto" w:sz="0" w:space="0"/>
      </w:pBdr>
      <w:tabs>
        <w:tab w:val="right" w:pos="13958"/>
        <w:tab w:val="clear" w:pos="4153"/>
        <w:tab w:val="clear" w:pos="8306"/>
      </w:tabs>
      <w:rPr>
        <w:sz w:val="21"/>
        <w:szCs w:val="21"/>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1"/>
      <w:pBdr>
        <w:bottom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1"/>
      <w:rPr>
        <w:rFonts w:ascii="Times New Roman" w:hAnsi="Times New Roman"/>
      </w:rPr>
    </w:pPr>
    <w:r>
      <w:rPr>
        <w:rFonts w:hint="eastAsia" w:ascii="Times New Roman" w:hAnsi="Times New Roman"/>
      </w:rPr>
      <w:t>黑龙江省双鸭山市医疗废物集中处置中心设备扩建项目</w:t>
    </w:r>
    <w:r>
      <w:rPr>
        <w:rFonts w:ascii="Times New Roman" w:hAnsi="Times New Roman"/>
      </w:rPr>
      <w:t>环境影响报告书</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
  <w:p/>
  <w:p/>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1"/>
    </w:pPr>
    <w:r>
      <w:rPr>
        <w:rFonts w:hint="eastAsia"/>
      </w:rPr>
      <w:t>黑龙江省双鸭山市医疗废物处置中心设备扩建项目环境影响报告书</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1"/>
    </w:pPr>
    <w:r>
      <w:rPr>
        <w:rFonts w:hint="eastAsia"/>
      </w:rPr>
      <w:t>黑龙江省双鸭山市医疗废物处置中心设备扩建项目环境影响报告书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496B867"/>
    <w:multiLevelType w:val="singleLevel"/>
    <w:tmpl w:val="8496B867"/>
    <w:lvl w:ilvl="0" w:tentative="0">
      <w:start w:val="1"/>
      <w:numFmt w:val="decimal"/>
      <w:suff w:val="nothing"/>
      <w:lvlText w:val="（%1）"/>
      <w:lvlJc w:val="left"/>
    </w:lvl>
  </w:abstractNum>
  <w:abstractNum w:abstractNumId="1">
    <w:nsid w:val="849EC63C"/>
    <w:multiLevelType w:val="singleLevel"/>
    <w:tmpl w:val="849EC63C"/>
    <w:lvl w:ilvl="0" w:tentative="0">
      <w:start w:val="1"/>
      <w:numFmt w:val="decimal"/>
      <w:suff w:val="nothing"/>
      <w:lvlText w:val="（%1）"/>
      <w:lvlJc w:val="left"/>
    </w:lvl>
  </w:abstractNum>
  <w:abstractNum w:abstractNumId="2">
    <w:nsid w:val="8EC5CD33"/>
    <w:multiLevelType w:val="singleLevel"/>
    <w:tmpl w:val="8EC5CD33"/>
    <w:lvl w:ilvl="0" w:tentative="0">
      <w:start w:val="1"/>
      <w:numFmt w:val="decimal"/>
      <w:suff w:val="nothing"/>
      <w:lvlText w:val="%1、"/>
      <w:lvlJc w:val="left"/>
    </w:lvl>
  </w:abstractNum>
  <w:abstractNum w:abstractNumId="3">
    <w:nsid w:val="AAC4F35B"/>
    <w:multiLevelType w:val="singleLevel"/>
    <w:tmpl w:val="AAC4F35B"/>
    <w:lvl w:ilvl="0" w:tentative="0">
      <w:start w:val="1"/>
      <w:numFmt w:val="decimal"/>
      <w:suff w:val="nothing"/>
      <w:lvlText w:val="（%1）"/>
      <w:lvlJc w:val="left"/>
    </w:lvl>
  </w:abstractNum>
  <w:abstractNum w:abstractNumId="4">
    <w:nsid w:val="AD2814A0"/>
    <w:multiLevelType w:val="singleLevel"/>
    <w:tmpl w:val="AD2814A0"/>
    <w:lvl w:ilvl="0" w:tentative="0">
      <w:start w:val="1"/>
      <w:numFmt w:val="decimal"/>
      <w:suff w:val="nothing"/>
      <w:lvlText w:val="（%1）"/>
      <w:lvlJc w:val="left"/>
    </w:lvl>
  </w:abstractNum>
  <w:abstractNum w:abstractNumId="5">
    <w:nsid w:val="D2925C15"/>
    <w:multiLevelType w:val="singleLevel"/>
    <w:tmpl w:val="D2925C15"/>
    <w:lvl w:ilvl="0" w:tentative="0">
      <w:start w:val="6"/>
      <w:numFmt w:val="decimal"/>
      <w:suff w:val="nothing"/>
      <w:lvlText w:val="（%1）"/>
      <w:lvlJc w:val="left"/>
    </w:lvl>
  </w:abstractNum>
  <w:abstractNum w:abstractNumId="6">
    <w:nsid w:val="D4B403D3"/>
    <w:multiLevelType w:val="singleLevel"/>
    <w:tmpl w:val="D4B403D3"/>
    <w:lvl w:ilvl="0" w:tentative="0">
      <w:start w:val="1"/>
      <w:numFmt w:val="decimal"/>
      <w:suff w:val="nothing"/>
      <w:lvlText w:val="（%1）"/>
      <w:lvlJc w:val="left"/>
    </w:lvl>
  </w:abstractNum>
  <w:abstractNum w:abstractNumId="7">
    <w:nsid w:val="EDD97FC4"/>
    <w:multiLevelType w:val="singleLevel"/>
    <w:tmpl w:val="EDD97FC4"/>
    <w:lvl w:ilvl="0" w:tentative="0">
      <w:start w:val="1"/>
      <w:numFmt w:val="decimal"/>
      <w:suff w:val="nothing"/>
      <w:lvlText w:val="（%1）"/>
      <w:lvlJc w:val="left"/>
    </w:lvl>
  </w:abstractNum>
  <w:abstractNum w:abstractNumId="8">
    <w:nsid w:val="FD88CC41"/>
    <w:multiLevelType w:val="singleLevel"/>
    <w:tmpl w:val="FD88CC41"/>
    <w:lvl w:ilvl="0" w:tentative="0">
      <w:start w:val="1"/>
      <w:numFmt w:val="decimal"/>
      <w:suff w:val="nothing"/>
      <w:lvlText w:val="%1、"/>
      <w:lvlJc w:val="left"/>
    </w:lvl>
  </w:abstractNum>
  <w:abstractNum w:abstractNumId="9">
    <w:nsid w:val="0000000D"/>
    <w:multiLevelType w:val="multilevel"/>
    <w:tmpl w:val="0000000D"/>
    <w:lvl w:ilvl="0" w:tentative="0">
      <w:start w:val="2"/>
      <w:numFmt w:val="decimal"/>
      <w:pStyle w:val="2"/>
      <w:suff w:val="nothing"/>
      <w:lvlText w:val="%1."/>
      <w:lvlJc w:val="left"/>
      <w:pPr>
        <w:ind w:left="360" w:firstLine="0"/>
      </w:pPr>
      <w:rPr>
        <w:rFonts w:hint="eastAsia" w:ascii="黑体" w:eastAsia="黑体"/>
        <w:b w:val="0"/>
        <w:i w:val="0"/>
        <w:color w:val="000000"/>
        <w:sz w:val="32"/>
        <w:szCs w:val="32"/>
      </w:rPr>
    </w:lvl>
    <w:lvl w:ilvl="1" w:tentative="0">
      <w:start w:val="1"/>
      <w:numFmt w:val="decimal"/>
      <w:suff w:val="nothing"/>
      <w:lvlText w:val="%1.%2."/>
      <w:lvlJc w:val="left"/>
      <w:rPr>
        <w:rFonts w:hint="default" w:ascii="Times New Roman" w:hAnsi="Times New Roman" w:eastAsia="黑体" w:cs="Times New Roman"/>
        <w:b w:val="0"/>
        <w:bCs/>
        <w:i w:val="0"/>
        <w:iCs w:val="0"/>
        <w:caps w:val="0"/>
        <w:smallCaps w:val="0"/>
        <w:strike w:val="0"/>
        <w:dstrike w:val="0"/>
        <w:color w:val="auto"/>
        <w:spacing w:val="0"/>
        <w:w w:val="100"/>
        <w:kern w:val="0"/>
        <w:position w:val="0"/>
        <w:sz w:val="30"/>
        <w:szCs w:val="30"/>
        <w:u w:val="none"/>
        <w:shd w:val="clear" w:color="auto" w:fill="auto"/>
        <w14:shadow w14:blurRad="0" w14:dist="0" w14:dir="0" w14:sx="0" w14:sy="0" w14:kx="0" w14:ky="0" w14:algn="none">
          <w14:srgbClr w14:val="000000"/>
        </w14:shadow>
      </w:rPr>
    </w:lvl>
    <w:lvl w:ilvl="2" w:tentative="0">
      <w:start w:val="1"/>
      <w:numFmt w:val="decimal"/>
      <w:suff w:val="nothing"/>
      <w:lvlText w:val="%1.%2.%3."/>
      <w:lvlJc w:val="left"/>
      <w:rPr>
        <w:rFonts w:hint="default" w:ascii="Times New Roman" w:hAnsi="Times New Roman" w:eastAsia="黑体" w:cs="Times New Roman"/>
        <w:b w:val="0"/>
        <w:bCs/>
        <w:i w:val="0"/>
        <w:iCs w:val="0"/>
        <w:caps w:val="0"/>
        <w:smallCaps w:val="0"/>
        <w:dstrike w:val="0"/>
        <w:color w:val="000000"/>
        <w:spacing w:val="0"/>
        <w:w w:val="100"/>
        <w:kern w:val="24"/>
        <w:position w:val="0"/>
        <w:sz w:val="28"/>
        <w:szCs w:val="28"/>
        <w:u w:val="none"/>
        <w:shd w:val="clear" w:color="auto" w:fill="auto"/>
        <w:lang w:val="en-US" w:eastAsia="zh-CN"/>
        <w14:shadow w14:blurRad="0" w14:dist="0" w14:dir="0" w14:sx="0" w14:sy="0" w14:kx="0" w14:ky="0" w14:algn="none">
          <w14:srgbClr w14:val="000000"/>
        </w14:shadow>
      </w:rPr>
    </w:lvl>
    <w:lvl w:ilvl="3" w:tentative="0">
      <w:start w:val="1"/>
      <w:numFmt w:val="decimal"/>
      <w:suff w:val="nothing"/>
      <w:lvlText w:val="%1.%2.%3.%4."/>
      <w:lvlJc w:val="left"/>
      <w:pPr>
        <w:ind w:left="-3270" w:firstLine="0"/>
      </w:pPr>
      <w:rPr>
        <w:rFonts w:hint="eastAsia" w:ascii="黑体" w:hAnsi="Times New Roman" w:eastAsia="黑体" w:cs="Times New Roman"/>
        <w:b/>
        <w:i w:val="0"/>
        <w:sz w:val="28"/>
      </w:rPr>
    </w:lvl>
    <w:lvl w:ilvl="4" w:tentative="0">
      <w:start w:val="1"/>
      <w:numFmt w:val="decimal"/>
      <w:lvlText w:val="%1.%2.%3.%4.%5."/>
      <w:lvlJc w:val="left"/>
      <w:pPr>
        <w:tabs>
          <w:tab w:val="left" w:pos="-3073"/>
        </w:tabs>
        <w:ind w:left="-3073" w:hanging="992"/>
      </w:pPr>
      <w:rPr>
        <w:rFonts w:hint="eastAsia"/>
      </w:rPr>
    </w:lvl>
    <w:lvl w:ilvl="5" w:tentative="0">
      <w:start w:val="1"/>
      <w:numFmt w:val="decimal"/>
      <w:lvlText w:val="%1.%2.%3.%4.%5.%6."/>
      <w:lvlJc w:val="left"/>
      <w:pPr>
        <w:tabs>
          <w:tab w:val="left" w:pos="-2931"/>
        </w:tabs>
        <w:ind w:left="-2931" w:hanging="1134"/>
      </w:pPr>
      <w:rPr>
        <w:rFonts w:hint="eastAsia"/>
      </w:rPr>
    </w:lvl>
    <w:lvl w:ilvl="6" w:tentative="0">
      <w:start w:val="1"/>
      <w:numFmt w:val="decimal"/>
      <w:lvlText w:val="%1.%2.%3.%4.%5.%6.%7."/>
      <w:lvlJc w:val="left"/>
      <w:pPr>
        <w:tabs>
          <w:tab w:val="left" w:pos="-2789"/>
        </w:tabs>
        <w:ind w:left="-2789" w:hanging="1276"/>
      </w:pPr>
      <w:rPr>
        <w:rFonts w:hint="eastAsia"/>
      </w:rPr>
    </w:lvl>
    <w:lvl w:ilvl="7" w:tentative="0">
      <w:start w:val="1"/>
      <w:numFmt w:val="decimal"/>
      <w:lvlText w:val="%1.%2.%3.%4.%5.%6.%7.%8."/>
      <w:lvlJc w:val="left"/>
      <w:pPr>
        <w:tabs>
          <w:tab w:val="left" w:pos="-2647"/>
        </w:tabs>
        <w:ind w:left="-2647" w:hanging="1418"/>
      </w:pPr>
      <w:rPr>
        <w:rFonts w:hint="eastAsia"/>
      </w:rPr>
    </w:lvl>
    <w:lvl w:ilvl="8" w:tentative="0">
      <w:start w:val="1"/>
      <w:numFmt w:val="decimal"/>
      <w:lvlText w:val="%1.%2.%3.%4.%5.%6.%7.%8.%9."/>
      <w:lvlJc w:val="left"/>
      <w:pPr>
        <w:tabs>
          <w:tab w:val="left" w:pos="-2506"/>
        </w:tabs>
        <w:ind w:left="-2506" w:hanging="1559"/>
      </w:pPr>
      <w:rPr>
        <w:rFonts w:hint="eastAsia"/>
      </w:rPr>
    </w:lvl>
  </w:abstractNum>
  <w:abstractNum w:abstractNumId="10">
    <w:nsid w:val="00081F31"/>
    <w:multiLevelType w:val="singleLevel"/>
    <w:tmpl w:val="00081F31"/>
    <w:lvl w:ilvl="0" w:tentative="0">
      <w:start w:val="1"/>
      <w:numFmt w:val="decimal"/>
      <w:suff w:val="nothing"/>
      <w:lvlText w:val="（%1）"/>
      <w:lvlJc w:val="left"/>
    </w:lvl>
  </w:abstractNum>
  <w:abstractNum w:abstractNumId="11">
    <w:nsid w:val="02CD0344"/>
    <w:multiLevelType w:val="singleLevel"/>
    <w:tmpl w:val="02CD0344"/>
    <w:lvl w:ilvl="0" w:tentative="0">
      <w:start w:val="1"/>
      <w:numFmt w:val="decimal"/>
      <w:suff w:val="nothing"/>
      <w:lvlText w:val="（%1）"/>
      <w:lvlJc w:val="left"/>
    </w:lvl>
  </w:abstractNum>
  <w:abstractNum w:abstractNumId="12">
    <w:nsid w:val="03DE0289"/>
    <w:multiLevelType w:val="multilevel"/>
    <w:tmpl w:val="03DE0289"/>
    <w:lvl w:ilvl="0" w:tentative="0">
      <w:start w:val="3"/>
      <w:numFmt w:val="decimal"/>
      <w:suff w:val="nothing"/>
      <w:lvlText w:val="（%1）"/>
      <w:lvlJc w:val="left"/>
      <w:pPr>
        <w:ind w:left="0" w:firstLine="0"/>
      </w:pPr>
      <w:rPr>
        <w:rFonts w:hint="default" w:ascii="Times New Roman" w:hAnsi="Times New Roman" w:cs="Times New Roman"/>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3">
    <w:nsid w:val="115763E2"/>
    <w:multiLevelType w:val="singleLevel"/>
    <w:tmpl w:val="115763E2"/>
    <w:lvl w:ilvl="0" w:tentative="0">
      <w:start w:val="1"/>
      <w:numFmt w:val="decimal"/>
      <w:suff w:val="nothing"/>
      <w:lvlText w:val="（%1）"/>
      <w:lvlJc w:val="left"/>
    </w:lvl>
  </w:abstractNum>
  <w:abstractNum w:abstractNumId="14">
    <w:nsid w:val="1605663C"/>
    <w:multiLevelType w:val="multilevel"/>
    <w:tmpl w:val="1605663C"/>
    <w:lvl w:ilvl="0" w:tentative="0">
      <w:start w:val="1"/>
      <w:numFmt w:val="decimalEnclosedCircle"/>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5">
    <w:nsid w:val="199D5E39"/>
    <w:multiLevelType w:val="multilevel"/>
    <w:tmpl w:val="199D5E39"/>
    <w:lvl w:ilvl="0" w:tentative="0">
      <w:start w:val="1"/>
      <w:numFmt w:val="decimalEnclosedCircle"/>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6">
    <w:nsid w:val="1BD90BCF"/>
    <w:multiLevelType w:val="multilevel"/>
    <w:tmpl w:val="1BD90BCF"/>
    <w:lvl w:ilvl="0" w:tentative="0">
      <w:start w:val="1"/>
      <w:numFmt w:val="decimalEnclosedCircle"/>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7">
    <w:nsid w:val="1F715EDF"/>
    <w:multiLevelType w:val="multilevel"/>
    <w:tmpl w:val="1F715EDF"/>
    <w:lvl w:ilvl="0" w:tentative="0">
      <w:start w:val="1"/>
      <w:numFmt w:val="decimalEnclosedCircle"/>
      <w:lvlText w:val="%1"/>
      <w:lvlJc w:val="left"/>
      <w:pPr>
        <w:ind w:left="812" w:hanging="360"/>
      </w:pPr>
      <w:rPr>
        <w:rFonts w:hint="default" w:ascii="宋体" w:hAnsi="宋体" w:cs="宋体"/>
      </w:rPr>
    </w:lvl>
    <w:lvl w:ilvl="1" w:tentative="0">
      <w:start w:val="1"/>
      <w:numFmt w:val="lowerLetter"/>
      <w:lvlText w:val="%2)"/>
      <w:lvlJc w:val="left"/>
      <w:pPr>
        <w:ind w:left="1292" w:hanging="420"/>
      </w:pPr>
    </w:lvl>
    <w:lvl w:ilvl="2" w:tentative="0">
      <w:start w:val="1"/>
      <w:numFmt w:val="lowerRoman"/>
      <w:lvlText w:val="%3."/>
      <w:lvlJc w:val="right"/>
      <w:pPr>
        <w:ind w:left="1712" w:hanging="420"/>
      </w:pPr>
    </w:lvl>
    <w:lvl w:ilvl="3" w:tentative="0">
      <w:start w:val="1"/>
      <w:numFmt w:val="decimal"/>
      <w:lvlText w:val="%4."/>
      <w:lvlJc w:val="left"/>
      <w:pPr>
        <w:ind w:left="2132" w:hanging="420"/>
      </w:pPr>
    </w:lvl>
    <w:lvl w:ilvl="4" w:tentative="0">
      <w:start w:val="1"/>
      <w:numFmt w:val="lowerLetter"/>
      <w:lvlText w:val="%5)"/>
      <w:lvlJc w:val="left"/>
      <w:pPr>
        <w:ind w:left="2552" w:hanging="420"/>
      </w:pPr>
    </w:lvl>
    <w:lvl w:ilvl="5" w:tentative="0">
      <w:start w:val="1"/>
      <w:numFmt w:val="lowerRoman"/>
      <w:lvlText w:val="%6."/>
      <w:lvlJc w:val="right"/>
      <w:pPr>
        <w:ind w:left="2972" w:hanging="420"/>
      </w:pPr>
    </w:lvl>
    <w:lvl w:ilvl="6" w:tentative="0">
      <w:start w:val="1"/>
      <w:numFmt w:val="decimal"/>
      <w:lvlText w:val="%7."/>
      <w:lvlJc w:val="left"/>
      <w:pPr>
        <w:ind w:left="3392" w:hanging="420"/>
      </w:pPr>
    </w:lvl>
    <w:lvl w:ilvl="7" w:tentative="0">
      <w:start w:val="1"/>
      <w:numFmt w:val="lowerLetter"/>
      <w:lvlText w:val="%8)"/>
      <w:lvlJc w:val="left"/>
      <w:pPr>
        <w:ind w:left="3812" w:hanging="420"/>
      </w:pPr>
    </w:lvl>
    <w:lvl w:ilvl="8" w:tentative="0">
      <w:start w:val="1"/>
      <w:numFmt w:val="lowerRoman"/>
      <w:lvlText w:val="%9."/>
      <w:lvlJc w:val="right"/>
      <w:pPr>
        <w:ind w:left="4232" w:hanging="420"/>
      </w:pPr>
    </w:lvl>
  </w:abstractNum>
  <w:abstractNum w:abstractNumId="18">
    <w:nsid w:val="3C37F519"/>
    <w:multiLevelType w:val="singleLevel"/>
    <w:tmpl w:val="3C37F519"/>
    <w:lvl w:ilvl="0" w:tentative="0">
      <w:start w:val="1"/>
      <w:numFmt w:val="decimal"/>
      <w:suff w:val="nothing"/>
      <w:lvlText w:val="（%1）"/>
      <w:lvlJc w:val="left"/>
    </w:lvl>
  </w:abstractNum>
  <w:abstractNum w:abstractNumId="19">
    <w:nsid w:val="4BE30DAA"/>
    <w:multiLevelType w:val="multilevel"/>
    <w:tmpl w:val="4BE30DAA"/>
    <w:lvl w:ilvl="0" w:tentative="0">
      <w:start w:val="1"/>
      <w:numFmt w:val="decimal"/>
      <w:suff w:val="nothing"/>
      <w:lvlText w:val="%1."/>
      <w:lvlJc w:val="left"/>
      <w:pPr>
        <w:ind w:left="284" w:firstLine="0"/>
      </w:pPr>
      <w:rPr>
        <w:rFonts w:hint="eastAsia" w:ascii="黑体" w:eastAsia="黑体"/>
        <w:b w:val="0"/>
        <w:i w:val="0"/>
        <w:color w:val="000000"/>
        <w:sz w:val="32"/>
        <w:szCs w:val="32"/>
      </w:rPr>
    </w:lvl>
    <w:lvl w:ilvl="1" w:tentative="0">
      <w:start w:val="1"/>
      <w:numFmt w:val="decimal"/>
      <w:pStyle w:val="3"/>
      <w:suff w:val="nothing"/>
      <w:lvlText w:val="%1.%2."/>
      <w:lvlJc w:val="left"/>
      <w:rPr>
        <w:rFonts w:hint="default" w:ascii="Times New Roman" w:hAnsi="Times New Roman" w:eastAsia="黑体" w:cs="Times New Roman"/>
        <w:b w:val="0"/>
        <w:bCs/>
        <w:i w:val="0"/>
        <w:iCs w:val="0"/>
        <w:caps w:val="0"/>
        <w:smallCaps w:val="0"/>
        <w:strike w:val="0"/>
        <w:dstrike w:val="0"/>
        <w:color w:val="auto"/>
        <w:spacing w:val="0"/>
        <w:w w:val="100"/>
        <w:kern w:val="0"/>
        <w:position w:val="0"/>
        <w:sz w:val="30"/>
        <w:szCs w:val="30"/>
        <w:u w:val="none"/>
        <w14:shadow w14:blurRad="0" w14:dist="0" w14:dir="0" w14:sx="0" w14:sy="0" w14:kx="0" w14:ky="0" w14:algn="none">
          <w14:srgbClr w14:val="000000"/>
        </w14:shadow>
      </w:rPr>
    </w:lvl>
    <w:lvl w:ilvl="2" w:tentative="0">
      <w:start w:val="1"/>
      <w:numFmt w:val="decimal"/>
      <w:pStyle w:val="4"/>
      <w:suff w:val="nothing"/>
      <w:lvlText w:val="%1.%2.%3."/>
      <w:lvlJc w:val="left"/>
      <w:rPr>
        <w:rFonts w:hint="default" w:ascii="Times New Roman" w:hAnsi="Times New Roman" w:eastAsia="黑体" w:cs="Times New Roman"/>
        <w:b w:val="0"/>
        <w:bCs/>
        <w:i w:val="0"/>
        <w:iCs w:val="0"/>
        <w:caps w:val="0"/>
        <w:smallCaps w:val="0"/>
        <w:dstrike w:val="0"/>
        <w:color w:val="000000"/>
        <w:spacing w:val="0"/>
        <w:w w:val="100"/>
        <w:kern w:val="24"/>
        <w:position w:val="0"/>
        <w:sz w:val="28"/>
        <w:szCs w:val="28"/>
        <w:u w:val="none"/>
        <w14:shadow w14:blurRad="0" w14:dist="0" w14:dir="0" w14:sx="0" w14:sy="0" w14:kx="0" w14:ky="0" w14:algn="none">
          <w14:srgbClr w14:val="000000"/>
        </w14:shadow>
      </w:rPr>
    </w:lvl>
    <w:lvl w:ilvl="3" w:tentative="0">
      <w:start w:val="1"/>
      <w:numFmt w:val="decimal"/>
      <w:suff w:val="nothing"/>
      <w:lvlText w:val="%1.%2.%3.%4."/>
      <w:lvlJc w:val="left"/>
      <w:pPr>
        <w:ind w:left="-3270" w:firstLine="0"/>
      </w:pPr>
      <w:rPr>
        <w:rFonts w:hint="eastAsia" w:ascii="黑体" w:hAnsi="Times New Roman" w:eastAsia="黑体" w:cs="Times New Roman"/>
        <w:b/>
        <w:i w:val="0"/>
        <w:sz w:val="28"/>
      </w:rPr>
    </w:lvl>
    <w:lvl w:ilvl="4" w:tentative="0">
      <w:start w:val="1"/>
      <w:numFmt w:val="decimal"/>
      <w:lvlText w:val="%1.%2.%3.%4.%5."/>
      <w:lvlJc w:val="left"/>
      <w:pPr>
        <w:tabs>
          <w:tab w:val="left" w:pos="-3073"/>
        </w:tabs>
        <w:ind w:left="-3073" w:hanging="992"/>
      </w:pPr>
      <w:rPr>
        <w:rFonts w:hint="eastAsia"/>
      </w:rPr>
    </w:lvl>
    <w:lvl w:ilvl="5" w:tentative="0">
      <w:start w:val="1"/>
      <w:numFmt w:val="decimal"/>
      <w:lvlText w:val="%1.%2.%3.%4.%5.%6."/>
      <w:lvlJc w:val="left"/>
      <w:pPr>
        <w:tabs>
          <w:tab w:val="left" w:pos="-2931"/>
        </w:tabs>
        <w:ind w:left="-2931" w:hanging="1134"/>
      </w:pPr>
      <w:rPr>
        <w:rFonts w:hint="eastAsia"/>
      </w:rPr>
    </w:lvl>
    <w:lvl w:ilvl="6" w:tentative="0">
      <w:start w:val="1"/>
      <w:numFmt w:val="decimal"/>
      <w:lvlText w:val="%1.%2.%3.%4.%5.%6.%7."/>
      <w:lvlJc w:val="left"/>
      <w:pPr>
        <w:tabs>
          <w:tab w:val="left" w:pos="-2789"/>
        </w:tabs>
        <w:ind w:left="-2789" w:hanging="1276"/>
      </w:pPr>
      <w:rPr>
        <w:rFonts w:hint="eastAsia"/>
      </w:rPr>
    </w:lvl>
    <w:lvl w:ilvl="7" w:tentative="0">
      <w:start w:val="1"/>
      <w:numFmt w:val="decimal"/>
      <w:lvlText w:val="%1.%2.%3.%4.%5.%6.%7.%8."/>
      <w:lvlJc w:val="left"/>
      <w:pPr>
        <w:tabs>
          <w:tab w:val="left" w:pos="-2647"/>
        </w:tabs>
        <w:ind w:left="-2647" w:hanging="1418"/>
      </w:pPr>
      <w:rPr>
        <w:rFonts w:hint="eastAsia"/>
      </w:rPr>
    </w:lvl>
    <w:lvl w:ilvl="8" w:tentative="0">
      <w:start w:val="1"/>
      <w:numFmt w:val="decimal"/>
      <w:lvlText w:val="%1.%2.%3.%4.%5.%6.%7.%8.%9."/>
      <w:lvlJc w:val="left"/>
      <w:pPr>
        <w:tabs>
          <w:tab w:val="left" w:pos="-2506"/>
        </w:tabs>
        <w:ind w:left="-2506" w:hanging="1559"/>
      </w:pPr>
      <w:rPr>
        <w:rFonts w:hint="eastAsia"/>
      </w:rPr>
    </w:lvl>
  </w:abstractNum>
  <w:abstractNum w:abstractNumId="20">
    <w:nsid w:val="53006948"/>
    <w:multiLevelType w:val="multilevel"/>
    <w:tmpl w:val="53006948"/>
    <w:lvl w:ilvl="0" w:tentative="0">
      <w:start w:val="1"/>
      <w:numFmt w:val="decimalEnclosedCircle"/>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1">
    <w:nsid w:val="536C2779"/>
    <w:multiLevelType w:val="multilevel"/>
    <w:tmpl w:val="536C2779"/>
    <w:lvl w:ilvl="0" w:tentative="0">
      <w:start w:val="1"/>
      <w:numFmt w:val="decimal"/>
      <w:lvlText w:val="%1."/>
      <w:lvlJc w:val="left"/>
      <w:pPr>
        <w:tabs>
          <w:tab w:val="left" w:pos="720"/>
        </w:tabs>
        <w:ind w:left="720" w:hanging="720"/>
      </w:pPr>
    </w:lvl>
    <w:lvl w:ilvl="1" w:tentative="0">
      <w:start w:val="1"/>
      <w:numFmt w:val="decimal"/>
      <w:lvlText w:val="%2."/>
      <w:lvlJc w:val="left"/>
      <w:pPr>
        <w:tabs>
          <w:tab w:val="left" w:pos="1440"/>
        </w:tabs>
        <w:ind w:left="1440" w:hanging="720"/>
      </w:pPr>
    </w:lvl>
    <w:lvl w:ilvl="2" w:tentative="0">
      <w:start w:val="1"/>
      <w:numFmt w:val="decimal"/>
      <w:lvlText w:val="%3."/>
      <w:lvlJc w:val="left"/>
      <w:pPr>
        <w:tabs>
          <w:tab w:val="left" w:pos="2160"/>
        </w:tabs>
        <w:ind w:left="2160" w:hanging="720"/>
      </w:pPr>
    </w:lvl>
    <w:lvl w:ilvl="3" w:tentative="0">
      <w:start w:val="1"/>
      <w:numFmt w:val="decimal"/>
      <w:lvlText w:val="%4."/>
      <w:lvlJc w:val="left"/>
      <w:pPr>
        <w:tabs>
          <w:tab w:val="left" w:pos="2880"/>
        </w:tabs>
        <w:ind w:left="2880" w:hanging="720"/>
      </w:pPr>
    </w:lvl>
    <w:lvl w:ilvl="4" w:tentative="0">
      <w:start w:val="1"/>
      <w:numFmt w:val="decimal"/>
      <w:pStyle w:val="354"/>
      <w:lvlText w:val="%5."/>
      <w:lvlJc w:val="left"/>
      <w:pPr>
        <w:tabs>
          <w:tab w:val="left" w:pos="3600"/>
        </w:tabs>
        <w:ind w:left="3600" w:hanging="720"/>
      </w:pPr>
    </w:lvl>
    <w:lvl w:ilvl="5" w:tentative="0">
      <w:start w:val="1"/>
      <w:numFmt w:val="decimal"/>
      <w:lvlText w:val="%6."/>
      <w:lvlJc w:val="left"/>
      <w:pPr>
        <w:tabs>
          <w:tab w:val="left" w:pos="4320"/>
        </w:tabs>
        <w:ind w:left="4320" w:hanging="720"/>
      </w:pPr>
    </w:lvl>
    <w:lvl w:ilvl="6" w:tentative="0">
      <w:start w:val="1"/>
      <w:numFmt w:val="decimal"/>
      <w:lvlText w:val="%7."/>
      <w:lvlJc w:val="left"/>
      <w:pPr>
        <w:tabs>
          <w:tab w:val="left" w:pos="5040"/>
        </w:tabs>
        <w:ind w:left="5040" w:hanging="720"/>
      </w:pPr>
    </w:lvl>
    <w:lvl w:ilvl="7" w:tentative="0">
      <w:start w:val="1"/>
      <w:numFmt w:val="decimal"/>
      <w:lvlText w:val="%8."/>
      <w:lvlJc w:val="left"/>
      <w:pPr>
        <w:tabs>
          <w:tab w:val="left" w:pos="5760"/>
        </w:tabs>
        <w:ind w:left="5760" w:hanging="720"/>
      </w:pPr>
    </w:lvl>
    <w:lvl w:ilvl="8" w:tentative="0">
      <w:start w:val="1"/>
      <w:numFmt w:val="decimal"/>
      <w:lvlText w:val="%9."/>
      <w:lvlJc w:val="left"/>
      <w:pPr>
        <w:tabs>
          <w:tab w:val="left" w:pos="6480"/>
        </w:tabs>
        <w:ind w:left="6480" w:hanging="720"/>
      </w:pPr>
    </w:lvl>
  </w:abstractNum>
  <w:abstractNum w:abstractNumId="22">
    <w:nsid w:val="567BA81F"/>
    <w:multiLevelType w:val="singleLevel"/>
    <w:tmpl w:val="567BA81F"/>
    <w:lvl w:ilvl="0" w:tentative="0">
      <w:start w:val="1"/>
      <w:numFmt w:val="decimal"/>
      <w:suff w:val="nothing"/>
      <w:lvlText w:val="（%1）"/>
      <w:lvlJc w:val="left"/>
    </w:lvl>
  </w:abstractNum>
  <w:abstractNum w:abstractNumId="23">
    <w:nsid w:val="6B106FC9"/>
    <w:multiLevelType w:val="singleLevel"/>
    <w:tmpl w:val="6B106FC9"/>
    <w:lvl w:ilvl="0" w:tentative="0">
      <w:start w:val="1"/>
      <w:numFmt w:val="decimal"/>
      <w:suff w:val="nothing"/>
      <w:lvlText w:val="（%1）"/>
      <w:lvlJc w:val="left"/>
    </w:lvl>
  </w:abstractNum>
  <w:abstractNum w:abstractNumId="24">
    <w:nsid w:val="7BE01ED8"/>
    <w:multiLevelType w:val="multilevel"/>
    <w:tmpl w:val="7BE01ED8"/>
    <w:lvl w:ilvl="0" w:tentative="0">
      <w:start w:val="1"/>
      <w:numFmt w:val="decimalEnclosedCircle"/>
      <w:lvlText w:val="%1"/>
      <w:lvlJc w:val="left"/>
      <w:pPr>
        <w:ind w:left="840" w:hanging="360"/>
      </w:pPr>
      <w:rPr>
        <w:rFonts w:hint="default" w:ascii="宋体" w:hAnsi="宋体" w:cs="宋体"/>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num w:numId="1">
    <w:abstractNumId w:val="9"/>
  </w:num>
  <w:num w:numId="2">
    <w:abstractNumId w:val="19"/>
  </w:num>
  <w:num w:numId="3">
    <w:abstractNumId w:val="21"/>
  </w:num>
  <w:num w:numId="4">
    <w:abstractNumId w:val="1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2"/>
  </w:num>
  <w:num w:numId="6">
    <w:abstractNumId w:val="20"/>
  </w:num>
  <w:num w:numId="7">
    <w:abstractNumId w:val="8"/>
  </w:num>
  <w:num w:numId="8">
    <w:abstractNumId w:val="17"/>
  </w:num>
  <w:num w:numId="9">
    <w:abstractNumId w:val="15"/>
  </w:num>
  <w:num w:numId="10">
    <w:abstractNumId w:val="6"/>
  </w:num>
  <w:num w:numId="11">
    <w:abstractNumId w:val="0"/>
  </w:num>
  <w:num w:numId="12">
    <w:abstractNumId w:val="14"/>
  </w:num>
  <w:num w:numId="13">
    <w:abstractNumId w:val="18"/>
  </w:num>
  <w:num w:numId="14">
    <w:abstractNumId w:val="24"/>
  </w:num>
  <w:num w:numId="15">
    <w:abstractNumId w:val="1"/>
  </w:num>
  <w:num w:numId="16">
    <w:abstractNumId w:val="16"/>
  </w:num>
  <w:num w:numId="17">
    <w:abstractNumId w:val="2"/>
  </w:num>
  <w:num w:numId="18">
    <w:abstractNumId w:val="3"/>
  </w:num>
  <w:num w:numId="19">
    <w:abstractNumId w:val="5"/>
  </w:num>
  <w:num w:numId="20">
    <w:abstractNumId w:val="11"/>
  </w:num>
  <w:num w:numId="21">
    <w:abstractNumId w:val="13"/>
  </w:num>
  <w:num w:numId="22">
    <w:abstractNumId w:val="4"/>
  </w:num>
  <w:num w:numId="23">
    <w:abstractNumId w:val="7"/>
  </w:num>
  <w:num w:numId="24">
    <w:abstractNumId w:val="10"/>
  </w:num>
  <w:num w:numId="25">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isplayBackgroundShape w:val="1"/>
  <w:bordersDoNotSurroundHeader w:val="1"/>
  <w:bordersDoNotSurroundFooter w:val="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nforcement="0"/>
  <w:defaultTabStop w:val="420"/>
  <w:drawingGridHorizontalSpacing w:val="105"/>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DFmZTdhZTQ5NmYwMjE1MGZhNDY3ZGUwY2RiY2NjNzQifQ=="/>
  </w:docVars>
  <w:rsids>
    <w:rsidRoot w:val="00EA46FF"/>
    <w:rsid w:val="00000132"/>
    <w:rsid w:val="0000023A"/>
    <w:rsid w:val="00000276"/>
    <w:rsid w:val="00000680"/>
    <w:rsid w:val="00000740"/>
    <w:rsid w:val="000009A9"/>
    <w:rsid w:val="00000AF1"/>
    <w:rsid w:val="00000C2C"/>
    <w:rsid w:val="00000E81"/>
    <w:rsid w:val="00000F8C"/>
    <w:rsid w:val="000010E2"/>
    <w:rsid w:val="0000112E"/>
    <w:rsid w:val="00001426"/>
    <w:rsid w:val="00001724"/>
    <w:rsid w:val="000017D1"/>
    <w:rsid w:val="00001821"/>
    <w:rsid w:val="0000188A"/>
    <w:rsid w:val="000018DD"/>
    <w:rsid w:val="0000198C"/>
    <w:rsid w:val="000019EF"/>
    <w:rsid w:val="00001A74"/>
    <w:rsid w:val="00001C96"/>
    <w:rsid w:val="00001EA0"/>
    <w:rsid w:val="0000242E"/>
    <w:rsid w:val="000024D2"/>
    <w:rsid w:val="000025CF"/>
    <w:rsid w:val="0000267D"/>
    <w:rsid w:val="000027B7"/>
    <w:rsid w:val="000027CF"/>
    <w:rsid w:val="000027FD"/>
    <w:rsid w:val="000028EE"/>
    <w:rsid w:val="0000292E"/>
    <w:rsid w:val="00002AAD"/>
    <w:rsid w:val="00002AE7"/>
    <w:rsid w:val="00002AFD"/>
    <w:rsid w:val="00002E78"/>
    <w:rsid w:val="00002F94"/>
    <w:rsid w:val="00003079"/>
    <w:rsid w:val="000030A8"/>
    <w:rsid w:val="00003174"/>
    <w:rsid w:val="0000328C"/>
    <w:rsid w:val="0000349E"/>
    <w:rsid w:val="00003505"/>
    <w:rsid w:val="0000352B"/>
    <w:rsid w:val="0000361C"/>
    <w:rsid w:val="00003739"/>
    <w:rsid w:val="000038C4"/>
    <w:rsid w:val="0000398E"/>
    <w:rsid w:val="00003AF9"/>
    <w:rsid w:val="00003D05"/>
    <w:rsid w:val="00003FC4"/>
    <w:rsid w:val="0000407E"/>
    <w:rsid w:val="000040A8"/>
    <w:rsid w:val="000041A2"/>
    <w:rsid w:val="00004352"/>
    <w:rsid w:val="000043D6"/>
    <w:rsid w:val="000043E9"/>
    <w:rsid w:val="00004736"/>
    <w:rsid w:val="000047C6"/>
    <w:rsid w:val="00004A45"/>
    <w:rsid w:val="00004B40"/>
    <w:rsid w:val="00004C0D"/>
    <w:rsid w:val="00004C81"/>
    <w:rsid w:val="00004D36"/>
    <w:rsid w:val="00004D63"/>
    <w:rsid w:val="0000503B"/>
    <w:rsid w:val="000053B5"/>
    <w:rsid w:val="000053C2"/>
    <w:rsid w:val="0000544F"/>
    <w:rsid w:val="00005628"/>
    <w:rsid w:val="00005809"/>
    <w:rsid w:val="00005838"/>
    <w:rsid w:val="0000588E"/>
    <w:rsid w:val="000059F7"/>
    <w:rsid w:val="00005CD9"/>
    <w:rsid w:val="00005D64"/>
    <w:rsid w:val="00005DA1"/>
    <w:rsid w:val="00005E7A"/>
    <w:rsid w:val="00005FBF"/>
    <w:rsid w:val="0000603F"/>
    <w:rsid w:val="000061C9"/>
    <w:rsid w:val="0000625A"/>
    <w:rsid w:val="0000633C"/>
    <w:rsid w:val="0000654E"/>
    <w:rsid w:val="00006774"/>
    <w:rsid w:val="000068BE"/>
    <w:rsid w:val="00006AAE"/>
    <w:rsid w:val="00006B40"/>
    <w:rsid w:val="00006C57"/>
    <w:rsid w:val="00006C6C"/>
    <w:rsid w:val="00006C9F"/>
    <w:rsid w:val="00006CD4"/>
    <w:rsid w:val="00006FC2"/>
    <w:rsid w:val="0000759B"/>
    <w:rsid w:val="000076F0"/>
    <w:rsid w:val="00007709"/>
    <w:rsid w:val="00007A5B"/>
    <w:rsid w:val="00007CEB"/>
    <w:rsid w:val="00007DE7"/>
    <w:rsid w:val="0001002E"/>
    <w:rsid w:val="00010075"/>
    <w:rsid w:val="000102C1"/>
    <w:rsid w:val="000103F3"/>
    <w:rsid w:val="00010428"/>
    <w:rsid w:val="00010672"/>
    <w:rsid w:val="00010888"/>
    <w:rsid w:val="00010C1F"/>
    <w:rsid w:val="00010CEC"/>
    <w:rsid w:val="0001109E"/>
    <w:rsid w:val="0001123E"/>
    <w:rsid w:val="000112CB"/>
    <w:rsid w:val="000112CE"/>
    <w:rsid w:val="0001147D"/>
    <w:rsid w:val="000114A9"/>
    <w:rsid w:val="0001150E"/>
    <w:rsid w:val="00011761"/>
    <w:rsid w:val="000118A9"/>
    <w:rsid w:val="00011A5F"/>
    <w:rsid w:val="00011B2E"/>
    <w:rsid w:val="00011B6D"/>
    <w:rsid w:val="00011BA1"/>
    <w:rsid w:val="00011DC3"/>
    <w:rsid w:val="00011DC7"/>
    <w:rsid w:val="000120A3"/>
    <w:rsid w:val="000120DD"/>
    <w:rsid w:val="00012124"/>
    <w:rsid w:val="000122CE"/>
    <w:rsid w:val="00012321"/>
    <w:rsid w:val="00012453"/>
    <w:rsid w:val="0001252E"/>
    <w:rsid w:val="000127F6"/>
    <w:rsid w:val="00012949"/>
    <w:rsid w:val="000129D7"/>
    <w:rsid w:val="00012B50"/>
    <w:rsid w:val="00012DAB"/>
    <w:rsid w:val="00012DCE"/>
    <w:rsid w:val="00013048"/>
    <w:rsid w:val="000131D2"/>
    <w:rsid w:val="00013622"/>
    <w:rsid w:val="00013769"/>
    <w:rsid w:val="000138A9"/>
    <w:rsid w:val="00013940"/>
    <w:rsid w:val="00013C24"/>
    <w:rsid w:val="00013F40"/>
    <w:rsid w:val="00014288"/>
    <w:rsid w:val="00014656"/>
    <w:rsid w:val="000146B4"/>
    <w:rsid w:val="000147A3"/>
    <w:rsid w:val="000147C1"/>
    <w:rsid w:val="000147CF"/>
    <w:rsid w:val="000148DF"/>
    <w:rsid w:val="00014A4D"/>
    <w:rsid w:val="00014D3A"/>
    <w:rsid w:val="00014EDF"/>
    <w:rsid w:val="00015077"/>
    <w:rsid w:val="0001507F"/>
    <w:rsid w:val="000150AD"/>
    <w:rsid w:val="000151F1"/>
    <w:rsid w:val="00015534"/>
    <w:rsid w:val="00015558"/>
    <w:rsid w:val="000155EC"/>
    <w:rsid w:val="00015631"/>
    <w:rsid w:val="000157AF"/>
    <w:rsid w:val="000157C1"/>
    <w:rsid w:val="00015878"/>
    <w:rsid w:val="0001591A"/>
    <w:rsid w:val="00015A88"/>
    <w:rsid w:val="00015B63"/>
    <w:rsid w:val="00015EA3"/>
    <w:rsid w:val="000160EA"/>
    <w:rsid w:val="00016136"/>
    <w:rsid w:val="000162C3"/>
    <w:rsid w:val="000162E8"/>
    <w:rsid w:val="00016775"/>
    <w:rsid w:val="00016826"/>
    <w:rsid w:val="00016A1C"/>
    <w:rsid w:val="00016A48"/>
    <w:rsid w:val="00016F19"/>
    <w:rsid w:val="00016F3B"/>
    <w:rsid w:val="0001721C"/>
    <w:rsid w:val="00017223"/>
    <w:rsid w:val="0001771A"/>
    <w:rsid w:val="000179AE"/>
    <w:rsid w:val="000179C4"/>
    <w:rsid w:val="00017B96"/>
    <w:rsid w:val="00017D40"/>
    <w:rsid w:val="00017D43"/>
    <w:rsid w:val="00017F41"/>
    <w:rsid w:val="00017F5E"/>
    <w:rsid w:val="00020076"/>
    <w:rsid w:val="00020115"/>
    <w:rsid w:val="000202B5"/>
    <w:rsid w:val="000202E0"/>
    <w:rsid w:val="00020342"/>
    <w:rsid w:val="0002037C"/>
    <w:rsid w:val="000203D3"/>
    <w:rsid w:val="000209C9"/>
    <w:rsid w:val="00020BC0"/>
    <w:rsid w:val="00020E44"/>
    <w:rsid w:val="00020EF2"/>
    <w:rsid w:val="00020EF6"/>
    <w:rsid w:val="00020F16"/>
    <w:rsid w:val="00020F21"/>
    <w:rsid w:val="00020F27"/>
    <w:rsid w:val="000211D7"/>
    <w:rsid w:val="00021359"/>
    <w:rsid w:val="0002141D"/>
    <w:rsid w:val="00021A4D"/>
    <w:rsid w:val="00021CF5"/>
    <w:rsid w:val="00021DB2"/>
    <w:rsid w:val="00021F83"/>
    <w:rsid w:val="00021FE4"/>
    <w:rsid w:val="00022145"/>
    <w:rsid w:val="0002251A"/>
    <w:rsid w:val="000225B6"/>
    <w:rsid w:val="000225F0"/>
    <w:rsid w:val="00022695"/>
    <w:rsid w:val="000226B0"/>
    <w:rsid w:val="00022AAC"/>
    <w:rsid w:val="00022B3D"/>
    <w:rsid w:val="00022F8C"/>
    <w:rsid w:val="000231A5"/>
    <w:rsid w:val="000231A9"/>
    <w:rsid w:val="00023434"/>
    <w:rsid w:val="00023568"/>
    <w:rsid w:val="000235C0"/>
    <w:rsid w:val="000235EE"/>
    <w:rsid w:val="00023658"/>
    <w:rsid w:val="000238BA"/>
    <w:rsid w:val="00023E79"/>
    <w:rsid w:val="00024024"/>
    <w:rsid w:val="000240F6"/>
    <w:rsid w:val="000242B2"/>
    <w:rsid w:val="000242D6"/>
    <w:rsid w:val="0002439B"/>
    <w:rsid w:val="000244A4"/>
    <w:rsid w:val="00024D2B"/>
    <w:rsid w:val="00024E44"/>
    <w:rsid w:val="00024E74"/>
    <w:rsid w:val="00025962"/>
    <w:rsid w:val="000259A3"/>
    <w:rsid w:val="00025A25"/>
    <w:rsid w:val="00025B62"/>
    <w:rsid w:val="00025C89"/>
    <w:rsid w:val="00025F88"/>
    <w:rsid w:val="0002607C"/>
    <w:rsid w:val="00026322"/>
    <w:rsid w:val="00026395"/>
    <w:rsid w:val="00026516"/>
    <w:rsid w:val="000265F2"/>
    <w:rsid w:val="00026679"/>
    <w:rsid w:val="0002677C"/>
    <w:rsid w:val="000267D0"/>
    <w:rsid w:val="00026852"/>
    <w:rsid w:val="00026853"/>
    <w:rsid w:val="0002689A"/>
    <w:rsid w:val="000268BC"/>
    <w:rsid w:val="000269BC"/>
    <w:rsid w:val="000269C2"/>
    <w:rsid w:val="00026A5F"/>
    <w:rsid w:val="00026CA1"/>
    <w:rsid w:val="00026EFB"/>
    <w:rsid w:val="00026FDD"/>
    <w:rsid w:val="00027168"/>
    <w:rsid w:val="000272AA"/>
    <w:rsid w:val="000276BF"/>
    <w:rsid w:val="00027D06"/>
    <w:rsid w:val="00027D0B"/>
    <w:rsid w:val="00027D61"/>
    <w:rsid w:val="00027DC8"/>
    <w:rsid w:val="00027F16"/>
    <w:rsid w:val="0003094B"/>
    <w:rsid w:val="00030AF1"/>
    <w:rsid w:val="00030D65"/>
    <w:rsid w:val="00030FA3"/>
    <w:rsid w:val="000310DC"/>
    <w:rsid w:val="00031282"/>
    <w:rsid w:val="0003134E"/>
    <w:rsid w:val="00031415"/>
    <w:rsid w:val="000314E4"/>
    <w:rsid w:val="0003159E"/>
    <w:rsid w:val="000315A0"/>
    <w:rsid w:val="000315BD"/>
    <w:rsid w:val="00031A53"/>
    <w:rsid w:val="00031A9A"/>
    <w:rsid w:val="00031B59"/>
    <w:rsid w:val="00031BCA"/>
    <w:rsid w:val="00031BE8"/>
    <w:rsid w:val="00031C37"/>
    <w:rsid w:val="00031FA0"/>
    <w:rsid w:val="00031FEE"/>
    <w:rsid w:val="00032001"/>
    <w:rsid w:val="00032252"/>
    <w:rsid w:val="000325DD"/>
    <w:rsid w:val="000326CE"/>
    <w:rsid w:val="000326E8"/>
    <w:rsid w:val="00032B58"/>
    <w:rsid w:val="00032D0D"/>
    <w:rsid w:val="00033017"/>
    <w:rsid w:val="00033259"/>
    <w:rsid w:val="000333B1"/>
    <w:rsid w:val="000335B6"/>
    <w:rsid w:val="0003364B"/>
    <w:rsid w:val="00033701"/>
    <w:rsid w:val="000337E6"/>
    <w:rsid w:val="000339CE"/>
    <w:rsid w:val="00033B94"/>
    <w:rsid w:val="00033BBF"/>
    <w:rsid w:val="00033C39"/>
    <w:rsid w:val="00033CBE"/>
    <w:rsid w:val="00033DEF"/>
    <w:rsid w:val="00033E08"/>
    <w:rsid w:val="00033E0F"/>
    <w:rsid w:val="00033EDF"/>
    <w:rsid w:val="0003409B"/>
    <w:rsid w:val="0003441F"/>
    <w:rsid w:val="000344AA"/>
    <w:rsid w:val="0003466C"/>
    <w:rsid w:val="0003484A"/>
    <w:rsid w:val="000348DE"/>
    <w:rsid w:val="000348EB"/>
    <w:rsid w:val="00034956"/>
    <w:rsid w:val="00034B83"/>
    <w:rsid w:val="00034BFC"/>
    <w:rsid w:val="00034DB5"/>
    <w:rsid w:val="00034F82"/>
    <w:rsid w:val="0003511B"/>
    <w:rsid w:val="000353C9"/>
    <w:rsid w:val="00035404"/>
    <w:rsid w:val="000354DB"/>
    <w:rsid w:val="000355E7"/>
    <w:rsid w:val="000356F2"/>
    <w:rsid w:val="0003574C"/>
    <w:rsid w:val="000357A9"/>
    <w:rsid w:val="00035874"/>
    <w:rsid w:val="000358BB"/>
    <w:rsid w:val="000358EA"/>
    <w:rsid w:val="000359E3"/>
    <w:rsid w:val="00035AB3"/>
    <w:rsid w:val="00035BFF"/>
    <w:rsid w:val="00035DD4"/>
    <w:rsid w:val="00036117"/>
    <w:rsid w:val="0003625B"/>
    <w:rsid w:val="0003625F"/>
    <w:rsid w:val="000362CA"/>
    <w:rsid w:val="00036850"/>
    <w:rsid w:val="00036B6D"/>
    <w:rsid w:val="00036F1D"/>
    <w:rsid w:val="00036F90"/>
    <w:rsid w:val="00037226"/>
    <w:rsid w:val="00037580"/>
    <w:rsid w:val="00037622"/>
    <w:rsid w:val="00037848"/>
    <w:rsid w:val="00037B8D"/>
    <w:rsid w:val="00037FD3"/>
    <w:rsid w:val="00040033"/>
    <w:rsid w:val="0004005E"/>
    <w:rsid w:val="00040152"/>
    <w:rsid w:val="00040281"/>
    <w:rsid w:val="00040570"/>
    <w:rsid w:val="0004083E"/>
    <w:rsid w:val="000408C5"/>
    <w:rsid w:val="00040921"/>
    <w:rsid w:val="00040AC0"/>
    <w:rsid w:val="00040AEE"/>
    <w:rsid w:val="00040C58"/>
    <w:rsid w:val="00040E20"/>
    <w:rsid w:val="00040E27"/>
    <w:rsid w:val="00040F39"/>
    <w:rsid w:val="00041219"/>
    <w:rsid w:val="00041330"/>
    <w:rsid w:val="00041458"/>
    <w:rsid w:val="0004145E"/>
    <w:rsid w:val="000414BE"/>
    <w:rsid w:val="0004154F"/>
    <w:rsid w:val="00041582"/>
    <w:rsid w:val="00041A89"/>
    <w:rsid w:val="00042035"/>
    <w:rsid w:val="0004232F"/>
    <w:rsid w:val="0004278A"/>
    <w:rsid w:val="0004291A"/>
    <w:rsid w:val="00042AB9"/>
    <w:rsid w:val="00042AF1"/>
    <w:rsid w:val="00042B24"/>
    <w:rsid w:val="00042C5C"/>
    <w:rsid w:val="00042E07"/>
    <w:rsid w:val="00042E17"/>
    <w:rsid w:val="00042ECE"/>
    <w:rsid w:val="00042F7C"/>
    <w:rsid w:val="00042FA8"/>
    <w:rsid w:val="0004339B"/>
    <w:rsid w:val="000435CC"/>
    <w:rsid w:val="00043606"/>
    <w:rsid w:val="00043677"/>
    <w:rsid w:val="00043786"/>
    <w:rsid w:val="00043868"/>
    <w:rsid w:val="00043A7F"/>
    <w:rsid w:val="00043E01"/>
    <w:rsid w:val="00043FA8"/>
    <w:rsid w:val="00043FBB"/>
    <w:rsid w:val="00043FD0"/>
    <w:rsid w:val="00044282"/>
    <w:rsid w:val="00044916"/>
    <w:rsid w:val="00044939"/>
    <w:rsid w:val="000449F0"/>
    <w:rsid w:val="00044D58"/>
    <w:rsid w:val="00044DDF"/>
    <w:rsid w:val="00044E07"/>
    <w:rsid w:val="00044EB8"/>
    <w:rsid w:val="00044F16"/>
    <w:rsid w:val="00045046"/>
    <w:rsid w:val="000451FD"/>
    <w:rsid w:val="000454A9"/>
    <w:rsid w:val="000456E7"/>
    <w:rsid w:val="000457D2"/>
    <w:rsid w:val="00045A55"/>
    <w:rsid w:val="00045E53"/>
    <w:rsid w:val="00045EA2"/>
    <w:rsid w:val="00045FA5"/>
    <w:rsid w:val="000460FE"/>
    <w:rsid w:val="00046468"/>
    <w:rsid w:val="000465A5"/>
    <w:rsid w:val="00046977"/>
    <w:rsid w:val="00046A76"/>
    <w:rsid w:val="00046EBC"/>
    <w:rsid w:val="00046EEA"/>
    <w:rsid w:val="00047015"/>
    <w:rsid w:val="00047076"/>
    <w:rsid w:val="000470EA"/>
    <w:rsid w:val="000471FD"/>
    <w:rsid w:val="000473D6"/>
    <w:rsid w:val="00047734"/>
    <w:rsid w:val="000477F4"/>
    <w:rsid w:val="00047807"/>
    <w:rsid w:val="0004783F"/>
    <w:rsid w:val="0004785F"/>
    <w:rsid w:val="000479F9"/>
    <w:rsid w:val="00047AA9"/>
    <w:rsid w:val="00047C95"/>
    <w:rsid w:val="00047CCE"/>
    <w:rsid w:val="00047F07"/>
    <w:rsid w:val="00047F79"/>
    <w:rsid w:val="0005009F"/>
    <w:rsid w:val="00050129"/>
    <w:rsid w:val="000503CC"/>
    <w:rsid w:val="0005084B"/>
    <w:rsid w:val="00050902"/>
    <w:rsid w:val="000509CA"/>
    <w:rsid w:val="00050B17"/>
    <w:rsid w:val="000510DE"/>
    <w:rsid w:val="00051126"/>
    <w:rsid w:val="00051151"/>
    <w:rsid w:val="000512D3"/>
    <w:rsid w:val="0005140C"/>
    <w:rsid w:val="00051459"/>
    <w:rsid w:val="000514FA"/>
    <w:rsid w:val="00051A82"/>
    <w:rsid w:val="00051B97"/>
    <w:rsid w:val="00051CF3"/>
    <w:rsid w:val="00051CFA"/>
    <w:rsid w:val="00051D04"/>
    <w:rsid w:val="00051ED6"/>
    <w:rsid w:val="00052033"/>
    <w:rsid w:val="00052091"/>
    <w:rsid w:val="00052446"/>
    <w:rsid w:val="00052525"/>
    <w:rsid w:val="00052B16"/>
    <w:rsid w:val="00052E55"/>
    <w:rsid w:val="00052F50"/>
    <w:rsid w:val="00053020"/>
    <w:rsid w:val="0005302F"/>
    <w:rsid w:val="0005343B"/>
    <w:rsid w:val="00053777"/>
    <w:rsid w:val="00053992"/>
    <w:rsid w:val="00053A07"/>
    <w:rsid w:val="00053B18"/>
    <w:rsid w:val="00053C94"/>
    <w:rsid w:val="00053D0C"/>
    <w:rsid w:val="00053D24"/>
    <w:rsid w:val="00053E1E"/>
    <w:rsid w:val="00053F13"/>
    <w:rsid w:val="000541C7"/>
    <w:rsid w:val="0005432A"/>
    <w:rsid w:val="00054337"/>
    <w:rsid w:val="00054426"/>
    <w:rsid w:val="00054445"/>
    <w:rsid w:val="00054481"/>
    <w:rsid w:val="000544BE"/>
    <w:rsid w:val="0005450D"/>
    <w:rsid w:val="000547D1"/>
    <w:rsid w:val="00054882"/>
    <w:rsid w:val="00054A66"/>
    <w:rsid w:val="00054FB7"/>
    <w:rsid w:val="000550C0"/>
    <w:rsid w:val="0005522E"/>
    <w:rsid w:val="0005557F"/>
    <w:rsid w:val="0005591E"/>
    <w:rsid w:val="00055B26"/>
    <w:rsid w:val="00055BDF"/>
    <w:rsid w:val="00055C24"/>
    <w:rsid w:val="00055C2C"/>
    <w:rsid w:val="00055F9A"/>
    <w:rsid w:val="00055FC5"/>
    <w:rsid w:val="0005607A"/>
    <w:rsid w:val="000560FC"/>
    <w:rsid w:val="00056129"/>
    <w:rsid w:val="00056218"/>
    <w:rsid w:val="00056305"/>
    <w:rsid w:val="0005648D"/>
    <w:rsid w:val="00056504"/>
    <w:rsid w:val="0005666D"/>
    <w:rsid w:val="000567B6"/>
    <w:rsid w:val="000567C2"/>
    <w:rsid w:val="00056818"/>
    <w:rsid w:val="00056B39"/>
    <w:rsid w:val="00056BA7"/>
    <w:rsid w:val="00056D7B"/>
    <w:rsid w:val="00056EEE"/>
    <w:rsid w:val="00056F19"/>
    <w:rsid w:val="00057232"/>
    <w:rsid w:val="00057A24"/>
    <w:rsid w:val="00057A2F"/>
    <w:rsid w:val="00057C83"/>
    <w:rsid w:val="00057D4D"/>
    <w:rsid w:val="00057E75"/>
    <w:rsid w:val="0006000F"/>
    <w:rsid w:val="0006062D"/>
    <w:rsid w:val="0006084B"/>
    <w:rsid w:val="0006085A"/>
    <w:rsid w:val="00060885"/>
    <w:rsid w:val="0006088C"/>
    <w:rsid w:val="00060893"/>
    <w:rsid w:val="000608CC"/>
    <w:rsid w:val="00060975"/>
    <w:rsid w:val="00060A14"/>
    <w:rsid w:val="00060B0C"/>
    <w:rsid w:val="000612DF"/>
    <w:rsid w:val="00061435"/>
    <w:rsid w:val="00061482"/>
    <w:rsid w:val="000615F3"/>
    <w:rsid w:val="000618E3"/>
    <w:rsid w:val="000618F4"/>
    <w:rsid w:val="0006191A"/>
    <w:rsid w:val="00061943"/>
    <w:rsid w:val="000619C0"/>
    <w:rsid w:val="00061B1A"/>
    <w:rsid w:val="00061B26"/>
    <w:rsid w:val="00061CD5"/>
    <w:rsid w:val="00061E0C"/>
    <w:rsid w:val="00061E42"/>
    <w:rsid w:val="00061E48"/>
    <w:rsid w:val="00061FCA"/>
    <w:rsid w:val="000623F8"/>
    <w:rsid w:val="000624D8"/>
    <w:rsid w:val="00062799"/>
    <w:rsid w:val="000627A0"/>
    <w:rsid w:val="000629A5"/>
    <w:rsid w:val="00062AB0"/>
    <w:rsid w:val="00062D73"/>
    <w:rsid w:val="00062E94"/>
    <w:rsid w:val="00062F70"/>
    <w:rsid w:val="00063008"/>
    <w:rsid w:val="0006312F"/>
    <w:rsid w:val="0006326F"/>
    <w:rsid w:val="000632F4"/>
    <w:rsid w:val="0006339C"/>
    <w:rsid w:val="00063755"/>
    <w:rsid w:val="00063837"/>
    <w:rsid w:val="000638E0"/>
    <w:rsid w:val="000639D6"/>
    <w:rsid w:val="00063BC5"/>
    <w:rsid w:val="00063C32"/>
    <w:rsid w:val="00063DA9"/>
    <w:rsid w:val="00063DF3"/>
    <w:rsid w:val="00063E07"/>
    <w:rsid w:val="00063EB3"/>
    <w:rsid w:val="0006401A"/>
    <w:rsid w:val="000641E4"/>
    <w:rsid w:val="000642CC"/>
    <w:rsid w:val="0006440F"/>
    <w:rsid w:val="0006489D"/>
    <w:rsid w:val="0006490C"/>
    <w:rsid w:val="00064930"/>
    <w:rsid w:val="000649B8"/>
    <w:rsid w:val="000649DA"/>
    <w:rsid w:val="000649F2"/>
    <w:rsid w:val="00064D3D"/>
    <w:rsid w:val="00064F37"/>
    <w:rsid w:val="00064FA9"/>
    <w:rsid w:val="0006501E"/>
    <w:rsid w:val="00065212"/>
    <w:rsid w:val="0006523C"/>
    <w:rsid w:val="000653A5"/>
    <w:rsid w:val="000653FE"/>
    <w:rsid w:val="00065576"/>
    <w:rsid w:val="000656C1"/>
    <w:rsid w:val="0006582B"/>
    <w:rsid w:val="00065995"/>
    <w:rsid w:val="00065A07"/>
    <w:rsid w:val="00065A7D"/>
    <w:rsid w:val="00065AC3"/>
    <w:rsid w:val="00065C28"/>
    <w:rsid w:val="00065D17"/>
    <w:rsid w:val="00065EAA"/>
    <w:rsid w:val="00065EF1"/>
    <w:rsid w:val="00065FEB"/>
    <w:rsid w:val="000661D5"/>
    <w:rsid w:val="00066204"/>
    <w:rsid w:val="00066221"/>
    <w:rsid w:val="000666C4"/>
    <w:rsid w:val="00066995"/>
    <w:rsid w:val="00066BFD"/>
    <w:rsid w:val="00066C56"/>
    <w:rsid w:val="00066CA5"/>
    <w:rsid w:val="00066CF1"/>
    <w:rsid w:val="00066D6B"/>
    <w:rsid w:val="00066DA1"/>
    <w:rsid w:val="000671E1"/>
    <w:rsid w:val="00067253"/>
    <w:rsid w:val="000672A4"/>
    <w:rsid w:val="0006732D"/>
    <w:rsid w:val="000673B5"/>
    <w:rsid w:val="000675A1"/>
    <w:rsid w:val="00067759"/>
    <w:rsid w:val="00067765"/>
    <w:rsid w:val="000678DF"/>
    <w:rsid w:val="000679E0"/>
    <w:rsid w:val="00067A33"/>
    <w:rsid w:val="00067AB4"/>
    <w:rsid w:val="00067B18"/>
    <w:rsid w:val="00067B71"/>
    <w:rsid w:val="00067BAC"/>
    <w:rsid w:val="00067BC0"/>
    <w:rsid w:val="00067BCF"/>
    <w:rsid w:val="00067C1A"/>
    <w:rsid w:val="00067C52"/>
    <w:rsid w:val="00067DD4"/>
    <w:rsid w:val="00067EB9"/>
    <w:rsid w:val="00067F93"/>
    <w:rsid w:val="00067FFD"/>
    <w:rsid w:val="00070238"/>
    <w:rsid w:val="00070446"/>
    <w:rsid w:val="000704FC"/>
    <w:rsid w:val="00070730"/>
    <w:rsid w:val="00070752"/>
    <w:rsid w:val="000707C6"/>
    <w:rsid w:val="00070883"/>
    <w:rsid w:val="00070B23"/>
    <w:rsid w:val="00070C48"/>
    <w:rsid w:val="00070CD4"/>
    <w:rsid w:val="00070E1E"/>
    <w:rsid w:val="00070EE8"/>
    <w:rsid w:val="00070F74"/>
    <w:rsid w:val="00071044"/>
    <w:rsid w:val="000710EB"/>
    <w:rsid w:val="00071122"/>
    <w:rsid w:val="00071136"/>
    <w:rsid w:val="0007159D"/>
    <w:rsid w:val="00071656"/>
    <w:rsid w:val="00071714"/>
    <w:rsid w:val="0007190C"/>
    <w:rsid w:val="00071BE7"/>
    <w:rsid w:val="00071C18"/>
    <w:rsid w:val="00071F4C"/>
    <w:rsid w:val="00071F56"/>
    <w:rsid w:val="0007207F"/>
    <w:rsid w:val="000720C9"/>
    <w:rsid w:val="0007228C"/>
    <w:rsid w:val="00072639"/>
    <w:rsid w:val="00072680"/>
    <w:rsid w:val="0007274F"/>
    <w:rsid w:val="0007281E"/>
    <w:rsid w:val="0007282A"/>
    <w:rsid w:val="00072980"/>
    <w:rsid w:val="00072A07"/>
    <w:rsid w:val="00072CF8"/>
    <w:rsid w:val="00072D35"/>
    <w:rsid w:val="00072D52"/>
    <w:rsid w:val="00072D70"/>
    <w:rsid w:val="00072DBA"/>
    <w:rsid w:val="00072F37"/>
    <w:rsid w:val="00073133"/>
    <w:rsid w:val="0007318D"/>
    <w:rsid w:val="000731A1"/>
    <w:rsid w:val="000733EC"/>
    <w:rsid w:val="000734B9"/>
    <w:rsid w:val="0007358E"/>
    <w:rsid w:val="000735EA"/>
    <w:rsid w:val="000736E4"/>
    <w:rsid w:val="00073AD8"/>
    <w:rsid w:val="00073C04"/>
    <w:rsid w:val="00073DE5"/>
    <w:rsid w:val="00073F24"/>
    <w:rsid w:val="00073F33"/>
    <w:rsid w:val="00074284"/>
    <w:rsid w:val="00074320"/>
    <w:rsid w:val="00074356"/>
    <w:rsid w:val="000743F5"/>
    <w:rsid w:val="00074457"/>
    <w:rsid w:val="00074673"/>
    <w:rsid w:val="00074A96"/>
    <w:rsid w:val="00074D21"/>
    <w:rsid w:val="000750D7"/>
    <w:rsid w:val="0007534B"/>
    <w:rsid w:val="000753A5"/>
    <w:rsid w:val="000754F2"/>
    <w:rsid w:val="00075503"/>
    <w:rsid w:val="00075512"/>
    <w:rsid w:val="00075BA2"/>
    <w:rsid w:val="00075CA3"/>
    <w:rsid w:val="00075D91"/>
    <w:rsid w:val="00075D9B"/>
    <w:rsid w:val="00075E59"/>
    <w:rsid w:val="00076054"/>
    <w:rsid w:val="00076398"/>
    <w:rsid w:val="00076649"/>
    <w:rsid w:val="000767AB"/>
    <w:rsid w:val="00076A44"/>
    <w:rsid w:val="00076E02"/>
    <w:rsid w:val="00076E79"/>
    <w:rsid w:val="00076FD4"/>
    <w:rsid w:val="000770C6"/>
    <w:rsid w:val="000770D7"/>
    <w:rsid w:val="00077154"/>
    <w:rsid w:val="000773D6"/>
    <w:rsid w:val="0007751F"/>
    <w:rsid w:val="000775E0"/>
    <w:rsid w:val="0007761D"/>
    <w:rsid w:val="00077682"/>
    <w:rsid w:val="000777F4"/>
    <w:rsid w:val="00077839"/>
    <w:rsid w:val="0007783E"/>
    <w:rsid w:val="0007796C"/>
    <w:rsid w:val="00077975"/>
    <w:rsid w:val="000779B6"/>
    <w:rsid w:val="00077A29"/>
    <w:rsid w:val="00077DC7"/>
    <w:rsid w:val="00077F7E"/>
    <w:rsid w:val="000800DA"/>
    <w:rsid w:val="00080B67"/>
    <w:rsid w:val="00080C92"/>
    <w:rsid w:val="00080C9C"/>
    <w:rsid w:val="00080D13"/>
    <w:rsid w:val="00080D5D"/>
    <w:rsid w:val="00080E2E"/>
    <w:rsid w:val="00081178"/>
    <w:rsid w:val="000812D1"/>
    <w:rsid w:val="000812DA"/>
    <w:rsid w:val="00081389"/>
    <w:rsid w:val="000813AB"/>
    <w:rsid w:val="000813DD"/>
    <w:rsid w:val="00081554"/>
    <w:rsid w:val="000816D2"/>
    <w:rsid w:val="0008180A"/>
    <w:rsid w:val="00081A05"/>
    <w:rsid w:val="00081C1E"/>
    <w:rsid w:val="00081C4E"/>
    <w:rsid w:val="00081CFF"/>
    <w:rsid w:val="00081D34"/>
    <w:rsid w:val="0008205C"/>
    <w:rsid w:val="00082115"/>
    <w:rsid w:val="000823E8"/>
    <w:rsid w:val="000824E1"/>
    <w:rsid w:val="00082545"/>
    <w:rsid w:val="00082643"/>
    <w:rsid w:val="000827AE"/>
    <w:rsid w:val="000828F7"/>
    <w:rsid w:val="00082ABD"/>
    <w:rsid w:val="00082BA7"/>
    <w:rsid w:val="00082FD8"/>
    <w:rsid w:val="00083220"/>
    <w:rsid w:val="000835AF"/>
    <w:rsid w:val="00083844"/>
    <w:rsid w:val="00083FC7"/>
    <w:rsid w:val="0008407E"/>
    <w:rsid w:val="000842E1"/>
    <w:rsid w:val="00084517"/>
    <w:rsid w:val="000846DC"/>
    <w:rsid w:val="00085226"/>
    <w:rsid w:val="0008536A"/>
    <w:rsid w:val="00085BDB"/>
    <w:rsid w:val="00085CE5"/>
    <w:rsid w:val="00085D67"/>
    <w:rsid w:val="00085EC4"/>
    <w:rsid w:val="00085F21"/>
    <w:rsid w:val="0008626E"/>
    <w:rsid w:val="000863AC"/>
    <w:rsid w:val="0008641C"/>
    <w:rsid w:val="000864D4"/>
    <w:rsid w:val="000864DB"/>
    <w:rsid w:val="000866AB"/>
    <w:rsid w:val="00086762"/>
    <w:rsid w:val="000867F1"/>
    <w:rsid w:val="00086802"/>
    <w:rsid w:val="00086A8E"/>
    <w:rsid w:val="00086C24"/>
    <w:rsid w:val="00086F04"/>
    <w:rsid w:val="0008727C"/>
    <w:rsid w:val="00087307"/>
    <w:rsid w:val="00087315"/>
    <w:rsid w:val="000873AE"/>
    <w:rsid w:val="000874BD"/>
    <w:rsid w:val="0008750B"/>
    <w:rsid w:val="00087552"/>
    <w:rsid w:val="000875A5"/>
    <w:rsid w:val="000877B8"/>
    <w:rsid w:val="00087AFE"/>
    <w:rsid w:val="00087BA8"/>
    <w:rsid w:val="00087E36"/>
    <w:rsid w:val="0009002F"/>
    <w:rsid w:val="000900A6"/>
    <w:rsid w:val="0009011B"/>
    <w:rsid w:val="000901B2"/>
    <w:rsid w:val="00090298"/>
    <w:rsid w:val="000906D1"/>
    <w:rsid w:val="000906E8"/>
    <w:rsid w:val="000907F2"/>
    <w:rsid w:val="0009091C"/>
    <w:rsid w:val="00090AB7"/>
    <w:rsid w:val="00090B8A"/>
    <w:rsid w:val="00090BC9"/>
    <w:rsid w:val="00090C1D"/>
    <w:rsid w:val="00090C4F"/>
    <w:rsid w:val="00090C58"/>
    <w:rsid w:val="00090E50"/>
    <w:rsid w:val="00090F8D"/>
    <w:rsid w:val="0009103D"/>
    <w:rsid w:val="00091040"/>
    <w:rsid w:val="0009121E"/>
    <w:rsid w:val="00091355"/>
    <w:rsid w:val="000915FE"/>
    <w:rsid w:val="00091732"/>
    <w:rsid w:val="00091AEF"/>
    <w:rsid w:val="00091BE2"/>
    <w:rsid w:val="00091C10"/>
    <w:rsid w:val="00091E41"/>
    <w:rsid w:val="00091E6B"/>
    <w:rsid w:val="00091F48"/>
    <w:rsid w:val="00091F59"/>
    <w:rsid w:val="0009217E"/>
    <w:rsid w:val="000921AE"/>
    <w:rsid w:val="000923E6"/>
    <w:rsid w:val="00092633"/>
    <w:rsid w:val="00092A5C"/>
    <w:rsid w:val="00092B2C"/>
    <w:rsid w:val="00092C79"/>
    <w:rsid w:val="00092D4B"/>
    <w:rsid w:val="00092F7B"/>
    <w:rsid w:val="00092FB8"/>
    <w:rsid w:val="000930E8"/>
    <w:rsid w:val="000931F8"/>
    <w:rsid w:val="0009339F"/>
    <w:rsid w:val="0009346C"/>
    <w:rsid w:val="00093528"/>
    <w:rsid w:val="000937E9"/>
    <w:rsid w:val="0009384B"/>
    <w:rsid w:val="00093878"/>
    <w:rsid w:val="000939E0"/>
    <w:rsid w:val="000939F7"/>
    <w:rsid w:val="00093AC0"/>
    <w:rsid w:val="00093C1C"/>
    <w:rsid w:val="00093E07"/>
    <w:rsid w:val="00093F9D"/>
    <w:rsid w:val="0009424F"/>
    <w:rsid w:val="000942C8"/>
    <w:rsid w:val="000942FF"/>
    <w:rsid w:val="00094606"/>
    <w:rsid w:val="00094800"/>
    <w:rsid w:val="00094C98"/>
    <w:rsid w:val="00094EAD"/>
    <w:rsid w:val="00094EF2"/>
    <w:rsid w:val="00094F2A"/>
    <w:rsid w:val="00095033"/>
    <w:rsid w:val="000950E1"/>
    <w:rsid w:val="000951A4"/>
    <w:rsid w:val="000951FC"/>
    <w:rsid w:val="0009537F"/>
    <w:rsid w:val="0009539B"/>
    <w:rsid w:val="000955C9"/>
    <w:rsid w:val="000956CA"/>
    <w:rsid w:val="0009598D"/>
    <w:rsid w:val="00095AA7"/>
    <w:rsid w:val="00095B30"/>
    <w:rsid w:val="00095F87"/>
    <w:rsid w:val="000960B0"/>
    <w:rsid w:val="000960E0"/>
    <w:rsid w:val="00096116"/>
    <w:rsid w:val="000961FE"/>
    <w:rsid w:val="00096340"/>
    <w:rsid w:val="0009635C"/>
    <w:rsid w:val="00096393"/>
    <w:rsid w:val="00096595"/>
    <w:rsid w:val="000965C0"/>
    <w:rsid w:val="00096799"/>
    <w:rsid w:val="000969A8"/>
    <w:rsid w:val="00096A64"/>
    <w:rsid w:val="00096BED"/>
    <w:rsid w:val="00096C3A"/>
    <w:rsid w:val="00096D4A"/>
    <w:rsid w:val="00096D83"/>
    <w:rsid w:val="00096DDA"/>
    <w:rsid w:val="00096E4E"/>
    <w:rsid w:val="00096F2C"/>
    <w:rsid w:val="000971B4"/>
    <w:rsid w:val="0009738C"/>
    <w:rsid w:val="00097573"/>
    <w:rsid w:val="00097576"/>
    <w:rsid w:val="00097629"/>
    <w:rsid w:val="000977E6"/>
    <w:rsid w:val="000977EF"/>
    <w:rsid w:val="00097809"/>
    <w:rsid w:val="0009781E"/>
    <w:rsid w:val="0009798D"/>
    <w:rsid w:val="000979C8"/>
    <w:rsid w:val="000979F8"/>
    <w:rsid w:val="00097B78"/>
    <w:rsid w:val="00097EA2"/>
    <w:rsid w:val="00097F31"/>
    <w:rsid w:val="00097F4A"/>
    <w:rsid w:val="00097FC7"/>
    <w:rsid w:val="000A01D6"/>
    <w:rsid w:val="000A0261"/>
    <w:rsid w:val="000A032D"/>
    <w:rsid w:val="000A034D"/>
    <w:rsid w:val="000A094E"/>
    <w:rsid w:val="000A098D"/>
    <w:rsid w:val="000A0996"/>
    <w:rsid w:val="000A0A73"/>
    <w:rsid w:val="000A0D57"/>
    <w:rsid w:val="000A1079"/>
    <w:rsid w:val="000A1139"/>
    <w:rsid w:val="000A11EB"/>
    <w:rsid w:val="000A1202"/>
    <w:rsid w:val="000A1589"/>
    <w:rsid w:val="000A15CB"/>
    <w:rsid w:val="000A16C1"/>
    <w:rsid w:val="000A171E"/>
    <w:rsid w:val="000A1770"/>
    <w:rsid w:val="000A196C"/>
    <w:rsid w:val="000A1B5D"/>
    <w:rsid w:val="000A1E7C"/>
    <w:rsid w:val="000A2009"/>
    <w:rsid w:val="000A2113"/>
    <w:rsid w:val="000A216B"/>
    <w:rsid w:val="000A2C8F"/>
    <w:rsid w:val="000A2F68"/>
    <w:rsid w:val="000A3015"/>
    <w:rsid w:val="000A33CB"/>
    <w:rsid w:val="000A3852"/>
    <w:rsid w:val="000A39E4"/>
    <w:rsid w:val="000A3A59"/>
    <w:rsid w:val="000A3B17"/>
    <w:rsid w:val="000A3CB3"/>
    <w:rsid w:val="000A3D42"/>
    <w:rsid w:val="000A41FF"/>
    <w:rsid w:val="000A42DB"/>
    <w:rsid w:val="000A447C"/>
    <w:rsid w:val="000A480A"/>
    <w:rsid w:val="000A498A"/>
    <w:rsid w:val="000A4F8C"/>
    <w:rsid w:val="000A4F8D"/>
    <w:rsid w:val="000A5068"/>
    <w:rsid w:val="000A51C9"/>
    <w:rsid w:val="000A524E"/>
    <w:rsid w:val="000A565E"/>
    <w:rsid w:val="000A5B38"/>
    <w:rsid w:val="000A5F6F"/>
    <w:rsid w:val="000A5FBB"/>
    <w:rsid w:val="000A60D6"/>
    <w:rsid w:val="000A60ED"/>
    <w:rsid w:val="000A6336"/>
    <w:rsid w:val="000A63BD"/>
    <w:rsid w:val="000A64FF"/>
    <w:rsid w:val="000A65D3"/>
    <w:rsid w:val="000A66F4"/>
    <w:rsid w:val="000A672E"/>
    <w:rsid w:val="000A67A9"/>
    <w:rsid w:val="000A69DD"/>
    <w:rsid w:val="000A6C3F"/>
    <w:rsid w:val="000A6C75"/>
    <w:rsid w:val="000A6C8D"/>
    <w:rsid w:val="000A6DD7"/>
    <w:rsid w:val="000A6F29"/>
    <w:rsid w:val="000A6FD4"/>
    <w:rsid w:val="000A70B7"/>
    <w:rsid w:val="000A7270"/>
    <w:rsid w:val="000A730A"/>
    <w:rsid w:val="000A75C7"/>
    <w:rsid w:val="000A7765"/>
    <w:rsid w:val="000A7789"/>
    <w:rsid w:val="000A790F"/>
    <w:rsid w:val="000A795D"/>
    <w:rsid w:val="000B0190"/>
    <w:rsid w:val="000B0237"/>
    <w:rsid w:val="000B02BC"/>
    <w:rsid w:val="000B068A"/>
    <w:rsid w:val="000B0A2D"/>
    <w:rsid w:val="000B0A55"/>
    <w:rsid w:val="000B0B02"/>
    <w:rsid w:val="000B0E59"/>
    <w:rsid w:val="000B0EB7"/>
    <w:rsid w:val="000B0F26"/>
    <w:rsid w:val="000B0F4D"/>
    <w:rsid w:val="000B121B"/>
    <w:rsid w:val="000B15C4"/>
    <w:rsid w:val="000B1623"/>
    <w:rsid w:val="000B174F"/>
    <w:rsid w:val="000B18AA"/>
    <w:rsid w:val="000B1B69"/>
    <w:rsid w:val="000B1D77"/>
    <w:rsid w:val="000B1F10"/>
    <w:rsid w:val="000B1F71"/>
    <w:rsid w:val="000B2178"/>
    <w:rsid w:val="000B21BF"/>
    <w:rsid w:val="000B22C7"/>
    <w:rsid w:val="000B244A"/>
    <w:rsid w:val="000B24B0"/>
    <w:rsid w:val="000B24D5"/>
    <w:rsid w:val="000B2539"/>
    <w:rsid w:val="000B255F"/>
    <w:rsid w:val="000B25C2"/>
    <w:rsid w:val="000B2641"/>
    <w:rsid w:val="000B26A5"/>
    <w:rsid w:val="000B275F"/>
    <w:rsid w:val="000B2856"/>
    <w:rsid w:val="000B28CB"/>
    <w:rsid w:val="000B29FC"/>
    <w:rsid w:val="000B2AA0"/>
    <w:rsid w:val="000B2B70"/>
    <w:rsid w:val="000B2C44"/>
    <w:rsid w:val="000B2FDE"/>
    <w:rsid w:val="000B31A4"/>
    <w:rsid w:val="000B31AF"/>
    <w:rsid w:val="000B3292"/>
    <w:rsid w:val="000B32B6"/>
    <w:rsid w:val="000B36E8"/>
    <w:rsid w:val="000B384B"/>
    <w:rsid w:val="000B3B76"/>
    <w:rsid w:val="000B3BA4"/>
    <w:rsid w:val="000B3DDD"/>
    <w:rsid w:val="000B3F80"/>
    <w:rsid w:val="000B3FDB"/>
    <w:rsid w:val="000B405B"/>
    <w:rsid w:val="000B40B8"/>
    <w:rsid w:val="000B41B6"/>
    <w:rsid w:val="000B42E6"/>
    <w:rsid w:val="000B4565"/>
    <w:rsid w:val="000B4651"/>
    <w:rsid w:val="000B46ED"/>
    <w:rsid w:val="000B4840"/>
    <w:rsid w:val="000B4D52"/>
    <w:rsid w:val="000B5228"/>
    <w:rsid w:val="000B5321"/>
    <w:rsid w:val="000B5341"/>
    <w:rsid w:val="000B546B"/>
    <w:rsid w:val="000B5625"/>
    <w:rsid w:val="000B58CE"/>
    <w:rsid w:val="000B5959"/>
    <w:rsid w:val="000B5CBD"/>
    <w:rsid w:val="000B5CF4"/>
    <w:rsid w:val="000B5F22"/>
    <w:rsid w:val="000B5F4E"/>
    <w:rsid w:val="000B60FC"/>
    <w:rsid w:val="000B610A"/>
    <w:rsid w:val="000B6213"/>
    <w:rsid w:val="000B64B9"/>
    <w:rsid w:val="000B65E8"/>
    <w:rsid w:val="000B65EE"/>
    <w:rsid w:val="000B669C"/>
    <w:rsid w:val="000B66FA"/>
    <w:rsid w:val="000B6A9C"/>
    <w:rsid w:val="000B71F2"/>
    <w:rsid w:val="000B72EA"/>
    <w:rsid w:val="000B73AF"/>
    <w:rsid w:val="000B73F7"/>
    <w:rsid w:val="000B7633"/>
    <w:rsid w:val="000B771A"/>
    <w:rsid w:val="000B7900"/>
    <w:rsid w:val="000B7EF0"/>
    <w:rsid w:val="000B7F3A"/>
    <w:rsid w:val="000B7FB8"/>
    <w:rsid w:val="000C009D"/>
    <w:rsid w:val="000C027E"/>
    <w:rsid w:val="000C0300"/>
    <w:rsid w:val="000C0372"/>
    <w:rsid w:val="000C0485"/>
    <w:rsid w:val="000C0517"/>
    <w:rsid w:val="000C064F"/>
    <w:rsid w:val="000C06FA"/>
    <w:rsid w:val="000C06FD"/>
    <w:rsid w:val="000C0752"/>
    <w:rsid w:val="000C0A3D"/>
    <w:rsid w:val="000C0AF2"/>
    <w:rsid w:val="000C0BF0"/>
    <w:rsid w:val="000C0C5A"/>
    <w:rsid w:val="000C0DA3"/>
    <w:rsid w:val="000C0E7B"/>
    <w:rsid w:val="000C0EC5"/>
    <w:rsid w:val="000C0FEA"/>
    <w:rsid w:val="000C116A"/>
    <w:rsid w:val="000C126B"/>
    <w:rsid w:val="000C16B0"/>
    <w:rsid w:val="000C16B4"/>
    <w:rsid w:val="000C1947"/>
    <w:rsid w:val="000C1B89"/>
    <w:rsid w:val="000C1F9D"/>
    <w:rsid w:val="000C203C"/>
    <w:rsid w:val="000C2505"/>
    <w:rsid w:val="000C2954"/>
    <w:rsid w:val="000C2E6B"/>
    <w:rsid w:val="000C3062"/>
    <w:rsid w:val="000C30A4"/>
    <w:rsid w:val="000C3158"/>
    <w:rsid w:val="000C319C"/>
    <w:rsid w:val="000C333A"/>
    <w:rsid w:val="000C33F5"/>
    <w:rsid w:val="000C34A0"/>
    <w:rsid w:val="000C3658"/>
    <w:rsid w:val="000C36DD"/>
    <w:rsid w:val="000C3775"/>
    <w:rsid w:val="000C3926"/>
    <w:rsid w:val="000C3966"/>
    <w:rsid w:val="000C3AA4"/>
    <w:rsid w:val="000C3B2F"/>
    <w:rsid w:val="000C3B36"/>
    <w:rsid w:val="000C3B3A"/>
    <w:rsid w:val="000C3D0C"/>
    <w:rsid w:val="000C3E9B"/>
    <w:rsid w:val="000C3EF9"/>
    <w:rsid w:val="000C3FA6"/>
    <w:rsid w:val="000C3FF6"/>
    <w:rsid w:val="000C4186"/>
    <w:rsid w:val="000C4389"/>
    <w:rsid w:val="000C462C"/>
    <w:rsid w:val="000C4CC1"/>
    <w:rsid w:val="000C4D88"/>
    <w:rsid w:val="000C4F20"/>
    <w:rsid w:val="000C4FF0"/>
    <w:rsid w:val="000C5057"/>
    <w:rsid w:val="000C51C4"/>
    <w:rsid w:val="000C522A"/>
    <w:rsid w:val="000C5313"/>
    <w:rsid w:val="000C5380"/>
    <w:rsid w:val="000C55B9"/>
    <w:rsid w:val="000C55F0"/>
    <w:rsid w:val="000C584B"/>
    <w:rsid w:val="000C5AA5"/>
    <w:rsid w:val="000C5C14"/>
    <w:rsid w:val="000C5EAB"/>
    <w:rsid w:val="000C613C"/>
    <w:rsid w:val="000C63C5"/>
    <w:rsid w:val="000C63D4"/>
    <w:rsid w:val="000C6612"/>
    <w:rsid w:val="000C665B"/>
    <w:rsid w:val="000C66ED"/>
    <w:rsid w:val="000C676E"/>
    <w:rsid w:val="000C686A"/>
    <w:rsid w:val="000C6B99"/>
    <w:rsid w:val="000C6CF2"/>
    <w:rsid w:val="000C6D09"/>
    <w:rsid w:val="000C6D17"/>
    <w:rsid w:val="000C7015"/>
    <w:rsid w:val="000C735F"/>
    <w:rsid w:val="000C746E"/>
    <w:rsid w:val="000C76A2"/>
    <w:rsid w:val="000C7718"/>
    <w:rsid w:val="000C77F4"/>
    <w:rsid w:val="000C7A80"/>
    <w:rsid w:val="000C7F4D"/>
    <w:rsid w:val="000C7F69"/>
    <w:rsid w:val="000D000A"/>
    <w:rsid w:val="000D01E6"/>
    <w:rsid w:val="000D0317"/>
    <w:rsid w:val="000D0354"/>
    <w:rsid w:val="000D0413"/>
    <w:rsid w:val="000D04F1"/>
    <w:rsid w:val="000D0624"/>
    <w:rsid w:val="000D08CE"/>
    <w:rsid w:val="000D09D0"/>
    <w:rsid w:val="000D09E7"/>
    <w:rsid w:val="000D0AC6"/>
    <w:rsid w:val="000D0AD8"/>
    <w:rsid w:val="000D0C95"/>
    <w:rsid w:val="000D0D51"/>
    <w:rsid w:val="000D1002"/>
    <w:rsid w:val="000D1145"/>
    <w:rsid w:val="000D120D"/>
    <w:rsid w:val="000D122A"/>
    <w:rsid w:val="000D135F"/>
    <w:rsid w:val="000D1500"/>
    <w:rsid w:val="000D151F"/>
    <w:rsid w:val="000D159E"/>
    <w:rsid w:val="000D1738"/>
    <w:rsid w:val="000D1837"/>
    <w:rsid w:val="000D1A11"/>
    <w:rsid w:val="000D1D51"/>
    <w:rsid w:val="000D1D8F"/>
    <w:rsid w:val="000D2105"/>
    <w:rsid w:val="000D26C1"/>
    <w:rsid w:val="000D26F1"/>
    <w:rsid w:val="000D2AC2"/>
    <w:rsid w:val="000D2BF4"/>
    <w:rsid w:val="000D2D63"/>
    <w:rsid w:val="000D2E35"/>
    <w:rsid w:val="000D2E8D"/>
    <w:rsid w:val="000D2EB7"/>
    <w:rsid w:val="000D331B"/>
    <w:rsid w:val="000D34D7"/>
    <w:rsid w:val="000D3580"/>
    <w:rsid w:val="000D35BA"/>
    <w:rsid w:val="000D3696"/>
    <w:rsid w:val="000D376A"/>
    <w:rsid w:val="000D3A51"/>
    <w:rsid w:val="000D3AFB"/>
    <w:rsid w:val="000D3D61"/>
    <w:rsid w:val="000D3D87"/>
    <w:rsid w:val="000D3FCB"/>
    <w:rsid w:val="000D4125"/>
    <w:rsid w:val="000D4180"/>
    <w:rsid w:val="000D427A"/>
    <w:rsid w:val="000D429E"/>
    <w:rsid w:val="000D4302"/>
    <w:rsid w:val="000D44C0"/>
    <w:rsid w:val="000D46B4"/>
    <w:rsid w:val="000D4851"/>
    <w:rsid w:val="000D4863"/>
    <w:rsid w:val="000D4B49"/>
    <w:rsid w:val="000D4CBF"/>
    <w:rsid w:val="000D4CE9"/>
    <w:rsid w:val="000D4DE4"/>
    <w:rsid w:val="000D5031"/>
    <w:rsid w:val="000D54EF"/>
    <w:rsid w:val="000D5510"/>
    <w:rsid w:val="000D55C0"/>
    <w:rsid w:val="000D55FD"/>
    <w:rsid w:val="000D5740"/>
    <w:rsid w:val="000D591A"/>
    <w:rsid w:val="000D5A74"/>
    <w:rsid w:val="000D5ADF"/>
    <w:rsid w:val="000D5B8A"/>
    <w:rsid w:val="000D5F5A"/>
    <w:rsid w:val="000D65B9"/>
    <w:rsid w:val="000D6622"/>
    <w:rsid w:val="000D6667"/>
    <w:rsid w:val="000D6684"/>
    <w:rsid w:val="000D679A"/>
    <w:rsid w:val="000D67BE"/>
    <w:rsid w:val="000D6AE9"/>
    <w:rsid w:val="000D6AEE"/>
    <w:rsid w:val="000D6B76"/>
    <w:rsid w:val="000D6E69"/>
    <w:rsid w:val="000D7069"/>
    <w:rsid w:val="000D73B0"/>
    <w:rsid w:val="000D74AD"/>
    <w:rsid w:val="000D7549"/>
    <w:rsid w:val="000D7BE3"/>
    <w:rsid w:val="000D7D41"/>
    <w:rsid w:val="000D7E04"/>
    <w:rsid w:val="000D7E19"/>
    <w:rsid w:val="000D7F2F"/>
    <w:rsid w:val="000E00D6"/>
    <w:rsid w:val="000E012C"/>
    <w:rsid w:val="000E0147"/>
    <w:rsid w:val="000E0165"/>
    <w:rsid w:val="000E0243"/>
    <w:rsid w:val="000E02D2"/>
    <w:rsid w:val="000E03E9"/>
    <w:rsid w:val="000E04F5"/>
    <w:rsid w:val="000E068B"/>
    <w:rsid w:val="000E0991"/>
    <w:rsid w:val="000E0B38"/>
    <w:rsid w:val="000E0C1C"/>
    <w:rsid w:val="000E14F0"/>
    <w:rsid w:val="000E161E"/>
    <w:rsid w:val="000E1659"/>
    <w:rsid w:val="000E16BF"/>
    <w:rsid w:val="000E194B"/>
    <w:rsid w:val="000E1974"/>
    <w:rsid w:val="000E199A"/>
    <w:rsid w:val="000E1A96"/>
    <w:rsid w:val="000E20FB"/>
    <w:rsid w:val="000E25E4"/>
    <w:rsid w:val="000E2639"/>
    <w:rsid w:val="000E278D"/>
    <w:rsid w:val="000E29E0"/>
    <w:rsid w:val="000E2A84"/>
    <w:rsid w:val="000E2D76"/>
    <w:rsid w:val="000E2E0B"/>
    <w:rsid w:val="000E2E82"/>
    <w:rsid w:val="000E3152"/>
    <w:rsid w:val="000E3398"/>
    <w:rsid w:val="000E3410"/>
    <w:rsid w:val="000E36BB"/>
    <w:rsid w:val="000E37F3"/>
    <w:rsid w:val="000E3960"/>
    <w:rsid w:val="000E3A4C"/>
    <w:rsid w:val="000E3A77"/>
    <w:rsid w:val="000E3B8C"/>
    <w:rsid w:val="000E3BFD"/>
    <w:rsid w:val="000E3CAE"/>
    <w:rsid w:val="000E3D62"/>
    <w:rsid w:val="000E3F1F"/>
    <w:rsid w:val="000E3FC3"/>
    <w:rsid w:val="000E41A5"/>
    <w:rsid w:val="000E425A"/>
    <w:rsid w:val="000E4361"/>
    <w:rsid w:val="000E43AE"/>
    <w:rsid w:val="000E49BF"/>
    <w:rsid w:val="000E4B8F"/>
    <w:rsid w:val="000E4BF2"/>
    <w:rsid w:val="000E4D7A"/>
    <w:rsid w:val="000E509D"/>
    <w:rsid w:val="000E52DE"/>
    <w:rsid w:val="000E533C"/>
    <w:rsid w:val="000E54C9"/>
    <w:rsid w:val="000E5518"/>
    <w:rsid w:val="000E5570"/>
    <w:rsid w:val="000E565E"/>
    <w:rsid w:val="000E5761"/>
    <w:rsid w:val="000E5912"/>
    <w:rsid w:val="000E5A95"/>
    <w:rsid w:val="000E5B9C"/>
    <w:rsid w:val="000E5D66"/>
    <w:rsid w:val="000E6050"/>
    <w:rsid w:val="000E6125"/>
    <w:rsid w:val="000E6391"/>
    <w:rsid w:val="000E6444"/>
    <w:rsid w:val="000E652B"/>
    <w:rsid w:val="000E6556"/>
    <w:rsid w:val="000E667B"/>
    <w:rsid w:val="000E668F"/>
    <w:rsid w:val="000E66C6"/>
    <w:rsid w:val="000E691B"/>
    <w:rsid w:val="000E6988"/>
    <w:rsid w:val="000E6CD8"/>
    <w:rsid w:val="000E6D77"/>
    <w:rsid w:val="000E6FCC"/>
    <w:rsid w:val="000E7086"/>
    <w:rsid w:val="000E742D"/>
    <w:rsid w:val="000E74AB"/>
    <w:rsid w:val="000E75DA"/>
    <w:rsid w:val="000E767B"/>
    <w:rsid w:val="000E7774"/>
    <w:rsid w:val="000E7785"/>
    <w:rsid w:val="000E781B"/>
    <w:rsid w:val="000E7CB1"/>
    <w:rsid w:val="000E7E07"/>
    <w:rsid w:val="000E7E62"/>
    <w:rsid w:val="000F007C"/>
    <w:rsid w:val="000F0116"/>
    <w:rsid w:val="000F021A"/>
    <w:rsid w:val="000F0433"/>
    <w:rsid w:val="000F0718"/>
    <w:rsid w:val="000F079D"/>
    <w:rsid w:val="000F0803"/>
    <w:rsid w:val="000F0836"/>
    <w:rsid w:val="000F08DD"/>
    <w:rsid w:val="000F0A98"/>
    <w:rsid w:val="000F0ACE"/>
    <w:rsid w:val="000F0C14"/>
    <w:rsid w:val="000F12D5"/>
    <w:rsid w:val="000F1360"/>
    <w:rsid w:val="000F154F"/>
    <w:rsid w:val="000F18D5"/>
    <w:rsid w:val="000F1B71"/>
    <w:rsid w:val="000F1BE1"/>
    <w:rsid w:val="000F1EC6"/>
    <w:rsid w:val="000F2060"/>
    <w:rsid w:val="000F2297"/>
    <w:rsid w:val="000F23BA"/>
    <w:rsid w:val="000F248C"/>
    <w:rsid w:val="000F27D1"/>
    <w:rsid w:val="000F28DC"/>
    <w:rsid w:val="000F2F39"/>
    <w:rsid w:val="000F3419"/>
    <w:rsid w:val="000F347F"/>
    <w:rsid w:val="000F3587"/>
    <w:rsid w:val="000F36C2"/>
    <w:rsid w:val="000F38E5"/>
    <w:rsid w:val="000F398C"/>
    <w:rsid w:val="000F39C8"/>
    <w:rsid w:val="000F3CB0"/>
    <w:rsid w:val="000F3DDA"/>
    <w:rsid w:val="000F4101"/>
    <w:rsid w:val="000F4148"/>
    <w:rsid w:val="000F425C"/>
    <w:rsid w:val="000F452F"/>
    <w:rsid w:val="000F4553"/>
    <w:rsid w:val="000F46EA"/>
    <w:rsid w:val="000F46EE"/>
    <w:rsid w:val="000F48BB"/>
    <w:rsid w:val="000F495A"/>
    <w:rsid w:val="000F4B1B"/>
    <w:rsid w:val="000F4F7B"/>
    <w:rsid w:val="000F51AD"/>
    <w:rsid w:val="000F51CD"/>
    <w:rsid w:val="000F538E"/>
    <w:rsid w:val="000F55DC"/>
    <w:rsid w:val="000F586B"/>
    <w:rsid w:val="000F58E9"/>
    <w:rsid w:val="000F59FC"/>
    <w:rsid w:val="000F5A85"/>
    <w:rsid w:val="000F5BDE"/>
    <w:rsid w:val="000F5CE1"/>
    <w:rsid w:val="000F5D05"/>
    <w:rsid w:val="000F5DA3"/>
    <w:rsid w:val="000F5DDF"/>
    <w:rsid w:val="000F5DF0"/>
    <w:rsid w:val="000F5F8F"/>
    <w:rsid w:val="000F5FAE"/>
    <w:rsid w:val="000F606B"/>
    <w:rsid w:val="000F6106"/>
    <w:rsid w:val="000F6119"/>
    <w:rsid w:val="000F6155"/>
    <w:rsid w:val="000F63D9"/>
    <w:rsid w:val="000F6848"/>
    <w:rsid w:val="000F6882"/>
    <w:rsid w:val="000F6AD3"/>
    <w:rsid w:val="000F6C88"/>
    <w:rsid w:val="000F6DEE"/>
    <w:rsid w:val="000F6EF5"/>
    <w:rsid w:val="000F6F85"/>
    <w:rsid w:val="000F6FF2"/>
    <w:rsid w:val="000F7035"/>
    <w:rsid w:val="000F71E2"/>
    <w:rsid w:val="000F74B3"/>
    <w:rsid w:val="000F7969"/>
    <w:rsid w:val="000F7C0F"/>
    <w:rsid w:val="000F7E83"/>
    <w:rsid w:val="000F7E95"/>
    <w:rsid w:val="0010020A"/>
    <w:rsid w:val="00100421"/>
    <w:rsid w:val="00100473"/>
    <w:rsid w:val="001004BF"/>
    <w:rsid w:val="00100511"/>
    <w:rsid w:val="001005C0"/>
    <w:rsid w:val="0010062C"/>
    <w:rsid w:val="00100643"/>
    <w:rsid w:val="0010088B"/>
    <w:rsid w:val="001008B9"/>
    <w:rsid w:val="00100955"/>
    <w:rsid w:val="001009BC"/>
    <w:rsid w:val="00100C19"/>
    <w:rsid w:val="00100E02"/>
    <w:rsid w:val="00101001"/>
    <w:rsid w:val="001010E3"/>
    <w:rsid w:val="00101168"/>
    <w:rsid w:val="001011BA"/>
    <w:rsid w:val="0010174D"/>
    <w:rsid w:val="001017AE"/>
    <w:rsid w:val="001018B1"/>
    <w:rsid w:val="00101A0F"/>
    <w:rsid w:val="00101FAA"/>
    <w:rsid w:val="00102132"/>
    <w:rsid w:val="0010229E"/>
    <w:rsid w:val="00102389"/>
    <w:rsid w:val="00102685"/>
    <w:rsid w:val="001026FF"/>
    <w:rsid w:val="0010274A"/>
    <w:rsid w:val="0010289A"/>
    <w:rsid w:val="00102BF9"/>
    <w:rsid w:val="00102F3D"/>
    <w:rsid w:val="00102FDD"/>
    <w:rsid w:val="00103403"/>
    <w:rsid w:val="0010397C"/>
    <w:rsid w:val="00103B87"/>
    <w:rsid w:val="00103DEE"/>
    <w:rsid w:val="001041FA"/>
    <w:rsid w:val="0010440D"/>
    <w:rsid w:val="00104746"/>
    <w:rsid w:val="001049DD"/>
    <w:rsid w:val="00104BFA"/>
    <w:rsid w:val="00104DB1"/>
    <w:rsid w:val="00104FC9"/>
    <w:rsid w:val="00105231"/>
    <w:rsid w:val="0010538D"/>
    <w:rsid w:val="001053A2"/>
    <w:rsid w:val="001053D0"/>
    <w:rsid w:val="001054C4"/>
    <w:rsid w:val="00105544"/>
    <w:rsid w:val="001055CC"/>
    <w:rsid w:val="00105602"/>
    <w:rsid w:val="001057AB"/>
    <w:rsid w:val="00105829"/>
    <w:rsid w:val="001058BC"/>
    <w:rsid w:val="0010603F"/>
    <w:rsid w:val="00106295"/>
    <w:rsid w:val="00106475"/>
    <w:rsid w:val="00106672"/>
    <w:rsid w:val="0010687B"/>
    <w:rsid w:val="00106926"/>
    <w:rsid w:val="00106A05"/>
    <w:rsid w:val="00106A23"/>
    <w:rsid w:val="00106A60"/>
    <w:rsid w:val="00106AF0"/>
    <w:rsid w:val="00106BA0"/>
    <w:rsid w:val="00106C7F"/>
    <w:rsid w:val="00106D88"/>
    <w:rsid w:val="00107002"/>
    <w:rsid w:val="0010703A"/>
    <w:rsid w:val="00107068"/>
    <w:rsid w:val="00107323"/>
    <w:rsid w:val="0010735D"/>
    <w:rsid w:val="001074FC"/>
    <w:rsid w:val="001075BA"/>
    <w:rsid w:val="001075FD"/>
    <w:rsid w:val="00107656"/>
    <w:rsid w:val="001076DB"/>
    <w:rsid w:val="0010785B"/>
    <w:rsid w:val="001078D7"/>
    <w:rsid w:val="00107DB6"/>
    <w:rsid w:val="00107EA7"/>
    <w:rsid w:val="00107EB5"/>
    <w:rsid w:val="00107F59"/>
    <w:rsid w:val="0011006B"/>
    <w:rsid w:val="0011008F"/>
    <w:rsid w:val="001101FB"/>
    <w:rsid w:val="0011023A"/>
    <w:rsid w:val="00110283"/>
    <w:rsid w:val="0011054D"/>
    <w:rsid w:val="0011056F"/>
    <w:rsid w:val="00110680"/>
    <w:rsid w:val="00110974"/>
    <w:rsid w:val="00110A16"/>
    <w:rsid w:val="00110B76"/>
    <w:rsid w:val="00110CB0"/>
    <w:rsid w:val="00110D19"/>
    <w:rsid w:val="00110D57"/>
    <w:rsid w:val="00110D98"/>
    <w:rsid w:val="001110B9"/>
    <w:rsid w:val="0011111F"/>
    <w:rsid w:val="001114E6"/>
    <w:rsid w:val="00111687"/>
    <w:rsid w:val="001116A2"/>
    <w:rsid w:val="00111722"/>
    <w:rsid w:val="00111A34"/>
    <w:rsid w:val="00111B8E"/>
    <w:rsid w:val="00111F53"/>
    <w:rsid w:val="00112114"/>
    <w:rsid w:val="00112173"/>
    <w:rsid w:val="00112382"/>
    <w:rsid w:val="001123C3"/>
    <w:rsid w:val="00112520"/>
    <w:rsid w:val="00112523"/>
    <w:rsid w:val="001126FA"/>
    <w:rsid w:val="00112B40"/>
    <w:rsid w:val="00112C1E"/>
    <w:rsid w:val="00112D46"/>
    <w:rsid w:val="00112DAE"/>
    <w:rsid w:val="00112F80"/>
    <w:rsid w:val="00112FB3"/>
    <w:rsid w:val="00112FD4"/>
    <w:rsid w:val="0011305F"/>
    <w:rsid w:val="001131C1"/>
    <w:rsid w:val="0011321F"/>
    <w:rsid w:val="0011344D"/>
    <w:rsid w:val="0011361E"/>
    <w:rsid w:val="00113630"/>
    <w:rsid w:val="001137CD"/>
    <w:rsid w:val="00113847"/>
    <w:rsid w:val="00113B1F"/>
    <w:rsid w:val="00113C3B"/>
    <w:rsid w:val="00113FBB"/>
    <w:rsid w:val="00113FC4"/>
    <w:rsid w:val="001143C0"/>
    <w:rsid w:val="001145F9"/>
    <w:rsid w:val="00114B3F"/>
    <w:rsid w:val="00114C63"/>
    <w:rsid w:val="00114CC1"/>
    <w:rsid w:val="00114D02"/>
    <w:rsid w:val="00114E3C"/>
    <w:rsid w:val="00114EE3"/>
    <w:rsid w:val="00114FA8"/>
    <w:rsid w:val="001159C9"/>
    <w:rsid w:val="00115CF3"/>
    <w:rsid w:val="00115E1A"/>
    <w:rsid w:val="00115E95"/>
    <w:rsid w:val="00115F42"/>
    <w:rsid w:val="001161B7"/>
    <w:rsid w:val="00116308"/>
    <w:rsid w:val="00116476"/>
    <w:rsid w:val="00116576"/>
    <w:rsid w:val="001167CB"/>
    <w:rsid w:val="00116867"/>
    <w:rsid w:val="001169A6"/>
    <w:rsid w:val="00116AFF"/>
    <w:rsid w:val="00116BC1"/>
    <w:rsid w:val="00116E55"/>
    <w:rsid w:val="00116FE8"/>
    <w:rsid w:val="00117064"/>
    <w:rsid w:val="001171DB"/>
    <w:rsid w:val="00117308"/>
    <w:rsid w:val="001175D5"/>
    <w:rsid w:val="001175F0"/>
    <w:rsid w:val="00117676"/>
    <w:rsid w:val="001176A3"/>
    <w:rsid w:val="00117783"/>
    <w:rsid w:val="001177B5"/>
    <w:rsid w:val="00117F74"/>
    <w:rsid w:val="0012000B"/>
    <w:rsid w:val="001201CC"/>
    <w:rsid w:val="0012031B"/>
    <w:rsid w:val="0012045C"/>
    <w:rsid w:val="0012046D"/>
    <w:rsid w:val="00120584"/>
    <w:rsid w:val="0012072E"/>
    <w:rsid w:val="001207C7"/>
    <w:rsid w:val="00120833"/>
    <w:rsid w:val="00120878"/>
    <w:rsid w:val="00120AA8"/>
    <w:rsid w:val="00120AE6"/>
    <w:rsid w:val="00120C3F"/>
    <w:rsid w:val="00120DDD"/>
    <w:rsid w:val="00120E6E"/>
    <w:rsid w:val="00120E99"/>
    <w:rsid w:val="0012119F"/>
    <w:rsid w:val="0012128E"/>
    <w:rsid w:val="00121384"/>
    <w:rsid w:val="00121399"/>
    <w:rsid w:val="001213FE"/>
    <w:rsid w:val="001215A8"/>
    <w:rsid w:val="0012162D"/>
    <w:rsid w:val="00121A38"/>
    <w:rsid w:val="00121CE7"/>
    <w:rsid w:val="00121F19"/>
    <w:rsid w:val="00122278"/>
    <w:rsid w:val="0012227A"/>
    <w:rsid w:val="001223A0"/>
    <w:rsid w:val="00122467"/>
    <w:rsid w:val="001224B7"/>
    <w:rsid w:val="00122AE3"/>
    <w:rsid w:val="00122B40"/>
    <w:rsid w:val="00122B6B"/>
    <w:rsid w:val="00122D78"/>
    <w:rsid w:val="00122E16"/>
    <w:rsid w:val="00122E28"/>
    <w:rsid w:val="00122E70"/>
    <w:rsid w:val="00122EA5"/>
    <w:rsid w:val="0012318F"/>
    <w:rsid w:val="00123305"/>
    <w:rsid w:val="00123342"/>
    <w:rsid w:val="0012340C"/>
    <w:rsid w:val="00123530"/>
    <w:rsid w:val="001237F7"/>
    <w:rsid w:val="00123947"/>
    <w:rsid w:val="00123BAA"/>
    <w:rsid w:val="00123C87"/>
    <w:rsid w:val="00123CC5"/>
    <w:rsid w:val="00123DBA"/>
    <w:rsid w:val="001240AB"/>
    <w:rsid w:val="001240EF"/>
    <w:rsid w:val="00124117"/>
    <w:rsid w:val="001243E5"/>
    <w:rsid w:val="001243F8"/>
    <w:rsid w:val="001244E0"/>
    <w:rsid w:val="00124665"/>
    <w:rsid w:val="0012472A"/>
    <w:rsid w:val="001247CE"/>
    <w:rsid w:val="001247DA"/>
    <w:rsid w:val="00124869"/>
    <w:rsid w:val="0012487C"/>
    <w:rsid w:val="0012494B"/>
    <w:rsid w:val="00124A71"/>
    <w:rsid w:val="00124B4F"/>
    <w:rsid w:val="00124EDE"/>
    <w:rsid w:val="00124F11"/>
    <w:rsid w:val="001250FB"/>
    <w:rsid w:val="001254C0"/>
    <w:rsid w:val="0012566C"/>
    <w:rsid w:val="001258F0"/>
    <w:rsid w:val="001259B9"/>
    <w:rsid w:val="00125A93"/>
    <w:rsid w:val="00125EEB"/>
    <w:rsid w:val="00125F0E"/>
    <w:rsid w:val="00126034"/>
    <w:rsid w:val="001263F9"/>
    <w:rsid w:val="001265BC"/>
    <w:rsid w:val="0012685E"/>
    <w:rsid w:val="00126939"/>
    <w:rsid w:val="00126945"/>
    <w:rsid w:val="00126CC3"/>
    <w:rsid w:val="00126E07"/>
    <w:rsid w:val="0012702B"/>
    <w:rsid w:val="00127260"/>
    <w:rsid w:val="00127374"/>
    <w:rsid w:val="0012757A"/>
    <w:rsid w:val="001275B7"/>
    <w:rsid w:val="001275BB"/>
    <w:rsid w:val="001275CE"/>
    <w:rsid w:val="00127656"/>
    <w:rsid w:val="00127689"/>
    <w:rsid w:val="00127768"/>
    <w:rsid w:val="001277FC"/>
    <w:rsid w:val="00127A35"/>
    <w:rsid w:val="00127AA2"/>
    <w:rsid w:val="00127EE3"/>
    <w:rsid w:val="00130140"/>
    <w:rsid w:val="00130272"/>
    <w:rsid w:val="001304CD"/>
    <w:rsid w:val="00130A6B"/>
    <w:rsid w:val="00130C3F"/>
    <w:rsid w:val="00131392"/>
    <w:rsid w:val="0013145A"/>
    <w:rsid w:val="001316B8"/>
    <w:rsid w:val="001316C5"/>
    <w:rsid w:val="00131B93"/>
    <w:rsid w:val="00131B98"/>
    <w:rsid w:val="00131C40"/>
    <w:rsid w:val="0013201F"/>
    <w:rsid w:val="00132471"/>
    <w:rsid w:val="0013248F"/>
    <w:rsid w:val="00132ADF"/>
    <w:rsid w:val="00132BA4"/>
    <w:rsid w:val="00132E4E"/>
    <w:rsid w:val="00132FFA"/>
    <w:rsid w:val="00133017"/>
    <w:rsid w:val="001333B1"/>
    <w:rsid w:val="0013354F"/>
    <w:rsid w:val="0013376C"/>
    <w:rsid w:val="0013380B"/>
    <w:rsid w:val="001338C8"/>
    <w:rsid w:val="00133B83"/>
    <w:rsid w:val="00133B9F"/>
    <w:rsid w:val="00133D2E"/>
    <w:rsid w:val="00133D3D"/>
    <w:rsid w:val="00133D70"/>
    <w:rsid w:val="00133DDD"/>
    <w:rsid w:val="00134036"/>
    <w:rsid w:val="00134105"/>
    <w:rsid w:val="001341BA"/>
    <w:rsid w:val="001341CA"/>
    <w:rsid w:val="00134394"/>
    <w:rsid w:val="0013446E"/>
    <w:rsid w:val="001344E0"/>
    <w:rsid w:val="00134664"/>
    <w:rsid w:val="00134845"/>
    <w:rsid w:val="001349D5"/>
    <w:rsid w:val="00134A5F"/>
    <w:rsid w:val="00134A7F"/>
    <w:rsid w:val="00134B5A"/>
    <w:rsid w:val="00134C3B"/>
    <w:rsid w:val="00134D5D"/>
    <w:rsid w:val="00134DD2"/>
    <w:rsid w:val="00134F3B"/>
    <w:rsid w:val="00135008"/>
    <w:rsid w:val="00135009"/>
    <w:rsid w:val="001350DD"/>
    <w:rsid w:val="0013521E"/>
    <w:rsid w:val="001353EB"/>
    <w:rsid w:val="00135533"/>
    <w:rsid w:val="0013554B"/>
    <w:rsid w:val="001357D8"/>
    <w:rsid w:val="001357F8"/>
    <w:rsid w:val="00135A0D"/>
    <w:rsid w:val="00135C01"/>
    <w:rsid w:val="00135CE6"/>
    <w:rsid w:val="00135DF3"/>
    <w:rsid w:val="00136045"/>
    <w:rsid w:val="0013623D"/>
    <w:rsid w:val="001362A7"/>
    <w:rsid w:val="001362AA"/>
    <w:rsid w:val="001364FE"/>
    <w:rsid w:val="001365D5"/>
    <w:rsid w:val="00136734"/>
    <w:rsid w:val="0013680B"/>
    <w:rsid w:val="0013689C"/>
    <w:rsid w:val="001368C9"/>
    <w:rsid w:val="001368D7"/>
    <w:rsid w:val="001368F1"/>
    <w:rsid w:val="00136A33"/>
    <w:rsid w:val="00136A5C"/>
    <w:rsid w:val="00136B6E"/>
    <w:rsid w:val="00136C37"/>
    <w:rsid w:val="00136C91"/>
    <w:rsid w:val="00136EC8"/>
    <w:rsid w:val="0013719D"/>
    <w:rsid w:val="001374A6"/>
    <w:rsid w:val="00137523"/>
    <w:rsid w:val="001376AA"/>
    <w:rsid w:val="001376DD"/>
    <w:rsid w:val="00137756"/>
    <w:rsid w:val="001377C5"/>
    <w:rsid w:val="00137BAD"/>
    <w:rsid w:val="00137CA6"/>
    <w:rsid w:val="00137D52"/>
    <w:rsid w:val="00137DBC"/>
    <w:rsid w:val="00140189"/>
    <w:rsid w:val="00140591"/>
    <w:rsid w:val="001406F2"/>
    <w:rsid w:val="0014073E"/>
    <w:rsid w:val="00140889"/>
    <w:rsid w:val="0014089C"/>
    <w:rsid w:val="001408DC"/>
    <w:rsid w:val="00140A3D"/>
    <w:rsid w:val="00140A4B"/>
    <w:rsid w:val="00140AAF"/>
    <w:rsid w:val="00140AFB"/>
    <w:rsid w:val="00140BB4"/>
    <w:rsid w:val="00140F04"/>
    <w:rsid w:val="001410B4"/>
    <w:rsid w:val="001410EE"/>
    <w:rsid w:val="00141192"/>
    <w:rsid w:val="00141825"/>
    <w:rsid w:val="00141976"/>
    <w:rsid w:val="001419AF"/>
    <w:rsid w:val="001419F0"/>
    <w:rsid w:val="00141B70"/>
    <w:rsid w:val="00141C88"/>
    <w:rsid w:val="00141F6C"/>
    <w:rsid w:val="0014210D"/>
    <w:rsid w:val="001421AB"/>
    <w:rsid w:val="0014225C"/>
    <w:rsid w:val="00142402"/>
    <w:rsid w:val="00142412"/>
    <w:rsid w:val="00142516"/>
    <w:rsid w:val="0014260A"/>
    <w:rsid w:val="00142703"/>
    <w:rsid w:val="00142899"/>
    <w:rsid w:val="00142901"/>
    <w:rsid w:val="001429DC"/>
    <w:rsid w:val="00142B3A"/>
    <w:rsid w:val="00142ED9"/>
    <w:rsid w:val="00143295"/>
    <w:rsid w:val="001432B3"/>
    <w:rsid w:val="001432B5"/>
    <w:rsid w:val="001433EA"/>
    <w:rsid w:val="00143443"/>
    <w:rsid w:val="00143485"/>
    <w:rsid w:val="001434DE"/>
    <w:rsid w:val="001435B3"/>
    <w:rsid w:val="001436B7"/>
    <w:rsid w:val="00143749"/>
    <w:rsid w:val="0014397C"/>
    <w:rsid w:val="00143C3C"/>
    <w:rsid w:val="00143CBB"/>
    <w:rsid w:val="001441D6"/>
    <w:rsid w:val="00144288"/>
    <w:rsid w:val="001443BC"/>
    <w:rsid w:val="001444D0"/>
    <w:rsid w:val="00144519"/>
    <w:rsid w:val="001449F8"/>
    <w:rsid w:val="00144ADC"/>
    <w:rsid w:val="00144B77"/>
    <w:rsid w:val="00144F40"/>
    <w:rsid w:val="00144F71"/>
    <w:rsid w:val="0014501C"/>
    <w:rsid w:val="00145153"/>
    <w:rsid w:val="00145190"/>
    <w:rsid w:val="0014541D"/>
    <w:rsid w:val="0014578F"/>
    <w:rsid w:val="001457A3"/>
    <w:rsid w:val="00145B35"/>
    <w:rsid w:val="00145BBA"/>
    <w:rsid w:val="00145F02"/>
    <w:rsid w:val="0014603B"/>
    <w:rsid w:val="001460CC"/>
    <w:rsid w:val="001462FA"/>
    <w:rsid w:val="001463CB"/>
    <w:rsid w:val="00146460"/>
    <w:rsid w:val="001464FE"/>
    <w:rsid w:val="001466CB"/>
    <w:rsid w:val="0014697F"/>
    <w:rsid w:val="00146F05"/>
    <w:rsid w:val="00146F33"/>
    <w:rsid w:val="00147291"/>
    <w:rsid w:val="0014755F"/>
    <w:rsid w:val="00147592"/>
    <w:rsid w:val="00147598"/>
    <w:rsid w:val="00147935"/>
    <w:rsid w:val="00147CC5"/>
    <w:rsid w:val="00147D2D"/>
    <w:rsid w:val="00147D32"/>
    <w:rsid w:val="00147E3A"/>
    <w:rsid w:val="00147EAA"/>
    <w:rsid w:val="00150114"/>
    <w:rsid w:val="00150298"/>
    <w:rsid w:val="001502BE"/>
    <w:rsid w:val="001502EC"/>
    <w:rsid w:val="0015047F"/>
    <w:rsid w:val="0015069F"/>
    <w:rsid w:val="001506EE"/>
    <w:rsid w:val="001507D1"/>
    <w:rsid w:val="00150830"/>
    <w:rsid w:val="001509DD"/>
    <w:rsid w:val="00150C28"/>
    <w:rsid w:val="00150CA3"/>
    <w:rsid w:val="00151095"/>
    <w:rsid w:val="001511AB"/>
    <w:rsid w:val="0015138E"/>
    <w:rsid w:val="001513FE"/>
    <w:rsid w:val="00151721"/>
    <w:rsid w:val="0015195C"/>
    <w:rsid w:val="00151B83"/>
    <w:rsid w:val="00151C82"/>
    <w:rsid w:val="00151D0F"/>
    <w:rsid w:val="00152191"/>
    <w:rsid w:val="00152235"/>
    <w:rsid w:val="001522FC"/>
    <w:rsid w:val="0015241C"/>
    <w:rsid w:val="00152422"/>
    <w:rsid w:val="0015245C"/>
    <w:rsid w:val="0015246E"/>
    <w:rsid w:val="00152A43"/>
    <w:rsid w:val="00152A66"/>
    <w:rsid w:val="00152ACD"/>
    <w:rsid w:val="00152BBB"/>
    <w:rsid w:val="00152C8D"/>
    <w:rsid w:val="00152E29"/>
    <w:rsid w:val="00153280"/>
    <w:rsid w:val="00153326"/>
    <w:rsid w:val="00153671"/>
    <w:rsid w:val="0015367C"/>
    <w:rsid w:val="00153852"/>
    <w:rsid w:val="00153B8B"/>
    <w:rsid w:val="00153F3A"/>
    <w:rsid w:val="00153F85"/>
    <w:rsid w:val="0015406D"/>
    <w:rsid w:val="001542D5"/>
    <w:rsid w:val="00154669"/>
    <w:rsid w:val="00154AB0"/>
    <w:rsid w:val="00154B47"/>
    <w:rsid w:val="00154C1B"/>
    <w:rsid w:val="00154C8A"/>
    <w:rsid w:val="00154CA8"/>
    <w:rsid w:val="00154E1A"/>
    <w:rsid w:val="00154E20"/>
    <w:rsid w:val="00154EA6"/>
    <w:rsid w:val="00154F29"/>
    <w:rsid w:val="00155047"/>
    <w:rsid w:val="00155227"/>
    <w:rsid w:val="001552A0"/>
    <w:rsid w:val="00155364"/>
    <w:rsid w:val="0015568B"/>
    <w:rsid w:val="00155695"/>
    <w:rsid w:val="001557AB"/>
    <w:rsid w:val="00155A7D"/>
    <w:rsid w:val="00155B2B"/>
    <w:rsid w:val="00155B5F"/>
    <w:rsid w:val="00155D0E"/>
    <w:rsid w:val="00155DE0"/>
    <w:rsid w:val="00155F3A"/>
    <w:rsid w:val="00155F85"/>
    <w:rsid w:val="00155FF8"/>
    <w:rsid w:val="001560DF"/>
    <w:rsid w:val="001564B3"/>
    <w:rsid w:val="00156536"/>
    <w:rsid w:val="00156555"/>
    <w:rsid w:val="00156BE8"/>
    <w:rsid w:val="00156C3F"/>
    <w:rsid w:val="00156F9E"/>
    <w:rsid w:val="001571AE"/>
    <w:rsid w:val="001574C5"/>
    <w:rsid w:val="00157553"/>
    <w:rsid w:val="00157754"/>
    <w:rsid w:val="00157892"/>
    <w:rsid w:val="001578AE"/>
    <w:rsid w:val="00157AA2"/>
    <w:rsid w:val="00160127"/>
    <w:rsid w:val="001605C8"/>
    <w:rsid w:val="001606B9"/>
    <w:rsid w:val="001607A3"/>
    <w:rsid w:val="00160988"/>
    <w:rsid w:val="00160A2B"/>
    <w:rsid w:val="00160BA4"/>
    <w:rsid w:val="00160BAC"/>
    <w:rsid w:val="00160C77"/>
    <w:rsid w:val="00160D65"/>
    <w:rsid w:val="00160EE3"/>
    <w:rsid w:val="00160F80"/>
    <w:rsid w:val="0016100B"/>
    <w:rsid w:val="0016104D"/>
    <w:rsid w:val="0016130D"/>
    <w:rsid w:val="00161444"/>
    <w:rsid w:val="00161544"/>
    <w:rsid w:val="001615DF"/>
    <w:rsid w:val="001617BA"/>
    <w:rsid w:val="001617E9"/>
    <w:rsid w:val="00161839"/>
    <w:rsid w:val="0016198A"/>
    <w:rsid w:val="00161A66"/>
    <w:rsid w:val="00161ACC"/>
    <w:rsid w:val="00161E6E"/>
    <w:rsid w:val="00161F88"/>
    <w:rsid w:val="001621A3"/>
    <w:rsid w:val="0016232E"/>
    <w:rsid w:val="001625A1"/>
    <w:rsid w:val="001626AE"/>
    <w:rsid w:val="001627CE"/>
    <w:rsid w:val="0016293E"/>
    <w:rsid w:val="001629C1"/>
    <w:rsid w:val="00162CD8"/>
    <w:rsid w:val="00162CE6"/>
    <w:rsid w:val="001630D5"/>
    <w:rsid w:val="001634F7"/>
    <w:rsid w:val="00163789"/>
    <w:rsid w:val="00163816"/>
    <w:rsid w:val="00163B01"/>
    <w:rsid w:val="00163B1E"/>
    <w:rsid w:val="00163C44"/>
    <w:rsid w:val="00163CA1"/>
    <w:rsid w:val="00163E8A"/>
    <w:rsid w:val="00164134"/>
    <w:rsid w:val="001642AC"/>
    <w:rsid w:val="001642D4"/>
    <w:rsid w:val="0016436C"/>
    <w:rsid w:val="001643A3"/>
    <w:rsid w:val="0016445A"/>
    <w:rsid w:val="0016456F"/>
    <w:rsid w:val="00164700"/>
    <w:rsid w:val="0016475E"/>
    <w:rsid w:val="001648DC"/>
    <w:rsid w:val="00164B85"/>
    <w:rsid w:val="00164DC2"/>
    <w:rsid w:val="00164DE5"/>
    <w:rsid w:val="00164E8E"/>
    <w:rsid w:val="00164E9F"/>
    <w:rsid w:val="0016511A"/>
    <w:rsid w:val="00165438"/>
    <w:rsid w:val="001655A9"/>
    <w:rsid w:val="00165827"/>
    <w:rsid w:val="00165BC3"/>
    <w:rsid w:val="00165C7A"/>
    <w:rsid w:val="00165DFC"/>
    <w:rsid w:val="001662DB"/>
    <w:rsid w:val="001662F8"/>
    <w:rsid w:val="0016653B"/>
    <w:rsid w:val="001667B6"/>
    <w:rsid w:val="00166862"/>
    <w:rsid w:val="0016688F"/>
    <w:rsid w:val="001668A7"/>
    <w:rsid w:val="0016699A"/>
    <w:rsid w:val="00166B53"/>
    <w:rsid w:val="00166DA1"/>
    <w:rsid w:val="00166DA2"/>
    <w:rsid w:val="00167257"/>
    <w:rsid w:val="0016725C"/>
    <w:rsid w:val="001674F6"/>
    <w:rsid w:val="00167539"/>
    <w:rsid w:val="001676BD"/>
    <w:rsid w:val="0016771C"/>
    <w:rsid w:val="0016784D"/>
    <w:rsid w:val="00167859"/>
    <w:rsid w:val="0016796E"/>
    <w:rsid w:val="00167A71"/>
    <w:rsid w:val="00170650"/>
    <w:rsid w:val="001707AB"/>
    <w:rsid w:val="00170AF9"/>
    <w:rsid w:val="00170B69"/>
    <w:rsid w:val="00170BC1"/>
    <w:rsid w:val="00170F07"/>
    <w:rsid w:val="001710CF"/>
    <w:rsid w:val="00171274"/>
    <w:rsid w:val="00171676"/>
    <w:rsid w:val="001716B3"/>
    <w:rsid w:val="001716F3"/>
    <w:rsid w:val="00171AD8"/>
    <w:rsid w:val="00171BAF"/>
    <w:rsid w:val="00171DEC"/>
    <w:rsid w:val="00171EDF"/>
    <w:rsid w:val="00171FE5"/>
    <w:rsid w:val="001720AC"/>
    <w:rsid w:val="001722B9"/>
    <w:rsid w:val="00172304"/>
    <w:rsid w:val="001723CE"/>
    <w:rsid w:val="0017254D"/>
    <w:rsid w:val="00172587"/>
    <w:rsid w:val="00172898"/>
    <w:rsid w:val="001729AC"/>
    <w:rsid w:val="00172AFF"/>
    <w:rsid w:val="00172B75"/>
    <w:rsid w:val="00172C0C"/>
    <w:rsid w:val="00172DC7"/>
    <w:rsid w:val="00172E0F"/>
    <w:rsid w:val="00172EAA"/>
    <w:rsid w:val="00172EC1"/>
    <w:rsid w:val="001730BC"/>
    <w:rsid w:val="00173190"/>
    <w:rsid w:val="00173461"/>
    <w:rsid w:val="0017352F"/>
    <w:rsid w:val="0017379D"/>
    <w:rsid w:val="0017387A"/>
    <w:rsid w:val="001739EB"/>
    <w:rsid w:val="00173BA2"/>
    <w:rsid w:val="00173BE6"/>
    <w:rsid w:val="00173E8B"/>
    <w:rsid w:val="00174147"/>
    <w:rsid w:val="0017418F"/>
    <w:rsid w:val="00174273"/>
    <w:rsid w:val="001743BA"/>
    <w:rsid w:val="00174461"/>
    <w:rsid w:val="0017453F"/>
    <w:rsid w:val="001746EB"/>
    <w:rsid w:val="001748C8"/>
    <w:rsid w:val="001749A7"/>
    <w:rsid w:val="001749B4"/>
    <w:rsid w:val="001749EB"/>
    <w:rsid w:val="00174AB6"/>
    <w:rsid w:val="00174C21"/>
    <w:rsid w:val="00174D85"/>
    <w:rsid w:val="00174F94"/>
    <w:rsid w:val="0017532F"/>
    <w:rsid w:val="001755A8"/>
    <w:rsid w:val="001755D2"/>
    <w:rsid w:val="00175612"/>
    <w:rsid w:val="00175613"/>
    <w:rsid w:val="001757F5"/>
    <w:rsid w:val="00175855"/>
    <w:rsid w:val="001758F8"/>
    <w:rsid w:val="00175B3F"/>
    <w:rsid w:val="00175C0A"/>
    <w:rsid w:val="00175C11"/>
    <w:rsid w:val="00175CC8"/>
    <w:rsid w:val="00175CDE"/>
    <w:rsid w:val="00175FE6"/>
    <w:rsid w:val="00176150"/>
    <w:rsid w:val="00176436"/>
    <w:rsid w:val="001764FC"/>
    <w:rsid w:val="00176647"/>
    <w:rsid w:val="00176945"/>
    <w:rsid w:val="00176ADC"/>
    <w:rsid w:val="00176CD3"/>
    <w:rsid w:val="00176EAC"/>
    <w:rsid w:val="00176FB6"/>
    <w:rsid w:val="00176FBF"/>
    <w:rsid w:val="0017701A"/>
    <w:rsid w:val="001770C9"/>
    <w:rsid w:val="00177147"/>
    <w:rsid w:val="001773D7"/>
    <w:rsid w:val="0017753D"/>
    <w:rsid w:val="00177548"/>
    <w:rsid w:val="00177584"/>
    <w:rsid w:val="001777B2"/>
    <w:rsid w:val="001777DF"/>
    <w:rsid w:val="00177949"/>
    <w:rsid w:val="00177AEC"/>
    <w:rsid w:val="00177B51"/>
    <w:rsid w:val="00177B72"/>
    <w:rsid w:val="00177BAC"/>
    <w:rsid w:val="00177BD0"/>
    <w:rsid w:val="00177CEA"/>
    <w:rsid w:val="00177F2C"/>
    <w:rsid w:val="00180112"/>
    <w:rsid w:val="00180242"/>
    <w:rsid w:val="0018028B"/>
    <w:rsid w:val="0018041D"/>
    <w:rsid w:val="00180501"/>
    <w:rsid w:val="0018069B"/>
    <w:rsid w:val="0018081E"/>
    <w:rsid w:val="00180865"/>
    <w:rsid w:val="00180935"/>
    <w:rsid w:val="00180B6F"/>
    <w:rsid w:val="00180C76"/>
    <w:rsid w:val="00180DFD"/>
    <w:rsid w:val="00180E3C"/>
    <w:rsid w:val="00181259"/>
    <w:rsid w:val="00181652"/>
    <w:rsid w:val="0018174F"/>
    <w:rsid w:val="00181846"/>
    <w:rsid w:val="0018185F"/>
    <w:rsid w:val="001819CB"/>
    <w:rsid w:val="001819E4"/>
    <w:rsid w:val="00181ACC"/>
    <w:rsid w:val="00181BD0"/>
    <w:rsid w:val="00181C48"/>
    <w:rsid w:val="00181C5A"/>
    <w:rsid w:val="00181F5A"/>
    <w:rsid w:val="001821BB"/>
    <w:rsid w:val="0018241B"/>
    <w:rsid w:val="00182527"/>
    <w:rsid w:val="0018258A"/>
    <w:rsid w:val="001825AD"/>
    <w:rsid w:val="00182888"/>
    <w:rsid w:val="0018299E"/>
    <w:rsid w:val="00182E7B"/>
    <w:rsid w:val="001830F0"/>
    <w:rsid w:val="001832F9"/>
    <w:rsid w:val="0018338B"/>
    <w:rsid w:val="0018338D"/>
    <w:rsid w:val="001833A0"/>
    <w:rsid w:val="001834DF"/>
    <w:rsid w:val="00183671"/>
    <w:rsid w:val="001837AA"/>
    <w:rsid w:val="001837E1"/>
    <w:rsid w:val="00183999"/>
    <w:rsid w:val="001839C9"/>
    <w:rsid w:val="00183ADA"/>
    <w:rsid w:val="00183B14"/>
    <w:rsid w:val="00183B23"/>
    <w:rsid w:val="00183EC3"/>
    <w:rsid w:val="001842F4"/>
    <w:rsid w:val="00184314"/>
    <w:rsid w:val="00184348"/>
    <w:rsid w:val="001847A6"/>
    <w:rsid w:val="001848C5"/>
    <w:rsid w:val="00184915"/>
    <w:rsid w:val="00184990"/>
    <w:rsid w:val="00184A84"/>
    <w:rsid w:val="00184AE6"/>
    <w:rsid w:val="00184C16"/>
    <w:rsid w:val="00184C20"/>
    <w:rsid w:val="00184E7C"/>
    <w:rsid w:val="00184EC9"/>
    <w:rsid w:val="00184F0C"/>
    <w:rsid w:val="00184F4B"/>
    <w:rsid w:val="00185175"/>
    <w:rsid w:val="001851D7"/>
    <w:rsid w:val="0018527D"/>
    <w:rsid w:val="001853BF"/>
    <w:rsid w:val="00185546"/>
    <w:rsid w:val="001858BD"/>
    <w:rsid w:val="00185B06"/>
    <w:rsid w:val="00185D3C"/>
    <w:rsid w:val="001862B7"/>
    <w:rsid w:val="001863A3"/>
    <w:rsid w:val="00186495"/>
    <w:rsid w:val="0018663F"/>
    <w:rsid w:val="00186740"/>
    <w:rsid w:val="001867B5"/>
    <w:rsid w:val="001868E4"/>
    <w:rsid w:val="00186E90"/>
    <w:rsid w:val="00186E99"/>
    <w:rsid w:val="00186EC5"/>
    <w:rsid w:val="001872E8"/>
    <w:rsid w:val="00187476"/>
    <w:rsid w:val="001874CA"/>
    <w:rsid w:val="00187504"/>
    <w:rsid w:val="00187752"/>
    <w:rsid w:val="00187B46"/>
    <w:rsid w:val="00187CBB"/>
    <w:rsid w:val="00187D5D"/>
    <w:rsid w:val="00187E85"/>
    <w:rsid w:val="00187ECB"/>
    <w:rsid w:val="00187FF6"/>
    <w:rsid w:val="0019012F"/>
    <w:rsid w:val="001903AB"/>
    <w:rsid w:val="001904ED"/>
    <w:rsid w:val="0019061C"/>
    <w:rsid w:val="001907E0"/>
    <w:rsid w:val="00190941"/>
    <w:rsid w:val="00190A62"/>
    <w:rsid w:val="00190CBF"/>
    <w:rsid w:val="00190FD4"/>
    <w:rsid w:val="00191079"/>
    <w:rsid w:val="001911C2"/>
    <w:rsid w:val="001912E9"/>
    <w:rsid w:val="00191359"/>
    <w:rsid w:val="00191499"/>
    <w:rsid w:val="001915C7"/>
    <w:rsid w:val="001916CE"/>
    <w:rsid w:val="0019185F"/>
    <w:rsid w:val="00191D21"/>
    <w:rsid w:val="00191E21"/>
    <w:rsid w:val="00191E8C"/>
    <w:rsid w:val="00191EB3"/>
    <w:rsid w:val="00191FE6"/>
    <w:rsid w:val="00192145"/>
    <w:rsid w:val="001922CF"/>
    <w:rsid w:val="00192811"/>
    <w:rsid w:val="0019289F"/>
    <w:rsid w:val="001928C3"/>
    <w:rsid w:val="001929D5"/>
    <w:rsid w:val="00192E6B"/>
    <w:rsid w:val="00192EBD"/>
    <w:rsid w:val="00192F1C"/>
    <w:rsid w:val="00193194"/>
    <w:rsid w:val="001931A8"/>
    <w:rsid w:val="0019329B"/>
    <w:rsid w:val="001932AB"/>
    <w:rsid w:val="00193375"/>
    <w:rsid w:val="00193646"/>
    <w:rsid w:val="001936AF"/>
    <w:rsid w:val="00193721"/>
    <w:rsid w:val="0019373D"/>
    <w:rsid w:val="00193DD9"/>
    <w:rsid w:val="00193FBD"/>
    <w:rsid w:val="00194019"/>
    <w:rsid w:val="00194096"/>
    <w:rsid w:val="00194399"/>
    <w:rsid w:val="00194449"/>
    <w:rsid w:val="00194B1B"/>
    <w:rsid w:val="00194B22"/>
    <w:rsid w:val="00194B5B"/>
    <w:rsid w:val="00194F1E"/>
    <w:rsid w:val="00195019"/>
    <w:rsid w:val="00195086"/>
    <w:rsid w:val="0019563F"/>
    <w:rsid w:val="001956EA"/>
    <w:rsid w:val="0019572E"/>
    <w:rsid w:val="001957A2"/>
    <w:rsid w:val="001957D3"/>
    <w:rsid w:val="00195BBF"/>
    <w:rsid w:val="00195E29"/>
    <w:rsid w:val="001960EB"/>
    <w:rsid w:val="00196181"/>
    <w:rsid w:val="0019652B"/>
    <w:rsid w:val="00196542"/>
    <w:rsid w:val="00196630"/>
    <w:rsid w:val="00196649"/>
    <w:rsid w:val="0019665B"/>
    <w:rsid w:val="001973C3"/>
    <w:rsid w:val="00197495"/>
    <w:rsid w:val="00197525"/>
    <w:rsid w:val="001976C1"/>
    <w:rsid w:val="00197728"/>
    <w:rsid w:val="00197808"/>
    <w:rsid w:val="00197A4B"/>
    <w:rsid w:val="00197B33"/>
    <w:rsid w:val="00197BBA"/>
    <w:rsid w:val="00197D3E"/>
    <w:rsid w:val="00197E47"/>
    <w:rsid w:val="00197EB4"/>
    <w:rsid w:val="001A0222"/>
    <w:rsid w:val="001A0385"/>
    <w:rsid w:val="001A05B7"/>
    <w:rsid w:val="001A0B85"/>
    <w:rsid w:val="001A0BC9"/>
    <w:rsid w:val="001A0C46"/>
    <w:rsid w:val="001A0CA3"/>
    <w:rsid w:val="001A0CCD"/>
    <w:rsid w:val="001A10FD"/>
    <w:rsid w:val="001A16E6"/>
    <w:rsid w:val="001A17B0"/>
    <w:rsid w:val="001A19A3"/>
    <w:rsid w:val="001A1DD7"/>
    <w:rsid w:val="001A1EF8"/>
    <w:rsid w:val="001A20D4"/>
    <w:rsid w:val="001A238B"/>
    <w:rsid w:val="001A2472"/>
    <w:rsid w:val="001A24DD"/>
    <w:rsid w:val="001A2669"/>
    <w:rsid w:val="001A29C2"/>
    <w:rsid w:val="001A2AB5"/>
    <w:rsid w:val="001A2AC8"/>
    <w:rsid w:val="001A2B74"/>
    <w:rsid w:val="001A2D18"/>
    <w:rsid w:val="001A2D6B"/>
    <w:rsid w:val="001A2F02"/>
    <w:rsid w:val="001A2F18"/>
    <w:rsid w:val="001A2FA8"/>
    <w:rsid w:val="001A33A2"/>
    <w:rsid w:val="001A345C"/>
    <w:rsid w:val="001A354F"/>
    <w:rsid w:val="001A3706"/>
    <w:rsid w:val="001A375F"/>
    <w:rsid w:val="001A37D8"/>
    <w:rsid w:val="001A3C85"/>
    <w:rsid w:val="001A4013"/>
    <w:rsid w:val="001A42B2"/>
    <w:rsid w:val="001A440D"/>
    <w:rsid w:val="001A46F4"/>
    <w:rsid w:val="001A47B6"/>
    <w:rsid w:val="001A496A"/>
    <w:rsid w:val="001A4B89"/>
    <w:rsid w:val="001A4BF7"/>
    <w:rsid w:val="001A4E52"/>
    <w:rsid w:val="001A4F18"/>
    <w:rsid w:val="001A4FD1"/>
    <w:rsid w:val="001A54ED"/>
    <w:rsid w:val="001A54F0"/>
    <w:rsid w:val="001A5537"/>
    <w:rsid w:val="001A5545"/>
    <w:rsid w:val="001A5A73"/>
    <w:rsid w:val="001A5C0E"/>
    <w:rsid w:val="001A5C7B"/>
    <w:rsid w:val="001A5DB0"/>
    <w:rsid w:val="001A5DE3"/>
    <w:rsid w:val="001A63E3"/>
    <w:rsid w:val="001A6471"/>
    <w:rsid w:val="001A64D6"/>
    <w:rsid w:val="001A66FF"/>
    <w:rsid w:val="001A6B63"/>
    <w:rsid w:val="001A6D39"/>
    <w:rsid w:val="001A6E8F"/>
    <w:rsid w:val="001A6FA3"/>
    <w:rsid w:val="001A7435"/>
    <w:rsid w:val="001A7646"/>
    <w:rsid w:val="001A782A"/>
    <w:rsid w:val="001A79BD"/>
    <w:rsid w:val="001A7B39"/>
    <w:rsid w:val="001A7B6C"/>
    <w:rsid w:val="001A7BD3"/>
    <w:rsid w:val="001A7FE0"/>
    <w:rsid w:val="001B0139"/>
    <w:rsid w:val="001B03C5"/>
    <w:rsid w:val="001B06F2"/>
    <w:rsid w:val="001B0786"/>
    <w:rsid w:val="001B0C92"/>
    <w:rsid w:val="001B0D1E"/>
    <w:rsid w:val="001B0D87"/>
    <w:rsid w:val="001B0F91"/>
    <w:rsid w:val="001B0FD9"/>
    <w:rsid w:val="001B12C7"/>
    <w:rsid w:val="001B1348"/>
    <w:rsid w:val="001B13C7"/>
    <w:rsid w:val="001B1498"/>
    <w:rsid w:val="001B155A"/>
    <w:rsid w:val="001B15B1"/>
    <w:rsid w:val="001B1781"/>
    <w:rsid w:val="001B17E2"/>
    <w:rsid w:val="001B17E3"/>
    <w:rsid w:val="001B194A"/>
    <w:rsid w:val="001B1A3A"/>
    <w:rsid w:val="001B1A8D"/>
    <w:rsid w:val="001B1AD0"/>
    <w:rsid w:val="001B1BC3"/>
    <w:rsid w:val="001B1D09"/>
    <w:rsid w:val="001B1EB9"/>
    <w:rsid w:val="001B2192"/>
    <w:rsid w:val="001B2328"/>
    <w:rsid w:val="001B298E"/>
    <w:rsid w:val="001B29C6"/>
    <w:rsid w:val="001B2C1C"/>
    <w:rsid w:val="001B2CAA"/>
    <w:rsid w:val="001B2D78"/>
    <w:rsid w:val="001B324B"/>
    <w:rsid w:val="001B3309"/>
    <w:rsid w:val="001B332A"/>
    <w:rsid w:val="001B333C"/>
    <w:rsid w:val="001B3343"/>
    <w:rsid w:val="001B3773"/>
    <w:rsid w:val="001B3B57"/>
    <w:rsid w:val="001B3B9A"/>
    <w:rsid w:val="001B3D85"/>
    <w:rsid w:val="001B4034"/>
    <w:rsid w:val="001B4333"/>
    <w:rsid w:val="001B4343"/>
    <w:rsid w:val="001B468C"/>
    <w:rsid w:val="001B46DB"/>
    <w:rsid w:val="001B4705"/>
    <w:rsid w:val="001B47AF"/>
    <w:rsid w:val="001B4863"/>
    <w:rsid w:val="001B4962"/>
    <w:rsid w:val="001B4A97"/>
    <w:rsid w:val="001B4CA2"/>
    <w:rsid w:val="001B4D40"/>
    <w:rsid w:val="001B4DD0"/>
    <w:rsid w:val="001B501C"/>
    <w:rsid w:val="001B53C2"/>
    <w:rsid w:val="001B5491"/>
    <w:rsid w:val="001B56F2"/>
    <w:rsid w:val="001B5D4A"/>
    <w:rsid w:val="001B5D93"/>
    <w:rsid w:val="001B5DD3"/>
    <w:rsid w:val="001B5E87"/>
    <w:rsid w:val="001B5EBC"/>
    <w:rsid w:val="001B6318"/>
    <w:rsid w:val="001B6323"/>
    <w:rsid w:val="001B64C8"/>
    <w:rsid w:val="001B64D4"/>
    <w:rsid w:val="001B662D"/>
    <w:rsid w:val="001B6858"/>
    <w:rsid w:val="001B6B9D"/>
    <w:rsid w:val="001B6BB6"/>
    <w:rsid w:val="001B6C8A"/>
    <w:rsid w:val="001B6CD2"/>
    <w:rsid w:val="001B6E1C"/>
    <w:rsid w:val="001B6E8D"/>
    <w:rsid w:val="001B70DD"/>
    <w:rsid w:val="001B70DE"/>
    <w:rsid w:val="001B7146"/>
    <w:rsid w:val="001B7227"/>
    <w:rsid w:val="001B72D6"/>
    <w:rsid w:val="001B73E4"/>
    <w:rsid w:val="001B7653"/>
    <w:rsid w:val="001B7B6F"/>
    <w:rsid w:val="001B7EFA"/>
    <w:rsid w:val="001C015E"/>
    <w:rsid w:val="001C03F7"/>
    <w:rsid w:val="001C04C0"/>
    <w:rsid w:val="001C053C"/>
    <w:rsid w:val="001C07C5"/>
    <w:rsid w:val="001C083F"/>
    <w:rsid w:val="001C0895"/>
    <w:rsid w:val="001C0904"/>
    <w:rsid w:val="001C094B"/>
    <w:rsid w:val="001C096B"/>
    <w:rsid w:val="001C0B87"/>
    <w:rsid w:val="001C0C48"/>
    <w:rsid w:val="001C0CD0"/>
    <w:rsid w:val="001C0DC8"/>
    <w:rsid w:val="001C0E10"/>
    <w:rsid w:val="001C0F1D"/>
    <w:rsid w:val="001C11DD"/>
    <w:rsid w:val="001C1218"/>
    <w:rsid w:val="001C1317"/>
    <w:rsid w:val="001C1322"/>
    <w:rsid w:val="001C1460"/>
    <w:rsid w:val="001C1520"/>
    <w:rsid w:val="001C16CF"/>
    <w:rsid w:val="001C1CF7"/>
    <w:rsid w:val="001C1ED3"/>
    <w:rsid w:val="001C1F1C"/>
    <w:rsid w:val="001C1FA4"/>
    <w:rsid w:val="001C2166"/>
    <w:rsid w:val="001C21A9"/>
    <w:rsid w:val="001C2216"/>
    <w:rsid w:val="001C234D"/>
    <w:rsid w:val="001C271A"/>
    <w:rsid w:val="001C29AF"/>
    <w:rsid w:val="001C29C3"/>
    <w:rsid w:val="001C2A18"/>
    <w:rsid w:val="001C2A61"/>
    <w:rsid w:val="001C2B8D"/>
    <w:rsid w:val="001C2C39"/>
    <w:rsid w:val="001C2E6B"/>
    <w:rsid w:val="001C30A3"/>
    <w:rsid w:val="001C30E7"/>
    <w:rsid w:val="001C317F"/>
    <w:rsid w:val="001C3482"/>
    <w:rsid w:val="001C34E9"/>
    <w:rsid w:val="001C36BF"/>
    <w:rsid w:val="001C37C2"/>
    <w:rsid w:val="001C37E4"/>
    <w:rsid w:val="001C3899"/>
    <w:rsid w:val="001C39C2"/>
    <w:rsid w:val="001C3B81"/>
    <w:rsid w:val="001C3D5C"/>
    <w:rsid w:val="001C403A"/>
    <w:rsid w:val="001C4178"/>
    <w:rsid w:val="001C41A1"/>
    <w:rsid w:val="001C432F"/>
    <w:rsid w:val="001C460A"/>
    <w:rsid w:val="001C468D"/>
    <w:rsid w:val="001C476A"/>
    <w:rsid w:val="001C481A"/>
    <w:rsid w:val="001C4A5F"/>
    <w:rsid w:val="001C4B85"/>
    <w:rsid w:val="001C4C08"/>
    <w:rsid w:val="001C4E30"/>
    <w:rsid w:val="001C4E47"/>
    <w:rsid w:val="001C4E4C"/>
    <w:rsid w:val="001C4E83"/>
    <w:rsid w:val="001C4F13"/>
    <w:rsid w:val="001C501C"/>
    <w:rsid w:val="001C5180"/>
    <w:rsid w:val="001C52A4"/>
    <w:rsid w:val="001C5321"/>
    <w:rsid w:val="001C5475"/>
    <w:rsid w:val="001C5807"/>
    <w:rsid w:val="001C580B"/>
    <w:rsid w:val="001C5A27"/>
    <w:rsid w:val="001C5B2B"/>
    <w:rsid w:val="001C5EBF"/>
    <w:rsid w:val="001C6062"/>
    <w:rsid w:val="001C61B1"/>
    <w:rsid w:val="001C6211"/>
    <w:rsid w:val="001C62E9"/>
    <w:rsid w:val="001C634A"/>
    <w:rsid w:val="001C6527"/>
    <w:rsid w:val="001C6833"/>
    <w:rsid w:val="001C6A9E"/>
    <w:rsid w:val="001C6BB8"/>
    <w:rsid w:val="001C6C99"/>
    <w:rsid w:val="001C6DA0"/>
    <w:rsid w:val="001C6ED2"/>
    <w:rsid w:val="001C6EF2"/>
    <w:rsid w:val="001C7267"/>
    <w:rsid w:val="001C7404"/>
    <w:rsid w:val="001C740C"/>
    <w:rsid w:val="001C74D6"/>
    <w:rsid w:val="001C7702"/>
    <w:rsid w:val="001C7FAC"/>
    <w:rsid w:val="001D01A7"/>
    <w:rsid w:val="001D02E1"/>
    <w:rsid w:val="001D0719"/>
    <w:rsid w:val="001D0726"/>
    <w:rsid w:val="001D0833"/>
    <w:rsid w:val="001D084D"/>
    <w:rsid w:val="001D094B"/>
    <w:rsid w:val="001D0A74"/>
    <w:rsid w:val="001D0ACD"/>
    <w:rsid w:val="001D0B08"/>
    <w:rsid w:val="001D0E60"/>
    <w:rsid w:val="001D105F"/>
    <w:rsid w:val="001D10C3"/>
    <w:rsid w:val="001D1417"/>
    <w:rsid w:val="001D1439"/>
    <w:rsid w:val="001D159C"/>
    <w:rsid w:val="001D162F"/>
    <w:rsid w:val="001D165C"/>
    <w:rsid w:val="001D16B5"/>
    <w:rsid w:val="001D1859"/>
    <w:rsid w:val="001D19BA"/>
    <w:rsid w:val="001D1E75"/>
    <w:rsid w:val="001D1F02"/>
    <w:rsid w:val="001D222B"/>
    <w:rsid w:val="001D2271"/>
    <w:rsid w:val="001D2667"/>
    <w:rsid w:val="001D266A"/>
    <w:rsid w:val="001D273F"/>
    <w:rsid w:val="001D282D"/>
    <w:rsid w:val="001D2B39"/>
    <w:rsid w:val="001D2C2A"/>
    <w:rsid w:val="001D2F62"/>
    <w:rsid w:val="001D2FDC"/>
    <w:rsid w:val="001D334F"/>
    <w:rsid w:val="001D355D"/>
    <w:rsid w:val="001D359C"/>
    <w:rsid w:val="001D35D1"/>
    <w:rsid w:val="001D3686"/>
    <w:rsid w:val="001D3D45"/>
    <w:rsid w:val="001D3E06"/>
    <w:rsid w:val="001D42AE"/>
    <w:rsid w:val="001D4343"/>
    <w:rsid w:val="001D43F7"/>
    <w:rsid w:val="001D457A"/>
    <w:rsid w:val="001D47D1"/>
    <w:rsid w:val="001D49C0"/>
    <w:rsid w:val="001D4C93"/>
    <w:rsid w:val="001D4D35"/>
    <w:rsid w:val="001D4E62"/>
    <w:rsid w:val="001D5215"/>
    <w:rsid w:val="001D524A"/>
    <w:rsid w:val="001D5283"/>
    <w:rsid w:val="001D538F"/>
    <w:rsid w:val="001D53A8"/>
    <w:rsid w:val="001D53FE"/>
    <w:rsid w:val="001D571A"/>
    <w:rsid w:val="001D5732"/>
    <w:rsid w:val="001D580F"/>
    <w:rsid w:val="001D59AD"/>
    <w:rsid w:val="001D59E6"/>
    <w:rsid w:val="001D5A32"/>
    <w:rsid w:val="001D5C36"/>
    <w:rsid w:val="001D5C97"/>
    <w:rsid w:val="001D5FB6"/>
    <w:rsid w:val="001D60DA"/>
    <w:rsid w:val="001D61BE"/>
    <w:rsid w:val="001D6222"/>
    <w:rsid w:val="001D6464"/>
    <w:rsid w:val="001D654A"/>
    <w:rsid w:val="001D696C"/>
    <w:rsid w:val="001D6978"/>
    <w:rsid w:val="001D69AF"/>
    <w:rsid w:val="001D6BA8"/>
    <w:rsid w:val="001D6BB9"/>
    <w:rsid w:val="001D7082"/>
    <w:rsid w:val="001D71F4"/>
    <w:rsid w:val="001D74ED"/>
    <w:rsid w:val="001D7502"/>
    <w:rsid w:val="001D76FF"/>
    <w:rsid w:val="001D771C"/>
    <w:rsid w:val="001D78D6"/>
    <w:rsid w:val="001D7930"/>
    <w:rsid w:val="001E003F"/>
    <w:rsid w:val="001E02D2"/>
    <w:rsid w:val="001E0458"/>
    <w:rsid w:val="001E0517"/>
    <w:rsid w:val="001E0720"/>
    <w:rsid w:val="001E08F6"/>
    <w:rsid w:val="001E0CA9"/>
    <w:rsid w:val="001E0CE4"/>
    <w:rsid w:val="001E1032"/>
    <w:rsid w:val="001E110E"/>
    <w:rsid w:val="001E1457"/>
    <w:rsid w:val="001E157A"/>
    <w:rsid w:val="001E1835"/>
    <w:rsid w:val="001E188D"/>
    <w:rsid w:val="001E18BA"/>
    <w:rsid w:val="001E18D4"/>
    <w:rsid w:val="001E18F1"/>
    <w:rsid w:val="001E1AB7"/>
    <w:rsid w:val="001E1BA0"/>
    <w:rsid w:val="001E1DBD"/>
    <w:rsid w:val="001E1DFC"/>
    <w:rsid w:val="001E1EF2"/>
    <w:rsid w:val="001E1F3D"/>
    <w:rsid w:val="001E237A"/>
    <w:rsid w:val="001E23EE"/>
    <w:rsid w:val="001E2575"/>
    <w:rsid w:val="001E288D"/>
    <w:rsid w:val="001E2A47"/>
    <w:rsid w:val="001E2B8B"/>
    <w:rsid w:val="001E2C6E"/>
    <w:rsid w:val="001E2FD5"/>
    <w:rsid w:val="001E3338"/>
    <w:rsid w:val="001E33B2"/>
    <w:rsid w:val="001E361F"/>
    <w:rsid w:val="001E3657"/>
    <w:rsid w:val="001E36F9"/>
    <w:rsid w:val="001E3A4F"/>
    <w:rsid w:val="001E3CE3"/>
    <w:rsid w:val="001E3DE3"/>
    <w:rsid w:val="001E3E4E"/>
    <w:rsid w:val="001E4176"/>
    <w:rsid w:val="001E418B"/>
    <w:rsid w:val="001E43C5"/>
    <w:rsid w:val="001E4433"/>
    <w:rsid w:val="001E44D2"/>
    <w:rsid w:val="001E4A34"/>
    <w:rsid w:val="001E4C75"/>
    <w:rsid w:val="001E5148"/>
    <w:rsid w:val="001E53CA"/>
    <w:rsid w:val="001E5883"/>
    <w:rsid w:val="001E5952"/>
    <w:rsid w:val="001E5960"/>
    <w:rsid w:val="001E59D3"/>
    <w:rsid w:val="001E5A19"/>
    <w:rsid w:val="001E5B0F"/>
    <w:rsid w:val="001E5C71"/>
    <w:rsid w:val="001E5E74"/>
    <w:rsid w:val="001E5F54"/>
    <w:rsid w:val="001E5FE2"/>
    <w:rsid w:val="001E6183"/>
    <w:rsid w:val="001E6292"/>
    <w:rsid w:val="001E632F"/>
    <w:rsid w:val="001E644C"/>
    <w:rsid w:val="001E65AC"/>
    <w:rsid w:val="001E678C"/>
    <w:rsid w:val="001E6AC3"/>
    <w:rsid w:val="001E6AE7"/>
    <w:rsid w:val="001E6B75"/>
    <w:rsid w:val="001E6E10"/>
    <w:rsid w:val="001E6EDD"/>
    <w:rsid w:val="001E6F02"/>
    <w:rsid w:val="001E6F60"/>
    <w:rsid w:val="001E6FD1"/>
    <w:rsid w:val="001E70E0"/>
    <w:rsid w:val="001E70EA"/>
    <w:rsid w:val="001E7249"/>
    <w:rsid w:val="001E735D"/>
    <w:rsid w:val="001E757A"/>
    <w:rsid w:val="001E7642"/>
    <w:rsid w:val="001E76AF"/>
    <w:rsid w:val="001E7892"/>
    <w:rsid w:val="001E794D"/>
    <w:rsid w:val="001E79ED"/>
    <w:rsid w:val="001E7A78"/>
    <w:rsid w:val="001E7AB4"/>
    <w:rsid w:val="001E7B17"/>
    <w:rsid w:val="001E7C43"/>
    <w:rsid w:val="001E7C7B"/>
    <w:rsid w:val="001E7D43"/>
    <w:rsid w:val="001F0079"/>
    <w:rsid w:val="001F0184"/>
    <w:rsid w:val="001F01EC"/>
    <w:rsid w:val="001F02D5"/>
    <w:rsid w:val="001F03B5"/>
    <w:rsid w:val="001F03B6"/>
    <w:rsid w:val="001F044F"/>
    <w:rsid w:val="001F04FD"/>
    <w:rsid w:val="001F0637"/>
    <w:rsid w:val="001F0880"/>
    <w:rsid w:val="001F0A1B"/>
    <w:rsid w:val="001F0AA0"/>
    <w:rsid w:val="001F0D0D"/>
    <w:rsid w:val="001F0D31"/>
    <w:rsid w:val="001F0D42"/>
    <w:rsid w:val="001F0EF7"/>
    <w:rsid w:val="001F12B8"/>
    <w:rsid w:val="001F15BC"/>
    <w:rsid w:val="001F15D0"/>
    <w:rsid w:val="001F1760"/>
    <w:rsid w:val="001F177A"/>
    <w:rsid w:val="001F18AE"/>
    <w:rsid w:val="001F18B4"/>
    <w:rsid w:val="001F1D09"/>
    <w:rsid w:val="001F1EA0"/>
    <w:rsid w:val="001F1EF4"/>
    <w:rsid w:val="001F1F03"/>
    <w:rsid w:val="001F1FBB"/>
    <w:rsid w:val="001F1FEF"/>
    <w:rsid w:val="001F20C9"/>
    <w:rsid w:val="001F23F1"/>
    <w:rsid w:val="001F24D5"/>
    <w:rsid w:val="001F25C8"/>
    <w:rsid w:val="001F260D"/>
    <w:rsid w:val="001F2795"/>
    <w:rsid w:val="001F29B8"/>
    <w:rsid w:val="001F29BB"/>
    <w:rsid w:val="001F2A20"/>
    <w:rsid w:val="001F2DA1"/>
    <w:rsid w:val="001F2DF5"/>
    <w:rsid w:val="001F2E59"/>
    <w:rsid w:val="001F2EF0"/>
    <w:rsid w:val="001F3058"/>
    <w:rsid w:val="001F3071"/>
    <w:rsid w:val="001F3223"/>
    <w:rsid w:val="001F34CF"/>
    <w:rsid w:val="001F38C5"/>
    <w:rsid w:val="001F395C"/>
    <w:rsid w:val="001F3A78"/>
    <w:rsid w:val="001F3ABF"/>
    <w:rsid w:val="001F3B09"/>
    <w:rsid w:val="001F4041"/>
    <w:rsid w:val="001F4291"/>
    <w:rsid w:val="001F4370"/>
    <w:rsid w:val="001F43DD"/>
    <w:rsid w:val="001F454F"/>
    <w:rsid w:val="001F4611"/>
    <w:rsid w:val="001F473C"/>
    <w:rsid w:val="001F474F"/>
    <w:rsid w:val="001F48AC"/>
    <w:rsid w:val="001F4AB1"/>
    <w:rsid w:val="001F4ABC"/>
    <w:rsid w:val="001F4C3D"/>
    <w:rsid w:val="001F4C95"/>
    <w:rsid w:val="001F4D32"/>
    <w:rsid w:val="001F503A"/>
    <w:rsid w:val="001F55E2"/>
    <w:rsid w:val="001F5659"/>
    <w:rsid w:val="001F5938"/>
    <w:rsid w:val="001F5C74"/>
    <w:rsid w:val="001F5D26"/>
    <w:rsid w:val="001F5D7E"/>
    <w:rsid w:val="001F5DF7"/>
    <w:rsid w:val="001F60CA"/>
    <w:rsid w:val="001F630B"/>
    <w:rsid w:val="001F6478"/>
    <w:rsid w:val="001F656F"/>
    <w:rsid w:val="001F665D"/>
    <w:rsid w:val="001F6723"/>
    <w:rsid w:val="001F68FF"/>
    <w:rsid w:val="001F6A6C"/>
    <w:rsid w:val="001F6AF7"/>
    <w:rsid w:val="001F6BC4"/>
    <w:rsid w:val="001F6D56"/>
    <w:rsid w:val="001F7071"/>
    <w:rsid w:val="001F70FB"/>
    <w:rsid w:val="001F7155"/>
    <w:rsid w:val="001F7176"/>
    <w:rsid w:val="001F74AE"/>
    <w:rsid w:val="001F7692"/>
    <w:rsid w:val="001F7865"/>
    <w:rsid w:val="001F7ABD"/>
    <w:rsid w:val="001F7CE2"/>
    <w:rsid w:val="001F7D4D"/>
    <w:rsid w:val="001F7E5F"/>
    <w:rsid w:val="001F7E99"/>
    <w:rsid w:val="001F7F04"/>
    <w:rsid w:val="001F7F74"/>
    <w:rsid w:val="0020005F"/>
    <w:rsid w:val="00200098"/>
    <w:rsid w:val="00200152"/>
    <w:rsid w:val="002001D3"/>
    <w:rsid w:val="00200214"/>
    <w:rsid w:val="002003DB"/>
    <w:rsid w:val="002006D9"/>
    <w:rsid w:val="00200740"/>
    <w:rsid w:val="0020086F"/>
    <w:rsid w:val="00200941"/>
    <w:rsid w:val="00200ABC"/>
    <w:rsid w:val="00200ACB"/>
    <w:rsid w:val="00200AFC"/>
    <w:rsid w:val="00200B5D"/>
    <w:rsid w:val="00201000"/>
    <w:rsid w:val="002012C9"/>
    <w:rsid w:val="002012FB"/>
    <w:rsid w:val="002014A4"/>
    <w:rsid w:val="002014AF"/>
    <w:rsid w:val="0020171A"/>
    <w:rsid w:val="00201730"/>
    <w:rsid w:val="00201841"/>
    <w:rsid w:val="00201864"/>
    <w:rsid w:val="0020199D"/>
    <w:rsid w:val="00201ABC"/>
    <w:rsid w:val="00201B72"/>
    <w:rsid w:val="00201BCE"/>
    <w:rsid w:val="00201C09"/>
    <w:rsid w:val="00201C7F"/>
    <w:rsid w:val="00201D2C"/>
    <w:rsid w:val="00201EEB"/>
    <w:rsid w:val="00201F6A"/>
    <w:rsid w:val="00201FCB"/>
    <w:rsid w:val="00202492"/>
    <w:rsid w:val="00202508"/>
    <w:rsid w:val="002025AC"/>
    <w:rsid w:val="002026E5"/>
    <w:rsid w:val="002028BE"/>
    <w:rsid w:val="00202B51"/>
    <w:rsid w:val="00202B7C"/>
    <w:rsid w:val="00202E24"/>
    <w:rsid w:val="00202F56"/>
    <w:rsid w:val="002032BE"/>
    <w:rsid w:val="002033FC"/>
    <w:rsid w:val="002037E4"/>
    <w:rsid w:val="002038A2"/>
    <w:rsid w:val="00203C24"/>
    <w:rsid w:val="00203E70"/>
    <w:rsid w:val="00203FE7"/>
    <w:rsid w:val="00204013"/>
    <w:rsid w:val="0020406E"/>
    <w:rsid w:val="002043E3"/>
    <w:rsid w:val="00204528"/>
    <w:rsid w:val="00204561"/>
    <w:rsid w:val="002045C7"/>
    <w:rsid w:val="002045D9"/>
    <w:rsid w:val="002046F6"/>
    <w:rsid w:val="002049A1"/>
    <w:rsid w:val="00204A5A"/>
    <w:rsid w:val="00204D38"/>
    <w:rsid w:val="00204E8A"/>
    <w:rsid w:val="00204EA6"/>
    <w:rsid w:val="00204F7A"/>
    <w:rsid w:val="0020516E"/>
    <w:rsid w:val="00205461"/>
    <w:rsid w:val="00205683"/>
    <w:rsid w:val="002056DE"/>
    <w:rsid w:val="00205761"/>
    <w:rsid w:val="002057B5"/>
    <w:rsid w:val="00205B65"/>
    <w:rsid w:val="00205CFE"/>
    <w:rsid w:val="00205DD4"/>
    <w:rsid w:val="00205F8B"/>
    <w:rsid w:val="0020607F"/>
    <w:rsid w:val="00206122"/>
    <w:rsid w:val="0020618D"/>
    <w:rsid w:val="00206679"/>
    <w:rsid w:val="002066BB"/>
    <w:rsid w:val="00206803"/>
    <w:rsid w:val="0020685B"/>
    <w:rsid w:val="00206A9E"/>
    <w:rsid w:val="00206AD1"/>
    <w:rsid w:val="00206B5C"/>
    <w:rsid w:val="00206E4D"/>
    <w:rsid w:val="0020702E"/>
    <w:rsid w:val="002070D2"/>
    <w:rsid w:val="00207154"/>
    <w:rsid w:val="002072BF"/>
    <w:rsid w:val="002075EF"/>
    <w:rsid w:val="00207683"/>
    <w:rsid w:val="00207B35"/>
    <w:rsid w:val="00207CB9"/>
    <w:rsid w:val="00207CFC"/>
    <w:rsid w:val="00207DBE"/>
    <w:rsid w:val="00207F91"/>
    <w:rsid w:val="00207FD0"/>
    <w:rsid w:val="00210084"/>
    <w:rsid w:val="002105F4"/>
    <w:rsid w:val="0021079E"/>
    <w:rsid w:val="00210B41"/>
    <w:rsid w:val="00210C35"/>
    <w:rsid w:val="00211282"/>
    <w:rsid w:val="00211301"/>
    <w:rsid w:val="0021138C"/>
    <w:rsid w:val="002113FA"/>
    <w:rsid w:val="00211668"/>
    <w:rsid w:val="00211677"/>
    <w:rsid w:val="0021171F"/>
    <w:rsid w:val="00211903"/>
    <w:rsid w:val="002119F6"/>
    <w:rsid w:val="00211A8E"/>
    <w:rsid w:val="00211A93"/>
    <w:rsid w:val="00211BAF"/>
    <w:rsid w:val="00211BDD"/>
    <w:rsid w:val="00211BE9"/>
    <w:rsid w:val="00211C6C"/>
    <w:rsid w:val="00211D0E"/>
    <w:rsid w:val="00211E45"/>
    <w:rsid w:val="00211E51"/>
    <w:rsid w:val="00212202"/>
    <w:rsid w:val="00212456"/>
    <w:rsid w:val="00212464"/>
    <w:rsid w:val="0021262A"/>
    <w:rsid w:val="002128BB"/>
    <w:rsid w:val="00212BF0"/>
    <w:rsid w:val="00212C1D"/>
    <w:rsid w:val="00212FCC"/>
    <w:rsid w:val="0021310B"/>
    <w:rsid w:val="002132E0"/>
    <w:rsid w:val="00213373"/>
    <w:rsid w:val="002133B9"/>
    <w:rsid w:val="00213511"/>
    <w:rsid w:val="00213608"/>
    <w:rsid w:val="002136C9"/>
    <w:rsid w:val="00213703"/>
    <w:rsid w:val="00213769"/>
    <w:rsid w:val="00213A77"/>
    <w:rsid w:val="00213A9C"/>
    <w:rsid w:val="00213EE9"/>
    <w:rsid w:val="00213FB0"/>
    <w:rsid w:val="00214655"/>
    <w:rsid w:val="00214697"/>
    <w:rsid w:val="0021492B"/>
    <w:rsid w:val="00214A79"/>
    <w:rsid w:val="00214CEC"/>
    <w:rsid w:val="00214DAD"/>
    <w:rsid w:val="00214EA3"/>
    <w:rsid w:val="00214EAC"/>
    <w:rsid w:val="0021500B"/>
    <w:rsid w:val="002151AC"/>
    <w:rsid w:val="002152A7"/>
    <w:rsid w:val="0021541F"/>
    <w:rsid w:val="002154CC"/>
    <w:rsid w:val="00215AF0"/>
    <w:rsid w:val="00215B39"/>
    <w:rsid w:val="00215BD2"/>
    <w:rsid w:val="00216293"/>
    <w:rsid w:val="002162D9"/>
    <w:rsid w:val="00216346"/>
    <w:rsid w:val="002164D3"/>
    <w:rsid w:val="00216710"/>
    <w:rsid w:val="00216885"/>
    <w:rsid w:val="00216940"/>
    <w:rsid w:val="00216DF8"/>
    <w:rsid w:val="00216FFB"/>
    <w:rsid w:val="0021713C"/>
    <w:rsid w:val="002171EA"/>
    <w:rsid w:val="00217239"/>
    <w:rsid w:val="002173C4"/>
    <w:rsid w:val="0021741F"/>
    <w:rsid w:val="00217519"/>
    <w:rsid w:val="00217664"/>
    <w:rsid w:val="002176C5"/>
    <w:rsid w:val="00217B71"/>
    <w:rsid w:val="00217B86"/>
    <w:rsid w:val="00217CFD"/>
    <w:rsid w:val="002202E9"/>
    <w:rsid w:val="00220377"/>
    <w:rsid w:val="00220543"/>
    <w:rsid w:val="0022056B"/>
    <w:rsid w:val="0022086B"/>
    <w:rsid w:val="00220FF0"/>
    <w:rsid w:val="00221193"/>
    <w:rsid w:val="002211BB"/>
    <w:rsid w:val="00221974"/>
    <w:rsid w:val="00221998"/>
    <w:rsid w:val="002219B3"/>
    <w:rsid w:val="00221D0A"/>
    <w:rsid w:val="00221F6E"/>
    <w:rsid w:val="00221FFA"/>
    <w:rsid w:val="002220FB"/>
    <w:rsid w:val="00222110"/>
    <w:rsid w:val="002222E8"/>
    <w:rsid w:val="0022238A"/>
    <w:rsid w:val="00222450"/>
    <w:rsid w:val="00222547"/>
    <w:rsid w:val="002225BF"/>
    <w:rsid w:val="002225FA"/>
    <w:rsid w:val="00222742"/>
    <w:rsid w:val="00222D59"/>
    <w:rsid w:val="00222EDC"/>
    <w:rsid w:val="00223053"/>
    <w:rsid w:val="002230AF"/>
    <w:rsid w:val="00223364"/>
    <w:rsid w:val="002233DE"/>
    <w:rsid w:val="002236A8"/>
    <w:rsid w:val="002236C4"/>
    <w:rsid w:val="002237DE"/>
    <w:rsid w:val="002237E4"/>
    <w:rsid w:val="0022386B"/>
    <w:rsid w:val="002239CA"/>
    <w:rsid w:val="00223BCF"/>
    <w:rsid w:val="00223C13"/>
    <w:rsid w:val="00223D24"/>
    <w:rsid w:val="00223E7D"/>
    <w:rsid w:val="0022402A"/>
    <w:rsid w:val="00224058"/>
    <w:rsid w:val="002241BB"/>
    <w:rsid w:val="00224230"/>
    <w:rsid w:val="0022433E"/>
    <w:rsid w:val="00224429"/>
    <w:rsid w:val="002244FE"/>
    <w:rsid w:val="00224576"/>
    <w:rsid w:val="00224957"/>
    <w:rsid w:val="002249DC"/>
    <w:rsid w:val="00224B2C"/>
    <w:rsid w:val="00224BAB"/>
    <w:rsid w:val="00224D7A"/>
    <w:rsid w:val="00224F40"/>
    <w:rsid w:val="0022510C"/>
    <w:rsid w:val="002252D2"/>
    <w:rsid w:val="00225391"/>
    <w:rsid w:val="002253FF"/>
    <w:rsid w:val="0022571D"/>
    <w:rsid w:val="0022593A"/>
    <w:rsid w:val="00225977"/>
    <w:rsid w:val="002259B8"/>
    <w:rsid w:val="002259D5"/>
    <w:rsid w:val="00225A0D"/>
    <w:rsid w:val="00225BD4"/>
    <w:rsid w:val="00225F36"/>
    <w:rsid w:val="00225F3F"/>
    <w:rsid w:val="00225F8A"/>
    <w:rsid w:val="002261E7"/>
    <w:rsid w:val="002265A1"/>
    <w:rsid w:val="002265B9"/>
    <w:rsid w:val="0022685F"/>
    <w:rsid w:val="00226A1D"/>
    <w:rsid w:val="00226BF3"/>
    <w:rsid w:val="00226DDA"/>
    <w:rsid w:val="0022707A"/>
    <w:rsid w:val="00227511"/>
    <w:rsid w:val="00227528"/>
    <w:rsid w:val="00227587"/>
    <w:rsid w:val="0022765D"/>
    <w:rsid w:val="0022771A"/>
    <w:rsid w:val="002277A1"/>
    <w:rsid w:val="0022798B"/>
    <w:rsid w:val="00227A35"/>
    <w:rsid w:val="00227E06"/>
    <w:rsid w:val="00227E3A"/>
    <w:rsid w:val="00227F32"/>
    <w:rsid w:val="0023004F"/>
    <w:rsid w:val="0023011B"/>
    <w:rsid w:val="0023026C"/>
    <w:rsid w:val="00230656"/>
    <w:rsid w:val="00230881"/>
    <w:rsid w:val="002309A0"/>
    <w:rsid w:val="00230D39"/>
    <w:rsid w:val="002310AD"/>
    <w:rsid w:val="0023116A"/>
    <w:rsid w:val="0023127E"/>
    <w:rsid w:val="00231318"/>
    <w:rsid w:val="002314AD"/>
    <w:rsid w:val="002314C6"/>
    <w:rsid w:val="00231504"/>
    <w:rsid w:val="00231948"/>
    <w:rsid w:val="002319B8"/>
    <w:rsid w:val="00231CEE"/>
    <w:rsid w:val="00231E0E"/>
    <w:rsid w:val="00231E91"/>
    <w:rsid w:val="00231EE9"/>
    <w:rsid w:val="00231FE4"/>
    <w:rsid w:val="002320EB"/>
    <w:rsid w:val="0023217F"/>
    <w:rsid w:val="00232204"/>
    <w:rsid w:val="0023221C"/>
    <w:rsid w:val="00232280"/>
    <w:rsid w:val="002324CE"/>
    <w:rsid w:val="00232537"/>
    <w:rsid w:val="002325A2"/>
    <w:rsid w:val="00232711"/>
    <w:rsid w:val="002327EC"/>
    <w:rsid w:val="00232905"/>
    <w:rsid w:val="00232BC0"/>
    <w:rsid w:val="00232C67"/>
    <w:rsid w:val="0023311F"/>
    <w:rsid w:val="00233371"/>
    <w:rsid w:val="00233463"/>
    <w:rsid w:val="0023347E"/>
    <w:rsid w:val="00233620"/>
    <w:rsid w:val="0023371B"/>
    <w:rsid w:val="0023387C"/>
    <w:rsid w:val="00233CC9"/>
    <w:rsid w:val="00233CCD"/>
    <w:rsid w:val="00233D6C"/>
    <w:rsid w:val="00233DB9"/>
    <w:rsid w:val="00233EEC"/>
    <w:rsid w:val="00233FF2"/>
    <w:rsid w:val="00234054"/>
    <w:rsid w:val="002340A0"/>
    <w:rsid w:val="0023428D"/>
    <w:rsid w:val="002344BF"/>
    <w:rsid w:val="002347D3"/>
    <w:rsid w:val="00234853"/>
    <w:rsid w:val="00234A65"/>
    <w:rsid w:val="00234B55"/>
    <w:rsid w:val="00234B8C"/>
    <w:rsid w:val="00234BC5"/>
    <w:rsid w:val="00234C0A"/>
    <w:rsid w:val="00234C95"/>
    <w:rsid w:val="00234D71"/>
    <w:rsid w:val="00234DD2"/>
    <w:rsid w:val="00234F25"/>
    <w:rsid w:val="00234FBB"/>
    <w:rsid w:val="002353EF"/>
    <w:rsid w:val="002353F8"/>
    <w:rsid w:val="002353FA"/>
    <w:rsid w:val="00235423"/>
    <w:rsid w:val="0023599C"/>
    <w:rsid w:val="00235BFB"/>
    <w:rsid w:val="00235C4D"/>
    <w:rsid w:val="00235DEC"/>
    <w:rsid w:val="00236043"/>
    <w:rsid w:val="00236122"/>
    <w:rsid w:val="002363C7"/>
    <w:rsid w:val="00236745"/>
    <w:rsid w:val="00236BB9"/>
    <w:rsid w:val="00236BF4"/>
    <w:rsid w:val="00236C78"/>
    <w:rsid w:val="00236C7C"/>
    <w:rsid w:val="00236F52"/>
    <w:rsid w:val="00237082"/>
    <w:rsid w:val="002372FA"/>
    <w:rsid w:val="00237401"/>
    <w:rsid w:val="0023740C"/>
    <w:rsid w:val="0023746F"/>
    <w:rsid w:val="0023771B"/>
    <w:rsid w:val="002377A2"/>
    <w:rsid w:val="00237828"/>
    <w:rsid w:val="002378D4"/>
    <w:rsid w:val="00237B9A"/>
    <w:rsid w:val="00237DB0"/>
    <w:rsid w:val="00237DE9"/>
    <w:rsid w:val="00237E91"/>
    <w:rsid w:val="00237F83"/>
    <w:rsid w:val="00237F8A"/>
    <w:rsid w:val="002400C5"/>
    <w:rsid w:val="002400DA"/>
    <w:rsid w:val="0024029D"/>
    <w:rsid w:val="002404CB"/>
    <w:rsid w:val="00240862"/>
    <w:rsid w:val="00240B81"/>
    <w:rsid w:val="00240F19"/>
    <w:rsid w:val="002411A0"/>
    <w:rsid w:val="0024125B"/>
    <w:rsid w:val="0024125E"/>
    <w:rsid w:val="00241435"/>
    <w:rsid w:val="002415BE"/>
    <w:rsid w:val="0024178D"/>
    <w:rsid w:val="002418FD"/>
    <w:rsid w:val="00241A4D"/>
    <w:rsid w:val="00241B4B"/>
    <w:rsid w:val="00241E2B"/>
    <w:rsid w:val="00242179"/>
    <w:rsid w:val="0024248C"/>
    <w:rsid w:val="0024286F"/>
    <w:rsid w:val="002429AD"/>
    <w:rsid w:val="002429CB"/>
    <w:rsid w:val="00242A5B"/>
    <w:rsid w:val="00242AAD"/>
    <w:rsid w:val="00242B17"/>
    <w:rsid w:val="00242BAC"/>
    <w:rsid w:val="00242F57"/>
    <w:rsid w:val="002430FF"/>
    <w:rsid w:val="00243116"/>
    <w:rsid w:val="002436A5"/>
    <w:rsid w:val="00243BB0"/>
    <w:rsid w:val="00243BC6"/>
    <w:rsid w:val="00243BCE"/>
    <w:rsid w:val="00243F00"/>
    <w:rsid w:val="0024405E"/>
    <w:rsid w:val="00244308"/>
    <w:rsid w:val="00244393"/>
    <w:rsid w:val="0024463A"/>
    <w:rsid w:val="00244668"/>
    <w:rsid w:val="00244683"/>
    <w:rsid w:val="00244811"/>
    <w:rsid w:val="0024481B"/>
    <w:rsid w:val="00244843"/>
    <w:rsid w:val="00244856"/>
    <w:rsid w:val="00244C27"/>
    <w:rsid w:val="00244DCB"/>
    <w:rsid w:val="00245431"/>
    <w:rsid w:val="00245461"/>
    <w:rsid w:val="002454E5"/>
    <w:rsid w:val="002455B8"/>
    <w:rsid w:val="00245766"/>
    <w:rsid w:val="002459F8"/>
    <w:rsid w:val="00245C7B"/>
    <w:rsid w:val="00245D2C"/>
    <w:rsid w:val="00245E0D"/>
    <w:rsid w:val="0024614A"/>
    <w:rsid w:val="002462EF"/>
    <w:rsid w:val="0024641E"/>
    <w:rsid w:val="002465BE"/>
    <w:rsid w:val="0024662C"/>
    <w:rsid w:val="0024664D"/>
    <w:rsid w:val="00247121"/>
    <w:rsid w:val="00247409"/>
    <w:rsid w:val="00247803"/>
    <w:rsid w:val="0024796C"/>
    <w:rsid w:val="00247B3F"/>
    <w:rsid w:val="0025016B"/>
    <w:rsid w:val="00250377"/>
    <w:rsid w:val="002503BA"/>
    <w:rsid w:val="002504EF"/>
    <w:rsid w:val="002507EE"/>
    <w:rsid w:val="00250871"/>
    <w:rsid w:val="0025097A"/>
    <w:rsid w:val="002509B5"/>
    <w:rsid w:val="00250A7B"/>
    <w:rsid w:val="00250B2C"/>
    <w:rsid w:val="00250BCB"/>
    <w:rsid w:val="00250C4C"/>
    <w:rsid w:val="00251009"/>
    <w:rsid w:val="0025123C"/>
    <w:rsid w:val="002512D8"/>
    <w:rsid w:val="0025132A"/>
    <w:rsid w:val="00251359"/>
    <w:rsid w:val="00251488"/>
    <w:rsid w:val="002514D3"/>
    <w:rsid w:val="002514ED"/>
    <w:rsid w:val="002515AA"/>
    <w:rsid w:val="00251658"/>
    <w:rsid w:val="00251822"/>
    <w:rsid w:val="0025189B"/>
    <w:rsid w:val="00251A67"/>
    <w:rsid w:val="00251BDB"/>
    <w:rsid w:val="00252139"/>
    <w:rsid w:val="0025255F"/>
    <w:rsid w:val="002529A4"/>
    <w:rsid w:val="002529DB"/>
    <w:rsid w:val="00252EEF"/>
    <w:rsid w:val="00252F1E"/>
    <w:rsid w:val="00252F37"/>
    <w:rsid w:val="0025322D"/>
    <w:rsid w:val="0025333B"/>
    <w:rsid w:val="0025347A"/>
    <w:rsid w:val="0025362E"/>
    <w:rsid w:val="002536BE"/>
    <w:rsid w:val="0025377E"/>
    <w:rsid w:val="00253B2B"/>
    <w:rsid w:val="00253C78"/>
    <w:rsid w:val="00253D3C"/>
    <w:rsid w:val="00253DEA"/>
    <w:rsid w:val="00253E07"/>
    <w:rsid w:val="00253E3D"/>
    <w:rsid w:val="00253F4A"/>
    <w:rsid w:val="00253F51"/>
    <w:rsid w:val="002542EB"/>
    <w:rsid w:val="002543F1"/>
    <w:rsid w:val="0025457B"/>
    <w:rsid w:val="002548E5"/>
    <w:rsid w:val="00254CA3"/>
    <w:rsid w:val="00254F9F"/>
    <w:rsid w:val="00255014"/>
    <w:rsid w:val="002550A8"/>
    <w:rsid w:val="00255211"/>
    <w:rsid w:val="002552D1"/>
    <w:rsid w:val="00255431"/>
    <w:rsid w:val="0025561E"/>
    <w:rsid w:val="00255678"/>
    <w:rsid w:val="00255771"/>
    <w:rsid w:val="002558A8"/>
    <w:rsid w:val="002559B6"/>
    <w:rsid w:val="00255C5B"/>
    <w:rsid w:val="00255C90"/>
    <w:rsid w:val="00255D6B"/>
    <w:rsid w:val="00255F09"/>
    <w:rsid w:val="0025607B"/>
    <w:rsid w:val="00256126"/>
    <w:rsid w:val="00256259"/>
    <w:rsid w:val="002563D2"/>
    <w:rsid w:val="0025652D"/>
    <w:rsid w:val="0025655B"/>
    <w:rsid w:val="00256635"/>
    <w:rsid w:val="0025684A"/>
    <w:rsid w:val="00256AA6"/>
    <w:rsid w:val="00256AC1"/>
    <w:rsid w:val="00256AFB"/>
    <w:rsid w:val="00256B0D"/>
    <w:rsid w:val="00256BEB"/>
    <w:rsid w:val="00256BFE"/>
    <w:rsid w:val="00256D83"/>
    <w:rsid w:val="00256DF9"/>
    <w:rsid w:val="00257095"/>
    <w:rsid w:val="002570A8"/>
    <w:rsid w:val="002571A7"/>
    <w:rsid w:val="00257562"/>
    <w:rsid w:val="002575A9"/>
    <w:rsid w:val="00257670"/>
    <w:rsid w:val="002578EC"/>
    <w:rsid w:val="00257AB1"/>
    <w:rsid w:val="00257ADD"/>
    <w:rsid w:val="00257BDC"/>
    <w:rsid w:val="00257F4F"/>
    <w:rsid w:val="00257F93"/>
    <w:rsid w:val="0026002E"/>
    <w:rsid w:val="002600FB"/>
    <w:rsid w:val="0026015C"/>
    <w:rsid w:val="00260481"/>
    <w:rsid w:val="00260669"/>
    <w:rsid w:val="0026070A"/>
    <w:rsid w:val="00260829"/>
    <w:rsid w:val="00260864"/>
    <w:rsid w:val="002608CA"/>
    <w:rsid w:val="00260A80"/>
    <w:rsid w:val="00260B82"/>
    <w:rsid w:val="00260D37"/>
    <w:rsid w:val="0026113F"/>
    <w:rsid w:val="0026120C"/>
    <w:rsid w:val="00261347"/>
    <w:rsid w:val="0026134A"/>
    <w:rsid w:val="002614B2"/>
    <w:rsid w:val="00261772"/>
    <w:rsid w:val="00261796"/>
    <w:rsid w:val="0026179A"/>
    <w:rsid w:val="00261878"/>
    <w:rsid w:val="00261927"/>
    <w:rsid w:val="002619D2"/>
    <w:rsid w:val="002619DC"/>
    <w:rsid w:val="00261C7C"/>
    <w:rsid w:val="00261D04"/>
    <w:rsid w:val="00261D5D"/>
    <w:rsid w:val="00261DB1"/>
    <w:rsid w:val="00261F0C"/>
    <w:rsid w:val="00261F51"/>
    <w:rsid w:val="00261F8C"/>
    <w:rsid w:val="00262025"/>
    <w:rsid w:val="0026237F"/>
    <w:rsid w:val="002627DE"/>
    <w:rsid w:val="002628DB"/>
    <w:rsid w:val="00262B29"/>
    <w:rsid w:val="00262C36"/>
    <w:rsid w:val="00262C4F"/>
    <w:rsid w:val="0026325C"/>
    <w:rsid w:val="00263882"/>
    <w:rsid w:val="002638B5"/>
    <w:rsid w:val="00263AA3"/>
    <w:rsid w:val="00263EF5"/>
    <w:rsid w:val="00263F28"/>
    <w:rsid w:val="002641FA"/>
    <w:rsid w:val="002643F5"/>
    <w:rsid w:val="0026444F"/>
    <w:rsid w:val="00264465"/>
    <w:rsid w:val="00264558"/>
    <w:rsid w:val="002649A6"/>
    <w:rsid w:val="002649C2"/>
    <w:rsid w:val="00264DA3"/>
    <w:rsid w:val="0026520F"/>
    <w:rsid w:val="00265227"/>
    <w:rsid w:val="00265236"/>
    <w:rsid w:val="002652E9"/>
    <w:rsid w:val="0026552B"/>
    <w:rsid w:val="002655A6"/>
    <w:rsid w:val="002655DF"/>
    <w:rsid w:val="00265643"/>
    <w:rsid w:val="00265792"/>
    <w:rsid w:val="00265ACD"/>
    <w:rsid w:val="00265B51"/>
    <w:rsid w:val="00265C76"/>
    <w:rsid w:val="00265E9A"/>
    <w:rsid w:val="00265EC1"/>
    <w:rsid w:val="00265ED5"/>
    <w:rsid w:val="0026607E"/>
    <w:rsid w:val="0026608D"/>
    <w:rsid w:val="002661ED"/>
    <w:rsid w:val="00266611"/>
    <w:rsid w:val="00266714"/>
    <w:rsid w:val="0026684D"/>
    <w:rsid w:val="00266A4A"/>
    <w:rsid w:val="00266C0D"/>
    <w:rsid w:val="00266E82"/>
    <w:rsid w:val="00266EDC"/>
    <w:rsid w:val="002671FD"/>
    <w:rsid w:val="00267280"/>
    <w:rsid w:val="002672F8"/>
    <w:rsid w:val="0026773A"/>
    <w:rsid w:val="00267741"/>
    <w:rsid w:val="00267924"/>
    <w:rsid w:val="00267A26"/>
    <w:rsid w:val="00267B61"/>
    <w:rsid w:val="00267D97"/>
    <w:rsid w:val="00267DC5"/>
    <w:rsid w:val="00270020"/>
    <w:rsid w:val="0027032E"/>
    <w:rsid w:val="0027048C"/>
    <w:rsid w:val="0027053D"/>
    <w:rsid w:val="00270568"/>
    <w:rsid w:val="002707F2"/>
    <w:rsid w:val="002709F9"/>
    <w:rsid w:val="00270A56"/>
    <w:rsid w:val="00270C2D"/>
    <w:rsid w:val="00270CBD"/>
    <w:rsid w:val="00270DD4"/>
    <w:rsid w:val="00270F33"/>
    <w:rsid w:val="00270FB7"/>
    <w:rsid w:val="00271241"/>
    <w:rsid w:val="002712C5"/>
    <w:rsid w:val="0027141A"/>
    <w:rsid w:val="00271449"/>
    <w:rsid w:val="00271534"/>
    <w:rsid w:val="0027175F"/>
    <w:rsid w:val="00271977"/>
    <w:rsid w:val="00271ACE"/>
    <w:rsid w:val="00271B8A"/>
    <w:rsid w:val="00271BC9"/>
    <w:rsid w:val="00271C95"/>
    <w:rsid w:val="00271F75"/>
    <w:rsid w:val="00272173"/>
    <w:rsid w:val="00272269"/>
    <w:rsid w:val="002722EF"/>
    <w:rsid w:val="002723D6"/>
    <w:rsid w:val="00272565"/>
    <w:rsid w:val="002729F7"/>
    <w:rsid w:val="00272DE5"/>
    <w:rsid w:val="00272EFD"/>
    <w:rsid w:val="002734B9"/>
    <w:rsid w:val="002737C3"/>
    <w:rsid w:val="00273884"/>
    <w:rsid w:val="002738B8"/>
    <w:rsid w:val="00273B6E"/>
    <w:rsid w:val="00273BCF"/>
    <w:rsid w:val="00273C2B"/>
    <w:rsid w:val="00273EFB"/>
    <w:rsid w:val="00273F33"/>
    <w:rsid w:val="00273FD0"/>
    <w:rsid w:val="0027400A"/>
    <w:rsid w:val="002740B4"/>
    <w:rsid w:val="00274131"/>
    <w:rsid w:val="002744B8"/>
    <w:rsid w:val="0027459E"/>
    <w:rsid w:val="002745AD"/>
    <w:rsid w:val="00274674"/>
    <w:rsid w:val="002746AC"/>
    <w:rsid w:val="00274A83"/>
    <w:rsid w:val="00274B2A"/>
    <w:rsid w:val="00274B39"/>
    <w:rsid w:val="00274B6D"/>
    <w:rsid w:val="00274CAC"/>
    <w:rsid w:val="0027550C"/>
    <w:rsid w:val="0027556A"/>
    <w:rsid w:val="0027587C"/>
    <w:rsid w:val="002758C0"/>
    <w:rsid w:val="00275A15"/>
    <w:rsid w:val="00275C3E"/>
    <w:rsid w:val="00275E32"/>
    <w:rsid w:val="00276068"/>
    <w:rsid w:val="00276238"/>
    <w:rsid w:val="002762AA"/>
    <w:rsid w:val="00276359"/>
    <w:rsid w:val="0027644B"/>
    <w:rsid w:val="002764BF"/>
    <w:rsid w:val="00276565"/>
    <w:rsid w:val="002766EA"/>
    <w:rsid w:val="0027686C"/>
    <w:rsid w:val="00276D58"/>
    <w:rsid w:val="00276DC3"/>
    <w:rsid w:val="002773AD"/>
    <w:rsid w:val="0027760B"/>
    <w:rsid w:val="00277610"/>
    <w:rsid w:val="002777FC"/>
    <w:rsid w:val="002779C1"/>
    <w:rsid w:val="00277DA2"/>
    <w:rsid w:val="00277DA4"/>
    <w:rsid w:val="00280010"/>
    <w:rsid w:val="00280170"/>
    <w:rsid w:val="002808CC"/>
    <w:rsid w:val="002809B9"/>
    <w:rsid w:val="002809DA"/>
    <w:rsid w:val="00280ADA"/>
    <w:rsid w:val="00280E09"/>
    <w:rsid w:val="00280E89"/>
    <w:rsid w:val="00280F7E"/>
    <w:rsid w:val="0028122C"/>
    <w:rsid w:val="00281463"/>
    <w:rsid w:val="0028179F"/>
    <w:rsid w:val="002817C5"/>
    <w:rsid w:val="00281914"/>
    <w:rsid w:val="002819A3"/>
    <w:rsid w:val="00281B03"/>
    <w:rsid w:val="00281B0B"/>
    <w:rsid w:val="00281B50"/>
    <w:rsid w:val="00281C73"/>
    <w:rsid w:val="00281E97"/>
    <w:rsid w:val="0028264D"/>
    <w:rsid w:val="00282797"/>
    <w:rsid w:val="002827A3"/>
    <w:rsid w:val="0028280C"/>
    <w:rsid w:val="00282D91"/>
    <w:rsid w:val="0028312C"/>
    <w:rsid w:val="00283263"/>
    <w:rsid w:val="0028328C"/>
    <w:rsid w:val="0028332B"/>
    <w:rsid w:val="0028338A"/>
    <w:rsid w:val="00283577"/>
    <w:rsid w:val="00283586"/>
    <w:rsid w:val="00283597"/>
    <w:rsid w:val="002837B2"/>
    <w:rsid w:val="00283BB8"/>
    <w:rsid w:val="00283D45"/>
    <w:rsid w:val="00283F7B"/>
    <w:rsid w:val="002843D7"/>
    <w:rsid w:val="002843F2"/>
    <w:rsid w:val="00284500"/>
    <w:rsid w:val="00284518"/>
    <w:rsid w:val="00284809"/>
    <w:rsid w:val="0028486A"/>
    <w:rsid w:val="00284AB8"/>
    <w:rsid w:val="00284BCD"/>
    <w:rsid w:val="00284DB7"/>
    <w:rsid w:val="00284DD2"/>
    <w:rsid w:val="00284EB3"/>
    <w:rsid w:val="002851F3"/>
    <w:rsid w:val="0028523D"/>
    <w:rsid w:val="002852A7"/>
    <w:rsid w:val="0028575A"/>
    <w:rsid w:val="0028577E"/>
    <w:rsid w:val="002857C3"/>
    <w:rsid w:val="00285918"/>
    <w:rsid w:val="00285A04"/>
    <w:rsid w:val="00285B70"/>
    <w:rsid w:val="00285F68"/>
    <w:rsid w:val="00285FEC"/>
    <w:rsid w:val="002860B2"/>
    <w:rsid w:val="00286168"/>
    <w:rsid w:val="0028617C"/>
    <w:rsid w:val="002861DB"/>
    <w:rsid w:val="00286394"/>
    <w:rsid w:val="0028650A"/>
    <w:rsid w:val="002865CE"/>
    <w:rsid w:val="002866E0"/>
    <w:rsid w:val="00286713"/>
    <w:rsid w:val="00286830"/>
    <w:rsid w:val="00286865"/>
    <w:rsid w:val="00286964"/>
    <w:rsid w:val="00286AD6"/>
    <w:rsid w:val="00286C56"/>
    <w:rsid w:val="00286CA2"/>
    <w:rsid w:val="00286CC7"/>
    <w:rsid w:val="00286DE6"/>
    <w:rsid w:val="00286E48"/>
    <w:rsid w:val="00286EF8"/>
    <w:rsid w:val="00286F33"/>
    <w:rsid w:val="00287012"/>
    <w:rsid w:val="0028709F"/>
    <w:rsid w:val="00287194"/>
    <w:rsid w:val="00287208"/>
    <w:rsid w:val="00287229"/>
    <w:rsid w:val="00287317"/>
    <w:rsid w:val="00287363"/>
    <w:rsid w:val="00287834"/>
    <w:rsid w:val="002878E8"/>
    <w:rsid w:val="00287AC6"/>
    <w:rsid w:val="00287D65"/>
    <w:rsid w:val="00287EBE"/>
    <w:rsid w:val="00287ED7"/>
    <w:rsid w:val="0029005E"/>
    <w:rsid w:val="00290219"/>
    <w:rsid w:val="002907B5"/>
    <w:rsid w:val="00290950"/>
    <w:rsid w:val="002909B2"/>
    <w:rsid w:val="00290AD4"/>
    <w:rsid w:val="00290C00"/>
    <w:rsid w:val="00290CE8"/>
    <w:rsid w:val="00290E62"/>
    <w:rsid w:val="00290F77"/>
    <w:rsid w:val="0029112E"/>
    <w:rsid w:val="00291233"/>
    <w:rsid w:val="002912AC"/>
    <w:rsid w:val="00291512"/>
    <w:rsid w:val="002917F3"/>
    <w:rsid w:val="00291831"/>
    <w:rsid w:val="0029195B"/>
    <w:rsid w:val="0029195D"/>
    <w:rsid w:val="00291D4D"/>
    <w:rsid w:val="00291F06"/>
    <w:rsid w:val="00291F24"/>
    <w:rsid w:val="00292060"/>
    <w:rsid w:val="0029245B"/>
    <w:rsid w:val="00292602"/>
    <w:rsid w:val="00292605"/>
    <w:rsid w:val="00292779"/>
    <w:rsid w:val="00292C41"/>
    <w:rsid w:val="00292E29"/>
    <w:rsid w:val="00292FAC"/>
    <w:rsid w:val="00293081"/>
    <w:rsid w:val="002931FB"/>
    <w:rsid w:val="002932FD"/>
    <w:rsid w:val="002933A9"/>
    <w:rsid w:val="002933C6"/>
    <w:rsid w:val="002934D0"/>
    <w:rsid w:val="00293978"/>
    <w:rsid w:val="00293ACD"/>
    <w:rsid w:val="00293B79"/>
    <w:rsid w:val="00293CFC"/>
    <w:rsid w:val="00293FC8"/>
    <w:rsid w:val="002940CD"/>
    <w:rsid w:val="002941BE"/>
    <w:rsid w:val="00294290"/>
    <w:rsid w:val="00294550"/>
    <w:rsid w:val="00294594"/>
    <w:rsid w:val="00294699"/>
    <w:rsid w:val="00294751"/>
    <w:rsid w:val="0029488C"/>
    <w:rsid w:val="0029499F"/>
    <w:rsid w:val="002949A8"/>
    <w:rsid w:val="00294A1E"/>
    <w:rsid w:val="00294E32"/>
    <w:rsid w:val="00294E8A"/>
    <w:rsid w:val="002951D1"/>
    <w:rsid w:val="0029523A"/>
    <w:rsid w:val="0029523F"/>
    <w:rsid w:val="0029531F"/>
    <w:rsid w:val="00295405"/>
    <w:rsid w:val="0029543C"/>
    <w:rsid w:val="00295452"/>
    <w:rsid w:val="002954C2"/>
    <w:rsid w:val="00295528"/>
    <w:rsid w:val="002955E1"/>
    <w:rsid w:val="002957D1"/>
    <w:rsid w:val="00295928"/>
    <w:rsid w:val="00295B26"/>
    <w:rsid w:val="00295BCC"/>
    <w:rsid w:val="00295E2A"/>
    <w:rsid w:val="00295EF0"/>
    <w:rsid w:val="0029611C"/>
    <w:rsid w:val="002961A1"/>
    <w:rsid w:val="002966E1"/>
    <w:rsid w:val="00296721"/>
    <w:rsid w:val="0029691C"/>
    <w:rsid w:val="00296E82"/>
    <w:rsid w:val="00297056"/>
    <w:rsid w:val="0029765C"/>
    <w:rsid w:val="00297807"/>
    <w:rsid w:val="0029782C"/>
    <w:rsid w:val="0029785C"/>
    <w:rsid w:val="002978FD"/>
    <w:rsid w:val="00297977"/>
    <w:rsid w:val="00297A8D"/>
    <w:rsid w:val="00297AFE"/>
    <w:rsid w:val="00297B4E"/>
    <w:rsid w:val="00297D6D"/>
    <w:rsid w:val="002A00C9"/>
    <w:rsid w:val="002A0612"/>
    <w:rsid w:val="002A0798"/>
    <w:rsid w:val="002A0854"/>
    <w:rsid w:val="002A08A1"/>
    <w:rsid w:val="002A08DC"/>
    <w:rsid w:val="002A0A87"/>
    <w:rsid w:val="002A0C53"/>
    <w:rsid w:val="002A0D35"/>
    <w:rsid w:val="002A0FB1"/>
    <w:rsid w:val="002A1456"/>
    <w:rsid w:val="002A14AD"/>
    <w:rsid w:val="002A177A"/>
    <w:rsid w:val="002A1995"/>
    <w:rsid w:val="002A19D4"/>
    <w:rsid w:val="002A19F3"/>
    <w:rsid w:val="002A1AAF"/>
    <w:rsid w:val="002A1E83"/>
    <w:rsid w:val="002A1EBB"/>
    <w:rsid w:val="002A1F20"/>
    <w:rsid w:val="002A1FF1"/>
    <w:rsid w:val="002A20D2"/>
    <w:rsid w:val="002A21AD"/>
    <w:rsid w:val="002A23F1"/>
    <w:rsid w:val="002A24C6"/>
    <w:rsid w:val="002A2512"/>
    <w:rsid w:val="002A254A"/>
    <w:rsid w:val="002A2608"/>
    <w:rsid w:val="002A27EE"/>
    <w:rsid w:val="002A285C"/>
    <w:rsid w:val="002A28DA"/>
    <w:rsid w:val="002A2929"/>
    <w:rsid w:val="002A2CFF"/>
    <w:rsid w:val="002A2E40"/>
    <w:rsid w:val="002A2FF2"/>
    <w:rsid w:val="002A312D"/>
    <w:rsid w:val="002A31DA"/>
    <w:rsid w:val="002A3380"/>
    <w:rsid w:val="002A3586"/>
    <w:rsid w:val="002A3649"/>
    <w:rsid w:val="002A36EE"/>
    <w:rsid w:val="002A3B2E"/>
    <w:rsid w:val="002A3B9D"/>
    <w:rsid w:val="002A3D7B"/>
    <w:rsid w:val="002A4077"/>
    <w:rsid w:val="002A4176"/>
    <w:rsid w:val="002A41B2"/>
    <w:rsid w:val="002A4239"/>
    <w:rsid w:val="002A42D5"/>
    <w:rsid w:val="002A44A0"/>
    <w:rsid w:val="002A44ED"/>
    <w:rsid w:val="002A4558"/>
    <w:rsid w:val="002A4731"/>
    <w:rsid w:val="002A477E"/>
    <w:rsid w:val="002A49A1"/>
    <w:rsid w:val="002A4A4E"/>
    <w:rsid w:val="002A4BC6"/>
    <w:rsid w:val="002A4BE4"/>
    <w:rsid w:val="002A4C1B"/>
    <w:rsid w:val="002A4C75"/>
    <w:rsid w:val="002A4D9F"/>
    <w:rsid w:val="002A4EE0"/>
    <w:rsid w:val="002A50C7"/>
    <w:rsid w:val="002A519F"/>
    <w:rsid w:val="002A53A1"/>
    <w:rsid w:val="002A5552"/>
    <w:rsid w:val="002A55F6"/>
    <w:rsid w:val="002A561F"/>
    <w:rsid w:val="002A56E9"/>
    <w:rsid w:val="002A5720"/>
    <w:rsid w:val="002A58D5"/>
    <w:rsid w:val="002A59E0"/>
    <w:rsid w:val="002A5CDF"/>
    <w:rsid w:val="002A6031"/>
    <w:rsid w:val="002A6185"/>
    <w:rsid w:val="002A6192"/>
    <w:rsid w:val="002A6695"/>
    <w:rsid w:val="002A687E"/>
    <w:rsid w:val="002A6902"/>
    <w:rsid w:val="002A694B"/>
    <w:rsid w:val="002A69E5"/>
    <w:rsid w:val="002A6A0B"/>
    <w:rsid w:val="002A6B6E"/>
    <w:rsid w:val="002A6E03"/>
    <w:rsid w:val="002A6FC0"/>
    <w:rsid w:val="002A71D3"/>
    <w:rsid w:val="002A71F2"/>
    <w:rsid w:val="002A73CA"/>
    <w:rsid w:val="002A74F1"/>
    <w:rsid w:val="002A74FA"/>
    <w:rsid w:val="002A76A8"/>
    <w:rsid w:val="002A76C1"/>
    <w:rsid w:val="002A7C60"/>
    <w:rsid w:val="002A7F29"/>
    <w:rsid w:val="002B04A3"/>
    <w:rsid w:val="002B04D2"/>
    <w:rsid w:val="002B059D"/>
    <w:rsid w:val="002B05DE"/>
    <w:rsid w:val="002B05DF"/>
    <w:rsid w:val="002B070A"/>
    <w:rsid w:val="002B09C2"/>
    <w:rsid w:val="002B0D52"/>
    <w:rsid w:val="002B0DE8"/>
    <w:rsid w:val="002B0E00"/>
    <w:rsid w:val="002B1252"/>
    <w:rsid w:val="002B128D"/>
    <w:rsid w:val="002B161F"/>
    <w:rsid w:val="002B164C"/>
    <w:rsid w:val="002B194F"/>
    <w:rsid w:val="002B1964"/>
    <w:rsid w:val="002B1CA2"/>
    <w:rsid w:val="002B1E89"/>
    <w:rsid w:val="002B1F02"/>
    <w:rsid w:val="002B1F73"/>
    <w:rsid w:val="002B2002"/>
    <w:rsid w:val="002B232F"/>
    <w:rsid w:val="002B2566"/>
    <w:rsid w:val="002B2A3F"/>
    <w:rsid w:val="002B2AC5"/>
    <w:rsid w:val="002B2C53"/>
    <w:rsid w:val="002B2D6C"/>
    <w:rsid w:val="002B2F98"/>
    <w:rsid w:val="002B313B"/>
    <w:rsid w:val="002B32C0"/>
    <w:rsid w:val="002B338C"/>
    <w:rsid w:val="002B357A"/>
    <w:rsid w:val="002B362A"/>
    <w:rsid w:val="002B3954"/>
    <w:rsid w:val="002B39DC"/>
    <w:rsid w:val="002B39E6"/>
    <w:rsid w:val="002B39E9"/>
    <w:rsid w:val="002B3B27"/>
    <w:rsid w:val="002B3B7F"/>
    <w:rsid w:val="002B3B85"/>
    <w:rsid w:val="002B3BA8"/>
    <w:rsid w:val="002B3BEB"/>
    <w:rsid w:val="002B3D0C"/>
    <w:rsid w:val="002B3E1E"/>
    <w:rsid w:val="002B3E73"/>
    <w:rsid w:val="002B3EC7"/>
    <w:rsid w:val="002B3FF3"/>
    <w:rsid w:val="002B4275"/>
    <w:rsid w:val="002B4393"/>
    <w:rsid w:val="002B4399"/>
    <w:rsid w:val="002B4544"/>
    <w:rsid w:val="002B464A"/>
    <w:rsid w:val="002B4740"/>
    <w:rsid w:val="002B4918"/>
    <w:rsid w:val="002B4BF8"/>
    <w:rsid w:val="002B4D14"/>
    <w:rsid w:val="002B4DB1"/>
    <w:rsid w:val="002B4E73"/>
    <w:rsid w:val="002B5018"/>
    <w:rsid w:val="002B5031"/>
    <w:rsid w:val="002B509B"/>
    <w:rsid w:val="002B50CF"/>
    <w:rsid w:val="002B53B1"/>
    <w:rsid w:val="002B5433"/>
    <w:rsid w:val="002B560B"/>
    <w:rsid w:val="002B5D15"/>
    <w:rsid w:val="002B5EA3"/>
    <w:rsid w:val="002B5FB3"/>
    <w:rsid w:val="002B602B"/>
    <w:rsid w:val="002B60E0"/>
    <w:rsid w:val="002B619C"/>
    <w:rsid w:val="002B640C"/>
    <w:rsid w:val="002B6455"/>
    <w:rsid w:val="002B64F4"/>
    <w:rsid w:val="002B65BD"/>
    <w:rsid w:val="002B65D6"/>
    <w:rsid w:val="002B6664"/>
    <w:rsid w:val="002B6B7C"/>
    <w:rsid w:val="002B6C71"/>
    <w:rsid w:val="002B6DAC"/>
    <w:rsid w:val="002B7021"/>
    <w:rsid w:val="002B70E4"/>
    <w:rsid w:val="002B733F"/>
    <w:rsid w:val="002B787B"/>
    <w:rsid w:val="002B78B2"/>
    <w:rsid w:val="002B78E7"/>
    <w:rsid w:val="002B7ADC"/>
    <w:rsid w:val="002B7F40"/>
    <w:rsid w:val="002C0602"/>
    <w:rsid w:val="002C073D"/>
    <w:rsid w:val="002C095C"/>
    <w:rsid w:val="002C0B93"/>
    <w:rsid w:val="002C0DF0"/>
    <w:rsid w:val="002C0E69"/>
    <w:rsid w:val="002C0F7C"/>
    <w:rsid w:val="002C0FA4"/>
    <w:rsid w:val="002C118B"/>
    <w:rsid w:val="002C1293"/>
    <w:rsid w:val="002C13B1"/>
    <w:rsid w:val="002C13CD"/>
    <w:rsid w:val="002C1508"/>
    <w:rsid w:val="002C15BC"/>
    <w:rsid w:val="002C1725"/>
    <w:rsid w:val="002C19C7"/>
    <w:rsid w:val="002C1B36"/>
    <w:rsid w:val="002C1C89"/>
    <w:rsid w:val="002C1C9F"/>
    <w:rsid w:val="002C1D97"/>
    <w:rsid w:val="002C1F61"/>
    <w:rsid w:val="002C2209"/>
    <w:rsid w:val="002C2776"/>
    <w:rsid w:val="002C27F3"/>
    <w:rsid w:val="002C2995"/>
    <w:rsid w:val="002C2A3B"/>
    <w:rsid w:val="002C2A87"/>
    <w:rsid w:val="002C2C6E"/>
    <w:rsid w:val="002C2CBD"/>
    <w:rsid w:val="002C3164"/>
    <w:rsid w:val="002C3279"/>
    <w:rsid w:val="002C327B"/>
    <w:rsid w:val="002C3400"/>
    <w:rsid w:val="002C3534"/>
    <w:rsid w:val="002C3629"/>
    <w:rsid w:val="002C3698"/>
    <w:rsid w:val="002C3907"/>
    <w:rsid w:val="002C3AA1"/>
    <w:rsid w:val="002C3AD1"/>
    <w:rsid w:val="002C3D9B"/>
    <w:rsid w:val="002C3E2A"/>
    <w:rsid w:val="002C3E79"/>
    <w:rsid w:val="002C3F19"/>
    <w:rsid w:val="002C40F9"/>
    <w:rsid w:val="002C448C"/>
    <w:rsid w:val="002C486A"/>
    <w:rsid w:val="002C48BE"/>
    <w:rsid w:val="002C4A23"/>
    <w:rsid w:val="002C4A54"/>
    <w:rsid w:val="002C4DA5"/>
    <w:rsid w:val="002C4E75"/>
    <w:rsid w:val="002C4EDB"/>
    <w:rsid w:val="002C4FEB"/>
    <w:rsid w:val="002C4FED"/>
    <w:rsid w:val="002C52D1"/>
    <w:rsid w:val="002C53C3"/>
    <w:rsid w:val="002C54CE"/>
    <w:rsid w:val="002C54F8"/>
    <w:rsid w:val="002C54FA"/>
    <w:rsid w:val="002C55A8"/>
    <w:rsid w:val="002C590F"/>
    <w:rsid w:val="002C5979"/>
    <w:rsid w:val="002C5A0C"/>
    <w:rsid w:val="002C5BC2"/>
    <w:rsid w:val="002C5BE2"/>
    <w:rsid w:val="002C5D05"/>
    <w:rsid w:val="002C5D97"/>
    <w:rsid w:val="002C5E8A"/>
    <w:rsid w:val="002C5F04"/>
    <w:rsid w:val="002C5F10"/>
    <w:rsid w:val="002C5F20"/>
    <w:rsid w:val="002C5FE9"/>
    <w:rsid w:val="002C609B"/>
    <w:rsid w:val="002C611A"/>
    <w:rsid w:val="002C65B4"/>
    <w:rsid w:val="002C6745"/>
    <w:rsid w:val="002C6BD0"/>
    <w:rsid w:val="002C6C70"/>
    <w:rsid w:val="002C7155"/>
    <w:rsid w:val="002C725D"/>
    <w:rsid w:val="002C735F"/>
    <w:rsid w:val="002C7416"/>
    <w:rsid w:val="002C74BA"/>
    <w:rsid w:val="002C7595"/>
    <w:rsid w:val="002C75B0"/>
    <w:rsid w:val="002C7893"/>
    <w:rsid w:val="002C7BC9"/>
    <w:rsid w:val="002C7CF8"/>
    <w:rsid w:val="002C7FCB"/>
    <w:rsid w:val="002D0137"/>
    <w:rsid w:val="002D0186"/>
    <w:rsid w:val="002D023E"/>
    <w:rsid w:val="002D027C"/>
    <w:rsid w:val="002D0307"/>
    <w:rsid w:val="002D034A"/>
    <w:rsid w:val="002D0362"/>
    <w:rsid w:val="002D03BF"/>
    <w:rsid w:val="002D05D1"/>
    <w:rsid w:val="002D05DF"/>
    <w:rsid w:val="002D06F6"/>
    <w:rsid w:val="002D08F2"/>
    <w:rsid w:val="002D0914"/>
    <w:rsid w:val="002D092D"/>
    <w:rsid w:val="002D0A36"/>
    <w:rsid w:val="002D0BCB"/>
    <w:rsid w:val="002D0FD3"/>
    <w:rsid w:val="002D105B"/>
    <w:rsid w:val="002D130A"/>
    <w:rsid w:val="002D136D"/>
    <w:rsid w:val="002D160B"/>
    <w:rsid w:val="002D1651"/>
    <w:rsid w:val="002D1663"/>
    <w:rsid w:val="002D183E"/>
    <w:rsid w:val="002D1A46"/>
    <w:rsid w:val="002D1A4C"/>
    <w:rsid w:val="002D1AEF"/>
    <w:rsid w:val="002D20D9"/>
    <w:rsid w:val="002D21D3"/>
    <w:rsid w:val="002D23F7"/>
    <w:rsid w:val="002D242D"/>
    <w:rsid w:val="002D2458"/>
    <w:rsid w:val="002D27B3"/>
    <w:rsid w:val="002D2A0E"/>
    <w:rsid w:val="002D2BCC"/>
    <w:rsid w:val="002D2C51"/>
    <w:rsid w:val="002D2D25"/>
    <w:rsid w:val="002D2E95"/>
    <w:rsid w:val="002D2E9D"/>
    <w:rsid w:val="002D2EAC"/>
    <w:rsid w:val="002D3138"/>
    <w:rsid w:val="002D342B"/>
    <w:rsid w:val="002D3489"/>
    <w:rsid w:val="002D3609"/>
    <w:rsid w:val="002D369D"/>
    <w:rsid w:val="002D3850"/>
    <w:rsid w:val="002D387A"/>
    <w:rsid w:val="002D390F"/>
    <w:rsid w:val="002D392F"/>
    <w:rsid w:val="002D3A70"/>
    <w:rsid w:val="002D3ABC"/>
    <w:rsid w:val="002D3F00"/>
    <w:rsid w:val="002D401D"/>
    <w:rsid w:val="002D413C"/>
    <w:rsid w:val="002D419B"/>
    <w:rsid w:val="002D422F"/>
    <w:rsid w:val="002D441A"/>
    <w:rsid w:val="002D4491"/>
    <w:rsid w:val="002D4536"/>
    <w:rsid w:val="002D45A3"/>
    <w:rsid w:val="002D4757"/>
    <w:rsid w:val="002D476F"/>
    <w:rsid w:val="002D480C"/>
    <w:rsid w:val="002D4842"/>
    <w:rsid w:val="002D4A0A"/>
    <w:rsid w:val="002D4C44"/>
    <w:rsid w:val="002D50BF"/>
    <w:rsid w:val="002D510B"/>
    <w:rsid w:val="002D511A"/>
    <w:rsid w:val="002D5130"/>
    <w:rsid w:val="002D559A"/>
    <w:rsid w:val="002D55A2"/>
    <w:rsid w:val="002D574C"/>
    <w:rsid w:val="002D579D"/>
    <w:rsid w:val="002D5A3C"/>
    <w:rsid w:val="002D5B8F"/>
    <w:rsid w:val="002D5BA6"/>
    <w:rsid w:val="002D5C2D"/>
    <w:rsid w:val="002D5CF3"/>
    <w:rsid w:val="002D5DF0"/>
    <w:rsid w:val="002D6074"/>
    <w:rsid w:val="002D60E0"/>
    <w:rsid w:val="002D6273"/>
    <w:rsid w:val="002D65C1"/>
    <w:rsid w:val="002D671D"/>
    <w:rsid w:val="002D6727"/>
    <w:rsid w:val="002D69A9"/>
    <w:rsid w:val="002D6A3E"/>
    <w:rsid w:val="002D6AA9"/>
    <w:rsid w:val="002D6CAB"/>
    <w:rsid w:val="002D73D8"/>
    <w:rsid w:val="002D7467"/>
    <w:rsid w:val="002D74E0"/>
    <w:rsid w:val="002D74FA"/>
    <w:rsid w:val="002D75BA"/>
    <w:rsid w:val="002D7701"/>
    <w:rsid w:val="002D7D8D"/>
    <w:rsid w:val="002E0030"/>
    <w:rsid w:val="002E0515"/>
    <w:rsid w:val="002E074C"/>
    <w:rsid w:val="002E079F"/>
    <w:rsid w:val="002E0870"/>
    <w:rsid w:val="002E0988"/>
    <w:rsid w:val="002E0ABF"/>
    <w:rsid w:val="002E0ADA"/>
    <w:rsid w:val="002E0CFD"/>
    <w:rsid w:val="002E0FFD"/>
    <w:rsid w:val="002E1075"/>
    <w:rsid w:val="002E11A6"/>
    <w:rsid w:val="002E1489"/>
    <w:rsid w:val="002E1789"/>
    <w:rsid w:val="002E1901"/>
    <w:rsid w:val="002E1B60"/>
    <w:rsid w:val="002E1BE1"/>
    <w:rsid w:val="002E1D15"/>
    <w:rsid w:val="002E1DAA"/>
    <w:rsid w:val="002E1DCF"/>
    <w:rsid w:val="002E1DE9"/>
    <w:rsid w:val="002E20C8"/>
    <w:rsid w:val="002E2122"/>
    <w:rsid w:val="002E2242"/>
    <w:rsid w:val="002E238E"/>
    <w:rsid w:val="002E23F1"/>
    <w:rsid w:val="002E2562"/>
    <w:rsid w:val="002E25A4"/>
    <w:rsid w:val="002E284F"/>
    <w:rsid w:val="002E2B01"/>
    <w:rsid w:val="002E2B81"/>
    <w:rsid w:val="002E2C40"/>
    <w:rsid w:val="002E2E7E"/>
    <w:rsid w:val="002E2EC3"/>
    <w:rsid w:val="002E2ECF"/>
    <w:rsid w:val="002E2F7C"/>
    <w:rsid w:val="002E319C"/>
    <w:rsid w:val="002E3226"/>
    <w:rsid w:val="002E33AC"/>
    <w:rsid w:val="002E34E2"/>
    <w:rsid w:val="002E3514"/>
    <w:rsid w:val="002E354C"/>
    <w:rsid w:val="002E3598"/>
    <w:rsid w:val="002E3867"/>
    <w:rsid w:val="002E3A37"/>
    <w:rsid w:val="002E3A99"/>
    <w:rsid w:val="002E3AEC"/>
    <w:rsid w:val="002E3C2D"/>
    <w:rsid w:val="002E3D57"/>
    <w:rsid w:val="002E4023"/>
    <w:rsid w:val="002E4DCF"/>
    <w:rsid w:val="002E4FAF"/>
    <w:rsid w:val="002E50AD"/>
    <w:rsid w:val="002E513D"/>
    <w:rsid w:val="002E54A9"/>
    <w:rsid w:val="002E5538"/>
    <w:rsid w:val="002E56A5"/>
    <w:rsid w:val="002E5812"/>
    <w:rsid w:val="002E5981"/>
    <w:rsid w:val="002E5AB4"/>
    <w:rsid w:val="002E61BF"/>
    <w:rsid w:val="002E6261"/>
    <w:rsid w:val="002E6403"/>
    <w:rsid w:val="002E661E"/>
    <w:rsid w:val="002E6672"/>
    <w:rsid w:val="002E6D80"/>
    <w:rsid w:val="002E6F37"/>
    <w:rsid w:val="002E706B"/>
    <w:rsid w:val="002E7339"/>
    <w:rsid w:val="002E74CA"/>
    <w:rsid w:val="002E77A4"/>
    <w:rsid w:val="002E7AC4"/>
    <w:rsid w:val="002E7DC1"/>
    <w:rsid w:val="002E7E51"/>
    <w:rsid w:val="002E7F9E"/>
    <w:rsid w:val="002E7FE2"/>
    <w:rsid w:val="002F0030"/>
    <w:rsid w:val="002F0087"/>
    <w:rsid w:val="002F04F1"/>
    <w:rsid w:val="002F0605"/>
    <w:rsid w:val="002F079C"/>
    <w:rsid w:val="002F0918"/>
    <w:rsid w:val="002F0957"/>
    <w:rsid w:val="002F0A1E"/>
    <w:rsid w:val="002F0B46"/>
    <w:rsid w:val="002F0C66"/>
    <w:rsid w:val="002F0D2C"/>
    <w:rsid w:val="002F0D5E"/>
    <w:rsid w:val="002F0F38"/>
    <w:rsid w:val="002F0F57"/>
    <w:rsid w:val="002F1197"/>
    <w:rsid w:val="002F12F4"/>
    <w:rsid w:val="002F133C"/>
    <w:rsid w:val="002F15F5"/>
    <w:rsid w:val="002F16B5"/>
    <w:rsid w:val="002F18CD"/>
    <w:rsid w:val="002F19B0"/>
    <w:rsid w:val="002F1C34"/>
    <w:rsid w:val="002F1C81"/>
    <w:rsid w:val="002F1CEC"/>
    <w:rsid w:val="002F1FD6"/>
    <w:rsid w:val="002F2043"/>
    <w:rsid w:val="002F20CE"/>
    <w:rsid w:val="002F22D7"/>
    <w:rsid w:val="002F2461"/>
    <w:rsid w:val="002F25A3"/>
    <w:rsid w:val="002F270D"/>
    <w:rsid w:val="002F2B9C"/>
    <w:rsid w:val="002F2DD5"/>
    <w:rsid w:val="002F2DEA"/>
    <w:rsid w:val="002F304D"/>
    <w:rsid w:val="002F306C"/>
    <w:rsid w:val="002F3072"/>
    <w:rsid w:val="002F336B"/>
    <w:rsid w:val="002F3587"/>
    <w:rsid w:val="002F369C"/>
    <w:rsid w:val="002F3781"/>
    <w:rsid w:val="002F3930"/>
    <w:rsid w:val="002F393F"/>
    <w:rsid w:val="002F3B55"/>
    <w:rsid w:val="002F41E8"/>
    <w:rsid w:val="002F4466"/>
    <w:rsid w:val="002F4676"/>
    <w:rsid w:val="002F4809"/>
    <w:rsid w:val="002F4A58"/>
    <w:rsid w:val="002F4A81"/>
    <w:rsid w:val="002F4AE5"/>
    <w:rsid w:val="002F4E86"/>
    <w:rsid w:val="002F4FCD"/>
    <w:rsid w:val="002F513F"/>
    <w:rsid w:val="002F529A"/>
    <w:rsid w:val="002F547D"/>
    <w:rsid w:val="002F5692"/>
    <w:rsid w:val="002F588F"/>
    <w:rsid w:val="002F58E8"/>
    <w:rsid w:val="002F592E"/>
    <w:rsid w:val="002F597E"/>
    <w:rsid w:val="002F5A1F"/>
    <w:rsid w:val="002F5A94"/>
    <w:rsid w:val="002F5E32"/>
    <w:rsid w:val="002F5E7A"/>
    <w:rsid w:val="002F5F3B"/>
    <w:rsid w:val="002F60B7"/>
    <w:rsid w:val="002F6304"/>
    <w:rsid w:val="002F6660"/>
    <w:rsid w:val="002F66F4"/>
    <w:rsid w:val="002F6770"/>
    <w:rsid w:val="002F6783"/>
    <w:rsid w:val="002F688B"/>
    <w:rsid w:val="002F6891"/>
    <w:rsid w:val="002F6A4E"/>
    <w:rsid w:val="002F6A85"/>
    <w:rsid w:val="002F6AE8"/>
    <w:rsid w:val="002F6BDD"/>
    <w:rsid w:val="002F6BFE"/>
    <w:rsid w:val="002F6E61"/>
    <w:rsid w:val="002F70AD"/>
    <w:rsid w:val="002F7135"/>
    <w:rsid w:val="002F7179"/>
    <w:rsid w:val="002F7473"/>
    <w:rsid w:val="002F7609"/>
    <w:rsid w:val="002F772A"/>
    <w:rsid w:val="002F77AA"/>
    <w:rsid w:val="002F7BF6"/>
    <w:rsid w:val="002F7E77"/>
    <w:rsid w:val="002F7E9F"/>
    <w:rsid w:val="00300528"/>
    <w:rsid w:val="00300619"/>
    <w:rsid w:val="00300796"/>
    <w:rsid w:val="00300816"/>
    <w:rsid w:val="0030085D"/>
    <w:rsid w:val="00300F68"/>
    <w:rsid w:val="003011C2"/>
    <w:rsid w:val="003015A2"/>
    <w:rsid w:val="00301681"/>
    <w:rsid w:val="003016B6"/>
    <w:rsid w:val="0030176F"/>
    <w:rsid w:val="003017B5"/>
    <w:rsid w:val="00301C27"/>
    <w:rsid w:val="00301D86"/>
    <w:rsid w:val="00301EC6"/>
    <w:rsid w:val="00302030"/>
    <w:rsid w:val="003023BE"/>
    <w:rsid w:val="003026F8"/>
    <w:rsid w:val="003028F7"/>
    <w:rsid w:val="00302917"/>
    <w:rsid w:val="00302AF8"/>
    <w:rsid w:val="00302DD3"/>
    <w:rsid w:val="00302E87"/>
    <w:rsid w:val="003030CF"/>
    <w:rsid w:val="00303117"/>
    <w:rsid w:val="0030322D"/>
    <w:rsid w:val="00303249"/>
    <w:rsid w:val="003033B1"/>
    <w:rsid w:val="003034E4"/>
    <w:rsid w:val="0030360E"/>
    <w:rsid w:val="0030369F"/>
    <w:rsid w:val="0030387B"/>
    <w:rsid w:val="00303927"/>
    <w:rsid w:val="00303F0B"/>
    <w:rsid w:val="00303FEC"/>
    <w:rsid w:val="00304070"/>
    <w:rsid w:val="00304158"/>
    <w:rsid w:val="00304223"/>
    <w:rsid w:val="00304233"/>
    <w:rsid w:val="003042F7"/>
    <w:rsid w:val="003043CB"/>
    <w:rsid w:val="003046B7"/>
    <w:rsid w:val="003048EC"/>
    <w:rsid w:val="00304A16"/>
    <w:rsid w:val="00304AA8"/>
    <w:rsid w:val="00304AFB"/>
    <w:rsid w:val="00304DAB"/>
    <w:rsid w:val="00304F0E"/>
    <w:rsid w:val="00304F31"/>
    <w:rsid w:val="0030522A"/>
    <w:rsid w:val="00305246"/>
    <w:rsid w:val="00305254"/>
    <w:rsid w:val="0030553B"/>
    <w:rsid w:val="003057B3"/>
    <w:rsid w:val="00305975"/>
    <w:rsid w:val="00305A9C"/>
    <w:rsid w:val="00305BD4"/>
    <w:rsid w:val="00305C90"/>
    <w:rsid w:val="00305CA6"/>
    <w:rsid w:val="00305CFE"/>
    <w:rsid w:val="00305E9D"/>
    <w:rsid w:val="003061D7"/>
    <w:rsid w:val="003062AB"/>
    <w:rsid w:val="00306594"/>
    <w:rsid w:val="0030667B"/>
    <w:rsid w:val="00306748"/>
    <w:rsid w:val="003067C6"/>
    <w:rsid w:val="003067EC"/>
    <w:rsid w:val="00306D19"/>
    <w:rsid w:val="00306DDA"/>
    <w:rsid w:val="00306EA6"/>
    <w:rsid w:val="00306F02"/>
    <w:rsid w:val="00306FC8"/>
    <w:rsid w:val="00306FF4"/>
    <w:rsid w:val="0030708F"/>
    <w:rsid w:val="00307392"/>
    <w:rsid w:val="0030753C"/>
    <w:rsid w:val="0030762A"/>
    <w:rsid w:val="00307632"/>
    <w:rsid w:val="00307672"/>
    <w:rsid w:val="003076DA"/>
    <w:rsid w:val="003078AC"/>
    <w:rsid w:val="00307AE4"/>
    <w:rsid w:val="00307BF5"/>
    <w:rsid w:val="00307D35"/>
    <w:rsid w:val="00307D6E"/>
    <w:rsid w:val="00307DBD"/>
    <w:rsid w:val="00307E12"/>
    <w:rsid w:val="003101C5"/>
    <w:rsid w:val="003102E5"/>
    <w:rsid w:val="00310521"/>
    <w:rsid w:val="0031073E"/>
    <w:rsid w:val="00310888"/>
    <w:rsid w:val="00310CE9"/>
    <w:rsid w:val="00310F67"/>
    <w:rsid w:val="0031107D"/>
    <w:rsid w:val="0031121B"/>
    <w:rsid w:val="003113A2"/>
    <w:rsid w:val="003116C5"/>
    <w:rsid w:val="003118DD"/>
    <w:rsid w:val="00311A93"/>
    <w:rsid w:val="00311B2E"/>
    <w:rsid w:val="00311C16"/>
    <w:rsid w:val="00311C78"/>
    <w:rsid w:val="00311E0B"/>
    <w:rsid w:val="00311F22"/>
    <w:rsid w:val="00312163"/>
    <w:rsid w:val="0031224F"/>
    <w:rsid w:val="00312389"/>
    <w:rsid w:val="0031267F"/>
    <w:rsid w:val="00312B44"/>
    <w:rsid w:val="00312B8E"/>
    <w:rsid w:val="00312C73"/>
    <w:rsid w:val="00312CD2"/>
    <w:rsid w:val="00312D85"/>
    <w:rsid w:val="00312E0E"/>
    <w:rsid w:val="00312F31"/>
    <w:rsid w:val="00312F4D"/>
    <w:rsid w:val="00313375"/>
    <w:rsid w:val="00313879"/>
    <w:rsid w:val="00313934"/>
    <w:rsid w:val="00313A4E"/>
    <w:rsid w:val="00313F98"/>
    <w:rsid w:val="0031404E"/>
    <w:rsid w:val="003142DE"/>
    <w:rsid w:val="00314423"/>
    <w:rsid w:val="00314716"/>
    <w:rsid w:val="00314830"/>
    <w:rsid w:val="00314C8E"/>
    <w:rsid w:val="00314D3B"/>
    <w:rsid w:val="003150B0"/>
    <w:rsid w:val="003150E8"/>
    <w:rsid w:val="0031515C"/>
    <w:rsid w:val="003156E4"/>
    <w:rsid w:val="00315715"/>
    <w:rsid w:val="00315848"/>
    <w:rsid w:val="003159E2"/>
    <w:rsid w:val="00315A05"/>
    <w:rsid w:val="00315D8B"/>
    <w:rsid w:val="00315E5B"/>
    <w:rsid w:val="00315EEB"/>
    <w:rsid w:val="00315F6A"/>
    <w:rsid w:val="0031612B"/>
    <w:rsid w:val="003163CD"/>
    <w:rsid w:val="00316426"/>
    <w:rsid w:val="003168D1"/>
    <w:rsid w:val="00316ABE"/>
    <w:rsid w:val="00316D97"/>
    <w:rsid w:val="00316E14"/>
    <w:rsid w:val="00316FA7"/>
    <w:rsid w:val="00316FC4"/>
    <w:rsid w:val="0031725B"/>
    <w:rsid w:val="00317BD4"/>
    <w:rsid w:val="00317E75"/>
    <w:rsid w:val="003202E9"/>
    <w:rsid w:val="003202EF"/>
    <w:rsid w:val="003203FF"/>
    <w:rsid w:val="003204E5"/>
    <w:rsid w:val="00320661"/>
    <w:rsid w:val="00320826"/>
    <w:rsid w:val="0032085D"/>
    <w:rsid w:val="003209C6"/>
    <w:rsid w:val="00320B5D"/>
    <w:rsid w:val="00320C24"/>
    <w:rsid w:val="00320D27"/>
    <w:rsid w:val="00320DDD"/>
    <w:rsid w:val="00320DE8"/>
    <w:rsid w:val="00320FAC"/>
    <w:rsid w:val="003211A0"/>
    <w:rsid w:val="0032139E"/>
    <w:rsid w:val="00321401"/>
    <w:rsid w:val="00321483"/>
    <w:rsid w:val="003214AD"/>
    <w:rsid w:val="0032177B"/>
    <w:rsid w:val="00321891"/>
    <w:rsid w:val="00321903"/>
    <w:rsid w:val="0032194C"/>
    <w:rsid w:val="00321BD5"/>
    <w:rsid w:val="00321E82"/>
    <w:rsid w:val="00321FB2"/>
    <w:rsid w:val="00322008"/>
    <w:rsid w:val="003220CE"/>
    <w:rsid w:val="00322274"/>
    <w:rsid w:val="003222D9"/>
    <w:rsid w:val="003224AD"/>
    <w:rsid w:val="00322550"/>
    <w:rsid w:val="0032271E"/>
    <w:rsid w:val="00322779"/>
    <w:rsid w:val="003227D5"/>
    <w:rsid w:val="00322916"/>
    <w:rsid w:val="00322B1D"/>
    <w:rsid w:val="00322C99"/>
    <w:rsid w:val="00322D99"/>
    <w:rsid w:val="0032304F"/>
    <w:rsid w:val="0032306B"/>
    <w:rsid w:val="003230DE"/>
    <w:rsid w:val="003231E9"/>
    <w:rsid w:val="003232EA"/>
    <w:rsid w:val="00323408"/>
    <w:rsid w:val="00323410"/>
    <w:rsid w:val="0032363A"/>
    <w:rsid w:val="00323655"/>
    <w:rsid w:val="0032371E"/>
    <w:rsid w:val="0032376A"/>
    <w:rsid w:val="003238E2"/>
    <w:rsid w:val="00323977"/>
    <w:rsid w:val="00323FDD"/>
    <w:rsid w:val="00324105"/>
    <w:rsid w:val="00324133"/>
    <w:rsid w:val="00324876"/>
    <w:rsid w:val="00324949"/>
    <w:rsid w:val="00324F26"/>
    <w:rsid w:val="00324F96"/>
    <w:rsid w:val="003250B9"/>
    <w:rsid w:val="0032524E"/>
    <w:rsid w:val="003252BE"/>
    <w:rsid w:val="0032542A"/>
    <w:rsid w:val="00325BEB"/>
    <w:rsid w:val="00325C25"/>
    <w:rsid w:val="00325C70"/>
    <w:rsid w:val="00325D89"/>
    <w:rsid w:val="00325E49"/>
    <w:rsid w:val="00325EF7"/>
    <w:rsid w:val="00325F80"/>
    <w:rsid w:val="00326268"/>
    <w:rsid w:val="00326410"/>
    <w:rsid w:val="00326447"/>
    <w:rsid w:val="003269DD"/>
    <w:rsid w:val="00326BC8"/>
    <w:rsid w:val="00326BE6"/>
    <w:rsid w:val="00326D6D"/>
    <w:rsid w:val="00326DD0"/>
    <w:rsid w:val="00327022"/>
    <w:rsid w:val="003272F4"/>
    <w:rsid w:val="0032735A"/>
    <w:rsid w:val="00327390"/>
    <w:rsid w:val="00327393"/>
    <w:rsid w:val="003274FA"/>
    <w:rsid w:val="003276D0"/>
    <w:rsid w:val="00327707"/>
    <w:rsid w:val="00327844"/>
    <w:rsid w:val="00327871"/>
    <w:rsid w:val="00327AF3"/>
    <w:rsid w:val="00327C64"/>
    <w:rsid w:val="00327C95"/>
    <w:rsid w:val="00327E09"/>
    <w:rsid w:val="00330095"/>
    <w:rsid w:val="0033036B"/>
    <w:rsid w:val="003306B1"/>
    <w:rsid w:val="003308BC"/>
    <w:rsid w:val="003309CC"/>
    <w:rsid w:val="00330A88"/>
    <w:rsid w:val="00330AAA"/>
    <w:rsid w:val="00330B52"/>
    <w:rsid w:val="00330D06"/>
    <w:rsid w:val="00330E0B"/>
    <w:rsid w:val="00330EA2"/>
    <w:rsid w:val="00330EA8"/>
    <w:rsid w:val="00331405"/>
    <w:rsid w:val="00331580"/>
    <w:rsid w:val="003315BB"/>
    <w:rsid w:val="00331658"/>
    <w:rsid w:val="003318E1"/>
    <w:rsid w:val="003318FF"/>
    <w:rsid w:val="00331950"/>
    <w:rsid w:val="0033197A"/>
    <w:rsid w:val="003319FA"/>
    <w:rsid w:val="00331B06"/>
    <w:rsid w:val="00331DA3"/>
    <w:rsid w:val="00331ED4"/>
    <w:rsid w:val="00331ED5"/>
    <w:rsid w:val="00331FA6"/>
    <w:rsid w:val="00332049"/>
    <w:rsid w:val="00332063"/>
    <w:rsid w:val="003322A8"/>
    <w:rsid w:val="00332471"/>
    <w:rsid w:val="00332591"/>
    <w:rsid w:val="0033276E"/>
    <w:rsid w:val="0033289B"/>
    <w:rsid w:val="00332905"/>
    <w:rsid w:val="0033290D"/>
    <w:rsid w:val="00332AC6"/>
    <w:rsid w:val="00332C23"/>
    <w:rsid w:val="00332CC1"/>
    <w:rsid w:val="00332CF0"/>
    <w:rsid w:val="00332FB5"/>
    <w:rsid w:val="00333074"/>
    <w:rsid w:val="003330C0"/>
    <w:rsid w:val="00333112"/>
    <w:rsid w:val="00333253"/>
    <w:rsid w:val="003332B1"/>
    <w:rsid w:val="0033337F"/>
    <w:rsid w:val="0033340C"/>
    <w:rsid w:val="00333442"/>
    <w:rsid w:val="0033349F"/>
    <w:rsid w:val="003334C3"/>
    <w:rsid w:val="003334E3"/>
    <w:rsid w:val="00333758"/>
    <w:rsid w:val="00333792"/>
    <w:rsid w:val="00333822"/>
    <w:rsid w:val="003338F6"/>
    <w:rsid w:val="00333E2D"/>
    <w:rsid w:val="00333F8A"/>
    <w:rsid w:val="003343DE"/>
    <w:rsid w:val="00334528"/>
    <w:rsid w:val="003346DE"/>
    <w:rsid w:val="0033482D"/>
    <w:rsid w:val="00334937"/>
    <w:rsid w:val="00334A4B"/>
    <w:rsid w:val="00334B64"/>
    <w:rsid w:val="00334CA2"/>
    <w:rsid w:val="00334DA1"/>
    <w:rsid w:val="00334E54"/>
    <w:rsid w:val="00334FD1"/>
    <w:rsid w:val="00335354"/>
    <w:rsid w:val="003353CA"/>
    <w:rsid w:val="003354D1"/>
    <w:rsid w:val="00335504"/>
    <w:rsid w:val="003358F2"/>
    <w:rsid w:val="00335B10"/>
    <w:rsid w:val="00335C17"/>
    <w:rsid w:val="00335D35"/>
    <w:rsid w:val="003361E9"/>
    <w:rsid w:val="003364FD"/>
    <w:rsid w:val="00336705"/>
    <w:rsid w:val="003367A6"/>
    <w:rsid w:val="003369D6"/>
    <w:rsid w:val="00336A6A"/>
    <w:rsid w:val="00336B6E"/>
    <w:rsid w:val="00336BC0"/>
    <w:rsid w:val="00336C36"/>
    <w:rsid w:val="00336EB1"/>
    <w:rsid w:val="00336FB2"/>
    <w:rsid w:val="00336FCD"/>
    <w:rsid w:val="003373C2"/>
    <w:rsid w:val="00337B44"/>
    <w:rsid w:val="00337D42"/>
    <w:rsid w:val="00337FDD"/>
    <w:rsid w:val="00340125"/>
    <w:rsid w:val="003402B2"/>
    <w:rsid w:val="0034035B"/>
    <w:rsid w:val="0034037C"/>
    <w:rsid w:val="003404EF"/>
    <w:rsid w:val="00340513"/>
    <w:rsid w:val="003407AD"/>
    <w:rsid w:val="003407F5"/>
    <w:rsid w:val="003408B0"/>
    <w:rsid w:val="00340A06"/>
    <w:rsid w:val="00340A76"/>
    <w:rsid w:val="00340A82"/>
    <w:rsid w:val="00340ADA"/>
    <w:rsid w:val="00340B1D"/>
    <w:rsid w:val="00340BE2"/>
    <w:rsid w:val="00340C21"/>
    <w:rsid w:val="00340E5C"/>
    <w:rsid w:val="0034113E"/>
    <w:rsid w:val="003412AF"/>
    <w:rsid w:val="00341307"/>
    <w:rsid w:val="00341511"/>
    <w:rsid w:val="0034156B"/>
    <w:rsid w:val="003415C8"/>
    <w:rsid w:val="00341662"/>
    <w:rsid w:val="003416CD"/>
    <w:rsid w:val="003416EE"/>
    <w:rsid w:val="00341908"/>
    <w:rsid w:val="00341B62"/>
    <w:rsid w:val="00341C2E"/>
    <w:rsid w:val="00341E83"/>
    <w:rsid w:val="00341FF4"/>
    <w:rsid w:val="003421F8"/>
    <w:rsid w:val="00342220"/>
    <w:rsid w:val="0034232C"/>
    <w:rsid w:val="003423A5"/>
    <w:rsid w:val="0034240D"/>
    <w:rsid w:val="00342725"/>
    <w:rsid w:val="00342739"/>
    <w:rsid w:val="00342787"/>
    <w:rsid w:val="003427B2"/>
    <w:rsid w:val="00342807"/>
    <w:rsid w:val="00342896"/>
    <w:rsid w:val="00342BCB"/>
    <w:rsid w:val="00342E1D"/>
    <w:rsid w:val="00342E42"/>
    <w:rsid w:val="00342F58"/>
    <w:rsid w:val="0034302E"/>
    <w:rsid w:val="003430E1"/>
    <w:rsid w:val="003430E4"/>
    <w:rsid w:val="00343305"/>
    <w:rsid w:val="00343401"/>
    <w:rsid w:val="003436E6"/>
    <w:rsid w:val="003436F9"/>
    <w:rsid w:val="0034382A"/>
    <w:rsid w:val="00343855"/>
    <w:rsid w:val="00343CD5"/>
    <w:rsid w:val="00344098"/>
    <w:rsid w:val="0034420A"/>
    <w:rsid w:val="0034420F"/>
    <w:rsid w:val="00344431"/>
    <w:rsid w:val="00344777"/>
    <w:rsid w:val="0034478F"/>
    <w:rsid w:val="00344B9C"/>
    <w:rsid w:val="00344D48"/>
    <w:rsid w:val="003452AD"/>
    <w:rsid w:val="00345318"/>
    <w:rsid w:val="003455EF"/>
    <w:rsid w:val="00345665"/>
    <w:rsid w:val="003456B2"/>
    <w:rsid w:val="003456ED"/>
    <w:rsid w:val="00345819"/>
    <w:rsid w:val="00345C2A"/>
    <w:rsid w:val="00345C7C"/>
    <w:rsid w:val="00345E3F"/>
    <w:rsid w:val="00345EA7"/>
    <w:rsid w:val="00345F50"/>
    <w:rsid w:val="00346071"/>
    <w:rsid w:val="003460CB"/>
    <w:rsid w:val="0034617A"/>
    <w:rsid w:val="0034637B"/>
    <w:rsid w:val="0034648D"/>
    <w:rsid w:val="003464F0"/>
    <w:rsid w:val="003464F3"/>
    <w:rsid w:val="003465A8"/>
    <w:rsid w:val="003465DE"/>
    <w:rsid w:val="00346633"/>
    <w:rsid w:val="00346697"/>
    <w:rsid w:val="00346925"/>
    <w:rsid w:val="0034698A"/>
    <w:rsid w:val="00346A67"/>
    <w:rsid w:val="00346E9C"/>
    <w:rsid w:val="003471D3"/>
    <w:rsid w:val="00347287"/>
    <w:rsid w:val="003475C1"/>
    <w:rsid w:val="003477D7"/>
    <w:rsid w:val="003477ED"/>
    <w:rsid w:val="00350010"/>
    <w:rsid w:val="003504DA"/>
    <w:rsid w:val="003505BF"/>
    <w:rsid w:val="003508BD"/>
    <w:rsid w:val="003509CA"/>
    <w:rsid w:val="003509CC"/>
    <w:rsid w:val="003509E4"/>
    <w:rsid w:val="00350CC2"/>
    <w:rsid w:val="00350E9A"/>
    <w:rsid w:val="00350F4F"/>
    <w:rsid w:val="00350FCE"/>
    <w:rsid w:val="003510B5"/>
    <w:rsid w:val="00351345"/>
    <w:rsid w:val="00351445"/>
    <w:rsid w:val="003515B5"/>
    <w:rsid w:val="003518F5"/>
    <w:rsid w:val="00351BC1"/>
    <w:rsid w:val="00351C21"/>
    <w:rsid w:val="00351D5B"/>
    <w:rsid w:val="00351DF6"/>
    <w:rsid w:val="00351E5E"/>
    <w:rsid w:val="00351ECB"/>
    <w:rsid w:val="00351F88"/>
    <w:rsid w:val="003520D0"/>
    <w:rsid w:val="003521CA"/>
    <w:rsid w:val="00352274"/>
    <w:rsid w:val="00352320"/>
    <w:rsid w:val="00352323"/>
    <w:rsid w:val="0035249A"/>
    <w:rsid w:val="003527B1"/>
    <w:rsid w:val="003527FC"/>
    <w:rsid w:val="003528F9"/>
    <w:rsid w:val="003529F9"/>
    <w:rsid w:val="00352A9E"/>
    <w:rsid w:val="00352AD7"/>
    <w:rsid w:val="00352C0E"/>
    <w:rsid w:val="00352E96"/>
    <w:rsid w:val="0035300B"/>
    <w:rsid w:val="0035301B"/>
    <w:rsid w:val="0035303F"/>
    <w:rsid w:val="003531DC"/>
    <w:rsid w:val="0035322F"/>
    <w:rsid w:val="00353515"/>
    <w:rsid w:val="0035367B"/>
    <w:rsid w:val="003536DB"/>
    <w:rsid w:val="003537DD"/>
    <w:rsid w:val="003538EC"/>
    <w:rsid w:val="00353BAD"/>
    <w:rsid w:val="00353D4B"/>
    <w:rsid w:val="00353E2A"/>
    <w:rsid w:val="00353FAF"/>
    <w:rsid w:val="00354025"/>
    <w:rsid w:val="003540C3"/>
    <w:rsid w:val="003543D2"/>
    <w:rsid w:val="003544AA"/>
    <w:rsid w:val="00354547"/>
    <w:rsid w:val="00354548"/>
    <w:rsid w:val="0035466F"/>
    <w:rsid w:val="003546C8"/>
    <w:rsid w:val="003546CA"/>
    <w:rsid w:val="00354820"/>
    <w:rsid w:val="00354A79"/>
    <w:rsid w:val="00354A9A"/>
    <w:rsid w:val="00354B82"/>
    <w:rsid w:val="00354E8C"/>
    <w:rsid w:val="0035516D"/>
    <w:rsid w:val="0035517E"/>
    <w:rsid w:val="00355479"/>
    <w:rsid w:val="00355619"/>
    <w:rsid w:val="00355742"/>
    <w:rsid w:val="00355897"/>
    <w:rsid w:val="00355AEC"/>
    <w:rsid w:val="00355B60"/>
    <w:rsid w:val="00355BF0"/>
    <w:rsid w:val="00355CC7"/>
    <w:rsid w:val="00355D72"/>
    <w:rsid w:val="00355E2C"/>
    <w:rsid w:val="00355FFE"/>
    <w:rsid w:val="003562FB"/>
    <w:rsid w:val="0035657A"/>
    <w:rsid w:val="00356725"/>
    <w:rsid w:val="00356746"/>
    <w:rsid w:val="003569F5"/>
    <w:rsid w:val="00356A53"/>
    <w:rsid w:val="00356AEB"/>
    <w:rsid w:val="00356B45"/>
    <w:rsid w:val="00356DDD"/>
    <w:rsid w:val="0035704A"/>
    <w:rsid w:val="00357319"/>
    <w:rsid w:val="00357480"/>
    <w:rsid w:val="00357544"/>
    <w:rsid w:val="00357E11"/>
    <w:rsid w:val="00357FB5"/>
    <w:rsid w:val="00360112"/>
    <w:rsid w:val="003601F4"/>
    <w:rsid w:val="00360340"/>
    <w:rsid w:val="003603DC"/>
    <w:rsid w:val="00360408"/>
    <w:rsid w:val="00360453"/>
    <w:rsid w:val="0036047A"/>
    <w:rsid w:val="0036050A"/>
    <w:rsid w:val="003607FD"/>
    <w:rsid w:val="00360B15"/>
    <w:rsid w:val="00360B74"/>
    <w:rsid w:val="0036143C"/>
    <w:rsid w:val="003614BF"/>
    <w:rsid w:val="003617B8"/>
    <w:rsid w:val="00361A46"/>
    <w:rsid w:val="00361B3A"/>
    <w:rsid w:val="00361B49"/>
    <w:rsid w:val="00361C54"/>
    <w:rsid w:val="00362154"/>
    <w:rsid w:val="00362164"/>
    <w:rsid w:val="0036237A"/>
    <w:rsid w:val="0036245A"/>
    <w:rsid w:val="00362493"/>
    <w:rsid w:val="00362610"/>
    <w:rsid w:val="00362627"/>
    <w:rsid w:val="003626BF"/>
    <w:rsid w:val="0036275F"/>
    <w:rsid w:val="003629C0"/>
    <w:rsid w:val="00362DE9"/>
    <w:rsid w:val="00362E58"/>
    <w:rsid w:val="00362F0F"/>
    <w:rsid w:val="00363050"/>
    <w:rsid w:val="003631F9"/>
    <w:rsid w:val="00363201"/>
    <w:rsid w:val="003634E5"/>
    <w:rsid w:val="003635B9"/>
    <w:rsid w:val="003637FE"/>
    <w:rsid w:val="003638A6"/>
    <w:rsid w:val="00363BDA"/>
    <w:rsid w:val="00363C69"/>
    <w:rsid w:val="00363F8A"/>
    <w:rsid w:val="0036417E"/>
    <w:rsid w:val="003641D1"/>
    <w:rsid w:val="00364325"/>
    <w:rsid w:val="00364411"/>
    <w:rsid w:val="0036442C"/>
    <w:rsid w:val="003645C8"/>
    <w:rsid w:val="0036481F"/>
    <w:rsid w:val="00364ADD"/>
    <w:rsid w:val="00364B3F"/>
    <w:rsid w:val="00364F02"/>
    <w:rsid w:val="00364F85"/>
    <w:rsid w:val="00364FD4"/>
    <w:rsid w:val="003653C9"/>
    <w:rsid w:val="003657EB"/>
    <w:rsid w:val="0036588A"/>
    <w:rsid w:val="00365C55"/>
    <w:rsid w:val="00365D19"/>
    <w:rsid w:val="003662FB"/>
    <w:rsid w:val="00366330"/>
    <w:rsid w:val="00366378"/>
    <w:rsid w:val="00366500"/>
    <w:rsid w:val="00366552"/>
    <w:rsid w:val="003665A6"/>
    <w:rsid w:val="003665B0"/>
    <w:rsid w:val="00366888"/>
    <w:rsid w:val="00366908"/>
    <w:rsid w:val="00366A40"/>
    <w:rsid w:val="00366B2B"/>
    <w:rsid w:val="00366D1A"/>
    <w:rsid w:val="00366DE0"/>
    <w:rsid w:val="00366F04"/>
    <w:rsid w:val="00366F52"/>
    <w:rsid w:val="00367099"/>
    <w:rsid w:val="00367193"/>
    <w:rsid w:val="003672D5"/>
    <w:rsid w:val="00367397"/>
    <w:rsid w:val="003673DF"/>
    <w:rsid w:val="003676E4"/>
    <w:rsid w:val="003677DC"/>
    <w:rsid w:val="00367847"/>
    <w:rsid w:val="00367BD4"/>
    <w:rsid w:val="00367BE2"/>
    <w:rsid w:val="00367CC5"/>
    <w:rsid w:val="00367DAB"/>
    <w:rsid w:val="00367F34"/>
    <w:rsid w:val="00367F6E"/>
    <w:rsid w:val="00367FF5"/>
    <w:rsid w:val="00370395"/>
    <w:rsid w:val="003704CC"/>
    <w:rsid w:val="00370525"/>
    <w:rsid w:val="0037062A"/>
    <w:rsid w:val="0037096D"/>
    <w:rsid w:val="003709A5"/>
    <w:rsid w:val="00370CF0"/>
    <w:rsid w:val="00370F67"/>
    <w:rsid w:val="003710A5"/>
    <w:rsid w:val="003711CF"/>
    <w:rsid w:val="003712FC"/>
    <w:rsid w:val="003713DC"/>
    <w:rsid w:val="0037174C"/>
    <w:rsid w:val="003717B1"/>
    <w:rsid w:val="003719EB"/>
    <w:rsid w:val="00371BCD"/>
    <w:rsid w:val="00371DB2"/>
    <w:rsid w:val="003720E8"/>
    <w:rsid w:val="00372228"/>
    <w:rsid w:val="00372259"/>
    <w:rsid w:val="00372302"/>
    <w:rsid w:val="00372305"/>
    <w:rsid w:val="003723B6"/>
    <w:rsid w:val="00372725"/>
    <w:rsid w:val="0037286A"/>
    <w:rsid w:val="0037293B"/>
    <w:rsid w:val="00372B08"/>
    <w:rsid w:val="00372E66"/>
    <w:rsid w:val="00372F2D"/>
    <w:rsid w:val="003734C5"/>
    <w:rsid w:val="00373946"/>
    <w:rsid w:val="00373A16"/>
    <w:rsid w:val="00373AAE"/>
    <w:rsid w:val="00373B72"/>
    <w:rsid w:val="00373D6C"/>
    <w:rsid w:val="00373DC7"/>
    <w:rsid w:val="00373EB0"/>
    <w:rsid w:val="00373FC9"/>
    <w:rsid w:val="0037404F"/>
    <w:rsid w:val="00374148"/>
    <w:rsid w:val="0037416A"/>
    <w:rsid w:val="003743BA"/>
    <w:rsid w:val="00374561"/>
    <w:rsid w:val="00374733"/>
    <w:rsid w:val="00374C29"/>
    <w:rsid w:val="00374C9A"/>
    <w:rsid w:val="00374D9B"/>
    <w:rsid w:val="00374E7F"/>
    <w:rsid w:val="00375099"/>
    <w:rsid w:val="003753CB"/>
    <w:rsid w:val="00375446"/>
    <w:rsid w:val="003754FC"/>
    <w:rsid w:val="003755C1"/>
    <w:rsid w:val="0037566C"/>
    <w:rsid w:val="00375A4F"/>
    <w:rsid w:val="00375A55"/>
    <w:rsid w:val="00375DAE"/>
    <w:rsid w:val="00376021"/>
    <w:rsid w:val="00376109"/>
    <w:rsid w:val="0037629D"/>
    <w:rsid w:val="00376316"/>
    <w:rsid w:val="003763EE"/>
    <w:rsid w:val="003765E2"/>
    <w:rsid w:val="00376632"/>
    <w:rsid w:val="00376830"/>
    <w:rsid w:val="00376900"/>
    <w:rsid w:val="00376B5F"/>
    <w:rsid w:val="00376BDE"/>
    <w:rsid w:val="00376EBA"/>
    <w:rsid w:val="00376ECE"/>
    <w:rsid w:val="00377008"/>
    <w:rsid w:val="003770D2"/>
    <w:rsid w:val="00377162"/>
    <w:rsid w:val="0037731E"/>
    <w:rsid w:val="00377533"/>
    <w:rsid w:val="003776DC"/>
    <w:rsid w:val="003778A0"/>
    <w:rsid w:val="00377918"/>
    <w:rsid w:val="00377A92"/>
    <w:rsid w:val="00377A93"/>
    <w:rsid w:val="00377CB8"/>
    <w:rsid w:val="00377CBB"/>
    <w:rsid w:val="00377E98"/>
    <w:rsid w:val="0038002D"/>
    <w:rsid w:val="00380078"/>
    <w:rsid w:val="0038023B"/>
    <w:rsid w:val="003802FD"/>
    <w:rsid w:val="00380303"/>
    <w:rsid w:val="003803A7"/>
    <w:rsid w:val="00380585"/>
    <w:rsid w:val="0038069B"/>
    <w:rsid w:val="003806E4"/>
    <w:rsid w:val="00380796"/>
    <w:rsid w:val="003807DE"/>
    <w:rsid w:val="00380944"/>
    <w:rsid w:val="00380D14"/>
    <w:rsid w:val="00381049"/>
    <w:rsid w:val="003811E2"/>
    <w:rsid w:val="003812D2"/>
    <w:rsid w:val="003814DF"/>
    <w:rsid w:val="003816CF"/>
    <w:rsid w:val="003816D7"/>
    <w:rsid w:val="003816E5"/>
    <w:rsid w:val="003817A5"/>
    <w:rsid w:val="00381837"/>
    <w:rsid w:val="00381B6C"/>
    <w:rsid w:val="00381C3E"/>
    <w:rsid w:val="00381C77"/>
    <w:rsid w:val="00381DB0"/>
    <w:rsid w:val="00381DFB"/>
    <w:rsid w:val="00381EA4"/>
    <w:rsid w:val="00381F5C"/>
    <w:rsid w:val="00382130"/>
    <w:rsid w:val="00382212"/>
    <w:rsid w:val="0038222E"/>
    <w:rsid w:val="00382265"/>
    <w:rsid w:val="0038264F"/>
    <w:rsid w:val="00382714"/>
    <w:rsid w:val="00382765"/>
    <w:rsid w:val="0038289F"/>
    <w:rsid w:val="003828C1"/>
    <w:rsid w:val="003829FD"/>
    <w:rsid w:val="00382AD1"/>
    <w:rsid w:val="00382BCD"/>
    <w:rsid w:val="00382C3E"/>
    <w:rsid w:val="00382D35"/>
    <w:rsid w:val="0038328C"/>
    <w:rsid w:val="00383745"/>
    <w:rsid w:val="003839ED"/>
    <w:rsid w:val="00383BC3"/>
    <w:rsid w:val="00383F0B"/>
    <w:rsid w:val="00383FC2"/>
    <w:rsid w:val="003840F9"/>
    <w:rsid w:val="003842AA"/>
    <w:rsid w:val="00384341"/>
    <w:rsid w:val="003843C6"/>
    <w:rsid w:val="0038450D"/>
    <w:rsid w:val="003845EE"/>
    <w:rsid w:val="003846EC"/>
    <w:rsid w:val="0038474C"/>
    <w:rsid w:val="00384950"/>
    <w:rsid w:val="00384989"/>
    <w:rsid w:val="00384A9D"/>
    <w:rsid w:val="00384AC6"/>
    <w:rsid w:val="00384C14"/>
    <w:rsid w:val="00384DEC"/>
    <w:rsid w:val="00384F5F"/>
    <w:rsid w:val="003851F6"/>
    <w:rsid w:val="003852BA"/>
    <w:rsid w:val="003852C5"/>
    <w:rsid w:val="0038544F"/>
    <w:rsid w:val="00385702"/>
    <w:rsid w:val="00385782"/>
    <w:rsid w:val="003857A1"/>
    <w:rsid w:val="00385895"/>
    <w:rsid w:val="0038591A"/>
    <w:rsid w:val="00385A0A"/>
    <w:rsid w:val="00385A7B"/>
    <w:rsid w:val="00385CC4"/>
    <w:rsid w:val="00386139"/>
    <w:rsid w:val="0038618E"/>
    <w:rsid w:val="00386364"/>
    <w:rsid w:val="00386411"/>
    <w:rsid w:val="003864A6"/>
    <w:rsid w:val="00386549"/>
    <w:rsid w:val="0038656D"/>
    <w:rsid w:val="00386606"/>
    <w:rsid w:val="00386895"/>
    <w:rsid w:val="003869E0"/>
    <w:rsid w:val="00386C11"/>
    <w:rsid w:val="00386CEE"/>
    <w:rsid w:val="00387240"/>
    <w:rsid w:val="003872C9"/>
    <w:rsid w:val="003879C0"/>
    <w:rsid w:val="00387A84"/>
    <w:rsid w:val="00387C4F"/>
    <w:rsid w:val="00387E67"/>
    <w:rsid w:val="00387ED0"/>
    <w:rsid w:val="00387F54"/>
    <w:rsid w:val="0039006E"/>
    <w:rsid w:val="0039011C"/>
    <w:rsid w:val="003904B8"/>
    <w:rsid w:val="003906F0"/>
    <w:rsid w:val="00390773"/>
    <w:rsid w:val="0039083F"/>
    <w:rsid w:val="00390B61"/>
    <w:rsid w:val="00390B75"/>
    <w:rsid w:val="00390D67"/>
    <w:rsid w:val="00390ED8"/>
    <w:rsid w:val="00391163"/>
    <w:rsid w:val="003911C1"/>
    <w:rsid w:val="00391376"/>
    <w:rsid w:val="00391517"/>
    <w:rsid w:val="00391550"/>
    <w:rsid w:val="00391704"/>
    <w:rsid w:val="003918C4"/>
    <w:rsid w:val="0039196B"/>
    <w:rsid w:val="0039198A"/>
    <w:rsid w:val="00391B21"/>
    <w:rsid w:val="00391B74"/>
    <w:rsid w:val="00391BBE"/>
    <w:rsid w:val="00391E4D"/>
    <w:rsid w:val="00391F02"/>
    <w:rsid w:val="0039206E"/>
    <w:rsid w:val="0039226F"/>
    <w:rsid w:val="003922D1"/>
    <w:rsid w:val="003924AC"/>
    <w:rsid w:val="00392697"/>
    <w:rsid w:val="00392A20"/>
    <w:rsid w:val="00392FA6"/>
    <w:rsid w:val="0039302C"/>
    <w:rsid w:val="003931ED"/>
    <w:rsid w:val="00393579"/>
    <w:rsid w:val="003935F8"/>
    <w:rsid w:val="00393A79"/>
    <w:rsid w:val="00393CB9"/>
    <w:rsid w:val="00393E5A"/>
    <w:rsid w:val="00393EF4"/>
    <w:rsid w:val="00394130"/>
    <w:rsid w:val="003941CA"/>
    <w:rsid w:val="0039420D"/>
    <w:rsid w:val="00394A9A"/>
    <w:rsid w:val="00394C5B"/>
    <w:rsid w:val="00394F20"/>
    <w:rsid w:val="00394FC2"/>
    <w:rsid w:val="0039579C"/>
    <w:rsid w:val="00395884"/>
    <w:rsid w:val="00395889"/>
    <w:rsid w:val="003959B7"/>
    <w:rsid w:val="00395B94"/>
    <w:rsid w:val="00395C6E"/>
    <w:rsid w:val="00395E12"/>
    <w:rsid w:val="00395E2D"/>
    <w:rsid w:val="00395E59"/>
    <w:rsid w:val="0039618A"/>
    <w:rsid w:val="003964CE"/>
    <w:rsid w:val="00396536"/>
    <w:rsid w:val="00396651"/>
    <w:rsid w:val="0039669B"/>
    <w:rsid w:val="00396AEC"/>
    <w:rsid w:val="00396C6B"/>
    <w:rsid w:val="00396CEA"/>
    <w:rsid w:val="00396D32"/>
    <w:rsid w:val="003972CD"/>
    <w:rsid w:val="003979C8"/>
    <w:rsid w:val="00397A8D"/>
    <w:rsid w:val="00397B8C"/>
    <w:rsid w:val="00397DE7"/>
    <w:rsid w:val="00397E32"/>
    <w:rsid w:val="003A0170"/>
    <w:rsid w:val="003A01F2"/>
    <w:rsid w:val="003A022B"/>
    <w:rsid w:val="003A0265"/>
    <w:rsid w:val="003A0271"/>
    <w:rsid w:val="003A038D"/>
    <w:rsid w:val="003A05BF"/>
    <w:rsid w:val="003A05C9"/>
    <w:rsid w:val="003A070E"/>
    <w:rsid w:val="003A074B"/>
    <w:rsid w:val="003A0931"/>
    <w:rsid w:val="003A0C4B"/>
    <w:rsid w:val="003A0C5A"/>
    <w:rsid w:val="003A0C7B"/>
    <w:rsid w:val="003A0D96"/>
    <w:rsid w:val="003A0E48"/>
    <w:rsid w:val="003A0FB3"/>
    <w:rsid w:val="003A0FC7"/>
    <w:rsid w:val="003A0FDC"/>
    <w:rsid w:val="003A0FF4"/>
    <w:rsid w:val="003A10E8"/>
    <w:rsid w:val="003A15FD"/>
    <w:rsid w:val="003A169E"/>
    <w:rsid w:val="003A1754"/>
    <w:rsid w:val="003A18B3"/>
    <w:rsid w:val="003A1994"/>
    <w:rsid w:val="003A1A21"/>
    <w:rsid w:val="003A1AC4"/>
    <w:rsid w:val="003A1AD2"/>
    <w:rsid w:val="003A1D21"/>
    <w:rsid w:val="003A1D7D"/>
    <w:rsid w:val="003A1E00"/>
    <w:rsid w:val="003A1F82"/>
    <w:rsid w:val="003A1FA7"/>
    <w:rsid w:val="003A2053"/>
    <w:rsid w:val="003A2126"/>
    <w:rsid w:val="003A21E4"/>
    <w:rsid w:val="003A2563"/>
    <w:rsid w:val="003A2630"/>
    <w:rsid w:val="003A2A0D"/>
    <w:rsid w:val="003A2C35"/>
    <w:rsid w:val="003A2CD9"/>
    <w:rsid w:val="003A2DC8"/>
    <w:rsid w:val="003A3205"/>
    <w:rsid w:val="003A3319"/>
    <w:rsid w:val="003A34A1"/>
    <w:rsid w:val="003A34D1"/>
    <w:rsid w:val="003A369F"/>
    <w:rsid w:val="003A372B"/>
    <w:rsid w:val="003A39A0"/>
    <w:rsid w:val="003A39DB"/>
    <w:rsid w:val="003A3AAF"/>
    <w:rsid w:val="003A3C12"/>
    <w:rsid w:val="003A3C9A"/>
    <w:rsid w:val="003A3D97"/>
    <w:rsid w:val="003A3E70"/>
    <w:rsid w:val="003A3F38"/>
    <w:rsid w:val="003A3FBE"/>
    <w:rsid w:val="003A4169"/>
    <w:rsid w:val="003A448A"/>
    <w:rsid w:val="003A4585"/>
    <w:rsid w:val="003A4748"/>
    <w:rsid w:val="003A4949"/>
    <w:rsid w:val="003A4BA1"/>
    <w:rsid w:val="003A4CCC"/>
    <w:rsid w:val="003A4D1B"/>
    <w:rsid w:val="003A4DA2"/>
    <w:rsid w:val="003A4F00"/>
    <w:rsid w:val="003A4F42"/>
    <w:rsid w:val="003A50A8"/>
    <w:rsid w:val="003A5156"/>
    <w:rsid w:val="003A51DB"/>
    <w:rsid w:val="003A54D3"/>
    <w:rsid w:val="003A57A4"/>
    <w:rsid w:val="003A58D6"/>
    <w:rsid w:val="003A5AD5"/>
    <w:rsid w:val="003A5EC4"/>
    <w:rsid w:val="003A5FF4"/>
    <w:rsid w:val="003A6088"/>
    <w:rsid w:val="003A60D4"/>
    <w:rsid w:val="003A611F"/>
    <w:rsid w:val="003A6124"/>
    <w:rsid w:val="003A6864"/>
    <w:rsid w:val="003A68B8"/>
    <w:rsid w:val="003A6AD5"/>
    <w:rsid w:val="003A6AE5"/>
    <w:rsid w:val="003A6BA3"/>
    <w:rsid w:val="003A6C43"/>
    <w:rsid w:val="003A6CCA"/>
    <w:rsid w:val="003A6D82"/>
    <w:rsid w:val="003A6EE8"/>
    <w:rsid w:val="003A6F6D"/>
    <w:rsid w:val="003A7369"/>
    <w:rsid w:val="003A7451"/>
    <w:rsid w:val="003A74D7"/>
    <w:rsid w:val="003A7631"/>
    <w:rsid w:val="003A7663"/>
    <w:rsid w:val="003A7BFC"/>
    <w:rsid w:val="003A7EBD"/>
    <w:rsid w:val="003B01F8"/>
    <w:rsid w:val="003B03C8"/>
    <w:rsid w:val="003B03D4"/>
    <w:rsid w:val="003B04D8"/>
    <w:rsid w:val="003B05AF"/>
    <w:rsid w:val="003B090B"/>
    <w:rsid w:val="003B0AE8"/>
    <w:rsid w:val="003B0ECE"/>
    <w:rsid w:val="003B0F92"/>
    <w:rsid w:val="003B143C"/>
    <w:rsid w:val="003B15CD"/>
    <w:rsid w:val="003B18DC"/>
    <w:rsid w:val="003B18F0"/>
    <w:rsid w:val="003B1A20"/>
    <w:rsid w:val="003B1A4C"/>
    <w:rsid w:val="003B1AA0"/>
    <w:rsid w:val="003B217E"/>
    <w:rsid w:val="003B2277"/>
    <w:rsid w:val="003B2487"/>
    <w:rsid w:val="003B2970"/>
    <w:rsid w:val="003B2A70"/>
    <w:rsid w:val="003B3180"/>
    <w:rsid w:val="003B3402"/>
    <w:rsid w:val="003B34DC"/>
    <w:rsid w:val="003B35E8"/>
    <w:rsid w:val="003B38AD"/>
    <w:rsid w:val="003B3977"/>
    <w:rsid w:val="003B3B10"/>
    <w:rsid w:val="003B3BAC"/>
    <w:rsid w:val="003B3CDA"/>
    <w:rsid w:val="003B3D5A"/>
    <w:rsid w:val="003B3DC2"/>
    <w:rsid w:val="003B3E9F"/>
    <w:rsid w:val="003B408F"/>
    <w:rsid w:val="003B41A1"/>
    <w:rsid w:val="003B41A7"/>
    <w:rsid w:val="003B470E"/>
    <w:rsid w:val="003B47B1"/>
    <w:rsid w:val="003B48B9"/>
    <w:rsid w:val="003B51D5"/>
    <w:rsid w:val="003B51E5"/>
    <w:rsid w:val="003B551C"/>
    <w:rsid w:val="003B57FD"/>
    <w:rsid w:val="003B58BC"/>
    <w:rsid w:val="003B5A3E"/>
    <w:rsid w:val="003B5B32"/>
    <w:rsid w:val="003B5CA1"/>
    <w:rsid w:val="003B5DD3"/>
    <w:rsid w:val="003B5EAC"/>
    <w:rsid w:val="003B5FD1"/>
    <w:rsid w:val="003B6196"/>
    <w:rsid w:val="003B65B5"/>
    <w:rsid w:val="003B661B"/>
    <w:rsid w:val="003B6633"/>
    <w:rsid w:val="003B66D7"/>
    <w:rsid w:val="003B6813"/>
    <w:rsid w:val="003B6B2B"/>
    <w:rsid w:val="003B6CCD"/>
    <w:rsid w:val="003B720B"/>
    <w:rsid w:val="003B7284"/>
    <w:rsid w:val="003B750A"/>
    <w:rsid w:val="003B75E0"/>
    <w:rsid w:val="003B76FC"/>
    <w:rsid w:val="003B77E6"/>
    <w:rsid w:val="003B7B13"/>
    <w:rsid w:val="003B7B5B"/>
    <w:rsid w:val="003B7B66"/>
    <w:rsid w:val="003B7BCA"/>
    <w:rsid w:val="003B7C19"/>
    <w:rsid w:val="003B7EDE"/>
    <w:rsid w:val="003C00A0"/>
    <w:rsid w:val="003C0467"/>
    <w:rsid w:val="003C05AE"/>
    <w:rsid w:val="003C0618"/>
    <w:rsid w:val="003C068A"/>
    <w:rsid w:val="003C0755"/>
    <w:rsid w:val="003C07CF"/>
    <w:rsid w:val="003C09BC"/>
    <w:rsid w:val="003C09F3"/>
    <w:rsid w:val="003C0AA8"/>
    <w:rsid w:val="003C0B35"/>
    <w:rsid w:val="003C1295"/>
    <w:rsid w:val="003C1374"/>
    <w:rsid w:val="003C1588"/>
    <w:rsid w:val="003C158E"/>
    <w:rsid w:val="003C16F3"/>
    <w:rsid w:val="003C17BF"/>
    <w:rsid w:val="003C18AE"/>
    <w:rsid w:val="003C18FC"/>
    <w:rsid w:val="003C1AE4"/>
    <w:rsid w:val="003C1BAD"/>
    <w:rsid w:val="003C1BCA"/>
    <w:rsid w:val="003C1FEB"/>
    <w:rsid w:val="003C205C"/>
    <w:rsid w:val="003C20F9"/>
    <w:rsid w:val="003C22E5"/>
    <w:rsid w:val="003C263E"/>
    <w:rsid w:val="003C26D1"/>
    <w:rsid w:val="003C27B2"/>
    <w:rsid w:val="003C2851"/>
    <w:rsid w:val="003C29CB"/>
    <w:rsid w:val="003C2A5D"/>
    <w:rsid w:val="003C2CB1"/>
    <w:rsid w:val="003C2D98"/>
    <w:rsid w:val="003C2FE2"/>
    <w:rsid w:val="003C3182"/>
    <w:rsid w:val="003C36D6"/>
    <w:rsid w:val="003C39CC"/>
    <w:rsid w:val="003C3C23"/>
    <w:rsid w:val="003C3D62"/>
    <w:rsid w:val="003C3E4F"/>
    <w:rsid w:val="003C3E65"/>
    <w:rsid w:val="003C3E90"/>
    <w:rsid w:val="003C3F02"/>
    <w:rsid w:val="003C3FC5"/>
    <w:rsid w:val="003C427F"/>
    <w:rsid w:val="003C42EA"/>
    <w:rsid w:val="003C4C11"/>
    <w:rsid w:val="003C4CA3"/>
    <w:rsid w:val="003C4CBC"/>
    <w:rsid w:val="003C4D33"/>
    <w:rsid w:val="003C4D83"/>
    <w:rsid w:val="003C4E8A"/>
    <w:rsid w:val="003C517E"/>
    <w:rsid w:val="003C51CC"/>
    <w:rsid w:val="003C5218"/>
    <w:rsid w:val="003C52B9"/>
    <w:rsid w:val="003C537E"/>
    <w:rsid w:val="003C5537"/>
    <w:rsid w:val="003C5541"/>
    <w:rsid w:val="003C5553"/>
    <w:rsid w:val="003C559A"/>
    <w:rsid w:val="003C5781"/>
    <w:rsid w:val="003C58E6"/>
    <w:rsid w:val="003C5A2B"/>
    <w:rsid w:val="003C5A86"/>
    <w:rsid w:val="003C5EB1"/>
    <w:rsid w:val="003C5F05"/>
    <w:rsid w:val="003C5F1B"/>
    <w:rsid w:val="003C5FC0"/>
    <w:rsid w:val="003C6095"/>
    <w:rsid w:val="003C62BB"/>
    <w:rsid w:val="003C6572"/>
    <w:rsid w:val="003C6723"/>
    <w:rsid w:val="003C6C48"/>
    <w:rsid w:val="003C6D3C"/>
    <w:rsid w:val="003C7189"/>
    <w:rsid w:val="003C748C"/>
    <w:rsid w:val="003C7637"/>
    <w:rsid w:val="003C7768"/>
    <w:rsid w:val="003C77A3"/>
    <w:rsid w:val="003C7904"/>
    <w:rsid w:val="003C7971"/>
    <w:rsid w:val="003C79F5"/>
    <w:rsid w:val="003C7B75"/>
    <w:rsid w:val="003C7C60"/>
    <w:rsid w:val="003C7D83"/>
    <w:rsid w:val="003C7EA9"/>
    <w:rsid w:val="003C7EF5"/>
    <w:rsid w:val="003D00FD"/>
    <w:rsid w:val="003D041D"/>
    <w:rsid w:val="003D045D"/>
    <w:rsid w:val="003D0719"/>
    <w:rsid w:val="003D09C4"/>
    <w:rsid w:val="003D0ECD"/>
    <w:rsid w:val="003D0ED4"/>
    <w:rsid w:val="003D102C"/>
    <w:rsid w:val="003D103D"/>
    <w:rsid w:val="003D1200"/>
    <w:rsid w:val="003D1262"/>
    <w:rsid w:val="003D14B4"/>
    <w:rsid w:val="003D153E"/>
    <w:rsid w:val="003D1551"/>
    <w:rsid w:val="003D1618"/>
    <w:rsid w:val="003D18D5"/>
    <w:rsid w:val="003D18E6"/>
    <w:rsid w:val="003D1B2E"/>
    <w:rsid w:val="003D1B4F"/>
    <w:rsid w:val="003D1BB8"/>
    <w:rsid w:val="003D1C5D"/>
    <w:rsid w:val="003D1CFB"/>
    <w:rsid w:val="003D1FED"/>
    <w:rsid w:val="003D21FF"/>
    <w:rsid w:val="003D2526"/>
    <w:rsid w:val="003D2554"/>
    <w:rsid w:val="003D2758"/>
    <w:rsid w:val="003D2792"/>
    <w:rsid w:val="003D280A"/>
    <w:rsid w:val="003D2957"/>
    <w:rsid w:val="003D2B23"/>
    <w:rsid w:val="003D2C07"/>
    <w:rsid w:val="003D2C8F"/>
    <w:rsid w:val="003D2EC4"/>
    <w:rsid w:val="003D2F60"/>
    <w:rsid w:val="003D2FE6"/>
    <w:rsid w:val="003D3007"/>
    <w:rsid w:val="003D3106"/>
    <w:rsid w:val="003D3289"/>
    <w:rsid w:val="003D32A8"/>
    <w:rsid w:val="003D334B"/>
    <w:rsid w:val="003D3386"/>
    <w:rsid w:val="003D33C7"/>
    <w:rsid w:val="003D341E"/>
    <w:rsid w:val="003D3485"/>
    <w:rsid w:val="003D3581"/>
    <w:rsid w:val="003D364E"/>
    <w:rsid w:val="003D36AF"/>
    <w:rsid w:val="003D3753"/>
    <w:rsid w:val="003D3A1A"/>
    <w:rsid w:val="003D3AE9"/>
    <w:rsid w:val="003D3B1B"/>
    <w:rsid w:val="003D3D95"/>
    <w:rsid w:val="003D3E79"/>
    <w:rsid w:val="003D4046"/>
    <w:rsid w:val="003D4319"/>
    <w:rsid w:val="003D4329"/>
    <w:rsid w:val="003D4414"/>
    <w:rsid w:val="003D4554"/>
    <w:rsid w:val="003D4686"/>
    <w:rsid w:val="003D482F"/>
    <w:rsid w:val="003D4C77"/>
    <w:rsid w:val="003D4DE4"/>
    <w:rsid w:val="003D4F7E"/>
    <w:rsid w:val="003D506F"/>
    <w:rsid w:val="003D528C"/>
    <w:rsid w:val="003D5298"/>
    <w:rsid w:val="003D534F"/>
    <w:rsid w:val="003D5594"/>
    <w:rsid w:val="003D55AD"/>
    <w:rsid w:val="003D57DF"/>
    <w:rsid w:val="003D581B"/>
    <w:rsid w:val="003D5D40"/>
    <w:rsid w:val="003D5DCD"/>
    <w:rsid w:val="003D5EC2"/>
    <w:rsid w:val="003D5EF8"/>
    <w:rsid w:val="003D5F3D"/>
    <w:rsid w:val="003D5FA4"/>
    <w:rsid w:val="003D6328"/>
    <w:rsid w:val="003D635D"/>
    <w:rsid w:val="003D636D"/>
    <w:rsid w:val="003D65C0"/>
    <w:rsid w:val="003D6737"/>
    <w:rsid w:val="003D6978"/>
    <w:rsid w:val="003D6A45"/>
    <w:rsid w:val="003D6E62"/>
    <w:rsid w:val="003D6EA4"/>
    <w:rsid w:val="003D6F3A"/>
    <w:rsid w:val="003D708D"/>
    <w:rsid w:val="003D7538"/>
    <w:rsid w:val="003D770A"/>
    <w:rsid w:val="003D78F4"/>
    <w:rsid w:val="003D793B"/>
    <w:rsid w:val="003D79BF"/>
    <w:rsid w:val="003D7A5D"/>
    <w:rsid w:val="003D7B87"/>
    <w:rsid w:val="003D7E57"/>
    <w:rsid w:val="003D7EA0"/>
    <w:rsid w:val="003D7FAE"/>
    <w:rsid w:val="003E0185"/>
    <w:rsid w:val="003E03A4"/>
    <w:rsid w:val="003E03BE"/>
    <w:rsid w:val="003E0580"/>
    <w:rsid w:val="003E072D"/>
    <w:rsid w:val="003E0CA6"/>
    <w:rsid w:val="003E0D80"/>
    <w:rsid w:val="003E0FCF"/>
    <w:rsid w:val="003E1076"/>
    <w:rsid w:val="003E1321"/>
    <w:rsid w:val="003E14A7"/>
    <w:rsid w:val="003E164F"/>
    <w:rsid w:val="003E168E"/>
    <w:rsid w:val="003E16E4"/>
    <w:rsid w:val="003E1953"/>
    <w:rsid w:val="003E19AB"/>
    <w:rsid w:val="003E1ADA"/>
    <w:rsid w:val="003E1C17"/>
    <w:rsid w:val="003E1C69"/>
    <w:rsid w:val="003E1CF4"/>
    <w:rsid w:val="003E1D7E"/>
    <w:rsid w:val="003E1EF9"/>
    <w:rsid w:val="003E1F69"/>
    <w:rsid w:val="003E1FCD"/>
    <w:rsid w:val="003E2252"/>
    <w:rsid w:val="003E2287"/>
    <w:rsid w:val="003E2547"/>
    <w:rsid w:val="003E26A3"/>
    <w:rsid w:val="003E2B6F"/>
    <w:rsid w:val="003E2C5B"/>
    <w:rsid w:val="003E2F2C"/>
    <w:rsid w:val="003E306E"/>
    <w:rsid w:val="003E3601"/>
    <w:rsid w:val="003E3731"/>
    <w:rsid w:val="003E3854"/>
    <w:rsid w:val="003E3A21"/>
    <w:rsid w:val="003E3A67"/>
    <w:rsid w:val="003E3B3F"/>
    <w:rsid w:val="003E3BCD"/>
    <w:rsid w:val="003E3D35"/>
    <w:rsid w:val="003E3DD7"/>
    <w:rsid w:val="003E4217"/>
    <w:rsid w:val="003E42B0"/>
    <w:rsid w:val="003E456F"/>
    <w:rsid w:val="003E46B4"/>
    <w:rsid w:val="003E478B"/>
    <w:rsid w:val="003E481D"/>
    <w:rsid w:val="003E485E"/>
    <w:rsid w:val="003E48F9"/>
    <w:rsid w:val="003E4908"/>
    <w:rsid w:val="003E4974"/>
    <w:rsid w:val="003E4C9B"/>
    <w:rsid w:val="003E4D1B"/>
    <w:rsid w:val="003E4F0A"/>
    <w:rsid w:val="003E4F26"/>
    <w:rsid w:val="003E507B"/>
    <w:rsid w:val="003E50D5"/>
    <w:rsid w:val="003E5120"/>
    <w:rsid w:val="003E556B"/>
    <w:rsid w:val="003E58AE"/>
    <w:rsid w:val="003E5CDF"/>
    <w:rsid w:val="003E5D66"/>
    <w:rsid w:val="003E5EA1"/>
    <w:rsid w:val="003E62BD"/>
    <w:rsid w:val="003E6452"/>
    <w:rsid w:val="003E649D"/>
    <w:rsid w:val="003E655F"/>
    <w:rsid w:val="003E673C"/>
    <w:rsid w:val="003E675F"/>
    <w:rsid w:val="003E6762"/>
    <w:rsid w:val="003E6764"/>
    <w:rsid w:val="003E67AF"/>
    <w:rsid w:val="003E6929"/>
    <w:rsid w:val="003E6AF4"/>
    <w:rsid w:val="003E6B3D"/>
    <w:rsid w:val="003E6BA9"/>
    <w:rsid w:val="003E6C36"/>
    <w:rsid w:val="003E70F1"/>
    <w:rsid w:val="003E70FF"/>
    <w:rsid w:val="003E72B6"/>
    <w:rsid w:val="003E72DB"/>
    <w:rsid w:val="003E7351"/>
    <w:rsid w:val="003E7611"/>
    <w:rsid w:val="003E7B8C"/>
    <w:rsid w:val="003E7C3B"/>
    <w:rsid w:val="003E7DAB"/>
    <w:rsid w:val="003E7DDE"/>
    <w:rsid w:val="003E7EA2"/>
    <w:rsid w:val="003E7FA3"/>
    <w:rsid w:val="003E7FFD"/>
    <w:rsid w:val="003F03AB"/>
    <w:rsid w:val="003F0420"/>
    <w:rsid w:val="003F0709"/>
    <w:rsid w:val="003F0727"/>
    <w:rsid w:val="003F0771"/>
    <w:rsid w:val="003F0881"/>
    <w:rsid w:val="003F0A93"/>
    <w:rsid w:val="003F0B6E"/>
    <w:rsid w:val="003F0BF2"/>
    <w:rsid w:val="003F0C0B"/>
    <w:rsid w:val="003F0C5F"/>
    <w:rsid w:val="003F0E18"/>
    <w:rsid w:val="003F0F65"/>
    <w:rsid w:val="003F10D1"/>
    <w:rsid w:val="003F1197"/>
    <w:rsid w:val="003F1566"/>
    <w:rsid w:val="003F186C"/>
    <w:rsid w:val="003F19C9"/>
    <w:rsid w:val="003F1AE1"/>
    <w:rsid w:val="003F1BA6"/>
    <w:rsid w:val="003F1BD2"/>
    <w:rsid w:val="003F1D04"/>
    <w:rsid w:val="003F1F21"/>
    <w:rsid w:val="003F1FB6"/>
    <w:rsid w:val="003F200D"/>
    <w:rsid w:val="003F20A2"/>
    <w:rsid w:val="003F211D"/>
    <w:rsid w:val="003F213C"/>
    <w:rsid w:val="003F2204"/>
    <w:rsid w:val="003F2362"/>
    <w:rsid w:val="003F23D6"/>
    <w:rsid w:val="003F291C"/>
    <w:rsid w:val="003F368B"/>
    <w:rsid w:val="003F3A45"/>
    <w:rsid w:val="003F4011"/>
    <w:rsid w:val="003F41EC"/>
    <w:rsid w:val="003F43C9"/>
    <w:rsid w:val="003F441F"/>
    <w:rsid w:val="003F459F"/>
    <w:rsid w:val="003F472A"/>
    <w:rsid w:val="003F4816"/>
    <w:rsid w:val="003F48E8"/>
    <w:rsid w:val="003F49F2"/>
    <w:rsid w:val="003F4C6A"/>
    <w:rsid w:val="003F4D49"/>
    <w:rsid w:val="003F4EC6"/>
    <w:rsid w:val="003F53DD"/>
    <w:rsid w:val="003F54D5"/>
    <w:rsid w:val="003F5582"/>
    <w:rsid w:val="003F57DC"/>
    <w:rsid w:val="003F586C"/>
    <w:rsid w:val="003F5B5C"/>
    <w:rsid w:val="003F5C8E"/>
    <w:rsid w:val="003F5ECF"/>
    <w:rsid w:val="003F5F7D"/>
    <w:rsid w:val="003F6081"/>
    <w:rsid w:val="003F61B0"/>
    <w:rsid w:val="003F620D"/>
    <w:rsid w:val="003F64E1"/>
    <w:rsid w:val="003F65A3"/>
    <w:rsid w:val="003F6650"/>
    <w:rsid w:val="003F68A9"/>
    <w:rsid w:val="003F6AD2"/>
    <w:rsid w:val="003F6BA5"/>
    <w:rsid w:val="003F6D05"/>
    <w:rsid w:val="003F6EA8"/>
    <w:rsid w:val="003F6F03"/>
    <w:rsid w:val="003F70CB"/>
    <w:rsid w:val="003F7141"/>
    <w:rsid w:val="003F7146"/>
    <w:rsid w:val="003F7556"/>
    <w:rsid w:val="003F78CF"/>
    <w:rsid w:val="003F78D5"/>
    <w:rsid w:val="003F7905"/>
    <w:rsid w:val="003F7975"/>
    <w:rsid w:val="003F7DC3"/>
    <w:rsid w:val="003F7E1D"/>
    <w:rsid w:val="004001AA"/>
    <w:rsid w:val="004002DA"/>
    <w:rsid w:val="0040031B"/>
    <w:rsid w:val="004005D1"/>
    <w:rsid w:val="004007E1"/>
    <w:rsid w:val="0040085C"/>
    <w:rsid w:val="004008C7"/>
    <w:rsid w:val="004008F1"/>
    <w:rsid w:val="00400AE2"/>
    <w:rsid w:val="00400CB9"/>
    <w:rsid w:val="00400D09"/>
    <w:rsid w:val="00400DD1"/>
    <w:rsid w:val="00400ED2"/>
    <w:rsid w:val="00400F03"/>
    <w:rsid w:val="00400F90"/>
    <w:rsid w:val="00401249"/>
    <w:rsid w:val="0040144B"/>
    <w:rsid w:val="00401B17"/>
    <w:rsid w:val="00401E2F"/>
    <w:rsid w:val="00401F8F"/>
    <w:rsid w:val="0040204C"/>
    <w:rsid w:val="004023AA"/>
    <w:rsid w:val="004023E7"/>
    <w:rsid w:val="004023EA"/>
    <w:rsid w:val="00402569"/>
    <w:rsid w:val="004028CE"/>
    <w:rsid w:val="00402917"/>
    <w:rsid w:val="00402BF0"/>
    <w:rsid w:val="00402C39"/>
    <w:rsid w:val="00402C7B"/>
    <w:rsid w:val="00402C8A"/>
    <w:rsid w:val="00402CD6"/>
    <w:rsid w:val="00402E56"/>
    <w:rsid w:val="00402F0D"/>
    <w:rsid w:val="00402F2D"/>
    <w:rsid w:val="00402FE3"/>
    <w:rsid w:val="0040318D"/>
    <w:rsid w:val="004032D4"/>
    <w:rsid w:val="0040340A"/>
    <w:rsid w:val="004038E7"/>
    <w:rsid w:val="00403AD3"/>
    <w:rsid w:val="00403BA4"/>
    <w:rsid w:val="00403BD9"/>
    <w:rsid w:val="00403D44"/>
    <w:rsid w:val="00403E5E"/>
    <w:rsid w:val="00403E6F"/>
    <w:rsid w:val="00403EE5"/>
    <w:rsid w:val="00403F01"/>
    <w:rsid w:val="0040401E"/>
    <w:rsid w:val="004040BA"/>
    <w:rsid w:val="00404166"/>
    <w:rsid w:val="00404187"/>
    <w:rsid w:val="00404251"/>
    <w:rsid w:val="0040430E"/>
    <w:rsid w:val="0040448B"/>
    <w:rsid w:val="00404611"/>
    <w:rsid w:val="00404728"/>
    <w:rsid w:val="00404801"/>
    <w:rsid w:val="004049CD"/>
    <w:rsid w:val="00404ACF"/>
    <w:rsid w:val="00404B39"/>
    <w:rsid w:val="00404BB2"/>
    <w:rsid w:val="00404C35"/>
    <w:rsid w:val="00404CF8"/>
    <w:rsid w:val="00405040"/>
    <w:rsid w:val="0040523D"/>
    <w:rsid w:val="00405244"/>
    <w:rsid w:val="0040532B"/>
    <w:rsid w:val="00405458"/>
    <w:rsid w:val="00405495"/>
    <w:rsid w:val="00405995"/>
    <w:rsid w:val="00405A62"/>
    <w:rsid w:val="0040608A"/>
    <w:rsid w:val="00406506"/>
    <w:rsid w:val="00406596"/>
    <w:rsid w:val="004068E1"/>
    <w:rsid w:val="004069BA"/>
    <w:rsid w:val="00406B07"/>
    <w:rsid w:val="00406C0C"/>
    <w:rsid w:val="004070A0"/>
    <w:rsid w:val="00407104"/>
    <w:rsid w:val="0040713F"/>
    <w:rsid w:val="00407211"/>
    <w:rsid w:val="004072F8"/>
    <w:rsid w:val="00407567"/>
    <w:rsid w:val="00407727"/>
    <w:rsid w:val="004078B7"/>
    <w:rsid w:val="00407AA0"/>
    <w:rsid w:val="00407C64"/>
    <w:rsid w:val="00407F47"/>
    <w:rsid w:val="0041002D"/>
    <w:rsid w:val="0041007C"/>
    <w:rsid w:val="0041008A"/>
    <w:rsid w:val="004100FE"/>
    <w:rsid w:val="00410329"/>
    <w:rsid w:val="004106F5"/>
    <w:rsid w:val="004107B8"/>
    <w:rsid w:val="004107F5"/>
    <w:rsid w:val="00410802"/>
    <w:rsid w:val="00410BA4"/>
    <w:rsid w:val="00410C2A"/>
    <w:rsid w:val="00410CF4"/>
    <w:rsid w:val="00410E3B"/>
    <w:rsid w:val="00410F36"/>
    <w:rsid w:val="00410F54"/>
    <w:rsid w:val="00411051"/>
    <w:rsid w:val="00411091"/>
    <w:rsid w:val="0041116D"/>
    <w:rsid w:val="0041123B"/>
    <w:rsid w:val="0041128D"/>
    <w:rsid w:val="004113F9"/>
    <w:rsid w:val="004114BD"/>
    <w:rsid w:val="0041198C"/>
    <w:rsid w:val="004119ED"/>
    <w:rsid w:val="00411A25"/>
    <w:rsid w:val="00411BC9"/>
    <w:rsid w:val="00411C66"/>
    <w:rsid w:val="00411DB9"/>
    <w:rsid w:val="00412043"/>
    <w:rsid w:val="0041207A"/>
    <w:rsid w:val="0041220F"/>
    <w:rsid w:val="00412265"/>
    <w:rsid w:val="004125C7"/>
    <w:rsid w:val="004125FC"/>
    <w:rsid w:val="00412779"/>
    <w:rsid w:val="004129DA"/>
    <w:rsid w:val="00412B1C"/>
    <w:rsid w:val="00412C88"/>
    <w:rsid w:val="00412D02"/>
    <w:rsid w:val="00412EA6"/>
    <w:rsid w:val="00412F79"/>
    <w:rsid w:val="00413377"/>
    <w:rsid w:val="00413474"/>
    <w:rsid w:val="00413705"/>
    <w:rsid w:val="00413714"/>
    <w:rsid w:val="00413774"/>
    <w:rsid w:val="004137E7"/>
    <w:rsid w:val="00413A7C"/>
    <w:rsid w:val="00413AFB"/>
    <w:rsid w:val="00413C89"/>
    <w:rsid w:val="00413DF8"/>
    <w:rsid w:val="00413E29"/>
    <w:rsid w:val="00413F16"/>
    <w:rsid w:val="00413F7A"/>
    <w:rsid w:val="00414027"/>
    <w:rsid w:val="00414136"/>
    <w:rsid w:val="004141CB"/>
    <w:rsid w:val="00414595"/>
    <w:rsid w:val="00414725"/>
    <w:rsid w:val="00414791"/>
    <w:rsid w:val="004147B3"/>
    <w:rsid w:val="00414821"/>
    <w:rsid w:val="00414848"/>
    <w:rsid w:val="004148CE"/>
    <w:rsid w:val="004148D0"/>
    <w:rsid w:val="0041493C"/>
    <w:rsid w:val="00414A07"/>
    <w:rsid w:val="00414A97"/>
    <w:rsid w:val="00414ABD"/>
    <w:rsid w:val="00414BC2"/>
    <w:rsid w:val="00414E57"/>
    <w:rsid w:val="00414E7B"/>
    <w:rsid w:val="004151D9"/>
    <w:rsid w:val="00415265"/>
    <w:rsid w:val="0041535F"/>
    <w:rsid w:val="004153DC"/>
    <w:rsid w:val="004157A0"/>
    <w:rsid w:val="004157F2"/>
    <w:rsid w:val="004159E6"/>
    <w:rsid w:val="00415A91"/>
    <w:rsid w:val="00415AB8"/>
    <w:rsid w:val="00415BC8"/>
    <w:rsid w:val="00415BDF"/>
    <w:rsid w:val="00415D0B"/>
    <w:rsid w:val="00415D21"/>
    <w:rsid w:val="00415D68"/>
    <w:rsid w:val="00415E23"/>
    <w:rsid w:val="00415ED1"/>
    <w:rsid w:val="00415F10"/>
    <w:rsid w:val="00415F43"/>
    <w:rsid w:val="00415F95"/>
    <w:rsid w:val="0041629E"/>
    <w:rsid w:val="0041630F"/>
    <w:rsid w:val="004164C1"/>
    <w:rsid w:val="004166B3"/>
    <w:rsid w:val="004168DF"/>
    <w:rsid w:val="00416A86"/>
    <w:rsid w:val="00416BBB"/>
    <w:rsid w:val="00416D52"/>
    <w:rsid w:val="004173DE"/>
    <w:rsid w:val="0041759F"/>
    <w:rsid w:val="004175AC"/>
    <w:rsid w:val="004178D6"/>
    <w:rsid w:val="004179AB"/>
    <w:rsid w:val="004179C7"/>
    <w:rsid w:val="00417B35"/>
    <w:rsid w:val="00417B3F"/>
    <w:rsid w:val="00417B86"/>
    <w:rsid w:val="00417B9A"/>
    <w:rsid w:val="00417C06"/>
    <w:rsid w:val="00417CDE"/>
    <w:rsid w:val="00417D26"/>
    <w:rsid w:val="00417D8F"/>
    <w:rsid w:val="00417E43"/>
    <w:rsid w:val="0042016F"/>
    <w:rsid w:val="004201B6"/>
    <w:rsid w:val="004201D1"/>
    <w:rsid w:val="004202F1"/>
    <w:rsid w:val="0042038A"/>
    <w:rsid w:val="0042043A"/>
    <w:rsid w:val="00420465"/>
    <w:rsid w:val="0042055C"/>
    <w:rsid w:val="00420599"/>
    <w:rsid w:val="004207B0"/>
    <w:rsid w:val="004207F8"/>
    <w:rsid w:val="00420BB6"/>
    <w:rsid w:val="00420C6D"/>
    <w:rsid w:val="00420C9E"/>
    <w:rsid w:val="00420D3A"/>
    <w:rsid w:val="00420F93"/>
    <w:rsid w:val="004213FC"/>
    <w:rsid w:val="004215E4"/>
    <w:rsid w:val="004217A8"/>
    <w:rsid w:val="00421ED7"/>
    <w:rsid w:val="00422147"/>
    <w:rsid w:val="00422149"/>
    <w:rsid w:val="00422218"/>
    <w:rsid w:val="00422438"/>
    <w:rsid w:val="00422513"/>
    <w:rsid w:val="00422780"/>
    <w:rsid w:val="0042281A"/>
    <w:rsid w:val="004228D4"/>
    <w:rsid w:val="00422A1B"/>
    <w:rsid w:val="00422C5D"/>
    <w:rsid w:val="00422D52"/>
    <w:rsid w:val="00422D90"/>
    <w:rsid w:val="00422DF8"/>
    <w:rsid w:val="00423159"/>
    <w:rsid w:val="00423205"/>
    <w:rsid w:val="0042330F"/>
    <w:rsid w:val="00423450"/>
    <w:rsid w:val="00423926"/>
    <w:rsid w:val="00423944"/>
    <w:rsid w:val="00423A6C"/>
    <w:rsid w:val="00423AFC"/>
    <w:rsid w:val="00423B64"/>
    <w:rsid w:val="004241A4"/>
    <w:rsid w:val="004241B3"/>
    <w:rsid w:val="004241F4"/>
    <w:rsid w:val="004244F1"/>
    <w:rsid w:val="004245A7"/>
    <w:rsid w:val="00424708"/>
    <w:rsid w:val="004247E5"/>
    <w:rsid w:val="0042484C"/>
    <w:rsid w:val="0042488B"/>
    <w:rsid w:val="004248B4"/>
    <w:rsid w:val="0042497E"/>
    <w:rsid w:val="00424986"/>
    <w:rsid w:val="00424C73"/>
    <w:rsid w:val="00424D36"/>
    <w:rsid w:val="00425080"/>
    <w:rsid w:val="0042520E"/>
    <w:rsid w:val="0042527E"/>
    <w:rsid w:val="004253C9"/>
    <w:rsid w:val="004253D2"/>
    <w:rsid w:val="00425518"/>
    <w:rsid w:val="004256C8"/>
    <w:rsid w:val="004259C1"/>
    <w:rsid w:val="00425AD4"/>
    <w:rsid w:val="00425E47"/>
    <w:rsid w:val="004260AA"/>
    <w:rsid w:val="004262E7"/>
    <w:rsid w:val="004263CE"/>
    <w:rsid w:val="00426442"/>
    <w:rsid w:val="00426566"/>
    <w:rsid w:val="00426576"/>
    <w:rsid w:val="004266CE"/>
    <w:rsid w:val="00426847"/>
    <w:rsid w:val="00426CC5"/>
    <w:rsid w:val="00426E9A"/>
    <w:rsid w:val="00426F88"/>
    <w:rsid w:val="00426FA9"/>
    <w:rsid w:val="00427012"/>
    <w:rsid w:val="00427025"/>
    <w:rsid w:val="0042723C"/>
    <w:rsid w:val="00427316"/>
    <w:rsid w:val="0042745C"/>
    <w:rsid w:val="0042787C"/>
    <w:rsid w:val="00427BDA"/>
    <w:rsid w:val="00427CAB"/>
    <w:rsid w:val="00427F60"/>
    <w:rsid w:val="0043006F"/>
    <w:rsid w:val="00430122"/>
    <w:rsid w:val="004301CF"/>
    <w:rsid w:val="00430274"/>
    <w:rsid w:val="004303BB"/>
    <w:rsid w:val="004303D9"/>
    <w:rsid w:val="00430506"/>
    <w:rsid w:val="0043050E"/>
    <w:rsid w:val="0043073B"/>
    <w:rsid w:val="0043074C"/>
    <w:rsid w:val="004307DE"/>
    <w:rsid w:val="00430BD9"/>
    <w:rsid w:val="00430C0A"/>
    <w:rsid w:val="00430E2F"/>
    <w:rsid w:val="00430EB9"/>
    <w:rsid w:val="00430F01"/>
    <w:rsid w:val="00430FC1"/>
    <w:rsid w:val="00431096"/>
    <w:rsid w:val="00431146"/>
    <w:rsid w:val="0043126A"/>
    <w:rsid w:val="0043138B"/>
    <w:rsid w:val="0043165C"/>
    <w:rsid w:val="0043168C"/>
    <w:rsid w:val="004316C2"/>
    <w:rsid w:val="004316E2"/>
    <w:rsid w:val="004318DD"/>
    <w:rsid w:val="004318E2"/>
    <w:rsid w:val="00431AF4"/>
    <w:rsid w:val="00431BF8"/>
    <w:rsid w:val="00431C22"/>
    <w:rsid w:val="00431C41"/>
    <w:rsid w:val="00431C45"/>
    <w:rsid w:val="00431E80"/>
    <w:rsid w:val="00431F0B"/>
    <w:rsid w:val="00432110"/>
    <w:rsid w:val="0043219C"/>
    <w:rsid w:val="0043226E"/>
    <w:rsid w:val="0043244F"/>
    <w:rsid w:val="0043259D"/>
    <w:rsid w:val="0043268A"/>
    <w:rsid w:val="004326E0"/>
    <w:rsid w:val="0043278F"/>
    <w:rsid w:val="004327C8"/>
    <w:rsid w:val="004328DB"/>
    <w:rsid w:val="00432AC3"/>
    <w:rsid w:val="00432B27"/>
    <w:rsid w:val="00432D04"/>
    <w:rsid w:val="00432EC8"/>
    <w:rsid w:val="00432F12"/>
    <w:rsid w:val="0043327C"/>
    <w:rsid w:val="00433395"/>
    <w:rsid w:val="0043342C"/>
    <w:rsid w:val="00433447"/>
    <w:rsid w:val="00433773"/>
    <w:rsid w:val="00433A2A"/>
    <w:rsid w:val="00433EE0"/>
    <w:rsid w:val="0043405F"/>
    <w:rsid w:val="0043418D"/>
    <w:rsid w:val="0043424B"/>
    <w:rsid w:val="00434287"/>
    <w:rsid w:val="0043437E"/>
    <w:rsid w:val="0043443C"/>
    <w:rsid w:val="00434576"/>
    <w:rsid w:val="00434624"/>
    <w:rsid w:val="0043475A"/>
    <w:rsid w:val="00434796"/>
    <w:rsid w:val="00434875"/>
    <w:rsid w:val="00434902"/>
    <w:rsid w:val="00434CEF"/>
    <w:rsid w:val="00434E10"/>
    <w:rsid w:val="00434F5C"/>
    <w:rsid w:val="0043503B"/>
    <w:rsid w:val="004350C8"/>
    <w:rsid w:val="0043518C"/>
    <w:rsid w:val="004352B7"/>
    <w:rsid w:val="004352E8"/>
    <w:rsid w:val="004357CB"/>
    <w:rsid w:val="004358AA"/>
    <w:rsid w:val="00435A98"/>
    <w:rsid w:val="00435C84"/>
    <w:rsid w:val="00435DB3"/>
    <w:rsid w:val="00435F27"/>
    <w:rsid w:val="00435FA2"/>
    <w:rsid w:val="00435FAE"/>
    <w:rsid w:val="004360F5"/>
    <w:rsid w:val="00436284"/>
    <w:rsid w:val="004363A2"/>
    <w:rsid w:val="004363BC"/>
    <w:rsid w:val="00436772"/>
    <w:rsid w:val="004367CC"/>
    <w:rsid w:val="0043684C"/>
    <w:rsid w:val="004368A6"/>
    <w:rsid w:val="0043699A"/>
    <w:rsid w:val="00436A4E"/>
    <w:rsid w:val="00436EED"/>
    <w:rsid w:val="004370C2"/>
    <w:rsid w:val="0043744A"/>
    <w:rsid w:val="0043761E"/>
    <w:rsid w:val="004379A1"/>
    <w:rsid w:val="00437A9E"/>
    <w:rsid w:val="00437AB1"/>
    <w:rsid w:val="00437BC0"/>
    <w:rsid w:val="00437DA6"/>
    <w:rsid w:val="00440215"/>
    <w:rsid w:val="004405CE"/>
    <w:rsid w:val="0044077E"/>
    <w:rsid w:val="004409DF"/>
    <w:rsid w:val="00441265"/>
    <w:rsid w:val="004413CE"/>
    <w:rsid w:val="00441508"/>
    <w:rsid w:val="00441601"/>
    <w:rsid w:val="00441E06"/>
    <w:rsid w:val="00441F4B"/>
    <w:rsid w:val="004420B3"/>
    <w:rsid w:val="0044217E"/>
    <w:rsid w:val="004421AA"/>
    <w:rsid w:val="00442413"/>
    <w:rsid w:val="0044252B"/>
    <w:rsid w:val="0044259A"/>
    <w:rsid w:val="004425B7"/>
    <w:rsid w:val="0044265E"/>
    <w:rsid w:val="004427D2"/>
    <w:rsid w:val="004429E4"/>
    <w:rsid w:val="00442D2F"/>
    <w:rsid w:val="00442E30"/>
    <w:rsid w:val="00442E78"/>
    <w:rsid w:val="00443003"/>
    <w:rsid w:val="00443022"/>
    <w:rsid w:val="004433D4"/>
    <w:rsid w:val="00443494"/>
    <w:rsid w:val="00443616"/>
    <w:rsid w:val="0044364C"/>
    <w:rsid w:val="00443815"/>
    <w:rsid w:val="0044392D"/>
    <w:rsid w:val="00443A51"/>
    <w:rsid w:val="00443ABE"/>
    <w:rsid w:val="00443E02"/>
    <w:rsid w:val="00443E27"/>
    <w:rsid w:val="00444001"/>
    <w:rsid w:val="004441E0"/>
    <w:rsid w:val="00444207"/>
    <w:rsid w:val="00444427"/>
    <w:rsid w:val="00444634"/>
    <w:rsid w:val="0044465B"/>
    <w:rsid w:val="0044466F"/>
    <w:rsid w:val="00444711"/>
    <w:rsid w:val="0044482C"/>
    <w:rsid w:val="00444916"/>
    <w:rsid w:val="00444B5B"/>
    <w:rsid w:val="00444DAF"/>
    <w:rsid w:val="00444E61"/>
    <w:rsid w:val="00444E95"/>
    <w:rsid w:val="00444F4B"/>
    <w:rsid w:val="00444F88"/>
    <w:rsid w:val="00445057"/>
    <w:rsid w:val="004451FD"/>
    <w:rsid w:val="0044521D"/>
    <w:rsid w:val="00445550"/>
    <w:rsid w:val="00445562"/>
    <w:rsid w:val="0044581B"/>
    <w:rsid w:val="004459BC"/>
    <w:rsid w:val="00445BDC"/>
    <w:rsid w:val="00445BF8"/>
    <w:rsid w:val="004461D3"/>
    <w:rsid w:val="00446415"/>
    <w:rsid w:val="0044648B"/>
    <w:rsid w:val="00446496"/>
    <w:rsid w:val="004464FD"/>
    <w:rsid w:val="0044653E"/>
    <w:rsid w:val="0044658C"/>
    <w:rsid w:val="00446753"/>
    <w:rsid w:val="00446C57"/>
    <w:rsid w:val="00446E2E"/>
    <w:rsid w:val="00446F2B"/>
    <w:rsid w:val="00447270"/>
    <w:rsid w:val="004473FA"/>
    <w:rsid w:val="0044779D"/>
    <w:rsid w:val="004477ED"/>
    <w:rsid w:val="00447A6B"/>
    <w:rsid w:val="00447A7B"/>
    <w:rsid w:val="00447C33"/>
    <w:rsid w:val="00447CD4"/>
    <w:rsid w:val="00447CE5"/>
    <w:rsid w:val="00447DF1"/>
    <w:rsid w:val="00447E4A"/>
    <w:rsid w:val="0045025B"/>
    <w:rsid w:val="00450613"/>
    <w:rsid w:val="0045070B"/>
    <w:rsid w:val="004507B6"/>
    <w:rsid w:val="004507DA"/>
    <w:rsid w:val="00450A07"/>
    <w:rsid w:val="00450C54"/>
    <w:rsid w:val="00450D67"/>
    <w:rsid w:val="0045109A"/>
    <w:rsid w:val="00451130"/>
    <w:rsid w:val="00451135"/>
    <w:rsid w:val="0045115D"/>
    <w:rsid w:val="004511D6"/>
    <w:rsid w:val="004513EF"/>
    <w:rsid w:val="00451411"/>
    <w:rsid w:val="00451536"/>
    <w:rsid w:val="00451846"/>
    <w:rsid w:val="00451866"/>
    <w:rsid w:val="00451BC7"/>
    <w:rsid w:val="00451C83"/>
    <w:rsid w:val="00451ED5"/>
    <w:rsid w:val="00451F20"/>
    <w:rsid w:val="00451F37"/>
    <w:rsid w:val="00452007"/>
    <w:rsid w:val="00452180"/>
    <w:rsid w:val="004521C0"/>
    <w:rsid w:val="004524F7"/>
    <w:rsid w:val="00452557"/>
    <w:rsid w:val="00452894"/>
    <w:rsid w:val="00452A23"/>
    <w:rsid w:val="00452D8A"/>
    <w:rsid w:val="00452FC1"/>
    <w:rsid w:val="00452FFE"/>
    <w:rsid w:val="00453038"/>
    <w:rsid w:val="004531B2"/>
    <w:rsid w:val="004531BB"/>
    <w:rsid w:val="004531F3"/>
    <w:rsid w:val="004534C1"/>
    <w:rsid w:val="00453588"/>
    <w:rsid w:val="004535EE"/>
    <w:rsid w:val="0045370D"/>
    <w:rsid w:val="004538DD"/>
    <w:rsid w:val="00453917"/>
    <w:rsid w:val="0045396A"/>
    <w:rsid w:val="00453C46"/>
    <w:rsid w:val="004541B8"/>
    <w:rsid w:val="004543E0"/>
    <w:rsid w:val="00454476"/>
    <w:rsid w:val="00454510"/>
    <w:rsid w:val="00454529"/>
    <w:rsid w:val="0045514B"/>
    <w:rsid w:val="004551E7"/>
    <w:rsid w:val="00455299"/>
    <w:rsid w:val="00455872"/>
    <w:rsid w:val="0045595E"/>
    <w:rsid w:val="00455BB8"/>
    <w:rsid w:val="00455C26"/>
    <w:rsid w:val="00455D54"/>
    <w:rsid w:val="00455F37"/>
    <w:rsid w:val="00455F64"/>
    <w:rsid w:val="004562CB"/>
    <w:rsid w:val="004564AE"/>
    <w:rsid w:val="004564EC"/>
    <w:rsid w:val="00456559"/>
    <w:rsid w:val="0045664D"/>
    <w:rsid w:val="004566DC"/>
    <w:rsid w:val="004567CA"/>
    <w:rsid w:val="00456877"/>
    <w:rsid w:val="004568A9"/>
    <w:rsid w:val="0045696D"/>
    <w:rsid w:val="004569A2"/>
    <w:rsid w:val="00456BEA"/>
    <w:rsid w:val="00456C1D"/>
    <w:rsid w:val="00456C23"/>
    <w:rsid w:val="00456E36"/>
    <w:rsid w:val="00457371"/>
    <w:rsid w:val="00457482"/>
    <w:rsid w:val="004574AA"/>
    <w:rsid w:val="00457787"/>
    <w:rsid w:val="0045785E"/>
    <w:rsid w:val="004579DF"/>
    <w:rsid w:val="00457C07"/>
    <w:rsid w:val="00457C43"/>
    <w:rsid w:val="00457D00"/>
    <w:rsid w:val="00457D43"/>
    <w:rsid w:val="00457E22"/>
    <w:rsid w:val="00457E6D"/>
    <w:rsid w:val="00457E9E"/>
    <w:rsid w:val="00457EA9"/>
    <w:rsid w:val="00457F27"/>
    <w:rsid w:val="00457F38"/>
    <w:rsid w:val="00460008"/>
    <w:rsid w:val="0046013B"/>
    <w:rsid w:val="004602B0"/>
    <w:rsid w:val="004602EE"/>
    <w:rsid w:val="0046044A"/>
    <w:rsid w:val="004606EE"/>
    <w:rsid w:val="0046081C"/>
    <w:rsid w:val="004609F8"/>
    <w:rsid w:val="00460A05"/>
    <w:rsid w:val="00460C2E"/>
    <w:rsid w:val="00460FBF"/>
    <w:rsid w:val="00461055"/>
    <w:rsid w:val="0046116E"/>
    <w:rsid w:val="004612FD"/>
    <w:rsid w:val="00461340"/>
    <w:rsid w:val="004613D5"/>
    <w:rsid w:val="00461415"/>
    <w:rsid w:val="004615B4"/>
    <w:rsid w:val="004615CC"/>
    <w:rsid w:val="00461625"/>
    <w:rsid w:val="004616E5"/>
    <w:rsid w:val="004617F2"/>
    <w:rsid w:val="00461B8A"/>
    <w:rsid w:val="00461D00"/>
    <w:rsid w:val="00461E5F"/>
    <w:rsid w:val="00461FFB"/>
    <w:rsid w:val="00462103"/>
    <w:rsid w:val="004621D5"/>
    <w:rsid w:val="004622D6"/>
    <w:rsid w:val="004622E2"/>
    <w:rsid w:val="00462582"/>
    <w:rsid w:val="004625A3"/>
    <w:rsid w:val="0046265F"/>
    <w:rsid w:val="004627D8"/>
    <w:rsid w:val="004628EA"/>
    <w:rsid w:val="00462A6B"/>
    <w:rsid w:val="00462B17"/>
    <w:rsid w:val="00462E1F"/>
    <w:rsid w:val="00462F6F"/>
    <w:rsid w:val="00463085"/>
    <w:rsid w:val="00463662"/>
    <w:rsid w:val="0046375C"/>
    <w:rsid w:val="0046380F"/>
    <w:rsid w:val="00463956"/>
    <w:rsid w:val="00463AEC"/>
    <w:rsid w:val="00463BD9"/>
    <w:rsid w:val="00463C7E"/>
    <w:rsid w:val="0046417A"/>
    <w:rsid w:val="00464574"/>
    <w:rsid w:val="0046476C"/>
    <w:rsid w:val="00464A0A"/>
    <w:rsid w:val="00464AD7"/>
    <w:rsid w:val="00464AFE"/>
    <w:rsid w:val="00464B45"/>
    <w:rsid w:val="00464C78"/>
    <w:rsid w:val="00464E09"/>
    <w:rsid w:val="00464FCA"/>
    <w:rsid w:val="00464FE1"/>
    <w:rsid w:val="00465391"/>
    <w:rsid w:val="0046548C"/>
    <w:rsid w:val="004654DB"/>
    <w:rsid w:val="0046567D"/>
    <w:rsid w:val="00465854"/>
    <w:rsid w:val="0046591F"/>
    <w:rsid w:val="00465A11"/>
    <w:rsid w:val="00465DC8"/>
    <w:rsid w:val="00465EC9"/>
    <w:rsid w:val="0046605C"/>
    <w:rsid w:val="004661DD"/>
    <w:rsid w:val="004661F6"/>
    <w:rsid w:val="0046630A"/>
    <w:rsid w:val="0046632E"/>
    <w:rsid w:val="00466334"/>
    <w:rsid w:val="004664AC"/>
    <w:rsid w:val="0046650B"/>
    <w:rsid w:val="00466556"/>
    <w:rsid w:val="004665B9"/>
    <w:rsid w:val="00466718"/>
    <w:rsid w:val="00466779"/>
    <w:rsid w:val="00466884"/>
    <w:rsid w:val="004668D0"/>
    <w:rsid w:val="004668F6"/>
    <w:rsid w:val="00466928"/>
    <w:rsid w:val="004669F0"/>
    <w:rsid w:val="00466B5A"/>
    <w:rsid w:val="00466CAA"/>
    <w:rsid w:val="00467057"/>
    <w:rsid w:val="00467164"/>
    <w:rsid w:val="00467699"/>
    <w:rsid w:val="00467867"/>
    <w:rsid w:val="0046789D"/>
    <w:rsid w:val="00467A30"/>
    <w:rsid w:val="00467A76"/>
    <w:rsid w:val="00467AC2"/>
    <w:rsid w:val="00467DE3"/>
    <w:rsid w:val="0047027D"/>
    <w:rsid w:val="004703CE"/>
    <w:rsid w:val="004703E4"/>
    <w:rsid w:val="00470547"/>
    <w:rsid w:val="00470551"/>
    <w:rsid w:val="0047061B"/>
    <w:rsid w:val="00470634"/>
    <w:rsid w:val="00470A28"/>
    <w:rsid w:val="00470AF5"/>
    <w:rsid w:val="00470D5F"/>
    <w:rsid w:val="00470D6C"/>
    <w:rsid w:val="00470DBC"/>
    <w:rsid w:val="004711B3"/>
    <w:rsid w:val="0047129B"/>
    <w:rsid w:val="004713A8"/>
    <w:rsid w:val="004718E5"/>
    <w:rsid w:val="00471A08"/>
    <w:rsid w:val="00471CA5"/>
    <w:rsid w:val="00471D77"/>
    <w:rsid w:val="0047257B"/>
    <w:rsid w:val="004725E0"/>
    <w:rsid w:val="004729F6"/>
    <w:rsid w:val="00472AF8"/>
    <w:rsid w:val="00472DAE"/>
    <w:rsid w:val="00472E2D"/>
    <w:rsid w:val="00472F87"/>
    <w:rsid w:val="00473071"/>
    <w:rsid w:val="004731E0"/>
    <w:rsid w:val="00473606"/>
    <w:rsid w:val="0047371E"/>
    <w:rsid w:val="004738E5"/>
    <w:rsid w:val="004739CC"/>
    <w:rsid w:val="00473AAE"/>
    <w:rsid w:val="00473B93"/>
    <w:rsid w:val="00473C32"/>
    <w:rsid w:val="00473CA1"/>
    <w:rsid w:val="00473D61"/>
    <w:rsid w:val="00474181"/>
    <w:rsid w:val="004742F3"/>
    <w:rsid w:val="0047447A"/>
    <w:rsid w:val="0047455E"/>
    <w:rsid w:val="004745EA"/>
    <w:rsid w:val="00474816"/>
    <w:rsid w:val="004748BE"/>
    <w:rsid w:val="00474A86"/>
    <w:rsid w:val="00474EC7"/>
    <w:rsid w:val="00475054"/>
    <w:rsid w:val="0047516C"/>
    <w:rsid w:val="004751E1"/>
    <w:rsid w:val="00475216"/>
    <w:rsid w:val="004752F3"/>
    <w:rsid w:val="00475331"/>
    <w:rsid w:val="004755CD"/>
    <w:rsid w:val="00475641"/>
    <w:rsid w:val="00475815"/>
    <w:rsid w:val="00475999"/>
    <w:rsid w:val="00475AA0"/>
    <w:rsid w:val="00475AE3"/>
    <w:rsid w:val="00475C1E"/>
    <w:rsid w:val="00475D65"/>
    <w:rsid w:val="00475E11"/>
    <w:rsid w:val="00475F04"/>
    <w:rsid w:val="00476016"/>
    <w:rsid w:val="00476067"/>
    <w:rsid w:val="0047630F"/>
    <w:rsid w:val="004764C7"/>
    <w:rsid w:val="00476D30"/>
    <w:rsid w:val="00476F3B"/>
    <w:rsid w:val="00477198"/>
    <w:rsid w:val="00477203"/>
    <w:rsid w:val="00477285"/>
    <w:rsid w:val="00477512"/>
    <w:rsid w:val="00477648"/>
    <w:rsid w:val="0047779A"/>
    <w:rsid w:val="00477817"/>
    <w:rsid w:val="0047798F"/>
    <w:rsid w:val="00477AF5"/>
    <w:rsid w:val="00477D52"/>
    <w:rsid w:val="00477FD4"/>
    <w:rsid w:val="00480149"/>
    <w:rsid w:val="004802D4"/>
    <w:rsid w:val="00480370"/>
    <w:rsid w:val="004805C1"/>
    <w:rsid w:val="00480685"/>
    <w:rsid w:val="0048083B"/>
    <w:rsid w:val="004808AF"/>
    <w:rsid w:val="004808B7"/>
    <w:rsid w:val="004809F1"/>
    <w:rsid w:val="00480A47"/>
    <w:rsid w:val="00480A97"/>
    <w:rsid w:val="00480C33"/>
    <w:rsid w:val="00480C9F"/>
    <w:rsid w:val="00480E7D"/>
    <w:rsid w:val="00481287"/>
    <w:rsid w:val="004812DC"/>
    <w:rsid w:val="00481300"/>
    <w:rsid w:val="004813BB"/>
    <w:rsid w:val="004815FB"/>
    <w:rsid w:val="00481B23"/>
    <w:rsid w:val="00481B93"/>
    <w:rsid w:val="00481C00"/>
    <w:rsid w:val="00481CB5"/>
    <w:rsid w:val="00481F11"/>
    <w:rsid w:val="00481FFA"/>
    <w:rsid w:val="0048208E"/>
    <w:rsid w:val="0048217F"/>
    <w:rsid w:val="0048220B"/>
    <w:rsid w:val="00482263"/>
    <w:rsid w:val="004824AF"/>
    <w:rsid w:val="004827D2"/>
    <w:rsid w:val="00482B23"/>
    <w:rsid w:val="00482BB2"/>
    <w:rsid w:val="00482C34"/>
    <w:rsid w:val="00482D17"/>
    <w:rsid w:val="00482D47"/>
    <w:rsid w:val="00482E75"/>
    <w:rsid w:val="00482FCA"/>
    <w:rsid w:val="004830C5"/>
    <w:rsid w:val="004830EF"/>
    <w:rsid w:val="004835FA"/>
    <w:rsid w:val="00483631"/>
    <w:rsid w:val="004837B6"/>
    <w:rsid w:val="00483982"/>
    <w:rsid w:val="00483A72"/>
    <w:rsid w:val="00483ACF"/>
    <w:rsid w:val="00483BFE"/>
    <w:rsid w:val="00483D14"/>
    <w:rsid w:val="00483D6E"/>
    <w:rsid w:val="00483EA9"/>
    <w:rsid w:val="00483F39"/>
    <w:rsid w:val="004840F7"/>
    <w:rsid w:val="00484139"/>
    <w:rsid w:val="004841EF"/>
    <w:rsid w:val="00484211"/>
    <w:rsid w:val="0048450A"/>
    <w:rsid w:val="00484A4B"/>
    <w:rsid w:val="00484DB3"/>
    <w:rsid w:val="00484E79"/>
    <w:rsid w:val="00484F75"/>
    <w:rsid w:val="004850AC"/>
    <w:rsid w:val="00485274"/>
    <w:rsid w:val="0048544F"/>
    <w:rsid w:val="004855C1"/>
    <w:rsid w:val="00485A0A"/>
    <w:rsid w:val="00485BFB"/>
    <w:rsid w:val="00485E0E"/>
    <w:rsid w:val="00485E87"/>
    <w:rsid w:val="00486141"/>
    <w:rsid w:val="00486432"/>
    <w:rsid w:val="00486483"/>
    <w:rsid w:val="00486512"/>
    <w:rsid w:val="00486562"/>
    <w:rsid w:val="0048659B"/>
    <w:rsid w:val="004865B8"/>
    <w:rsid w:val="004867D5"/>
    <w:rsid w:val="004867D8"/>
    <w:rsid w:val="004868DC"/>
    <w:rsid w:val="00486A99"/>
    <w:rsid w:val="00486F3A"/>
    <w:rsid w:val="00487A33"/>
    <w:rsid w:val="00487B89"/>
    <w:rsid w:val="00487BCA"/>
    <w:rsid w:val="00487F40"/>
    <w:rsid w:val="00490007"/>
    <w:rsid w:val="00490074"/>
    <w:rsid w:val="00490082"/>
    <w:rsid w:val="00490103"/>
    <w:rsid w:val="00490212"/>
    <w:rsid w:val="00490275"/>
    <w:rsid w:val="0049085C"/>
    <w:rsid w:val="00490D84"/>
    <w:rsid w:val="00490EBF"/>
    <w:rsid w:val="00490F69"/>
    <w:rsid w:val="00491078"/>
    <w:rsid w:val="00491296"/>
    <w:rsid w:val="004912F3"/>
    <w:rsid w:val="004913E0"/>
    <w:rsid w:val="004913F2"/>
    <w:rsid w:val="004914B6"/>
    <w:rsid w:val="00491D65"/>
    <w:rsid w:val="004921B8"/>
    <w:rsid w:val="00492212"/>
    <w:rsid w:val="004924A7"/>
    <w:rsid w:val="00492911"/>
    <w:rsid w:val="00492950"/>
    <w:rsid w:val="00492A80"/>
    <w:rsid w:val="00492CD4"/>
    <w:rsid w:val="004931D9"/>
    <w:rsid w:val="00493253"/>
    <w:rsid w:val="0049332D"/>
    <w:rsid w:val="00493424"/>
    <w:rsid w:val="0049350E"/>
    <w:rsid w:val="0049360D"/>
    <w:rsid w:val="004936C8"/>
    <w:rsid w:val="00493752"/>
    <w:rsid w:val="00493A67"/>
    <w:rsid w:val="00493AD2"/>
    <w:rsid w:val="00493B98"/>
    <w:rsid w:val="00493D53"/>
    <w:rsid w:val="00493DB5"/>
    <w:rsid w:val="00493EB9"/>
    <w:rsid w:val="00494395"/>
    <w:rsid w:val="00494496"/>
    <w:rsid w:val="004945B4"/>
    <w:rsid w:val="00494637"/>
    <w:rsid w:val="00494C3F"/>
    <w:rsid w:val="00494DAD"/>
    <w:rsid w:val="0049505F"/>
    <w:rsid w:val="004950EC"/>
    <w:rsid w:val="0049512E"/>
    <w:rsid w:val="00495660"/>
    <w:rsid w:val="004959C3"/>
    <w:rsid w:val="00495A40"/>
    <w:rsid w:val="00495BC7"/>
    <w:rsid w:val="00495C53"/>
    <w:rsid w:val="00495E74"/>
    <w:rsid w:val="00495EFF"/>
    <w:rsid w:val="00495F94"/>
    <w:rsid w:val="00495FBF"/>
    <w:rsid w:val="0049606C"/>
    <w:rsid w:val="0049619F"/>
    <w:rsid w:val="004964DD"/>
    <w:rsid w:val="00496560"/>
    <w:rsid w:val="004965E6"/>
    <w:rsid w:val="004966E6"/>
    <w:rsid w:val="00496793"/>
    <w:rsid w:val="004967AB"/>
    <w:rsid w:val="004969EA"/>
    <w:rsid w:val="00496A56"/>
    <w:rsid w:val="00496B4D"/>
    <w:rsid w:val="00496C4A"/>
    <w:rsid w:val="004970A1"/>
    <w:rsid w:val="00497493"/>
    <w:rsid w:val="004975D1"/>
    <w:rsid w:val="004975E6"/>
    <w:rsid w:val="00497672"/>
    <w:rsid w:val="00497738"/>
    <w:rsid w:val="004977AE"/>
    <w:rsid w:val="004977E0"/>
    <w:rsid w:val="004977EF"/>
    <w:rsid w:val="004978DE"/>
    <w:rsid w:val="00497A79"/>
    <w:rsid w:val="00497A7D"/>
    <w:rsid w:val="00497B3F"/>
    <w:rsid w:val="00497CE7"/>
    <w:rsid w:val="004A016B"/>
    <w:rsid w:val="004A025B"/>
    <w:rsid w:val="004A03CF"/>
    <w:rsid w:val="004A0428"/>
    <w:rsid w:val="004A04CF"/>
    <w:rsid w:val="004A065E"/>
    <w:rsid w:val="004A067E"/>
    <w:rsid w:val="004A0768"/>
    <w:rsid w:val="004A09EE"/>
    <w:rsid w:val="004A0B21"/>
    <w:rsid w:val="004A0BE1"/>
    <w:rsid w:val="004A0C50"/>
    <w:rsid w:val="004A0C57"/>
    <w:rsid w:val="004A0F3D"/>
    <w:rsid w:val="004A1321"/>
    <w:rsid w:val="004A1374"/>
    <w:rsid w:val="004A1488"/>
    <w:rsid w:val="004A158E"/>
    <w:rsid w:val="004A15F2"/>
    <w:rsid w:val="004A1628"/>
    <w:rsid w:val="004A172A"/>
    <w:rsid w:val="004A18ED"/>
    <w:rsid w:val="004A1D73"/>
    <w:rsid w:val="004A1E17"/>
    <w:rsid w:val="004A1EED"/>
    <w:rsid w:val="004A2316"/>
    <w:rsid w:val="004A2337"/>
    <w:rsid w:val="004A23B5"/>
    <w:rsid w:val="004A24CA"/>
    <w:rsid w:val="004A2519"/>
    <w:rsid w:val="004A2550"/>
    <w:rsid w:val="004A2635"/>
    <w:rsid w:val="004A2921"/>
    <w:rsid w:val="004A2AC5"/>
    <w:rsid w:val="004A2AF2"/>
    <w:rsid w:val="004A2CDE"/>
    <w:rsid w:val="004A2FF6"/>
    <w:rsid w:val="004A3029"/>
    <w:rsid w:val="004A338B"/>
    <w:rsid w:val="004A35B5"/>
    <w:rsid w:val="004A380B"/>
    <w:rsid w:val="004A3901"/>
    <w:rsid w:val="004A39A1"/>
    <w:rsid w:val="004A39CA"/>
    <w:rsid w:val="004A39E7"/>
    <w:rsid w:val="004A3A48"/>
    <w:rsid w:val="004A3BEC"/>
    <w:rsid w:val="004A3D89"/>
    <w:rsid w:val="004A3DD9"/>
    <w:rsid w:val="004A4097"/>
    <w:rsid w:val="004A40B9"/>
    <w:rsid w:val="004A4240"/>
    <w:rsid w:val="004A43A5"/>
    <w:rsid w:val="004A45E3"/>
    <w:rsid w:val="004A4665"/>
    <w:rsid w:val="004A4951"/>
    <w:rsid w:val="004A4D4B"/>
    <w:rsid w:val="004A505A"/>
    <w:rsid w:val="004A5556"/>
    <w:rsid w:val="004A56C1"/>
    <w:rsid w:val="004A56F5"/>
    <w:rsid w:val="004A57CF"/>
    <w:rsid w:val="004A58AD"/>
    <w:rsid w:val="004A5D74"/>
    <w:rsid w:val="004A5E27"/>
    <w:rsid w:val="004A60AF"/>
    <w:rsid w:val="004A6156"/>
    <w:rsid w:val="004A62B2"/>
    <w:rsid w:val="004A64AA"/>
    <w:rsid w:val="004A65AF"/>
    <w:rsid w:val="004A679E"/>
    <w:rsid w:val="004A6B23"/>
    <w:rsid w:val="004A6D2F"/>
    <w:rsid w:val="004A6D96"/>
    <w:rsid w:val="004A6FDA"/>
    <w:rsid w:val="004A7213"/>
    <w:rsid w:val="004A7263"/>
    <w:rsid w:val="004A73F9"/>
    <w:rsid w:val="004A7864"/>
    <w:rsid w:val="004A7872"/>
    <w:rsid w:val="004A78DC"/>
    <w:rsid w:val="004A79C9"/>
    <w:rsid w:val="004A7A3D"/>
    <w:rsid w:val="004A7A66"/>
    <w:rsid w:val="004A7B0D"/>
    <w:rsid w:val="004A7F1E"/>
    <w:rsid w:val="004A7F5D"/>
    <w:rsid w:val="004A7FF6"/>
    <w:rsid w:val="004B0084"/>
    <w:rsid w:val="004B00A6"/>
    <w:rsid w:val="004B0252"/>
    <w:rsid w:val="004B0626"/>
    <w:rsid w:val="004B083A"/>
    <w:rsid w:val="004B0B52"/>
    <w:rsid w:val="004B0D39"/>
    <w:rsid w:val="004B115A"/>
    <w:rsid w:val="004B1355"/>
    <w:rsid w:val="004B15FA"/>
    <w:rsid w:val="004B1650"/>
    <w:rsid w:val="004B16B9"/>
    <w:rsid w:val="004B171A"/>
    <w:rsid w:val="004B187C"/>
    <w:rsid w:val="004B1AD3"/>
    <w:rsid w:val="004B1B97"/>
    <w:rsid w:val="004B1E09"/>
    <w:rsid w:val="004B20DA"/>
    <w:rsid w:val="004B2A1E"/>
    <w:rsid w:val="004B2ABF"/>
    <w:rsid w:val="004B2CA7"/>
    <w:rsid w:val="004B2CAE"/>
    <w:rsid w:val="004B2DF6"/>
    <w:rsid w:val="004B3030"/>
    <w:rsid w:val="004B3162"/>
    <w:rsid w:val="004B31BB"/>
    <w:rsid w:val="004B331A"/>
    <w:rsid w:val="004B34D3"/>
    <w:rsid w:val="004B3802"/>
    <w:rsid w:val="004B39C6"/>
    <w:rsid w:val="004B3AD5"/>
    <w:rsid w:val="004B3B92"/>
    <w:rsid w:val="004B3D56"/>
    <w:rsid w:val="004B3D80"/>
    <w:rsid w:val="004B3ED2"/>
    <w:rsid w:val="004B3F58"/>
    <w:rsid w:val="004B4027"/>
    <w:rsid w:val="004B4070"/>
    <w:rsid w:val="004B4091"/>
    <w:rsid w:val="004B424B"/>
    <w:rsid w:val="004B4325"/>
    <w:rsid w:val="004B4355"/>
    <w:rsid w:val="004B454C"/>
    <w:rsid w:val="004B4595"/>
    <w:rsid w:val="004B472F"/>
    <w:rsid w:val="004B4E28"/>
    <w:rsid w:val="004B4EA9"/>
    <w:rsid w:val="004B4F80"/>
    <w:rsid w:val="004B526C"/>
    <w:rsid w:val="004B52D5"/>
    <w:rsid w:val="004B52DD"/>
    <w:rsid w:val="004B5328"/>
    <w:rsid w:val="004B5AF5"/>
    <w:rsid w:val="004B5C3B"/>
    <w:rsid w:val="004B5E45"/>
    <w:rsid w:val="004B6139"/>
    <w:rsid w:val="004B6167"/>
    <w:rsid w:val="004B6278"/>
    <w:rsid w:val="004B6462"/>
    <w:rsid w:val="004B649B"/>
    <w:rsid w:val="004B6555"/>
    <w:rsid w:val="004B6638"/>
    <w:rsid w:val="004B67C7"/>
    <w:rsid w:val="004B6B03"/>
    <w:rsid w:val="004B6C52"/>
    <w:rsid w:val="004B6CD7"/>
    <w:rsid w:val="004B6F0A"/>
    <w:rsid w:val="004B7067"/>
    <w:rsid w:val="004B72C8"/>
    <w:rsid w:val="004B74A9"/>
    <w:rsid w:val="004B7501"/>
    <w:rsid w:val="004B75F4"/>
    <w:rsid w:val="004B761B"/>
    <w:rsid w:val="004B7713"/>
    <w:rsid w:val="004B77CD"/>
    <w:rsid w:val="004B77D2"/>
    <w:rsid w:val="004B7832"/>
    <w:rsid w:val="004B7A2E"/>
    <w:rsid w:val="004B7B81"/>
    <w:rsid w:val="004B7C61"/>
    <w:rsid w:val="004B7E32"/>
    <w:rsid w:val="004B7E8F"/>
    <w:rsid w:val="004B7F98"/>
    <w:rsid w:val="004B7F9A"/>
    <w:rsid w:val="004C03F7"/>
    <w:rsid w:val="004C0414"/>
    <w:rsid w:val="004C07FA"/>
    <w:rsid w:val="004C0895"/>
    <w:rsid w:val="004C0BBC"/>
    <w:rsid w:val="004C0C4C"/>
    <w:rsid w:val="004C0E2C"/>
    <w:rsid w:val="004C0E35"/>
    <w:rsid w:val="004C0F08"/>
    <w:rsid w:val="004C11CB"/>
    <w:rsid w:val="004C11F6"/>
    <w:rsid w:val="004C1351"/>
    <w:rsid w:val="004C146A"/>
    <w:rsid w:val="004C1651"/>
    <w:rsid w:val="004C1768"/>
    <w:rsid w:val="004C182D"/>
    <w:rsid w:val="004C187C"/>
    <w:rsid w:val="004C196D"/>
    <w:rsid w:val="004C199C"/>
    <w:rsid w:val="004C19B5"/>
    <w:rsid w:val="004C1B5F"/>
    <w:rsid w:val="004C1C78"/>
    <w:rsid w:val="004C1DF4"/>
    <w:rsid w:val="004C1E4B"/>
    <w:rsid w:val="004C2350"/>
    <w:rsid w:val="004C253F"/>
    <w:rsid w:val="004C29D3"/>
    <w:rsid w:val="004C29FA"/>
    <w:rsid w:val="004C2AFE"/>
    <w:rsid w:val="004C2DEF"/>
    <w:rsid w:val="004C2F90"/>
    <w:rsid w:val="004C314F"/>
    <w:rsid w:val="004C3185"/>
    <w:rsid w:val="004C3231"/>
    <w:rsid w:val="004C32B9"/>
    <w:rsid w:val="004C342B"/>
    <w:rsid w:val="004C3553"/>
    <w:rsid w:val="004C3CCA"/>
    <w:rsid w:val="004C3DAE"/>
    <w:rsid w:val="004C3DF8"/>
    <w:rsid w:val="004C3E84"/>
    <w:rsid w:val="004C3F71"/>
    <w:rsid w:val="004C3F7C"/>
    <w:rsid w:val="004C4007"/>
    <w:rsid w:val="004C471E"/>
    <w:rsid w:val="004C474B"/>
    <w:rsid w:val="004C4871"/>
    <w:rsid w:val="004C4935"/>
    <w:rsid w:val="004C4B08"/>
    <w:rsid w:val="004C4B5C"/>
    <w:rsid w:val="004C4B71"/>
    <w:rsid w:val="004C4BA5"/>
    <w:rsid w:val="004C4DD4"/>
    <w:rsid w:val="004C4E1D"/>
    <w:rsid w:val="004C4E25"/>
    <w:rsid w:val="004C510C"/>
    <w:rsid w:val="004C536B"/>
    <w:rsid w:val="004C5490"/>
    <w:rsid w:val="004C54FB"/>
    <w:rsid w:val="004C55D9"/>
    <w:rsid w:val="004C5623"/>
    <w:rsid w:val="004C5725"/>
    <w:rsid w:val="004C57E6"/>
    <w:rsid w:val="004C59E2"/>
    <w:rsid w:val="004C5B3F"/>
    <w:rsid w:val="004C5CAC"/>
    <w:rsid w:val="004C5CBC"/>
    <w:rsid w:val="004C5FAC"/>
    <w:rsid w:val="004C5FB8"/>
    <w:rsid w:val="004C63D6"/>
    <w:rsid w:val="004C6538"/>
    <w:rsid w:val="004C68C9"/>
    <w:rsid w:val="004C69DE"/>
    <w:rsid w:val="004C69E0"/>
    <w:rsid w:val="004C6BC0"/>
    <w:rsid w:val="004C6C8A"/>
    <w:rsid w:val="004C6D13"/>
    <w:rsid w:val="004C6D89"/>
    <w:rsid w:val="004C6E08"/>
    <w:rsid w:val="004C6F74"/>
    <w:rsid w:val="004C6FD2"/>
    <w:rsid w:val="004C6FE5"/>
    <w:rsid w:val="004C70C6"/>
    <w:rsid w:val="004C7382"/>
    <w:rsid w:val="004C7626"/>
    <w:rsid w:val="004C7777"/>
    <w:rsid w:val="004C77BD"/>
    <w:rsid w:val="004C788B"/>
    <w:rsid w:val="004C7A65"/>
    <w:rsid w:val="004C7B03"/>
    <w:rsid w:val="004C7C00"/>
    <w:rsid w:val="004C7CCB"/>
    <w:rsid w:val="004C7D62"/>
    <w:rsid w:val="004C7ED6"/>
    <w:rsid w:val="004D005A"/>
    <w:rsid w:val="004D031B"/>
    <w:rsid w:val="004D040C"/>
    <w:rsid w:val="004D0465"/>
    <w:rsid w:val="004D0481"/>
    <w:rsid w:val="004D0977"/>
    <w:rsid w:val="004D0C33"/>
    <w:rsid w:val="004D0DE3"/>
    <w:rsid w:val="004D0E2F"/>
    <w:rsid w:val="004D0F63"/>
    <w:rsid w:val="004D1321"/>
    <w:rsid w:val="004D143C"/>
    <w:rsid w:val="004D148B"/>
    <w:rsid w:val="004D1914"/>
    <w:rsid w:val="004D1BB6"/>
    <w:rsid w:val="004D1C81"/>
    <w:rsid w:val="004D1D32"/>
    <w:rsid w:val="004D1ED2"/>
    <w:rsid w:val="004D20B4"/>
    <w:rsid w:val="004D2237"/>
    <w:rsid w:val="004D2252"/>
    <w:rsid w:val="004D238E"/>
    <w:rsid w:val="004D2551"/>
    <w:rsid w:val="004D25FA"/>
    <w:rsid w:val="004D2628"/>
    <w:rsid w:val="004D26F8"/>
    <w:rsid w:val="004D28CF"/>
    <w:rsid w:val="004D2B33"/>
    <w:rsid w:val="004D2E1F"/>
    <w:rsid w:val="004D2E7D"/>
    <w:rsid w:val="004D2E8B"/>
    <w:rsid w:val="004D3516"/>
    <w:rsid w:val="004D3670"/>
    <w:rsid w:val="004D389F"/>
    <w:rsid w:val="004D38D1"/>
    <w:rsid w:val="004D3919"/>
    <w:rsid w:val="004D3B10"/>
    <w:rsid w:val="004D3B4B"/>
    <w:rsid w:val="004D3BD4"/>
    <w:rsid w:val="004D3E26"/>
    <w:rsid w:val="004D3EAE"/>
    <w:rsid w:val="004D3F72"/>
    <w:rsid w:val="004D41BE"/>
    <w:rsid w:val="004D41F7"/>
    <w:rsid w:val="004D446F"/>
    <w:rsid w:val="004D4BCA"/>
    <w:rsid w:val="004D4D0C"/>
    <w:rsid w:val="004D4F49"/>
    <w:rsid w:val="004D5069"/>
    <w:rsid w:val="004D507F"/>
    <w:rsid w:val="004D517F"/>
    <w:rsid w:val="004D51BC"/>
    <w:rsid w:val="004D5295"/>
    <w:rsid w:val="004D5335"/>
    <w:rsid w:val="004D57B5"/>
    <w:rsid w:val="004D591A"/>
    <w:rsid w:val="004D5986"/>
    <w:rsid w:val="004D59A8"/>
    <w:rsid w:val="004D5DE9"/>
    <w:rsid w:val="004D5E27"/>
    <w:rsid w:val="004D5ED6"/>
    <w:rsid w:val="004D5F52"/>
    <w:rsid w:val="004D6164"/>
    <w:rsid w:val="004D64BD"/>
    <w:rsid w:val="004D6661"/>
    <w:rsid w:val="004D679C"/>
    <w:rsid w:val="004D680F"/>
    <w:rsid w:val="004D68BC"/>
    <w:rsid w:val="004D6A16"/>
    <w:rsid w:val="004D6B87"/>
    <w:rsid w:val="004D6FD4"/>
    <w:rsid w:val="004D72B3"/>
    <w:rsid w:val="004D76A0"/>
    <w:rsid w:val="004D76B6"/>
    <w:rsid w:val="004D76C3"/>
    <w:rsid w:val="004D784D"/>
    <w:rsid w:val="004D7A8E"/>
    <w:rsid w:val="004D7EAA"/>
    <w:rsid w:val="004D7F72"/>
    <w:rsid w:val="004E01EF"/>
    <w:rsid w:val="004E0272"/>
    <w:rsid w:val="004E044E"/>
    <w:rsid w:val="004E0584"/>
    <w:rsid w:val="004E070D"/>
    <w:rsid w:val="004E096A"/>
    <w:rsid w:val="004E09DA"/>
    <w:rsid w:val="004E0A17"/>
    <w:rsid w:val="004E0DE0"/>
    <w:rsid w:val="004E0E3E"/>
    <w:rsid w:val="004E0F6B"/>
    <w:rsid w:val="004E0F78"/>
    <w:rsid w:val="004E1183"/>
    <w:rsid w:val="004E126B"/>
    <w:rsid w:val="004E12D6"/>
    <w:rsid w:val="004E136D"/>
    <w:rsid w:val="004E1476"/>
    <w:rsid w:val="004E1516"/>
    <w:rsid w:val="004E154B"/>
    <w:rsid w:val="004E17AE"/>
    <w:rsid w:val="004E18E9"/>
    <w:rsid w:val="004E19B1"/>
    <w:rsid w:val="004E19D5"/>
    <w:rsid w:val="004E1D28"/>
    <w:rsid w:val="004E1EDC"/>
    <w:rsid w:val="004E1EE3"/>
    <w:rsid w:val="004E2054"/>
    <w:rsid w:val="004E20A2"/>
    <w:rsid w:val="004E20DD"/>
    <w:rsid w:val="004E2166"/>
    <w:rsid w:val="004E2403"/>
    <w:rsid w:val="004E2652"/>
    <w:rsid w:val="004E26A8"/>
    <w:rsid w:val="004E294E"/>
    <w:rsid w:val="004E2A64"/>
    <w:rsid w:val="004E2A9A"/>
    <w:rsid w:val="004E2B65"/>
    <w:rsid w:val="004E2BFA"/>
    <w:rsid w:val="004E2C97"/>
    <w:rsid w:val="004E2DDF"/>
    <w:rsid w:val="004E2E6F"/>
    <w:rsid w:val="004E2E8F"/>
    <w:rsid w:val="004E2F52"/>
    <w:rsid w:val="004E32C9"/>
    <w:rsid w:val="004E33C7"/>
    <w:rsid w:val="004E3495"/>
    <w:rsid w:val="004E34D9"/>
    <w:rsid w:val="004E35AC"/>
    <w:rsid w:val="004E35CB"/>
    <w:rsid w:val="004E37EE"/>
    <w:rsid w:val="004E38DD"/>
    <w:rsid w:val="004E3A4D"/>
    <w:rsid w:val="004E3D0C"/>
    <w:rsid w:val="004E3DA0"/>
    <w:rsid w:val="004E3EB4"/>
    <w:rsid w:val="004E43FF"/>
    <w:rsid w:val="004E458D"/>
    <w:rsid w:val="004E46EC"/>
    <w:rsid w:val="004E476D"/>
    <w:rsid w:val="004E47DA"/>
    <w:rsid w:val="004E480C"/>
    <w:rsid w:val="004E484D"/>
    <w:rsid w:val="004E49A7"/>
    <w:rsid w:val="004E4B69"/>
    <w:rsid w:val="004E4C65"/>
    <w:rsid w:val="004E4CD3"/>
    <w:rsid w:val="004E4FDC"/>
    <w:rsid w:val="004E530A"/>
    <w:rsid w:val="004E5416"/>
    <w:rsid w:val="004E54F1"/>
    <w:rsid w:val="004E59EF"/>
    <w:rsid w:val="004E5A0A"/>
    <w:rsid w:val="004E5A88"/>
    <w:rsid w:val="004E5C0A"/>
    <w:rsid w:val="004E5DF0"/>
    <w:rsid w:val="004E5E0E"/>
    <w:rsid w:val="004E5F0E"/>
    <w:rsid w:val="004E5F2D"/>
    <w:rsid w:val="004E5F9D"/>
    <w:rsid w:val="004E605E"/>
    <w:rsid w:val="004E6167"/>
    <w:rsid w:val="004E6326"/>
    <w:rsid w:val="004E6349"/>
    <w:rsid w:val="004E6371"/>
    <w:rsid w:val="004E6444"/>
    <w:rsid w:val="004E64B6"/>
    <w:rsid w:val="004E6595"/>
    <w:rsid w:val="004E65E6"/>
    <w:rsid w:val="004E6631"/>
    <w:rsid w:val="004E68CC"/>
    <w:rsid w:val="004E698C"/>
    <w:rsid w:val="004E6C53"/>
    <w:rsid w:val="004E6CE3"/>
    <w:rsid w:val="004E6D47"/>
    <w:rsid w:val="004E6DAE"/>
    <w:rsid w:val="004E6E4E"/>
    <w:rsid w:val="004E6EDC"/>
    <w:rsid w:val="004E6F24"/>
    <w:rsid w:val="004E6FF8"/>
    <w:rsid w:val="004E707E"/>
    <w:rsid w:val="004E70C0"/>
    <w:rsid w:val="004E7118"/>
    <w:rsid w:val="004E7169"/>
    <w:rsid w:val="004E7205"/>
    <w:rsid w:val="004E721A"/>
    <w:rsid w:val="004E7395"/>
    <w:rsid w:val="004E7434"/>
    <w:rsid w:val="004E75F0"/>
    <w:rsid w:val="004E7652"/>
    <w:rsid w:val="004E7725"/>
    <w:rsid w:val="004E792F"/>
    <w:rsid w:val="004E7B33"/>
    <w:rsid w:val="004E7BAA"/>
    <w:rsid w:val="004E7C33"/>
    <w:rsid w:val="004E7E7F"/>
    <w:rsid w:val="004E7F90"/>
    <w:rsid w:val="004F01CB"/>
    <w:rsid w:val="004F028F"/>
    <w:rsid w:val="004F038F"/>
    <w:rsid w:val="004F0682"/>
    <w:rsid w:val="004F08A9"/>
    <w:rsid w:val="004F097A"/>
    <w:rsid w:val="004F0B72"/>
    <w:rsid w:val="004F0C20"/>
    <w:rsid w:val="004F0D9F"/>
    <w:rsid w:val="004F1029"/>
    <w:rsid w:val="004F123D"/>
    <w:rsid w:val="004F140B"/>
    <w:rsid w:val="004F1416"/>
    <w:rsid w:val="004F142E"/>
    <w:rsid w:val="004F147C"/>
    <w:rsid w:val="004F14E7"/>
    <w:rsid w:val="004F1692"/>
    <w:rsid w:val="004F1827"/>
    <w:rsid w:val="004F202F"/>
    <w:rsid w:val="004F20DA"/>
    <w:rsid w:val="004F210E"/>
    <w:rsid w:val="004F2130"/>
    <w:rsid w:val="004F2157"/>
    <w:rsid w:val="004F2340"/>
    <w:rsid w:val="004F2370"/>
    <w:rsid w:val="004F2431"/>
    <w:rsid w:val="004F2617"/>
    <w:rsid w:val="004F27F0"/>
    <w:rsid w:val="004F2931"/>
    <w:rsid w:val="004F293D"/>
    <w:rsid w:val="004F2B1C"/>
    <w:rsid w:val="004F2B82"/>
    <w:rsid w:val="004F2C3E"/>
    <w:rsid w:val="004F2C45"/>
    <w:rsid w:val="004F2DF6"/>
    <w:rsid w:val="004F2E87"/>
    <w:rsid w:val="004F31D1"/>
    <w:rsid w:val="004F3723"/>
    <w:rsid w:val="004F3803"/>
    <w:rsid w:val="004F3A5E"/>
    <w:rsid w:val="004F3CB6"/>
    <w:rsid w:val="004F3D90"/>
    <w:rsid w:val="004F4034"/>
    <w:rsid w:val="004F4319"/>
    <w:rsid w:val="004F44F0"/>
    <w:rsid w:val="004F44F2"/>
    <w:rsid w:val="004F4811"/>
    <w:rsid w:val="004F4822"/>
    <w:rsid w:val="004F4998"/>
    <w:rsid w:val="004F49E1"/>
    <w:rsid w:val="004F4AA2"/>
    <w:rsid w:val="004F4AF7"/>
    <w:rsid w:val="004F4C6C"/>
    <w:rsid w:val="004F50E2"/>
    <w:rsid w:val="004F5517"/>
    <w:rsid w:val="004F55E2"/>
    <w:rsid w:val="004F599B"/>
    <w:rsid w:val="004F61A6"/>
    <w:rsid w:val="004F651C"/>
    <w:rsid w:val="004F6572"/>
    <w:rsid w:val="004F6854"/>
    <w:rsid w:val="004F6C02"/>
    <w:rsid w:val="004F6C43"/>
    <w:rsid w:val="004F6C87"/>
    <w:rsid w:val="004F6E0E"/>
    <w:rsid w:val="004F6F5F"/>
    <w:rsid w:val="004F7272"/>
    <w:rsid w:val="004F72B8"/>
    <w:rsid w:val="004F742F"/>
    <w:rsid w:val="004F7888"/>
    <w:rsid w:val="004F7A46"/>
    <w:rsid w:val="004F7F2C"/>
    <w:rsid w:val="005001F7"/>
    <w:rsid w:val="00500290"/>
    <w:rsid w:val="00500395"/>
    <w:rsid w:val="005003B4"/>
    <w:rsid w:val="00500655"/>
    <w:rsid w:val="005006FB"/>
    <w:rsid w:val="00500B05"/>
    <w:rsid w:val="00500B54"/>
    <w:rsid w:val="00500DE2"/>
    <w:rsid w:val="0050111F"/>
    <w:rsid w:val="00501240"/>
    <w:rsid w:val="00501344"/>
    <w:rsid w:val="005013CD"/>
    <w:rsid w:val="00501448"/>
    <w:rsid w:val="005014D2"/>
    <w:rsid w:val="00501761"/>
    <w:rsid w:val="005017D4"/>
    <w:rsid w:val="00501893"/>
    <w:rsid w:val="005018F2"/>
    <w:rsid w:val="00501A10"/>
    <w:rsid w:val="00501BEE"/>
    <w:rsid w:val="00501C5F"/>
    <w:rsid w:val="00501C70"/>
    <w:rsid w:val="00501CED"/>
    <w:rsid w:val="00501DE7"/>
    <w:rsid w:val="00501DF1"/>
    <w:rsid w:val="00501E02"/>
    <w:rsid w:val="00501E07"/>
    <w:rsid w:val="00501F8B"/>
    <w:rsid w:val="005022B9"/>
    <w:rsid w:val="0050239C"/>
    <w:rsid w:val="00502578"/>
    <w:rsid w:val="00502658"/>
    <w:rsid w:val="00502705"/>
    <w:rsid w:val="0050274B"/>
    <w:rsid w:val="00502773"/>
    <w:rsid w:val="005028C3"/>
    <w:rsid w:val="00502A37"/>
    <w:rsid w:val="00502B15"/>
    <w:rsid w:val="00502F0B"/>
    <w:rsid w:val="005031F6"/>
    <w:rsid w:val="00503236"/>
    <w:rsid w:val="00503285"/>
    <w:rsid w:val="005032E3"/>
    <w:rsid w:val="00503341"/>
    <w:rsid w:val="00503554"/>
    <w:rsid w:val="00503585"/>
    <w:rsid w:val="00503724"/>
    <w:rsid w:val="0050398C"/>
    <w:rsid w:val="00503E20"/>
    <w:rsid w:val="00503F21"/>
    <w:rsid w:val="005041FB"/>
    <w:rsid w:val="005044EB"/>
    <w:rsid w:val="00504519"/>
    <w:rsid w:val="0050453A"/>
    <w:rsid w:val="005049AD"/>
    <w:rsid w:val="00504A26"/>
    <w:rsid w:val="00504B89"/>
    <w:rsid w:val="00504BAF"/>
    <w:rsid w:val="00504C6B"/>
    <w:rsid w:val="00504F0C"/>
    <w:rsid w:val="00504F58"/>
    <w:rsid w:val="00505106"/>
    <w:rsid w:val="005051F0"/>
    <w:rsid w:val="005051FB"/>
    <w:rsid w:val="005052EA"/>
    <w:rsid w:val="005054C1"/>
    <w:rsid w:val="00505616"/>
    <w:rsid w:val="005057C0"/>
    <w:rsid w:val="00505902"/>
    <w:rsid w:val="00505934"/>
    <w:rsid w:val="00505C45"/>
    <w:rsid w:val="00505C73"/>
    <w:rsid w:val="00505D15"/>
    <w:rsid w:val="00505D1C"/>
    <w:rsid w:val="00505F2B"/>
    <w:rsid w:val="00506196"/>
    <w:rsid w:val="005061EC"/>
    <w:rsid w:val="005063D7"/>
    <w:rsid w:val="005066A7"/>
    <w:rsid w:val="005066C9"/>
    <w:rsid w:val="005068BB"/>
    <w:rsid w:val="00506B6D"/>
    <w:rsid w:val="00506D5C"/>
    <w:rsid w:val="00506DEB"/>
    <w:rsid w:val="00506EBA"/>
    <w:rsid w:val="00506FB3"/>
    <w:rsid w:val="00507034"/>
    <w:rsid w:val="0050730C"/>
    <w:rsid w:val="005073C3"/>
    <w:rsid w:val="0050740D"/>
    <w:rsid w:val="0050748C"/>
    <w:rsid w:val="0050754F"/>
    <w:rsid w:val="00507553"/>
    <w:rsid w:val="005075C6"/>
    <w:rsid w:val="00507861"/>
    <w:rsid w:val="0050788F"/>
    <w:rsid w:val="00507B47"/>
    <w:rsid w:val="00507BFD"/>
    <w:rsid w:val="00507C66"/>
    <w:rsid w:val="00507CCF"/>
    <w:rsid w:val="00507F19"/>
    <w:rsid w:val="00510136"/>
    <w:rsid w:val="0051023C"/>
    <w:rsid w:val="005103AB"/>
    <w:rsid w:val="005104FC"/>
    <w:rsid w:val="00510628"/>
    <w:rsid w:val="0051069C"/>
    <w:rsid w:val="00510785"/>
    <w:rsid w:val="00510AA1"/>
    <w:rsid w:val="00510AEE"/>
    <w:rsid w:val="00510B47"/>
    <w:rsid w:val="00510C0C"/>
    <w:rsid w:val="00510C76"/>
    <w:rsid w:val="00510E14"/>
    <w:rsid w:val="00510EAC"/>
    <w:rsid w:val="00511095"/>
    <w:rsid w:val="0051112E"/>
    <w:rsid w:val="00511518"/>
    <w:rsid w:val="00511793"/>
    <w:rsid w:val="00511840"/>
    <w:rsid w:val="00511973"/>
    <w:rsid w:val="00511BE6"/>
    <w:rsid w:val="00511D51"/>
    <w:rsid w:val="00511ECE"/>
    <w:rsid w:val="0051229E"/>
    <w:rsid w:val="005122BC"/>
    <w:rsid w:val="005122D0"/>
    <w:rsid w:val="00512465"/>
    <w:rsid w:val="005125CC"/>
    <w:rsid w:val="0051273B"/>
    <w:rsid w:val="005129B9"/>
    <w:rsid w:val="00512ABE"/>
    <w:rsid w:val="00512B15"/>
    <w:rsid w:val="00512B97"/>
    <w:rsid w:val="00512DB1"/>
    <w:rsid w:val="00512DE9"/>
    <w:rsid w:val="00512FDD"/>
    <w:rsid w:val="005130A7"/>
    <w:rsid w:val="00513356"/>
    <w:rsid w:val="005135B5"/>
    <w:rsid w:val="00513647"/>
    <w:rsid w:val="005138EB"/>
    <w:rsid w:val="00513A3D"/>
    <w:rsid w:val="00513B95"/>
    <w:rsid w:val="00513CB8"/>
    <w:rsid w:val="00513E3B"/>
    <w:rsid w:val="00513FEF"/>
    <w:rsid w:val="00514346"/>
    <w:rsid w:val="00514356"/>
    <w:rsid w:val="0051445A"/>
    <w:rsid w:val="005144B3"/>
    <w:rsid w:val="005144CC"/>
    <w:rsid w:val="0051462F"/>
    <w:rsid w:val="0051470E"/>
    <w:rsid w:val="0051486B"/>
    <w:rsid w:val="00514A6E"/>
    <w:rsid w:val="00514C08"/>
    <w:rsid w:val="00514CB7"/>
    <w:rsid w:val="00514F67"/>
    <w:rsid w:val="00514FA6"/>
    <w:rsid w:val="0051538D"/>
    <w:rsid w:val="0051577F"/>
    <w:rsid w:val="0051578A"/>
    <w:rsid w:val="005158EF"/>
    <w:rsid w:val="00515A7A"/>
    <w:rsid w:val="00515AF3"/>
    <w:rsid w:val="00515D72"/>
    <w:rsid w:val="00515DFE"/>
    <w:rsid w:val="00515E67"/>
    <w:rsid w:val="005161DA"/>
    <w:rsid w:val="00516214"/>
    <w:rsid w:val="0051637E"/>
    <w:rsid w:val="0051644B"/>
    <w:rsid w:val="0051659A"/>
    <w:rsid w:val="00516722"/>
    <w:rsid w:val="0051682D"/>
    <w:rsid w:val="00516874"/>
    <w:rsid w:val="005168F5"/>
    <w:rsid w:val="00516B90"/>
    <w:rsid w:val="00516BA2"/>
    <w:rsid w:val="00516DB3"/>
    <w:rsid w:val="00516DF3"/>
    <w:rsid w:val="00516FD2"/>
    <w:rsid w:val="0051703D"/>
    <w:rsid w:val="00517141"/>
    <w:rsid w:val="00517157"/>
    <w:rsid w:val="00517243"/>
    <w:rsid w:val="005173FD"/>
    <w:rsid w:val="00517430"/>
    <w:rsid w:val="005175BE"/>
    <w:rsid w:val="005178CB"/>
    <w:rsid w:val="0051791C"/>
    <w:rsid w:val="00517ACF"/>
    <w:rsid w:val="00517B7C"/>
    <w:rsid w:val="00517BE3"/>
    <w:rsid w:val="005200E3"/>
    <w:rsid w:val="00520391"/>
    <w:rsid w:val="005204D0"/>
    <w:rsid w:val="0052092C"/>
    <w:rsid w:val="00520945"/>
    <w:rsid w:val="00520B70"/>
    <w:rsid w:val="00520BA9"/>
    <w:rsid w:val="00520BD9"/>
    <w:rsid w:val="00520DB0"/>
    <w:rsid w:val="00520F33"/>
    <w:rsid w:val="00521012"/>
    <w:rsid w:val="00521345"/>
    <w:rsid w:val="0052167E"/>
    <w:rsid w:val="00521734"/>
    <w:rsid w:val="005217C8"/>
    <w:rsid w:val="005218AA"/>
    <w:rsid w:val="00521A73"/>
    <w:rsid w:val="00521B53"/>
    <w:rsid w:val="00521BA2"/>
    <w:rsid w:val="00522135"/>
    <w:rsid w:val="00522406"/>
    <w:rsid w:val="005224CA"/>
    <w:rsid w:val="00522545"/>
    <w:rsid w:val="0052254F"/>
    <w:rsid w:val="00522649"/>
    <w:rsid w:val="00522B07"/>
    <w:rsid w:val="00522B38"/>
    <w:rsid w:val="00522C72"/>
    <w:rsid w:val="00522CFB"/>
    <w:rsid w:val="00522E7E"/>
    <w:rsid w:val="0052302B"/>
    <w:rsid w:val="005230A4"/>
    <w:rsid w:val="00523108"/>
    <w:rsid w:val="0052311F"/>
    <w:rsid w:val="005233C2"/>
    <w:rsid w:val="00523517"/>
    <w:rsid w:val="00523625"/>
    <w:rsid w:val="005239E4"/>
    <w:rsid w:val="00523B4C"/>
    <w:rsid w:val="00523B5E"/>
    <w:rsid w:val="00523C2E"/>
    <w:rsid w:val="00523DBA"/>
    <w:rsid w:val="00524170"/>
    <w:rsid w:val="00524313"/>
    <w:rsid w:val="0052433A"/>
    <w:rsid w:val="00524591"/>
    <w:rsid w:val="005245A7"/>
    <w:rsid w:val="005245C1"/>
    <w:rsid w:val="00524646"/>
    <w:rsid w:val="005246A7"/>
    <w:rsid w:val="0052473F"/>
    <w:rsid w:val="00524CC8"/>
    <w:rsid w:val="00524F08"/>
    <w:rsid w:val="005250A4"/>
    <w:rsid w:val="005251E4"/>
    <w:rsid w:val="005254ED"/>
    <w:rsid w:val="0052556A"/>
    <w:rsid w:val="005255B4"/>
    <w:rsid w:val="00525659"/>
    <w:rsid w:val="0052565F"/>
    <w:rsid w:val="00525874"/>
    <w:rsid w:val="005258E3"/>
    <w:rsid w:val="0052593E"/>
    <w:rsid w:val="005259DA"/>
    <w:rsid w:val="00525B3F"/>
    <w:rsid w:val="00525DEA"/>
    <w:rsid w:val="00525E5B"/>
    <w:rsid w:val="00525ED9"/>
    <w:rsid w:val="00525F5D"/>
    <w:rsid w:val="00526058"/>
    <w:rsid w:val="00526063"/>
    <w:rsid w:val="00526389"/>
    <w:rsid w:val="005269B7"/>
    <w:rsid w:val="00526B33"/>
    <w:rsid w:val="00526B6A"/>
    <w:rsid w:val="00526C6C"/>
    <w:rsid w:val="00526CD9"/>
    <w:rsid w:val="00526D5E"/>
    <w:rsid w:val="00526DB1"/>
    <w:rsid w:val="00526DC7"/>
    <w:rsid w:val="00526E8F"/>
    <w:rsid w:val="005272B3"/>
    <w:rsid w:val="0052742A"/>
    <w:rsid w:val="005275C1"/>
    <w:rsid w:val="00527647"/>
    <w:rsid w:val="005277BA"/>
    <w:rsid w:val="005278CE"/>
    <w:rsid w:val="00527936"/>
    <w:rsid w:val="00527C1A"/>
    <w:rsid w:val="00527D2B"/>
    <w:rsid w:val="00527D70"/>
    <w:rsid w:val="00527F58"/>
    <w:rsid w:val="00527FBB"/>
    <w:rsid w:val="0053009F"/>
    <w:rsid w:val="005301FB"/>
    <w:rsid w:val="00530351"/>
    <w:rsid w:val="00530690"/>
    <w:rsid w:val="0053085C"/>
    <w:rsid w:val="00530B99"/>
    <w:rsid w:val="00530BA5"/>
    <w:rsid w:val="00530C0B"/>
    <w:rsid w:val="00530C58"/>
    <w:rsid w:val="00530CA5"/>
    <w:rsid w:val="00530DC2"/>
    <w:rsid w:val="00530E57"/>
    <w:rsid w:val="00530F0C"/>
    <w:rsid w:val="005313EB"/>
    <w:rsid w:val="005318B4"/>
    <w:rsid w:val="005319A0"/>
    <w:rsid w:val="00531C63"/>
    <w:rsid w:val="00531C8D"/>
    <w:rsid w:val="00531D51"/>
    <w:rsid w:val="00531DD1"/>
    <w:rsid w:val="00531EBC"/>
    <w:rsid w:val="00532443"/>
    <w:rsid w:val="00532478"/>
    <w:rsid w:val="00532B8C"/>
    <w:rsid w:val="00532BB2"/>
    <w:rsid w:val="00532BCA"/>
    <w:rsid w:val="00532C95"/>
    <w:rsid w:val="00532D5C"/>
    <w:rsid w:val="00532D8D"/>
    <w:rsid w:val="00533067"/>
    <w:rsid w:val="0053318D"/>
    <w:rsid w:val="005332C4"/>
    <w:rsid w:val="00533416"/>
    <w:rsid w:val="0053345A"/>
    <w:rsid w:val="0053346F"/>
    <w:rsid w:val="005335A8"/>
    <w:rsid w:val="00533604"/>
    <w:rsid w:val="005339B2"/>
    <w:rsid w:val="00533B03"/>
    <w:rsid w:val="00533ED4"/>
    <w:rsid w:val="00533F67"/>
    <w:rsid w:val="00534062"/>
    <w:rsid w:val="00534488"/>
    <w:rsid w:val="005345C8"/>
    <w:rsid w:val="00534706"/>
    <w:rsid w:val="005349B0"/>
    <w:rsid w:val="005349E7"/>
    <w:rsid w:val="00534BC4"/>
    <w:rsid w:val="00534E61"/>
    <w:rsid w:val="00534E80"/>
    <w:rsid w:val="00535195"/>
    <w:rsid w:val="00535260"/>
    <w:rsid w:val="00535270"/>
    <w:rsid w:val="00535329"/>
    <w:rsid w:val="00535334"/>
    <w:rsid w:val="0053554A"/>
    <w:rsid w:val="00535674"/>
    <w:rsid w:val="0053589E"/>
    <w:rsid w:val="00535B97"/>
    <w:rsid w:val="00535CEE"/>
    <w:rsid w:val="00535CF4"/>
    <w:rsid w:val="00535D93"/>
    <w:rsid w:val="00535DA1"/>
    <w:rsid w:val="00535EC1"/>
    <w:rsid w:val="00535ED4"/>
    <w:rsid w:val="00535F82"/>
    <w:rsid w:val="00535FE7"/>
    <w:rsid w:val="0053616F"/>
    <w:rsid w:val="005361A6"/>
    <w:rsid w:val="00536312"/>
    <w:rsid w:val="0053641A"/>
    <w:rsid w:val="0053680B"/>
    <w:rsid w:val="0053699C"/>
    <w:rsid w:val="00536A1B"/>
    <w:rsid w:val="00536D97"/>
    <w:rsid w:val="00536E26"/>
    <w:rsid w:val="00537562"/>
    <w:rsid w:val="005376A4"/>
    <w:rsid w:val="00537752"/>
    <w:rsid w:val="00537768"/>
    <w:rsid w:val="005378FF"/>
    <w:rsid w:val="00537D00"/>
    <w:rsid w:val="00537E5A"/>
    <w:rsid w:val="005402D7"/>
    <w:rsid w:val="005403D9"/>
    <w:rsid w:val="005404A6"/>
    <w:rsid w:val="00540610"/>
    <w:rsid w:val="00540632"/>
    <w:rsid w:val="0054070A"/>
    <w:rsid w:val="0054096A"/>
    <w:rsid w:val="00540998"/>
    <w:rsid w:val="00540A41"/>
    <w:rsid w:val="00540C37"/>
    <w:rsid w:val="00540CE4"/>
    <w:rsid w:val="00540FAA"/>
    <w:rsid w:val="00540FCD"/>
    <w:rsid w:val="00540FED"/>
    <w:rsid w:val="00541070"/>
    <w:rsid w:val="0054111B"/>
    <w:rsid w:val="005412B2"/>
    <w:rsid w:val="00541613"/>
    <w:rsid w:val="00541AC2"/>
    <w:rsid w:val="00541D05"/>
    <w:rsid w:val="00541E10"/>
    <w:rsid w:val="00541F89"/>
    <w:rsid w:val="00541F9F"/>
    <w:rsid w:val="00541FE0"/>
    <w:rsid w:val="0054204F"/>
    <w:rsid w:val="00542648"/>
    <w:rsid w:val="0054269D"/>
    <w:rsid w:val="005428C1"/>
    <w:rsid w:val="005429DA"/>
    <w:rsid w:val="00542A43"/>
    <w:rsid w:val="00542B49"/>
    <w:rsid w:val="00542CA4"/>
    <w:rsid w:val="00542D5E"/>
    <w:rsid w:val="00542FA7"/>
    <w:rsid w:val="00542FF8"/>
    <w:rsid w:val="0054309D"/>
    <w:rsid w:val="0054315A"/>
    <w:rsid w:val="005432E9"/>
    <w:rsid w:val="005432EC"/>
    <w:rsid w:val="00543310"/>
    <w:rsid w:val="0054344E"/>
    <w:rsid w:val="005436F0"/>
    <w:rsid w:val="0054397E"/>
    <w:rsid w:val="005439C1"/>
    <w:rsid w:val="00543A0B"/>
    <w:rsid w:val="00543C2E"/>
    <w:rsid w:val="00543D56"/>
    <w:rsid w:val="00543E4E"/>
    <w:rsid w:val="0054409A"/>
    <w:rsid w:val="00544104"/>
    <w:rsid w:val="00544270"/>
    <w:rsid w:val="00544277"/>
    <w:rsid w:val="005442E7"/>
    <w:rsid w:val="00544675"/>
    <w:rsid w:val="00544841"/>
    <w:rsid w:val="00544844"/>
    <w:rsid w:val="0054490D"/>
    <w:rsid w:val="00544A15"/>
    <w:rsid w:val="00544ACD"/>
    <w:rsid w:val="00544C5E"/>
    <w:rsid w:val="00544E86"/>
    <w:rsid w:val="0054501E"/>
    <w:rsid w:val="00545096"/>
    <w:rsid w:val="00545454"/>
    <w:rsid w:val="005455CC"/>
    <w:rsid w:val="005455DB"/>
    <w:rsid w:val="005459D2"/>
    <w:rsid w:val="005459DE"/>
    <w:rsid w:val="00545DE1"/>
    <w:rsid w:val="00545E27"/>
    <w:rsid w:val="00545E2A"/>
    <w:rsid w:val="00545F41"/>
    <w:rsid w:val="00545FFF"/>
    <w:rsid w:val="00546045"/>
    <w:rsid w:val="005464D9"/>
    <w:rsid w:val="005464E2"/>
    <w:rsid w:val="005464FB"/>
    <w:rsid w:val="00546764"/>
    <w:rsid w:val="005467C0"/>
    <w:rsid w:val="005468CE"/>
    <w:rsid w:val="00546AAA"/>
    <w:rsid w:val="00546AC2"/>
    <w:rsid w:val="00546AC4"/>
    <w:rsid w:val="00546B25"/>
    <w:rsid w:val="00546CA6"/>
    <w:rsid w:val="00546DAE"/>
    <w:rsid w:val="00546E79"/>
    <w:rsid w:val="00546ECB"/>
    <w:rsid w:val="00546F8A"/>
    <w:rsid w:val="00546FE5"/>
    <w:rsid w:val="00547199"/>
    <w:rsid w:val="005474FD"/>
    <w:rsid w:val="005475E3"/>
    <w:rsid w:val="005476BC"/>
    <w:rsid w:val="00547981"/>
    <w:rsid w:val="00547A2D"/>
    <w:rsid w:val="00547A80"/>
    <w:rsid w:val="00547D63"/>
    <w:rsid w:val="00547E40"/>
    <w:rsid w:val="00547ED5"/>
    <w:rsid w:val="0055008F"/>
    <w:rsid w:val="0055035F"/>
    <w:rsid w:val="00550444"/>
    <w:rsid w:val="005505CC"/>
    <w:rsid w:val="005505EF"/>
    <w:rsid w:val="005505FF"/>
    <w:rsid w:val="005506DD"/>
    <w:rsid w:val="005509F2"/>
    <w:rsid w:val="00550BDA"/>
    <w:rsid w:val="00550BFD"/>
    <w:rsid w:val="00550CD7"/>
    <w:rsid w:val="00550FFC"/>
    <w:rsid w:val="00551254"/>
    <w:rsid w:val="005513C4"/>
    <w:rsid w:val="00551565"/>
    <w:rsid w:val="0055177F"/>
    <w:rsid w:val="0055178F"/>
    <w:rsid w:val="005517F5"/>
    <w:rsid w:val="0055191D"/>
    <w:rsid w:val="00551A22"/>
    <w:rsid w:val="00551A36"/>
    <w:rsid w:val="00551CC6"/>
    <w:rsid w:val="00552165"/>
    <w:rsid w:val="00552279"/>
    <w:rsid w:val="00552657"/>
    <w:rsid w:val="005526E4"/>
    <w:rsid w:val="0055285E"/>
    <w:rsid w:val="005529EA"/>
    <w:rsid w:val="00552B14"/>
    <w:rsid w:val="00552D77"/>
    <w:rsid w:val="00552F3D"/>
    <w:rsid w:val="0055306F"/>
    <w:rsid w:val="0055336E"/>
    <w:rsid w:val="005534A8"/>
    <w:rsid w:val="00553959"/>
    <w:rsid w:val="005539D4"/>
    <w:rsid w:val="00553BBA"/>
    <w:rsid w:val="00553CA9"/>
    <w:rsid w:val="00554039"/>
    <w:rsid w:val="00554115"/>
    <w:rsid w:val="005542F4"/>
    <w:rsid w:val="00554575"/>
    <w:rsid w:val="005545BC"/>
    <w:rsid w:val="00554A55"/>
    <w:rsid w:val="00554B08"/>
    <w:rsid w:val="00554B23"/>
    <w:rsid w:val="00554BC3"/>
    <w:rsid w:val="00554BD0"/>
    <w:rsid w:val="00554C87"/>
    <w:rsid w:val="00554CBF"/>
    <w:rsid w:val="00554E22"/>
    <w:rsid w:val="00554F87"/>
    <w:rsid w:val="0055512F"/>
    <w:rsid w:val="00555254"/>
    <w:rsid w:val="00555383"/>
    <w:rsid w:val="00555468"/>
    <w:rsid w:val="0055585D"/>
    <w:rsid w:val="005558D0"/>
    <w:rsid w:val="005558E3"/>
    <w:rsid w:val="00555942"/>
    <w:rsid w:val="00555A1F"/>
    <w:rsid w:val="00555B79"/>
    <w:rsid w:val="00555BE3"/>
    <w:rsid w:val="00555D4F"/>
    <w:rsid w:val="00555DFB"/>
    <w:rsid w:val="00555F6C"/>
    <w:rsid w:val="00555F6D"/>
    <w:rsid w:val="00556663"/>
    <w:rsid w:val="00556672"/>
    <w:rsid w:val="005567E7"/>
    <w:rsid w:val="00556A52"/>
    <w:rsid w:val="00556CBC"/>
    <w:rsid w:val="00556EE5"/>
    <w:rsid w:val="00556F3C"/>
    <w:rsid w:val="00556FBF"/>
    <w:rsid w:val="0055708C"/>
    <w:rsid w:val="005572F5"/>
    <w:rsid w:val="00557307"/>
    <w:rsid w:val="00557353"/>
    <w:rsid w:val="005575CC"/>
    <w:rsid w:val="00557786"/>
    <w:rsid w:val="005577AC"/>
    <w:rsid w:val="0055791A"/>
    <w:rsid w:val="00557994"/>
    <w:rsid w:val="00557C83"/>
    <w:rsid w:val="00557C9A"/>
    <w:rsid w:val="00557D4F"/>
    <w:rsid w:val="00557D8A"/>
    <w:rsid w:val="00557DDB"/>
    <w:rsid w:val="00557E02"/>
    <w:rsid w:val="00557E1F"/>
    <w:rsid w:val="00557E4E"/>
    <w:rsid w:val="00557E55"/>
    <w:rsid w:val="00557F45"/>
    <w:rsid w:val="005600EA"/>
    <w:rsid w:val="0056010F"/>
    <w:rsid w:val="005601F0"/>
    <w:rsid w:val="0056022B"/>
    <w:rsid w:val="0056028A"/>
    <w:rsid w:val="005603D4"/>
    <w:rsid w:val="00560473"/>
    <w:rsid w:val="005606D9"/>
    <w:rsid w:val="00560A50"/>
    <w:rsid w:val="00560A76"/>
    <w:rsid w:val="00560ABC"/>
    <w:rsid w:val="00560AF0"/>
    <w:rsid w:val="00560BF9"/>
    <w:rsid w:val="00560CF9"/>
    <w:rsid w:val="00560E17"/>
    <w:rsid w:val="00560EAD"/>
    <w:rsid w:val="005610F7"/>
    <w:rsid w:val="00561302"/>
    <w:rsid w:val="0056160C"/>
    <w:rsid w:val="0056181E"/>
    <w:rsid w:val="005619E4"/>
    <w:rsid w:val="00561A7F"/>
    <w:rsid w:val="00561AE9"/>
    <w:rsid w:val="00561D98"/>
    <w:rsid w:val="00562039"/>
    <w:rsid w:val="00562250"/>
    <w:rsid w:val="005622A9"/>
    <w:rsid w:val="0056235A"/>
    <w:rsid w:val="0056240A"/>
    <w:rsid w:val="005624B3"/>
    <w:rsid w:val="00562549"/>
    <w:rsid w:val="005625F7"/>
    <w:rsid w:val="005629DE"/>
    <w:rsid w:val="00562AD7"/>
    <w:rsid w:val="00562F05"/>
    <w:rsid w:val="00562F8A"/>
    <w:rsid w:val="00562F91"/>
    <w:rsid w:val="00562F9A"/>
    <w:rsid w:val="005630E0"/>
    <w:rsid w:val="005630F3"/>
    <w:rsid w:val="0056329D"/>
    <w:rsid w:val="0056391E"/>
    <w:rsid w:val="00563B9B"/>
    <w:rsid w:val="00563BA6"/>
    <w:rsid w:val="00563CD1"/>
    <w:rsid w:val="00563D03"/>
    <w:rsid w:val="00563F1F"/>
    <w:rsid w:val="005642B7"/>
    <w:rsid w:val="00564566"/>
    <w:rsid w:val="005645C3"/>
    <w:rsid w:val="005649E8"/>
    <w:rsid w:val="00564A45"/>
    <w:rsid w:val="00564C0A"/>
    <w:rsid w:val="00564C43"/>
    <w:rsid w:val="00564D67"/>
    <w:rsid w:val="00564E9F"/>
    <w:rsid w:val="00564FDC"/>
    <w:rsid w:val="005651AF"/>
    <w:rsid w:val="00565287"/>
    <w:rsid w:val="005655D3"/>
    <w:rsid w:val="005655D7"/>
    <w:rsid w:val="0056563E"/>
    <w:rsid w:val="005656E8"/>
    <w:rsid w:val="00565A20"/>
    <w:rsid w:val="00565B9F"/>
    <w:rsid w:val="00565BBC"/>
    <w:rsid w:val="00565C1F"/>
    <w:rsid w:val="00565D0B"/>
    <w:rsid w:val="00565E94"/>
    <w:rsid w:val="00566112"/>
    <w:rsid w:val="005663C0"/>
    <w:rsid w:val="005665EA"/>
    <w:rsid w:val="00566609"/>
    <w:rsid w:val="005667D7"/>
    <w:rsid w:val="00566D26"/>
    <w:rsid w:val="00566D72"/>
    <w:rsid w:val="00566DDF"/>
    <w:rsid w:val="00566E17"/>
    <w:rsid w:val="00566F85"/>
    <w:rsid w:val="005670AD"/>
    <w:rsid w:val="00567326"/>
    <w:rsid w:val="0056738A"/>
    <w:rsid w:val="00567545"/>
    <w:rsid w:val="00567642"/>
    <w:rsid w:val="005676E0"/>
    <w:rsid w:val="005677B9"/>
    <w:rsid w:val="00567966"/>
    <w:rsid w:val="00567A6F"/>
    <w:rsid w:val="00567A95"/>
    <w:rsid w:val="00567DCE"/>
    <w:rsid w:val="00567F7F"/>
    <w:rsid w:val="005700B6"/>
    <w:rsid w:val="0057016A"/>
    <w:rsid w:val="00570277"/>
    <w:rsid w:val="0057056D"/>
    <w:rsid w:val="005708AD"/>
    <w:rsid w:val="00570C9D"/>
    <w:rsid w:val="00570EE7"/>
    <w:rsid w:val="00570F35"/>
    <w:rsid w:val="005714BB"/>
    <w:rsid w:val="0057157B"/>
    <w:rsid w:val="005715A1"/>
    <w:rsid w:val="0057167C"/>
    <w:rsid w:val="005716EF"/>
    <w:rsid w:val="005718F7"/>
    <w:rsid w:val="00571913"/>
    <w:rsid w:val="00571A9A"/>
    <w:rsid w:val="00571E67"/>
    <w:rsid w:val="00571F06"/>
    <w:rsid w:val="00572002"/>
    <w:rsid w:val="0057207C"/>
    <w:rsid w:val="005720B7"/>
    <w:rsid w:val="005722F1"/>
    <w:rsid w:val="0057231F"/>
    <w:rsid w:val="00572369"/>
    <w:rsid w:val="00572C86"/>
    <w:rsid w:val="00572FA5"/>
    <w:rsid w:val="005730CB"/>
    <w:rsid w:val="00573181"/>
    <w:rsid w:val="0057322F"/>
    <w:rsid w:val="005736E8"/>
    <w:rsid w:val="0057375F"/>
    <w:rsid w:val="00573B88"/>
    <w:rsid w:val="00573D9E"/>
    <w:rsid w:val="00573F5B"/>
    <w:rsid w:val="005742CF"/>
    <w:rsid w:val="005742D0"/>
    <w:rsid w:val="00574636"/>
    <w:rsid w:val="0057471F"/>
    <w:rsid w:val="0057476F"/>
    <w:rsid w:val="0057480C"/>
    <w:rsid w:val="00574B0B"/>
    <w:rsid w:val="00574BE3"/>
    <w:rsid w:val="00574BFF"/>
    <w:rsid w:val="00574D5B"/>
    <w:rsid w:val="00574EA2"/>
    <w:rsid w:val="00574F56"/>
    <w:rsid w:val="00574F94"/>
    <w:rsid w:val="0057507D"/>
    <w:rsid w:val="005751E4"/>
    <w:rsid w:val="005755F3"/>
    <w:rsid w:val="00575656"/>
    <w:rsid w:val="00575931"/>
    <w:rsid w:val="00575CBD"/>
    <w:rsid w:val="005767D9"/>
    <w:rsid w:val="00576963"/>
    <w:rsid w:val="00576AC8"/>
    <w:rsid w:val="00576C75"/>
    <w:rsid w:val="00576DFD"/>
    <w:rsid w:val="00576E65"/>
    <w:rsid w:val="00576FAD"/>
    <w:rsid w:val="00577022"/>
    <w:rsid w:val="00577254"/>
    <w:rsid w:val="00577586"/>
    <w:rsid w:val="0057758F"/>
    <w:rsid w:val="00577632"/>
    <w:rsid w:val="00577763"/>
    <w:rsid w:val="00577850"/>
    <w:rsid w:val="00577A30"/>
    <w:rsid w:val="00577B39"/>
    <w:rsid w:val="00577CF3"/>
    <w:rsid w:val="00577ECE"/>
    <w:rsid w:val="00577F38"/>
    <w:rsid w:val="00580379"/>
    <w:rsid w:val="0058042C"/>
    <w:rsid w:val="005807B5"/>
    <w:rsid w:val="005809EE"/>
    <w:rsid w:val="005809FC"/>
    <w:rsid w:val="00580FAE"/>
    <w:rsid w:val="005815C0"/>
    <w:rsid w:val="00581639"/>
    <w:rsid w:val="00581897"/>
    <w:rsid w:val="00581914"/>
    <w:rsid w:val="00581A11"/>
    <w:rsid w:val="0058204C"/>
    <w:rsid w:val="0058256B"/>
    <w:rsid w:val="005825C9"/>
    <w:rsid w:val="0058272D"/>
    <w:rsid w:val="0058279C"/>
    <w:rsid w:val="0058296F"/>
    <w:rsid w:val="00582AC4"/>
    <w:rsid w:val="00582D32"/>
    <w:rsid w:val="00582F72"/>
    <w:rsid w:val="005831A3"/>
    <w:rsid w:val="005831C4"/>
    <w:rsid w:val="00583422"/>
    <w:rsid w:val="005834E8"/>
    <w:rsid w:val="0058357B"/>
    <w:rsid w:val="005835A5"/>
    <w:rsid w:val="005835B0"/>
    <w:rsid w:val="0058380F"/>
    <w:rsid w:val="00583889"/>
    <w:rsid w:val="005838EB"/>
    <w:rsid w:val="00583A17"/>
    <w:rsid w:val="00583B3B"/>
    <w:rsid w:val="00583CA8"/>
    <w:rsid w:val="00583DF4"/>
    <w:rsid w:val="00583EAE"/>
    <w:rsid w:val="00583EE8"/>
    <w:rsid w:val="005841C9"/>
    <w:rsid w:val="005842A5"/>
    <w:rsid w:val="005842DD"/>
    <w:rsid w:val="00584371"/>
    <w:rsid w:val="00584414"/>
    <w:rsid w:val="00584495"/>
    <w:rsid w:val="0058449B"/>
    <w:rsid w:val="005845B6"/>
    <w:rsid w:val="00584635"/>
    <w:rsid w:val="005847FF"/>
    <w:rsid w:val="00584868"/>
    <w:rsid w:val="005848C9"/>
    <w:rsid w:val="0058495A"/>
    <w:rsid w:val="00584A60"/>
    <w:rsid w:val="00584AAD"/>
    <w:rsid w:val="00584ACE"/>
    <w:rsid w:val="00584C95"/>
    <w:rsid w:val="00584CE4"/>
    <w:rsid w:val="00584CEA"/>
    <w:rsid w:val="00584E65"/>
    <w:rsid w:val="00584E8D"/>
    <w:rsid w:val="00584F4B"/>
    <w:rsid w:val="005850F1"/>
    <w:rsid w:val="005852DF"/>
    <w:rsid w:val="005852E8"/>
    <w:rsid w:val="00585581"/>
    <w:rsid w:val="005858B5"/>
    <w:rsid w:val="005858BE"/>
    <w:rsid w:val="00585A78"/>
    <w:rsid w:val="00585B46"/>
    <w:rsid w:val="00585C3A"/>
    <w:rsid w:val="00585ED9"/>
    <w:rsid w:val="0058613E"/>
    <w:rsid w:val="005861A9"/>
    <w:rsid w:val="00586629"/>
    <w:rsid w:val="005869E3"/>
    <w:rsid w:val="00586B83"/>
    <w:rsid w:val="00586C32"/>
    <w:rsid w:val="00586DE8"/>
    <w:rsid w:val="00586E0B"/>
    <w:rsid w:val="00586E78"/>
    <w:rsid w:val="00586F85"/>
    <w:rsid w:val="0058714D"/>
    <w:rsid w:val="005873BA"/>
    <w:rsid w:val="0058750A"/>
    <w:rsid w:val="00587891"/>
    <w:rsid w:val="005879B6"/>
    <w:rsid w:val="00587A29"/>
    <w:rsid w:val="00587BBF"/>
    <w:rsid w:val="00590318"/>
    <w:rsid w:val="00590468"/>
    <w:rsid w:val="00590484"/>
    <w:rsid w:val="00590680"/>
    <w:rsid w:val="005906F5"/>
    <w:rsid w:val="00590A28"/>
    <w:rsid w:val="00590A4C"/>
    <w:rsid w:val="00590A6C"/>
    <w:rsid w:val="00590BC5"/>
    <w:rsid w:val="00590CC2"/>
    <w:rsid w:val="00590DF4"/>
    <w:rsid w:val="00590E6F"/>
    <w:rsid w:val="00590E82"/>
    <w:rsid w:val="00590E8A"/>
    <w:rsid w:val="00590E95"/>
    <w:rsid w:val="00590EB0"/>
    <w:rsid w:val="0059103A"/>
    <w:rsid w:val="00591127"/>
    <w:rsid w:val="005911CD"/>
    <w:rsid w:val="005912BC"/>
    <w:rsid w:val="00591610"/>
    <w:rsid w:val="00591712"/>
    <w:rsid w:val="005917C9"/>
    <w:rsid w:val="00591A0D"/>
    <w:rsid w:val="00591B8F"/>
    <w:rsid w:val="00591F44"/>
    <w:rsid w:val="00591FBD"/>
    <w:rsid w:val="0059205C"/>
    <w:rsid w:val="005921E9"/>
    <w:rsid w:val="00592262"/>
    <w:rsid w:val="005923A3"/>
    <w:rsid w:val="005924F7"/>
    <w:rsid w:val="005926A9"/>
    <w:rsid w:val="005927D6"/>
    <w:rsid w:val="00592A37"/>
    <w:rsid w:val="00592B28"/>
    <w:rsid w:val="00592B33"/>
    <w:rsid w:val="00592DB3"/>
    <w:rsid w:val="00593298"/>
    <w:rsid w:val="005933BF"/>
    <w:rsid w:val="005933FC"/>
    <w:rsid w:val="005934DE"/>
    <w:rsid w:val="0059350F"/>
    <w:rsid w:val="005935EB"/>
    <w:rsid w:val="00593692"/>
    <w:rsid w:val="0059380B"/>
    <w:rsid w:val="00593A6E"/>
    <w:rsid w:val="00593AA2"/>
    <w:rsid w:val="00593E0C"/>
    <w:rsid w:val="00593E64"/>
    <w:rsid w:val="00593EA9"/>
    <w:rsid w:val="0059418F"/>
    <w:rsid w:val="0059439A"/>
    <w:rsid w:val="00594467"/>
    <w:rsid w:val="005945BD"/>
    <w:rsid w:val="0059466A"/>
    <w:rsid w:val="0059499C"/>
    <w:rsid w:val="00594CE1"/>
    <w:rsid w:val="00594D08"/>
    <w:rsid w:val="00594E7B"/>
    <w:rsid w:val="00594EA3"/>
    <w:rsid w:val="00594FFC"/>
    <w:rsid w:val="00595039"/>
    <w:rsid w:val="00595253"/>
    <w:rsid w:val="005953E9"/>
    <w:rsid w:val="00595693"/>
    <w:rsid w:val="005958C0"/>
    <w:rsid w:val="00595A75"/>
    <w:rsid w:val="00595D02"/>
    <w:rsid w:val="00595D34"/>
    <w:rsid w:val="00595E1D"/>
    <w:rsid w:val="00595EB4"/>
    <w:rsid w:val="00595F88"/>
    <w:rsid w:val="005962E9"/>
    <w:rsid w:val="005966FF"/>
    <w:rsid w:val="0059670E"/>
    <w:rsid w:val="00596770"/>
    <w:rsid w:val="005967FC"/>
    <w:rsid w:val="00596873"/>
    <w:rsid w:val="00596997"/>
    <w:rsid w:val="00596CEA"/>
    <w:rsid w:val="00596F5A"/>
    <w:rsid w:val="00597155"/>
    <w:rsid w:val="00597278"/>
    <w:rsid w:val="00597365"/>
    <w:rsid w:val="005974D1"/>
    <w:rsid w:val="005974FC"/>
    <w:rsid w:val="00597741"/>
    <w:rsid w:val="00597B5A"/>
    <w:rsid w:val="00597CEA"/>
    <w:rsid w:val="00597D22"/>
    <w:rsid w:val="00597F22"/>
    <w:rsid w:val="005A00AA"/>
    <w:rsid w:val="005A0339"/>
    <w:rsid w:val="005A0438"/>
    <w:rsid w:val="005A06B0"/>
    <w:rsid w:val="005A0701"/>
    <w:rsid w:val="005A0752"/>
    <w:rsid w:val="005A0755"/>
    <w:rsid w:val="005A0B02"/>
    <w:rsid w:val="005A0B68"/>
    <w:rsid w:val="005A0C2A"/>
    <w:rsid w:val="005A0DB6"/>
    <w:rsid w:val="005A0DB8"/>
    <w:rsid w:val="005A0DDE"/>
    <w:rsid w:val="005A1362"/>
    <w:rsid w:val="005A1390"/>
    <w:rsid w:val="005A1524"/>
    <w:rsid w:val="005A17F6"/>
    <w:rsid w:val="005A17FC"/>
    <w:rsid w:val="005A18A2"/>
    <w:rsid w:val="005A18B8"/>
    <w:rsid w:val="005A18D7"/>
    <w:rsid w:val="005A19C6"/>
    <w:rsid w:val="005A1A84"/>
    <w:rsid w:val="005A1BF2"/>
    <w:rsid w:val="005A1C39"/>
    <w:rsid w:val="005A1D29"/>
    <w:rsid w:val="005A2012"/>
    <w:rsid w:val="005A2476"/>
    <w:rsid w:val="005A2532"/>
    <w:rsid w:val="005A2697"/>
    <w:rsid w:val="005A273F"/>
    <w:rsid w:val="005A2814"/>
    <w:rsid w:val="005A2988"/>
    <w:rsid w:val="005A29E1"/>
    <w:rsid w:val="005A2AB5"/>
    <w:rsid w:val="005A2C6E"/>
    <w:rsid w:val="005A2C74"/>
    <w:rsid w:val="005A2D96"/>
    <w:rsid w:val="005A2FD0"/>
    <w:rsid w:val="005A30F7"/>
    <w:rsid w:val="005A332F"/>
    <w:rsid w:val="005A3508"/>
    <w:rsid w:val="005A363F"/>
    <w:rsid w:val="005A3773"/>
    <w:rsid w:val="005A37DB"/>
    <w:rsid w:val="005A38F7"/>
    <w:rsid w:val="005A3A18"/>
    <w:rsid w:val="005A3AAC"/>
    <w:rsid w:val="005A3D4F"/>
    <w:rsid w:val="005A3E2B"/>
    <w:rsid w:val="005A3EAA"/>
    <w:rsid w:val="005A4033"/>
    <w:rsid w:val="005A416E"/>
    <w:rsid w:val="005A4420"/>
    <w:rsid w:val="005A44F7"/>
    <w:rsid w:val="005A48CA"/>
    <w:rsid w:val="005A4A49"/>
    <w:rsid w:val="005A4AFE"/>
    <w:rsid w:val="005A4BBB"/>
    <w:rsid w:val="005A4DF8"/>
    <w:rsid w:val="005A4FFE"/>
    <w:rsid w:val="005A5016"/>
    <w:rsid w:val="005A50E7"/>
    <w:rsid w:val="005A5235"/>
    <w:rsid w:val="005A5246"/>
    <w:rsid w:val="005A55FA"/>
    <w:rsid w:val="005A56EE"/>
    <w:rsid w:val="005A5700"/>
    <w:rsid w:val="005A5A26"/>
    <w:rsid w:val="005A5FB7"/>
    <w:rsid w:val="005A60FD"/>
    <w:rsid w:val="005A683E"/>
    <w:rsid w:val="005A6AA5"/>
    <w:rsid w:val="005A6BC9"/>
    <w:rsid w:val="005A6D52"/>
    <w:rsid w:val="005A6F69"/>
    <w:rsid w:val="005A6F9F"/>
    <w:rsid w:val="005A7099"/>
    <w:rsid w:val="005A7318"/>
    <w:rsid w:val="005A7493"/>
    <w:rsid w:val="005A759F"/>
    <w:rsid w:val="005A7604"/>
    <w:rsid w:val="005A774F"/>
    <w:rsid w:val="005A7846"/>
    <w:rsid w:val="005A796D"/>
    <w:rsid w:val="005A7A92"/>
    <w:rsid w:val="005A7BB5"/>
    <w:rsid w:val="005A7D54"/>
    <w:rsid w:val="005A7EEA"/>
    <w:rsid w:val="005A7F27"/>
    <w:rsid w:val="005A7F6F"/>
    <w:rsid w:val="005B010C"/>
    <w:rsid w:val="005B01CB"/>
    <w:rsid w:val="005B0319"/>
    <w:rsid w:val="005B031B"/>
    <w:rsid w:val="005B033D"/>
    <w:rsid w:val="005B036E"/>
    <w:rsid w:val="005B03FD"/>
    <w:rsid w:val="005B053C"/>
    <w:rsid w:val="005B057F"/>
    <w:rsid w:val="005B074A"/>
    <w:rsid w:val="005B0798"/>
    <w:rsid w:val="005B09D5"/>
    <w:rsid w:val="005B0C62"/>
    <w:rsid w:val="005B0E65"/>
    <w:rsid w:val="005B0F25"/>
    <w:rsid w:val="005B128B"/>
    <w:rsid w:val="005B1539"/>
    <w:rsid w:val="005B157A"/>
    <w:rsid w:val="005B1731"/>
    <w:rsid w:val="005B2134"/>
    <w:rsid w:val="005B26EC"/>
    <w:rsid w:val="005B279A"/>
    <w:rsid w:val="005B2809"/>
    <w:rsid w:val="005B285B"/>
    <w:rsid w:val="005B2894"/>
    <w:rsid w:val="005B28FC"/>
    <w:rsid w:val="005B299B"/>
    <w:rsid w:val="005B2B6E"/>
    <w:rsid w:val="005B2BD6"/>
    <w:rsid w:val="005B2BF2"/>
    <w:rsid w:val="005B2DC0"/>
    <w:rsid w:val="005B2FCD"/>
    <w:rsid w:val="005B3150"/>
    <w:rsid w:val="005B3311"/>
    <w:rsid w:val="005B355E"/>
    <w:rsid w:val="005B3682"/>
    <w:rsid w:val="005B374F"/>
    <w:rsid w:val="005B3828"/>
    <w:rsid w:val="005B3AEB"/>
    <w:rsid w:val="005B3D3F"/>
    <w:rsid w:val="005B3D75"/>
    <w:rsid w:val="005B3DD7"/>
    <w:rsid w:val="005B3FF3"/>
    <w:rsid w:val="005B409B"/>
    <w:rsid w:val="005B435E"/>
    <w:rsid w:val="005B4479"/>
    <w:rsid w:val="005B457C"/>
    <w:rsid w:val="005B45CE"/>
    <w:rsid w:val="005B4788"/>
    <w:rsid w:val="005B481A"/>
    <w:rsid w:val="005B483E"/>
    <w:rsid w:val="005B4852"/>
    <w:rsid w:val="005B48D2"/>
    <w:rsid w:val="005B4B4E"/>
    <w:rsid w:val="005B4FAA"/>
    <w:rsid w:val="005B51E4"/>
    <w:rsid w:val="005B530C"/>
    <w:rsid w:val="005B532B"/>
    <w:rsid w:val="005B534A"/>
    <w:rsid w:val="005B5372"/>
    <w:rsid w:val="005B5710"/>
    <w:rsid w:val="005B593F"/>
    <w:rsid w:val="005B5A1A"/>
    <w:rsid w:val="005B5B25"/>
    <w:rsid w:val="005B5D44"/>
    <w:rsid w:val="005B5DB5"/>
    <w:rsid w:val="005B5E6E"/>
    <w:rsid w:val="005B6233"/>
    <w:rsid w:val="005B63FE"/>
    <w:rsid w:val="005B66BE"/>
    <w:rsid w:val="005B67E5"/>
    <w:rsid w:val="005B68D4"/>
    <w:rsid w:val="005B68F7"/>
    <w:rsid w:val="005B6BF9"/>
    <w:rsid w:val="005B6C2C"/>
    <w:rsid w:val="005B6EEC"/>
    <w:rsid w:val="005B7193"/>
    <w:rsid w:val="005B74B3"/>
    <w:rsid w:val="005B77C0"/>
    <w:rsid w:val="005B7A07"/>
    <w:rsid w:val="005B7A38"/>
    <w:rsid w:val="005B7AA1"/>
    <w:rsid w:val="005B7AF0"/>
    <w:rsid w:val="005B7B53"/>
    <w:rsid w:val="005B7BE6"/>
    <w:rsid w:val="005B7C69"/>
    <w:rsid w:val="005B7CB2"/>
    <w:rsid w:val="005B7EA1"/>
    <w:rsid w:val="005C01EF"/>
    <w:rsid w:val="005C0272"/>
    <w:rsid w:val="005C0394"/>
    <w:rsid w:val="005C043D"/>
    <w:rsid w:val="005C0599"/>
    <w:rsid w:val="005C05EF"/>
    <w:rsid w:val="005C099C"/>
    <w:rsid w:val="005C0B0D"/>
    <w:rsid w:val="005C0B50"/>
    <w:rsid w:val="005C0C6E"/>
    <w:rsid w:val="005C0DE1"/>
    <w:rsid w:val="005C0E3B"/>
    <w:rsid w:val="005C103B"/>
    <w:rsid w:val="005C1062"/>
    <w:rsid w:val="005C119F"/>
    <w:rsid w:val="005C122A"/>
    <w:rsid w:val="005C131E"/>
    <w:rsid w:val="005C1482"/>
    <w:rsid w:val="005C14C4"/>
    <w:rsid w:val="005C15F7"/>
    <w:rsid w:val="005C1773"/>
    <w:rsid w:val="005C1A43"/>
    <w:rsid w:val="005C1A6C"/>
    <w:rsid w:val="005C1CC4"/>
    <w:rsid w:val="005C1D77"/>
    <w:rsid w:val="005C1F0A"/>
    <w:rsid w:val="005C2028"/>
    <w:rsid w:val="005C20FF"/>
    <w:rsid w:val="005C2394"/>
    <w:rsid w:val="005C2662"/>
    <w:rsid w:val="005C2975"/>
    <w:rsid w:val="005C2C2B"/>
    <w:rsid w:val="005C2CC0"/>
    <w:rsid w:val="005C2E81"/>
    <w:rsid w:val="005C2F03"/>
    <w:rsid w:val="005C2FDE"/>
    <w:rsid w:val="005C3180"/>
    <w:rsid w:val="005C3215"/>
    <w:rsid w:val="005C33CE"/>
    <w:rsid w:val="005C342C"/>
    <w:rsid w:val="005C343F"/>
    <w:rsid w:val="005C35A0"/>
    <w:rsid w:val="005C388C"/>
    <w:rsid w:val="005C3994"/>
    <w:rsid w:val="005C3ACA"/>
    <w:rsid w:val="005C3BC0"/>
    <w:rsid w:val="005C3D1D"/>
    <w:rsid w:val="005C3D95"/>
    <w:rsid w:val="005C3FD4"/>
    <w:rsid w:val="005C400A"/>
    <w:rsid w:val="005C4128"/>
    <w:rsid w:val="005C42D6"/>
    <w:rsid w:val="005C42EA"/>
    <w:rsid w:val="005C437F"/>
    <w:rsid w:val="005C457D"/>
    <w:rsid w:val="005C4793"/>
    <w:rsid w:val="005C4A68"/>
    <w:rsid w:val="005C4EAD"/>
    <w:rsid w:val="005C4EF0"/>
    <w:rsid w:val="005C4F1D"/>
    <w:rsid w:val="005C4F2E"/>
    <w:rsid w:val="005C50A7"/>
    <w:rsid w:val="005C526E"/>
    <w:rsid w:val="005C556E"/>
    <w:rsid w:val="005C5845"/>
    <w:rsid w:val="005C58FD"/>
    <w:rsid w:val="005C597E"/>
    <w:rsid w:val="005C5A92"/>
    <w:rsid w:val="005C5B34"/>
    <w:rsid w:val="005C5BFB"/>
    <w:rsid w:val="005C5D6F"/>
    <w:rsid w:val="005C5DF7"/>
    <w:rsid w:val="005C6322"/>
    <w:rsid w:val="005C6377"/>
    <w:rsid w:val="005C6473"/>
    <w:rsid w:val="005C65CE"/>
    <w:rsid w:val="005C660C"/>
    <w:rsid w:val="005C663F"/>
    <w:rsid w:val="005C6687"/>
    <w:rsid w:val="005C668F"/>
    <w:rsid w:val="005C66A2"/>
    <w:rsid w:val="005C677A"/>
    <w:rsid w:val="005C6844"/>
    <w:rsid w:val="005C685B"/>
    <w:rsid w:val="005C68AC"/>
    <w:rsid w:val="005C6CB2"/>
    <w:rsid w:val="005C6EC0"/>
    <w:rsid w:val="005C6FC0"/>
    <w:rsid w:val="005C720E"/>
    <w:rsid w:val="005C738C"/>
    <w:rsid w:val="005C7418"/>
    <w:rsid w:val="005C746C"/>
    <w:rsid w:val="005C753B"/>
    <w:rsid w:val="005C756D"/>
    <w:rsid w:val="005C780A"/>
    <w:rsid w:val="005C7867"/>
    <w:rsid w:val="005C7A15"/>
    <w:rsid w:val="005C7D1C"/>
    <w:rsid w:val="005C7DF4"/>
    <w:rsid w:val="005C7E30"/>
    <w:rsid w:val="005C7E57"/>
    <w:rsid w:val="005C7FD7"/>
    <w:rsid w:val="005D00D3"/>
    <w:rsid w:val="005D02D6"/>
    <w:rsid w:val="005D03CD"/>
    <w:rsid w:val="005D0422"/>
    <w:rsid w:val="005D0487"/>
    <w:rsid w:val="005D04B8"/>
    <w:rsid w:val="005D0657"/>
    <w:rsid w:val="005D067C"/>
    <w:rsid w:val="005D0B26"/>
    <w:rsid w:val="005D0BCE"/>
    <w:rsid w:val="005D0BF6"/>
    <w:rsid w:val="005D0DF6"/>
    <w:rsid w:val="005D0E3F"/>
    <w:rsid w:val="005D0EB8"/>
    <w:rsid w:val="005D0F06"/>
    <w:rsid w:val="005D1032"/>
    <w:rsid w:val="005D1403"/>
    <w:rsid w:val="005D1658"/>
    <w:rsid w:val="005D1900"/>
    <w:rsid w:val="005D19DF"/>
    <w:rsid w:val="005D1A94"/>
    <w:rsid w:val="005D1AB9"/>
    <w:rsid w:val="005D1AD8"/>
    <w:rsid w:val="005D1C3C"/>
    <w:rsid w:val="005D1CFE"/>
    <w:rsid w:val="005D1EDB"/>
    <w:rsid w:val="005D2100"/>
    <w:rsid w:val="005D214F"/>
    <w:rsid w:val="005D2172"/>
    <w:rsid w:val="005D23F3"/>
    <w:rsid w:val="005D2461"/>
    <w:rsid w:val="005D2679"/>
    <w:rsid w:val="005D2AD5"/>
    <w:rsid w:val="005D2CE4"/>
    <w:rsid w:val="005D2E08"/>
    <w:rsid w:val="005D3023"/>
    <w:rsid w:val="005D3151"/>
    <w:rsid w:val="005D34C1"/>
    <w:rsid w:val="005D35A5"/>
    <w:rsid w:val="005D3965"/>
    <w:rsid w:val="005D3BA2"/>
    <w:rsid w:val="005D3CB2"/>
    <w:rsid w:val="005D3F07"/>
    <w:rsid w:val="005D4189"/>
    <w:rsid w:val="005D4191"/>
    <w:rsid w:val="005D41BA"/>
    <w:rsid w:val="005D4203"/>
    <w:rsid w:val="005D4229"/>
    <w:rsid w:val="005D4278"/>
    <w:rsid w:val="005D427C"/>
    <w:rsid w:val="005D42C3"/>
    <w:rsid w:val="005D4327"/>
    <w:rsid w:val="005D436A"/>
    <w:rsid w:val="005D45F7"/>
    <w:rsid w:val="005D4609"/>
    <w:rsid w:val="005D476F"/>
    <w:rsid w:val="005D47BC"/>
    <w:rsid w:val="005D4A01"/>
    <w:rsid w:val="005D4B0E"/>
    <w:rsid w:val="005D4C46"/>
    <w:rsid w:val="005D4CD3"/>
    <w:rsid w:val="005D4F01"/>
    <w:rsid w:val="005D5118"/>
    <w:rsid w:val="005D5534"/>
    <w:rsid w:val="005D5949"/>
    <w:rsid w:val="005D597E"/>
    <w:rsid w:val="005D5CA2"/>
    <w:rsid w:val="005D5CB7"/>
    <w:rsid w:val="005D6093"/>
    <w:rsid w:val="005D63CA"/>
    <w:rsid w:val="005D6452"/>
    <w:rsid w:val="005D64ED"/>
    <w:rsid w:val="005D6673"/>
    <w:rsid w:val="005D6AD2"/>
    <w:rsid w:val="005D6CF2"/>
    <w:rsid w:val="005D6DB6"/>
    <w:rsid w:val="005D6FB9"/>
    <w:rsid w:val="005D71CE"/>
    <w:rsid w:val="005D7798"/>
    <w:rsid w:val="005D78DF"/>
    <w:rsid w:val="005D7B70"/>
    <w:rsid w:val="005D7C38"/>
    <w:rsid w:val="005D7C4D"/>
    <w:rsid w:val="005D7DB6"/>
    <w:rsid w:val="005D7E4B"/>
    <w:rsid w:val="005D7EEA"/>
    <w:rsid w:val="005D7F65"/>
    <w:rsid w:val="005E0305"/>
    <w:rsid w:val="005E032D"/>
    <w:rsid w:val="005E03AD"/>
    <w:rsid w:val="005E04F0"/>
    <w:rsid w:val="005E0844"/>
    <w:rsid w:val="005E0B47"/>
    <w:rsid w:val="005E0D84"/>
    <w:rsid w:val="005E0EC0"/>
    <w:rsid w:val="005E142B"/>
    <w:rsid w:val="005E181A"/>
    <w:rsid w:val="005E1840"/>
    <w:rsid w:val="005E1AB3"/>
    <w:rsid w:val="005E1B96"/>
    <w:rsid w:val="005E1C61"/>
    <w:rsid w:val="005E1F73"/>
    <w:rsid w:val="005E1F82"/>
    <w:rsid w:val="005E1F8C"/>
    <w:rsid w:val="005E21C5"/>
    <w:rsid w:val="005E21F5"/>
    <w:rsid w:val="005E2225"/>
    <w:rsid w:val="005E263E"/>
    <w:rsid w:val="005E2A0A"/>
    <w:rsid w:val="005E2A92"/>
    <w:rsid w:val="005E2B18"/>
    <w:rsid w:val="005E2C04"/>
    <w:rsid w:val="005E30E0"/>
    <w:rsid w:val="005E32F6"/>
    <w:rsid w:val="005E33DC"/>
    <w:rsid w:val="005E3553"/>
    <w:rsid w:val="005E35A0"/>
    <w:rsid w:val="005E3611"/>
    <w:rsid w:val="005E385B"/>
    <w:rsid w:val="005E3B37"/>
    <w:rsid w:val="005E3BC2"/>
    <w:rsid w:val="005E3D64"/>
    <w:rsid w:val="005E3EFC"/>
    <w:rsid w:val="005E3F05"/>
    <w:rsid w:val="005E3F66"/>
    <w:rsid w:val="005E4150"/>
    <w:rsid w:val="005E4346"/>
    <w:rsid w:val="005E43FD"/>
    <w:rsid w:val="005E444F"/>
    <w:rsid w:val="005E44C3"/>
    <w:rsid w:val="005E4921"/>
    <w:rsid w:val="005E4B5E"/>
    <w:rsid w:val="005E4BC3"/>
    <w:rsid w:val="005E4C26"/>
    <w:rsid w:val="005E4DCB"/>
    <w:rsid w:val="005E501A"/>
    <w:rsid w:val="005E51A3"/>
    <w:rsid w:val="005E521C"/>
    <w:rsid w:val="005E55CE"/>
    <w:rsid w:val="005E566B"/>
    <w:rsid w:val="005E56B4"/>
    <w:rsid w:val="005E5A4F"/>
    <w:rsid w:val="005E5D49"/>
    <w:rsid w:val="005E5D96"/>
    <w:rsid w:val="005E5FC6"/>
    <w:rsid w:val="005E5FFB"/>
    <w:rsid w:val="005E60BD"/>
    <w:rsid w:val="005E61D6"/>
    <w:rsid w:val="005E6480"/>
    <w:rsid w:val="005E65D0"/>
    <w:rsid w:val="005E6629"/>
    <w:rsid w:val="005E66ED"/>
    <w:rsid w:val="005E676B"/>
    <w:rsid w:val="005E687A"/>
    <w:rsid w:val="005E6A6D"/>
    <w:rsid w:val="005E6B07"/>
    <w:rsid w:val="005E6BA4"/>
    <w:rsid w:val="005E6C1A"/>
    <w:rsid w:val="005E6C50"/>
    <w:rsid w:val="005E6EA4"/>
    <w:rsid w:val="005E7032"/>
    <w:rsid w:val="005E73D5"/>
    <w:rsid w:val="005E75A1"/>
    <w:rsid w:val="005E76AE"/>
    <w:rsid w:val="005E7781"/>
    <w:rsid w:val="005E7790"/>
    <w:rsid w:val="005E7817"/>
    <w:rsid w:val="005E78B2"/>
    <w:rsid w:val="005E7A22"/>
    <w:rsid w:val="005E7C01"/>
    <w:rsid w:val="005E7D97"/>
    <w:rsid w:val="005E7EBE"/>
    <w:rsid w:val="005E7EFE"/>
    <w:rsid w:val="005E7F23"/>
    <w:rsid w:val="005E7FBD"/>
    <w:rsid w:val="005F004E"/>
    <w:rsid w:val="005F034F"/>
    <w:rsid w:val="005F0444"/>
    <w:rsid w:val="005F06CF"/>
    <w:rsid w:val="005F06EF"/>
    <w:rsid w:val="005F0B54"/>
    <w:rsid w:val="005F0C06"/>
    <w:rsid w:val="005F0C14"/>
    <w:rsid w:val="005F0C31"/>
    <w:rsid w:val="005F0D6A"/>
    <w:rsid w:val="005F101F"/>
    <w:rsid w:val="005F10C6"/>
    <w:rsid w:val="005F124D"/>
    <w:rsid w:val="005F1264"/>
    <w:rsid w:val="005F1347"/>
    <w:rsid w:val="005F153F"/>
    <w:rsid w:val="005F1789"/>
    <w:rsid w:val="005F195D"/>
    <w:rsid w:val="005F19FA"/>
    <w:rsid w:val="005F2069"/>
    <w:rsid w:val="005F262D"/>
    <w:rsid w:val="005F2688"/>
    <w:rsid w:val="005F28D7"/>
    <w:rsid w:val="005F2D2F"/>
    <w:rsid w:val="005F2E14"/>
    <w:rsid w:val="005F2F56"/>
    <w:rsid w:val="005F3024"/>
    <w:rsid w:val="005F32BE"/>
    <w:rsid w:val="005F334A"/>
    <w:rsid w:val="005F342E"/>
    <w:rsid w:val="005F3619"/>
    <w:rsid w:val="005F3656"/>
    <w:rsid w:val="005F388C"/>
    <w:rsid w:val="005F3B7E"/>
    <w:rsid w:val="005F3B8D"/>
    <w:rsid w:val="005F3BA1"/>
    <w:rsid w:val="005F3C71"/>
    <w:rsid w:val="005F3DD9"/>
    <w:rsid w:val="005F3E33"/>
    <w:rsid w:val="005F3EDC"/>
    <w:rsid w:val="005F3EEF"/>
    <w:rsid w:val="005F4285"/>
    <w:rsid w:val="005F43D5"/>
    <w:rsid w:val="005F44F6"/>
    <w:rsid w:val="005F4759"/>
    <w:rsid w:val="005F4807"/>
    <w:rsid w:val="005F4904"/>
    <w:rsid w:val="005F4F1F"/>
    <w:rsid w:val="005F4F99"/>
    <w:rsid w:val="005F505F"/>
    <w:rsid w:val="005F50B6"/>
    <w:rsid w:val="005F5108"/>
    <w:rsid w:val="005F52FE"/>
    <w:rsid w:val="005F5341"/>
    <w:rsid w:val="005F53F9"/>
    <w:rsid w:val="005F56C2"/>
    <w:rsid w:val="005F5738"/>
    <w:rsid w:val="005F5953"/>
    <w:rsid w:val="005F5AAE"/>
    <w:rsid w:val="005F5AFD"/>
    <w:rsid w:val="005F5BC2"/>
    <w:rsid w:val="005F5DB4"/>
    <w:rsid w:val="005F5DB7"/>
    <w:rsid w:val="005F6122"/>
    <w:rsid w:val="005F620E"/>
    <w:rsid w:val="005F63D2"/>
    <w:rsid w:val="005F64D3"/>
    <w:rsid w:val="005F65B9"/>
    <w:rsid w:val="005F6605"/>
    <w:rsid w:val="005F6C7A"/>
    <w:rsid w:val="005F6D1C"/>
    <w:rsid w:val="005F702B"/>
    <w:rsid w:val="005F707B"/>
    <w:rsid w:val="005F7156"/>
    <w:rsid w:val="005F7160"/>
    <w:rsid w:val="005F7165"/>
    <w:rsid w:val="005F7169"/>
    <w:rsid w:val="005F73F7"/>
    <w:rsid w:val="005F7464"/>
    <w:rsid w:val="005F74AF"/>
    <w:rsid w:val="005F755B"/>
    <w:rsid w:val="005F75D3"/>
    <w:rsid w:val="005F7A59"/>
    <w:rsid w:val="005F7B81"/>
    <w:rsid w:val="005F7E00"/>
    <w:rsid w:val="005F7E90"/>
    <w:rsid w:val="0060003A"/>
    <w:rsid w:val="0060016E"/>
    <w:rsid w:val="00600251"/>
    <w:rsid w:val="00600574"/>
    <w:rsid w:val="0060057E"/>
    <w:rsid w:val="00600707"/>
    <w:rsid w:val="00600B3A"/>
    <w:rsid w:val="00600C02"/>
    <w:rsid w:val="00600C1A"/>
    <w:rsid w:val="00600D02"/>
    <w:rsid w:val="00600D91"/>
    <w:rsid w:val="00600DA1"/>
    <w:rsid w:val="00600EEE"/>
    <w:rsid w:val="0060108A"/>
    <w:rsid w:val="00601149"/>
    <w:rsid w:val="0060127E"/>
    <w:rsid w:val="006012E6"/>
    <w:rsid w:val="00601308"/>
    <w:rsid w:val="00601335"/>
    <w:rsid w:val="006016D9"/>
    <w:rsid w:val="00601787"/>
    <w:rsid w:val="0060179C"/>
    <w:rsid w:val="00601A6C"/>
    <w:rsid w:val="00601BFF"/>
    <w:rsid w:val="00601EA2"/>
    <w:rsid w:val="00601F3A"/>
    <w:rsid w:val="0060258D"/>
    <w:rsid w:val="006025AA"/>
    <w:rsid w:val="006026AF"/>
    <w:rsid w:val="00602848"/>
    <w:rsid w:val="006028DF"/>
    <w:rsid w:val="00602A15"/>
    <w:rsid w:val="00602A26"/>
    <w:rsid w:val="00602AA6"/>
    <w:rsid w:val="00602C5D"/>
    <w:rsid w:val="00602E54"/>
    <w:rsid w:val="00602F7A"/>
    <w:rsid w:val="006034AD"/>
    <w:rsid w:val="006037B0"/>
    <w:rsid w:val="00603A7A"/>
    <w:rsid w:val="00603B74"/>
    <w:rsid w:val="00603B98"/>
    <w:rsid w:val="00603D0C"/>
    <w:rsid w:val="00603E2E"/>
    <w:rsid w:val="00603EC9"/>
    <w:rsid w:val="00603F9A"/>
    <w:rsid w:val="00603FD9"/>
    <w:rsid w:val="0060404F"/>
    <w:rsid w:val="0060405F"/>
    <w:rsid w:val="006040E4"/>
    <w:rsid w:val="0060411B"/>
    <w:rsid w:val="0060415A"/>
    <w:rsid w:val="00604260"/>
    <w:rsid w:val="006042EA"/>
    <w:rsid w:val="006043D0"/>
    <w:rsid w:val="0060442F"/>
    <w:rsid w:val="0060449A"/>
    <w:rsid w:val="00604522"/>
    <w:rsid w:val="00604623"/>
    <w:rsid w:val="0060462F"/>
    <w:rsid w:val="00604912"/>
    <w:rsid w:val="006049D7"/>
    <w:rsid w:val="00604C71"/>
    <w:rsid w:val="00604D10"/>
    <w:rsid w:val="00604D27"/>
    <w:rsid w:val="00604D69"/>
    <w:rsid w:val="00605366"/>
    <w:rsid w:val="00605531"/>
    <w:rsid w:val="00605600"/>
    <w:rsid w:val="00605619"/>
    <w:rsid w:val="006056CF"/>
    <w:rsid w:val="00605746"/>
    <w:rsid w:val="006059FD"/>
    <w:rsid w:val="00605C4F"/>
    <w:rsid w:val="00605CC9"/>
    <w:rsid w:val="00605ED1"/>
    <w:rsid w:val="00606293"/>
    <w:rsid w:val="0060644D"/>
    <w:rsid w:val="0060660E"/>
    <w:rsid w:val="00606868"/>
    <w:rsid w:val="006069BA"/>
    <w:rsid w:val="00606C18"/>
    <w:rsid w:val="00606C92"/>
    <w:rsid w:val="00606DF7"/>
    <w:rsid w:val="0060713A"/>
    <w:rsid w:val="006071B0"/>
    <w:rsid w:val="006071F2"/>
    <w:rsid w:val="00607496"/>
    <w:rsid w:val="00607508"/>
    <w:rsid w:val="0060778B"/>
    <w:rsid w:val="00607A89"/>
    <w:rsid w:val="00607B20"/>
    <w:rsid w:val="00607CB1"/>
    <w:rsid w:val="006102CA"/>
    <w:rsid w:val="00610381"/>
    <w:rsid w:val="00610386"/>
    <w:rsid w:val="00610524"/>
    <w:rsid w:val="00610557"/>
    <w:rsid w:val="00610674"/>
    <w:rsid w:val="006106AE"/>
    <w:rsid w:val="0061071B"/>
    <w:rsid w:val="0061087D"/>
    <w:rsid w:val="00610A50"/>
    <w:rsid w:val="00610AAA"/>
    <w:rsid w:val="00610AE6"/>
    <w:rsid w:val="00610DCC"/>
    <w:rsid w:val="00610EC3"/>
    <w:rsid w:val="006115D5"/>
    <w:rsid w:val="006116A5"/>
    <w:rsid w:val="006118E1"/>
    <w:rsid w:val="00611A93"/>
    <w:rsid w:val="00611E30"/>
    <w:rsid w:val="00611E36"/>
    <w:rsid w:val="006122C7"/>
    <w:rsid w:val="0061299F"/>
    <w:rsid w:val="006129ED"/>
    <w:rsid w:val="00612A3E"/>
    <w:rsid w:val="00612E00"/>
    <w:rsid w:val="00612E10"/>
    <w:rsid w:val="00612E24"/>
    <w:rsid w:val="00612E89"/>
    <w:rsid w:val="00612FC2"/>
    <w:rsid w:val="0061300A"/>
    <w:rsid w:val="00613021"/>
    <w:rsid w:val="0061303D"/>
    <w:rsid w:val="00613452"/>
    <w:rsid w:val="00613468"/>
    <w:rsid w:val="0061347F"/>
    <w:rsid w:val="0061379D"/>
    <w:rsid w:val="00613807"/>
    <w:rsid w:val="00613B9C"/>
    <w:rsid w:val="00613EAA"/>
    <w:rsid w:val="00613FA9"/>
    <w:rsid w:val="0061435C"/>
    <w:rsid w:val="00614550"/>
    <w:rsid w:val="00614564"/>
    <w:rsid w:val="00614633"/>
    <w:rsid w:val="006147D6"/>
    <w:rsid w:val="006149D4"/>
    <w:rsid w:val="00614B65"/>
    <w:rsid w:val="00614B8C"/>
    <w:rsid w:val="00614BCE"/>
    <w:rsid w:val="00615062"/>
    <w:rsid w:val="006153C3"/>
    <w:rsid w:val="006155E9"/>
    <w:rsid w:val="00615D46"/>
    <w:rsid w:val="00615D76"/>
    <w:rsid w:val="00615E98"/>
    <w:rsid w:val="006160BB"/>
    <w:rsid w:val="006160FF"/>
    <w:rsid w:val="006167DA"/>
    <w:rsid w:val="0061683B"/>
    <w:rsid w:val="00616887"/>
    <w:rsid w:val="00616993"/>
    <w:rsid w:val="006169C5"/>
    <w:rsid w:val="00616C14"/>
    <w:rsid w:val="00616C22"/>
    <w:rsid w:val="00616EC9"/>
    <w:rsid w:val="00616F09"/>
    <w:rsid w:val="00616F40"/>
    <w:rsid w:val="006174B7"/>
    <w:rsid w:val="006177D3"/>
    <w:rsid w:val="006177D9"/>
    <w:rsid w:val="00617BBE"/>
    <w:rsid w:val="00617C11"/>
    <w:rsid w:val="00617C51"/>
    <w:rsid w:val="006202E3"/>
    <w:rsid w:val="0062034D"/>
    <w:rsid w:val="00620430"/>
    <w:rsid w:val="00620644"/>
    <w:rsid w:val="006207DE"/>
    <w:rsid w:val="00620942"/>
    <w:rsid w:val="0062095D"/>
    <w:rsid w:val="00620A16"/>
    <w:rsid w:val="00620B48"/>
    <w:rsid w:val="00620D9F"/>
    <w:rsid w:val="00620E01"/>
    <w:rsid w:val="00620E4F"/>
    <w:rsid w:val="00621021"/>
    <w:rsid w:val="006210DF"/>
    <w:rsid w:val="006211E0"/>
    <w:rsid w:val="00621215"/>
    <w:rsid w:val="00621370"/>
    <w:rsid w:val="00621371"/>
    <w:rsid w:val="00621381"/>
    <w:rsid w:val="0062162C"/>
    <w:rsid w:val="0062162F"/>
    <w:rsid w:val="0062172E"/>
    <w:rsid w:val="006217CE"/>
    <w:rsid w:val="00621908"/>
    <w:rsid w:val="00621D7F"/>
    <w:rsid w:val="00621E97"/>
    <w:rsid w:val="00621EDE"/>
    <w:rsid w:val="006221E4"/>
    <w:rsid w:val="00622469"/>
    <w:rsid w:val="00622665"/>
    <w:rsid w:val="006226FD"/>
    <w:rsid w:val="00622738"/>
    <w:rsid w:val="006227B9"/>
    <w:rsid w:val="00622954"/>
    <w:rsid w:val="00622CAC"/>
    <w:rsid w:val="00622ED0"/>
    <w:rsid w:val="006231CA"/>
    <w:rsid w:val="0062322E"/>
    <w:rsid w:val="0062334C"/>
    <w:rsid w:val="00623442"/>
    <w:rsid w:val="0062356E"/>
    <w:rsid w:val="00623CF5"/>
    <w:rsid w:val="00623EB8"/>
    <w:rsid w:val="00623F5F"/>
    <w:rsid w:val="00624037"/>
    <w:rsid w:val="006240E3"/>
    <w:rsid w:val="00624102"/>
    <w:rsid w:val="00624166"/>
    <w:rsid w:val="006241E8"/>
    <w:rsid w:val="00624220"/>
    <w:rsid w:val="00624342"/>
    <w:rsid w:val="00624538"/>
    <w:rsid w:val="00624745"/>
    <w:rsid w:val="00624930"/>
    <w:rsid w:val="00624ADF"/>
    <w:rsid w:val="00624DF6"/>
    <w:rsid w:val="00624F17"/>
    <w:rsid w:val="00625026"/>
    <w:rsid w:val="00625417"/>
    <w:rsid w:val="00625955"/>
    <w:rsid w:val="006259B7"/>
    <w:rsid w:val="006259DB"/>
    <w:rsid w:val="00625AB9"/>
    <w:rsid w:val="00625E10"/>
    <w:rsid w:val="00625F32"/>
    <w:rsid w:val="00625F56"/>
    <w:rsid w:val="0062607B"/>
    <w:rsid w:val="006261D7"/>
    <w:rsid w:val="00626381"/>
    <w:rsid w:val="006263E1"/>
    <w:rsid w:val="00626605"/>
    <w:rsid w:val="006266BB"/>
    <w:rsid w:val="0062679C"/>
    <w:rsid w:val="006267C9"/>
    <w:rsid w:val="006267E6"/>
    <w:rsid w:val="006267F0"/>
    <w:rsid w:val="006268BE"/>
    <w:rsid w:val="00626A38"/>
    <w:rsid w:val="00626A67"/>
    <w:rsid w:val="00626AFA"/>
    <w:rsid w:val="00626C6D"/>
    <w:rsid w:val="006270FE"/>
    <w:rsid w:val="0062760B"/>
    <w:rsid w:val="00627633"/>
    <w:rsid w:val="006276B6"/>
    <w:rsid w:val="00627BAD"/>
    <w:rsid w:val="00627D09"/>
    <w:rsid w:val="00627E84"/>
    <w:rsid w:val="00627EE5"/>
    <w:rsid w:val="00630059"/>
    <w:rsid w:val="006301F6"/>
    <w:rsid w:val="00630223"/>
    <w:rsid w:val="0063075A"/>
    <w:rsid w:val="006309CA"/>
    <w:rsid w:val="00630A72"/>
    <w:rsid w:val="00630AEC"/>
    <w:rsid w:val="00630CD5"/>
    <w:rsid w:val="00630D8E"/>
    <w:rsid w:val="00630DCD"/>
    <w:rsid w:val="00630E10"/>
    <w:rsid w:val="0063105E"/>
    <w:rsid w:val="00631377"/>
    <w:rsid w:val="00631434"/>
    <w:rsid w:val="00631452"/>
    <w:rsid w:val="006314A6"/>
    <w:rsid w:val="006314E5"/>
    <w:rsid w:val="006315E1"/>
    <w:rsid w:val="00631D65"/>
    <w:rsid w:val="006321BA"/>
    <w:rsid w:val="006321DD"/>
    <w:rsid w:val="0063241F"/>
    <w:rsid w:val="006327F6"/>
    <w:rsid w:val="00632BF5"/>
    <w:rsid w:val="00632C08"/>
    <w:rsid w:val="00632C87"/>
    <w:rsid w:val="00632DEA"/>
    <w:rsid w:val="00633015"/>
    <w:rsid w:val="0063321C"/>
    <w:rsid w:val="0063358D"/>
    <w:rsid w:val="00633791"/>
    <w:rsid w:val="00633804"/>
    <w:rsid w:val="006338F8"/>
    <w:rsid w:val="00633919"/>
    <w:rsid w:val="00633937"/>
    <w:rsid w:val="006339A7"/>
    <w:rsid w:val="00633AC6"/>
    <w:rsid w:val="00633CB6"/>
    <w:rsid w:val="00633D3E"/>
    <w:rsid w:val="00633D8D"/>
    <w:rsid w:val="00633E64"/>
    <w:rsid w:val="00633EBC"/>
    <w:rsid w:val="00633EEF"/>
    <w:rsid w:val="0063410A"/>
    <w:rsid w:val="00634145"/>
    <w:rsid w:val="006341A9"/>
    <w:rsid w:val="00634576"/>
    <w:rsid w:val="0063469B"/>
    <w:rsid w:val="00634AE9"/>
    <w:rsid w:val="00634CAE"/>
    <w:rsid w:val="00634D8A"/>
    <w:rsid w:val="00634D8C"/>
    <w:rsid w:val="00634E80"/>
    <w:rsid w:val="00635244"/>
    <w:rsid w:val="006352CA"/>
    <w:rsid w:val="0063555F"/>
    <w:rsid w:val="0063562C"/>
    <w:rsid w:val="0063579C"/>
    <w:rsid w:val="0063596E"/>
    <w:rsid w:val="00635F54"/>
    <w:rsid w:val="00635F74"/>
    <w:rsid w:val="00635FEC"/>
    <w:rsid w:val="006360E1"/>
    <w:rsid w:val="00636343"/>
    <w:rsid w:val="006364B1"/>
    <w:rsid w:val="00636538"/>
    <w:rsid w:val="0063672B"/>
    <w:rsid w:val="00636868"/>
    <w:rsid w:val="00636898"/>
    <w:rsid w:val="0063690B"/>
    <w:rsid w:val="00636A43"/>
    <w:rsid w:val="00636AC5"/>
    <w:rsid w:val="00637219"/>
    <w:rsid w:val="00637231"/>
    <w:rsid w:val="0063727F"/>
    <w:rsid w:val="0063748B"/>
    <w:rsid w:val="0063749A"/>
    <w:rsid w:val="00637692"/>
    <w:rsid w:val="00637749"/>
    <w:rsid w:val="0063794A"/>
    <w:rsid w:val="006379B6"/>
    <w:rsid w:val="00637A7C"/>
    <w:rsid w:val="00637AE0"/>
    <w:rsid w:val="00637BBE"/>
    <w:rsid w:val="0064028D"/>
    <w:rsid w:val="006402FE"/>
    <w:rsid w:val="00640305"/>
    <w:rsid w:val="00640306"/>
    <w:rsid w:val="00640499"/>
    <w:rsid w:val="0064063F"/>
    <w:rsid w:val="00640787"/>
    <w:rsid w:val="0064082F"/>
    <w:rsid w:val="00640A70"/>
    <w:rsid w:val="00640B8D"/>
    <w:rsid w:val="00640CA4"/>
    <w:rsid w:val="00640E34"/>
    <w:rsid w:val="00640E3D"/>
    <w:rsid w:val="00640E56"/>
    <w:rsid w:val="00641000"/>
    <w:rsid w:val="006410E6"/>
    <w:rsid w:val="00641108"/>
    <w:rsid w:val="00641189"/>
    <w:rsid w:val="0064120E"/>
    <w:rsid w:val="00641318"/>
    <w:rsid w:val="0064167B"/>
    <w:rsid w:val="0064175D"/>
    <w:rsid w:val="006417A1"/>
    <w:rsid w:val="00641C11"/>
    <w:rsid w:val="00641C9B"/>
    <w:rsid w:val="00641E2A"/>
    <w:rsid w:val="00641FDD"/>
    <w:rsid w:val="006421E1"/>
    <w:rsid w:val="0064229F"/>
    <w:rsid w:val="00642349"/>
    <w:rsid w:val="00642422"/>
    <w:rsid w:val="00642750"/>
    <w:rsid w:val="00642761"/>
    <w:rsid w:val="006428A5"/>
    <w:rsid w:val="00642A42"/>
    <w:rsid w:val="00642B58"/>
    <w:rsid w:val="00642E86"/>
    <w:rsid w:val="00642EEA"/>
    <w:rsid w:val="006434F6"/>
    <w:rsid w:val="00643670"/>
    <w:rsid w:val="0064368D"/>
    <w:rsid w:val="0064395B"/>
    <w:rsid w:val="0064399F"/>
    <w:rsid w:val="006439E6"/>
    <w:rsid w:val="00643AE5"/>
    <w:rsid w:val="00643AF8"/>
    <w:rsid w:val="00643B8F"/>
    <w:rsid w:val="00643C06"/>
    <w:rsid w:val="00644035"/>
    <w:rsid w:val="00644261"/>
    <w:rsid w:val="0064426D"/>
    <w:rsid w:val="0064444D"/>
    <w:rsid w:val="006444C1"/>
    <w:rsid w:val="0064450A"/>
    <w:rsid w:val="006447D3"/>
    <w:rsid w:val="006449DF"/>
    <w:rsid w:val="00644A7D"/>
    <w:rsid w:val="00645066"/>
    <w:rsid w:val="0064527B"/>
    <w:rsid w:val="006452D1"/>
    <w:rsid w:val="00645315"/>
    <w:rsid w:val="0064537D"/>
    <w:rsid w:val="006454F9"/>
    <w:rsid w:val="00645555"/>
    <w:rsid w:val="00645699"/>
    <w:rsid w:val="00645797"/>
    <w:rsid w:val="006458A2"/>
    <w:rsid w:val="00645DF7"/>
    <w:rsid w:val="00645E02"/>
    <w:rsid w:val="00645E72"/>
    <w:rsid w:val="00646065"/>
    <w:rsid w:val="00646124"/>
    <w:rsid w:val="00646A34"/>
    <w:rsid w:val="00646F17"/>
    <w:rsid w:val="00646F93"/>
    <w:rsid w:val="00647008"/>
    <w:rsid w:val="006473A1"/>
    <w:rsid w:val="00647540"/>
    <w:rsid w:val="0064762B"/>
    <w:rsid w:val="006478D1"/>
    <w:rsid w:val="00647C2A"/>
    <w:rsid w:val="00647C68"/>
    <w:rsid w:val="00647CAE"/>
    <w:rsid w:val="00647D7E"/>
    <w:rsid w:val="00647E13"/>
    <w:rsid w:val="00647FD1"/>
    <w:rsid w:val="006502BD"/>
    <w:rsid w:val="00650419"/>
    <w:rsid w:val="0065063C"/>
    <w:rsid w:val="006507A5"/>
    <w:rsid w:val="00650849"/>
    <w:rsid w:val="006509B6"/>
    <w:rsid w:val="006509ED"/>
    <w:rsid w:val="00650BA1"/>
    <w:rsid w:val="00650BEB"/>
    <w:rsid w:val="0065105A"/>
    <w:rsid w:val="00651474"/>
    <w:rsid w:val="006514A1"/>
    <w:rsid w:val="006514B7"/>
    <w:rsid w:val="0065162D"/>
    <w:rsid w:val="00651640"/>
    <w:rsid w:val="00651676"/>
    <w:rsid w:val="006517F1"/>
    <w:rsid w:val="006517FB"/>
    <w:rsid w:val="00651B08"/>
    <w:rsid w:val="00651D9C"/>
    <w:rsid w:val="00652052"/>
    <w:rsid w:val="006521F9"/>
    <w:rsid w:val="0065254B"/>
    <w:rsid w:val="00652AAE"/>
    <w:rsid w:val="00652C81"/>
    <w:rsid w:val="00652FB6"/>
    <w:rsid w:val="0065356B"/>
    <w:rsid w:val="006535DA"/>
    <w:rsid w:val="006536BB"/>
    <w:rsid w:val="00653A34"/>
    <w:rsid w:val="00653ADB"/>
    <w:rsid w:val="00653DB9"/>
    <w:rsid w:val="006540E0"/>
    <w:rsid w:val="006541E6"/>
    <w:rsid w:val="006541E8"/>
    <w:rsid w:val="006542F6"/>
    <w:rsid w:val="00654409"/>
    <w:rsid w:val="00654569"/>
    <w:rsid w:val="006545A3"/>
    <w:rsid w:val="006545EA"/>
    <w:rsid w:val="006548F2"/>
    <w:rsid w:val="00654A7A"/>
    <w:rsid w:val="00654BD3"/>
    <w:rsid w:val="00654BF7"/>
    <w:rsid w:val="00654D9C"/>
    <w:rsid w:val="00654F87"/>
    <w:rsid w:val="0065508F"/>
    <w:rsid w:val="00655176"/>
    <w:rsid w:val="00655479"/>
    <w:rsid w:val="00655675"/>
    <w:rsid w:val="00655754"/>
    <w:rsid w:val="0065577A"/>
    <w:rsid w:val="00655BC8"/>
    <w:rsid w:val="00656085"/>
    <w:rsid w:val="0065616E"/>
    <w:rsid w:val="0065696B"/>
    <w:rsid w:val="00656A0F"/>
    <w:rsid w:val="00656B15"/>
    <w:rsid w:val="00656C15"/>
    <w:rsid w:val="00656E83"/>
    <w:rsid w:val="006571AB"/>
    <w:rsid w:val="006571F3"/>
    <w:rsid w:val="00657347"/>
    <w:rsid w:val="006573F7"/>
    <w:rsid w:val="00657444"/>
    <w:rsid w:val="00657448"/>
    <w:rsid w:val="00657491"/>
    <w:rsid w:val="006574C2"/>
    <w:rsid w:val="00657559"/>
    <w:rsid w:val="006575A1"/>
    <w:rsid w:val="006575D3"/>
    <w:rsid w:val="00657AEE"/>
    <w:rsid w:val="00657D1A"/>
    <w:rsid w:val="00657D3D"/>
    <w:rsid w:val="006600B0"/>
    <w:rsid w:val="00660152"/>
    <w:rsid w:val="00660157"/>
    <w:rsid w:val="0066020A"/>
    <w:rsid w:val="00660303"/>
    <w:rsid w:val="006606AE"/>
    <w:rsid w:val="006606E1"/>
    <w:rsid w:val="00660909"/>
    <w:rsid w:val="0066095F"/>
    <w:rsid w:val="006609B0"/>
    <w:rsid w:val="00660BC7"/>
    <w:rsid w:val="00660C12"/>
    <w:rsid w:val="00660D68"/>
    <w:rsid w:val="00660EE2"/>
    <w:rsid w:val="006611A1"/>
    <w:rsid w:val="00661423"/>
    <w:rsid w:val="0066147A"/>
    <w:rsid w:val="0066184D"/>
    <w:rsid w:val="00661D1B"/>
    <w:rsid w:val="00661DDA"/>
    <w:rsid w:val="00662074"/>
    <w:rsid w:val="00662088"/>
    <w:rsid w:val="00662210"/>
    <w:rsid w:val="0066233F"/>
    <w:rsid w:val="006625B8"/>
    <w:rsid w:val="006625DA"/>
    <w:rsid w:val="006626F8"/>
    <w:rsid w:val="00662901"/>
    <w:rsid w:val="00662955"/>
    <w:rsid w:val="00662A45"/>
    <w:rsid w:val="00662B5C"/>
    <w:rsid w:val="00662D47"/>
    <w:rsid w:val="00663019"/>
    <w:rsid w:val="006630C3"/>
    <w:rsid w:val="00663269"/>
    <w:rsid w:val="00663298"/>
    <w:rsid w:val="0066334D"/>
    <w:rsid w:val="006633E0"/>
    <w:rsid w:val="0066360C"/>
    <w:rsid w:val="00663637"/>
    <w:rsid w:val="00663865"/>
    <w:rsid w:val="00663B18"/>
    <w:rsid w:val="00663E13"/>
    <w:rsid w:val="00663F0B"/>
    <w:rsid w:val="006640E5"/>
    <w:rsid w:val="0066455D"/>
    <w:rsid w:val="006647A5"/>
    <w:rsid w:val="00664892"/>
    <w:rsid w:val="00664979"/>
    <w:rsid w:val="00664DBC"/>
    <w:rsid w:val="00664E8E"/>
    <w:rsid w:val="00664F84"/>
    <w:rsid w:val="00664FA5"/>
    <w:rsid w:val="00665067"/>
    <w:rsid w:val="006651DE"/>
    <w:rsid w:val="0066520F"/>
    <w:rsid w:val="006653EA"/>
    <w:rsid w:val="00665531"/>
    <w:rsid w:val="00665708"/>
    <w:rsid w:val="00665872"/>
    <w:rsid w:val="00665E6F"/>
    <w:rsid w:val="00666133"/>
    <w:rsid w:val="00666536"/>
    <w:rsid w:val="0066672A"/>
    <w:rsid w:val="0066683C"/>
    <w:rsid w:val="00666997"/>
    <w:rsid w:val="00666C41"/>
    <w:rsid w:val="00666F59"/>
    <w:rsid w:val="006670CE"/>
    <w:rsid w:val="00667235"/>
    <w:rsid w:val="006672E4"/>
    <w:rsid w:val="0066732F"/>
    <w:rsid w:val="00667572"/>
    <w:rsid w:val="00667744"/>
    <w:rsid w:val="00667AEE"/>
    <w:rsid w:val="00667C24"/>
    <w:rsid w:val="00667C74"/>
    <w:rsid w:val="00667CB4"/>
    <w:rsid w:val="00667DB5"/>
    <w:rsid w:val="006702D6"/>
    <w:rsid w:val="00670350"/>
    <w:rsid w:val="00670447"/>
    <w:rsid w:val="00670773"/>
    <w:rsid w:val="00670818"/>
    <w:rsid w:val="00670C89"/>
    <w:rsid w:val="00670DAC"/>
    <w:rsid w:val="00670E97"/>
    <w:rsid w:val="00670EAC"/>
    <w:rsid w:val="00671061"/>
    <w:rsid w:val="0067115D"/>
    <w:rsid w:val="006711B0"/>
    <w:rsid w:val="006712B7"/>
    <w:rsid w:val="006712EF"/>
    <w:rsid w:val="00671347"/>
    <w:rsid w:val="00671379"/>
    <w:rsid w:val="006713B4"/>
    <w:rsid w:val="006713F6"/>
    <w:rsid w:val="00671648"/>
    <w:rsid w:val="006719B0"/>
    <w:rsid w:val="006720D9"/>
    <w:rsid w:val="00672488"/>
    <w:rsid w:val="0067277E"/>
    <w:rsid w:val="00672848"/>
    <w:rsid w:val="00672941"/>
    <w:rsid w:val="00672990"/>
    <w:rsid w:val="006729E0"/>
    <w:rsid w:val="00672BE8"/>
    <w:rsid w:val="00672EB5"/>
    <w:rsid w:val="00673172"/>
    <w:rsid w:val="006735F3"/>
    <w:rsid w:val="006737DA"/>
    <w:rsid w:val="00673C9B"/>
    <w:rsid w:val="00673CCF"/>
    <w:rsid w:val="00673D57"/>
    <w:rsid w:val="00673D66"/>
    <w:rsid w:val="00674054"/>
    <w:rsid w:val="006741E5"/>
    <w:rsid w:val="00674226"/>
    <w:rsid w:val="006742FB"/>
    <w:rsid w:val="00674376"/>
    <w:rsid w:val="0067442B"/>
    <w:rsid w:val="0067454F"/>
    <w:rsid w:val="00674727"/>
    <w:rsid w:val="0067472A"/>
    <w:rsid w:val="006748A0"/>
    <w:rsid w:val="0067495F"/>
    <w:rsid w:val="00674D5B"/>
    <w:rsid w:val="00674FE0"/>
    <w:rsid w:val="00674FF8"/>
    <w:rsid w:val="006751EF"/>
    <w:rsid w:val="0067523A"/>
    <w:rsid w:val="006757F5"/>
    <w:rsid w:val="00675B53"/>
    <w:rsid w:val="0067636E"/>
    <w:rsid w:val="0067657B"/>
    <w:rsid w:val="00676638"/>
    <w:rsid w:val="0067673B"/>
    <w:rsid w:val="006767A7"/>
    <w:rsid w:val="006769C2"/>
    <w:rsid w:val="00676A70"/>
    <w:rsid w:val="00676BD0"/>
    <w:rsid w:val="00676C5B"/>
    <w:rsid w:val="00676C83"/>
    <w:rsid w:val="00676D0F"/>
    <w:rsid w:val="00676E7D"/>
    <w:rsid w:val="00676EF6"/>
    <w:rsid w:val="006771B5"/>
    <w:rsid w:val="006773BD"/>
    <w:rsid w:val="006773CC"/>
    <w:rsid w:val="00677415"/>
    <w:rsid w:val="006777D4"/>
    <w:rsid w:val="00677816"/>
    <w:rsid w:val="0067798D"/>
    <w:rsid w:val="006779AE"/>
    <w:rsid w:val="006779E5"/>
    <w:rsid w:val="00677A09"/>
    <w:rsid w:val="00677CE7"/>
    <w:rsid w:val="00677ECE"/>
    <w:rsid w:val="006802B3"/>
    <w:rsid w:val="006802B6"/>
    <w:rsid w:val="0068051E"/>
    <w:rsid w:val="0068070E"/>
    <w:rsid w:val="0068089E"/>
    <w:rsid w:val="00680A70"/>
    <w:rsid w:val="00680E99"/>
    <w:rsid w:val="00680ED3"/>
    <w:rsid w:val="00680F04"/>
    <w:rsid w:val="00680F8E"/>
    <w:rsid w:val="0068186B"/>
    <w:rsid w:val="00681A8D"/>
    <w:rsid w:val="00681CDE"/>
    <w:rsid w:val="0068209B"/>
    <w:rsid w:val="006820A3"/>
    <w:rsid w:val="006820A4"/>
    <w:rsid w:val="006820C0"/>
    <w:rsid w:val="006821E1"/>
    <w:rsid w:val="00682284"/>
    <w:rsid w:val="006824CF"/>
    <w:rsid w:val="00682645"/>
    <w:rsid w:val="00682C6B"/>
    <w:rsid w:val="00682F81"/>
    <w:rsid w:val="0068307A"/>
    <w:rsid w:val="006830DF"/>
    <w:rsid w:val="006831DD"/>
    <w:rsid w:val="006832FC"/>
    <w:rsid w:val="006833BD"/>
    <w:rsid w:val="006834BA"/>
    <w:rsid w:val="006834E4"/>
    <w:rsid w:val="00683986"/>
    <w:rsid w:val="00683A11"/>
    <w:rsid w:val="00683C2A"/>
    <w:rsid w:val="00683DC9"/>
    <w:rsid w:val="00683F0F"/>
    <w:rsid w:val="00684052"/>
    <w:rsid w:val="00684070"/>
    <w:rsid w:val="0068428B"/>
    <w:rsid w:val="0068453F"/>
    <w:rsid w:val="00684883"/>
    <w:rsid w:val="006848E5"/>
    <w:rsid w:val="0068492B"/>
    <w:rsid w:val="00684946"/>
    <w:rsid w:val="006849D7"/>
    <w:rsid w:val="00684B1E"/>
    <w:rsid w:val="00684B7F"/>
    <w:rsid w:val="00684BF4"/>
    <w:rsid w:val="00684C3F"/>
    <w:rsid w:val="00684E6D"/>
    <w:rsid w:val="00685040"/>
    <w:rsid w:val="00685277"/>
    <w:rsid w:val="006852CB"/>
    <w:rsid w:val="006853B7"/>
    <w:rsid w:val="006857B6"/>
    <w:rsid w:val="00685877"/>
    <w:rsid w:val="006858F4"/>
    <w:rsid w:val="00685C04"/>
    <w:rsid w:val="00685F9D"/>
    <w:rsid w:val="006861CB"/>
    <w:rsid w:val="00686390"/>
    <w:rsid w:val="00686650"/>
    <w:rsid w:val="00686703"/>
    <w:rsid w:val="006868D3"/>
    <w:rsid w:val="00686915"/>
    <w:rsid w:val="00686988"/>
    <w:rsid w:val="006869E9"/>
    <w:rsid w:val="0068741D"/>
    <w:rsid w:val="0068752D"/>
    <w:rsid w:val="00687730"/>
    <w:rsid w:val="00687763"/>
    <w:rsid w:val="00687BBF"/>
    <w:rsid w:val="00687C52"/>
    <w:rsid w:val="0069006B"/>
    <w:rsid w:val="006900F5"/>
    <w:rsid w:val="00690279"/>
    <w:rsid w:val="006902D5"/>
    <w:rsid w:val="00690698"/>
    <w:rsid w:val="00690893"/>
    <w:rsid w:val="00690C75"/>
    <w:rsid w:val="00690DF4"/>
    <w:rsid w:val="00690FC6"/>
    <w:rsid w:val="0069103C"/>
    <w:rsid w:val="006910AC"/>
    <w:rsid w:val="006910C3"/>
    <w:rsid w:val="006911C3"/>
    <w:rsid w:val="006916E5"/>
    <w:rsid w:val="006917FC"/>
    <w:rsid w:val="00691BCF"/>
    <w:rsid w:val="00691EAB"/>
    <w:rsid w:val="00691FEA"/>
    <w:rsid w:val="006921D2"/>
    <w:rsid w:val="0069220C"/>
    <w:rsid w:val="00692338"/>
    <w:rsid w:val="006926E7"/>
    <w:rsid w:val="0069281C"/>
    <w:rsid w:val="00692EF6"/>
    <w:rsid w:val="00693154"/>
    <w:rsid w:val="006932F0"/>
    <w:rsid w:val="0069351C"/>
    <w:rsid w:val="006935F3"/>
    <w:rsid w:val="00693631"/>
    <w:rsid w:val="00693734"/>
    <w:rsid w:val="0069377B"/>
    <w:rsid w:val="0069386E"/>
    <w:rsid w:val="00693B93"/>
    <w:rsid w:val="00693E37"/>
    <w:rsid w:val="006940E7"/>
    <w:rsid w:val="00694306"/>
    <w:rsid w:val="00694414"/>
    <w:rsid w:val="006944DB"/>
    <w:rsid w:val="00694647"/>
    <w:rsid w:val="00694746"/>
    <w:rsid w:val="00694886"/>
    <w:rsid w:val="00694938"/>
    <w:rsid w:val="00694AB9"/>
    <w:rsid w:val="00694B81"/>
    <w:rsid w:val="00694C8F"/>
    <w:rsid w:val="00694DCA"/>
    <w:rsid w:val="00694EDB"/>
    <w:rsid w:val="00694F13"/>
    <w:rsid w:val="00694F6E"/>
    <w:rsid w:val="00694FE1"/>
    <w:rsid w:val="00695009"/>
    <w:rsid w:val="0069505C"/>
    <w:rsid w:val="00695119"/>
    <w:rsid w:val="0069547F"/>
    <w:rsid w:val="0069554A"/>
    <w:rsid w:val="0069555F"/>
    <w:rsid w:val="006957AE"/>
    <w:rsid w:val="00695893"/>
    <w:rsid w:val="00695CDE"/>
    <w:rsid w:val="00695F6C"/>
    <w:rsid w:val="00695F8F"/>
    <w:rsid w:val="0069636A"/>
    <w:rsid w:val="00696440"/>
    <w:rsid w:val="006964D3"/>
    <w:rsid w:val="00696B9A"/>
    <w:rsid w:val="00697173"/>
    <w:rsid w:val="006971DF"/>
    <w:rsid w:val="006971EA"/>
    <w:rsid w:val="0069723D"/>
    <w:rsid w:val="00697390"/>
    <w:rsid w:val="006973B4"/>
    <w:rsid w:val="00697952"/>
    <w:rsid w:val="006979CE"/>
    <w:rsid w:val="00697A3E"/>
    <w:rsid w:val="00697B7B"/>
    <w:rsid w:val="00697C02"/>
    <w:rsid w:val="00697FCA"/>
    <w:rsid w:val="006A0032"/>
    <w:rsid w:val="006A02D9"/>
    <w:rsid w:val="006A037F"/>
    <w:rsid w:val="006A03A1"/>
    <w:rsid w:val="006A053E"/>
    <w:rsid w:val="006A056F"/>
    <w:rsid w:val="006A06AA"/>
    <w:rsid w:val="006A073F"/>
    <w:rsid w:val="006A07F6"/>
    <w:rsid w:val="006A0873"/>
    <w:rsid w:val="006A094F"/>
    <w:rsid w:val="006A0B8D"/>
    <w:rsid w:val="006A0DEE"/>
    <w:rsid w:val="006A0DF8"/>
    <w:rsid w:val="006A0E2C"/>
    <w:rsid w:val="006A1061"/>
    <w:rsid w:val="006A134D"/>
    <w:rsid w:val="006A143A"/>
    <w:rsid w:val="006A143E"/>
    <w:rsid w:val="006A14CD"/>
    <w:rsid w:val="006A14FE"/>
    <w:rsid w:val="006A16EE"/>
    <w:rsid w:val="006A19DA"/>
    <w:rsid w:val="006A1B5D"/>
    <w:rsid w:val="006A1DA3"/>
    <w:rsid w:val="006A2029"/>
    <w:rsid w:val="006A209C"/>
    <w:rsid w:val="006A2118"/>
    <w:rsid w:val="006A2187"/>
    <w:rsid w:val="006A244D"/>
    <w:rsid w:val="006A2580"/>
    <w:rsid w:val="006A2657"/>
    <w:rsid w:val="006A2742"/>
    <w:rsid w:val="006A2789"/>
    <w:rsid w:val="006A291F"/>
    <w:rsid w:val="006A2944"/>
    <w:rsid w:val="006A2970"/>
    <w:rsid w:val="006A2A4B"/>
    <w:rsid w:val="006A2E47"/>
    <w:rsid w:val="006A3119"/>
    <w:rsid w:val="006A3151"/>
    <w:rsid w:val="006A3321"/>
    <w:rsid w:val="006A34A3"/>
    <w:rsid w:val="006A360D"/>
    <w:rsid w:val="006A3727"/>
    <w:rsid w:val="006A38F5"/>
    <w:rsid w:val="006A3B92"/>
    <w:rsid w:val="006A3CCC"/>
    <w:rsid w:val="006A3D8F"/>
    <w:rsid w:val="006A3F7B"/>
    <w:rsid w:val="006A3FA0"/>
    <w:rsid w:val="006A3FF9"/>
    <w:rsid w:val="006A42C2"/>
    <w:rsid w:val="006A42DC"/>
    <w:rsid w:val="006A4475"/>
    <w:rsid w:val="006A45E5"/>
    <w:rsid w:val="006A4874"/>
    <w:rsid w:val="006A4890"/>
    <w:rsid w:val="006A48DA"/>
    <w:rsid w:val="006A498D"/>
    <w:rsid w:val="006A4A12"/>
    <w:rsid w:val="006A4C84"/>
    <w:rsid w:val="006A4EC0"/>
    <w:rsid w:val="006A5259"/>
    <w:rsid w:val="006A547E"/>
    <w:rsid w:val="006A54B4"/>
    <w:rsid w:val="006A5623"/>
    <w:rsid w:val="006A564E"/>
    <w:rsid w:val="006A5743"/>
    <w:rsid w:val="006A58C6"/>
    <w:rsid w:val="006A5B00"/>
    <w:rsid w:val="006A5BBB"/>
    <w:rsid w:val="006A5D72"/>
    <w:rsid w:val="006A5F33"/>
    <w:rsid w:val="006A5FCD"/>
    <w:rsid w:val="006A603A"/>
    <w:rsid w:val="006A627B"/>
    <w:rsid w:val="006A6307"/>
    <w:rsid w:val="006A63FA"/>
    <w:rsid w:val="006A67D9"/>
    <w:rsid w:val="006A6C42"/>
    <w:rsid w:val="006A6ED3"/>
    <w:rsid w:val="006A6F63"/>
    <w:rsid w:val="006A6FAC"/>
    <w:rsid w:val="006A706D"/>
    <w:rsid w:val="006A70DC"/>
    <w:rsid w:val="006A7253"/>
    <w:rsid w:val="006A7481"/>
    <w:rsid w:val="006A75C9"/>
    <w:rsid w:val="006A7633"/>
    <w:rsid w:val="006A78DC"/>
    <w:rsid w:val="006A7AEE"/>
    <w:rsid w:val="006A7BA0"/>
    <w:rsid w:val="006A7E48"/>
    <w:rsid w:val="006A7FD8"/>
    <w:rsid w:val="006B0010"/>
    <w:rsid w:val="006B0173"/>
    <w:rsid w:val="006B0238"/>
    <w:rsid w:val="006B036B"/>
    <w:rsid w:val="006B05C4"/>
    <w:rsid w:val="006B0641"/>
    <w:rsid w:val="006B06B2"/>
    <w:rsid w:val="006B06E0"/>
    <w:rsid w:val="006B07F5"/>
    <w:rsid w:val="006B08E0"/>
    <w:rsid w:val="006B098E"/>
    <w:rsid w:val="006B0B3C"/>
    <w:rsid w:val="006B0E2A"/>
    <w:rsid w:val="006B1138"/>
    <w:rsid w:val="006B116D"/>
    <w:rsid w:val="006B1208"/>
    <w:rsid w:val="006B1309"/>
    <w:rsid w:val="006B1730"/>
    <w:rsid w:val="006B1B30"/>
    <w:rsid w:val="006B2136"/>
    <w:rsid w:val="006B2167"/>
    <w:rsid w:val="006B2456"/>
    <w:rsid w:val="006B253F"/>
    <w:rsid w:val="006B2595"/>
    <w:rsid w:val="006B26A7"/>
    <w:rsid w:val="006B2716"/>
    <w:rsid w:val="006B2923"/>
    <w:rsid w:val="006B2C20"/>
    <w:rsid w:val="006B2C88"/>
    <w:rsid w:val="006B2D15"/>
    <w:rsid w:val="006B2E95"/>
    <w:rsid w:val="006B2F99"/>
    <w:rsid w:val="006B305B"/>
    <w:rsid w:val="006B306F"/>
    <w:rsid w:val="006B3625"/>
    <w:rsid w:val="006B38AD"/>
    <w:rsid w:val="006B3988"/>
    <w:rsid w:val="006B3ADA"/>
    <w:rsid w:val="006B3C2D"/>
    <w:rsid w:val="006B3F4E"/>
    <w:rsid w:val="006B4489"/>
    <w:rsid w:val="006B45D7"/>
    <w:rsid w:val="006B45DE"/>
    <w:rsid w:val="006B4A3F"/>
    <w:rsid w:val="006B4CC4"/>
    <w:rsid w:val="006B4E80"/>
    <w:rsid w:val="006B4EC9"/>
    <w:rsid w:val="006B53AB"/>
    <w:rsid w:val="006B558A"/>
    <w:rsid w:val="006B5683"/>
    <w:rsid w:val="006B59B6"/>
    <w:rsid w:val="006B5F70"/>
    <w:rsid w:val="006B6019"/>
    <w:rsid w:val="006B6100"/>
    <w:rsid w:val="006B6350"/>
    <w:rsid w:val="006B6681"/>
    <w:rsid w:val="006B668C"/>
    <w:rsid w:val="006B685F"/>
    <w:rsid w:val="006B6C52"/>
    <w:rsid w:val="006B6FC0"/>
    <w:rsid w:val="006B703A"/>
    <w:rsid w:val="006B7141"/>
    <w:rsid w:val="006B71BB"/>
    <w:rsid w:val="006B7268"/>
    <w:rsid w:val="006B72BA"/>
    <w:rsid w:val="006B745F"/>
    <w:rsid w:val="006B7527"/>
    <w:rsid w:val="006B77B6"/>
    <w:rsid w:val="006B7809"/>
    <w:rsid w:val="006B78AE"/>
    <w:rsid w:val="006B79E1"/>
    <w:rsid w:val="006B7B1D"/>
    <w:rsid w:val="006B7D7E"/>
    <w:rsid w:val="006B7D80"/>
    <w:rsid w:val="006B7DE9"/>
    <w:rsid w:val="006B7FA2"/>
    <w:rsid w:val="006C0117"/>
    <w:rsid w:val="006C01D2"/>
    <w:rsid w:val="006C0284"/>
    <w:rsid w:val="006C0365"/>
    <w:rsid w:val="006C0565"/>
    <w:rsid w:val="006C0927"/>
    <w:rsid w:val="006C0E1B"/>
    <w:rsid w:val="006C11A9"/>
    <w:rsid w:val="006C1264"/>
    <w:rsid w:val="006C13C3"/>
    <w:rsid w:val="006C13D2"/>
    <w:rsid w:val="006C1455"/>
    <w:rsid w:val="006C1583"/>
    <w:rsid w:val="006C16F1"/>
    <w:rsid w:val="006C17F8"/>
    <w:rsid w:val="006C190E"/>
    <w:rsid w:val="006C1989"/>
    <w:rsid w:val="006C1D44"/>
    <w:rsid w:val="006C1D6D"/>
    <w:rsid w:val="006C1D73"/>
    <w:rsid w:val="006C1D79"/>
    <w:rsid w:val="006C1E4C"/>
    <w:rsid w:val="006C1E54"/>
    <w:rsid w:val="006C1EF1"/>
    <w:rsid w:val="006C1FC0"/>
    <w:rsid w:val="006C213A"/>
    <w:rsid w:val="006C23BD"/>
    <w:rsid w:val="006C23DC"/>
    <w:rsid w:val="006C2652"/>
    <w:rsid w:val="006C297C"/>
    <w:rsid w:val="006C2AD0"/>
    <w:rsid w:val="006C2B49"/>
    <w:rsid w:val="006C2B50"/>
    <w:rsid w:val="006C2CDE"/>
    <w:rsid w:val="006C2D04"/>
    <w:rsid w:val="006C2F5C"/>
    <w:rsid w:val="006C307E"/>
    <w:rsid w:val="006C30F5"/>
    <w:rsid w:val="006C3377"/>
    <w:rsid w:val="006C3386"/>
    <w:rsid w:val="006C35E5"/>
    <w:rsid w:val="006C374A"/>
    <w:rsid w:val="006C3AF9"/>
    <w:rsid w:val="006C3B7D"/>
    <w:rsid w:val="006C3CC9"/>
    <w:rsid w:val="006C3DA7"/>
    <w:rsid w:val="006C3E13"/>
    <w:rsid w:val="006C42B8"/>
    <w:rsid w:val="006C4448"/>
    <w:rsid w:val="006C451F"/>
    <w:rsid w:val="006C4575"/>
    <w:rsid w:val="006C464C"/>
    <w:rsid w:val="006C4B7B"/>
    <w:rsid w:val="006C4DBA"/>
    <w:rsid w:val="006C5296"/>
    <w:rsid w:val="006C5312"/>
    <w:rsid w:val="006C544D"/>
    <w:rsid w:val="006C5469"/>
    <w:rsid w:val="006C560F"/>
    <w:rsid w:val="006C5737"/>
    <w:rsid w:val="006C5A0D"/>
    <w:rsid w:val="006C5BE8"/>
    <w:rsid w:val="006C5D98"/>
    <w:rsid w:val="006C5EB1"/>
    <w:rsid w:val="006C5FE3"/>
    <w:rsid w:val="006C609D"/>
    <w:rsid w:val="006C6197"/>
    <w:rsid w:val="006C620A"/>
    <w:rsid w:val="006C6321"/>
    <w:rsid w:val="006C64E5"/>
    <w:rsid w:val="006C66EB"/>
    <w:rsid w:val="006C68C5"/>
    <w:rsid w:val="006C6907"/>
    <w:rsid w:val="006C6C96"/>
    <w:rsid w:val="006C6FBA"/>
    <w:rsid w:val="006C70AA"/>
    <w:rsid w:val="006C72FD"/>
    <w:rsid w:val="006C78ED"/>
    <w:rsid w:val="006C7BC3"/>
    <w:rsid w:val="006C7BEB"/>
    <w:rsid w:val="006C7C2E"/>
    <w:rsid w:val="006C7D55"/>
    <w:rsid w:val="006C7FEE"/>
    <w:rsid w:val="006D0016"/>
    <w:rsid w:val="006D0115"/>
    <w:rsid w:val="006D0347"/>
    <w:rsid w:val="006D0470"/>
    <w:rsid w:val="006D09BF"/>
    <w:rsid w:val="006D0A90"/>
    <w:rsid w:val="006D0B2D"/>
    <w:rsid w:val="006D0C80"/>
    <w:rsid w:val="006D0CE9"/>
    <w:rsid w:val="006D1013"/>
    <w:rsid w:val="006D10E4"/>
    <w:rsid w:val="006D122B"/>
    <w:rsid w:val="006D167A"/>
    <w:rsid w:val="006D18C6"/>
    <w:rsid w:val="006D191E"/>
    <w:rsid w:val="006D1964"/>
    <w:rsid w:val="006D19FC"/>
    <w:rsid w:val="006D1DEC"/>
    <w:rsid w:val="006D2033"/>
    <w:rsid w:val="006D230F"/>
    <w:rsid w:val="006D23AD"/>
    <w:rsid w:val="006D25FE"/>
    <w:rsid w:val="006D2897"/>
    <w:rsid w:val="006D2D2A"/>
    <w:rsid w:val="006D2FAD"/>
    <w:rsid w:val="006D3196"/>
    <w:rsid w:val="006D321B"/>
    <w:rsid w:val="006D370A"/>
    <w:rsid w:val="006D39B9"/>
    <w:rsid w:val="006D3A92"/>
    <w:rsid w:val="006D3B89"/>
    <w:rsid w:val="006D3D6E"/>
    <w:rsid w:val="006D3DC5"/>
    <w:rsid w:val="006D3F9A"/>
    <w:rsid w:val="006D40E3"/>
    <w:rsid w:val="006D40FF"/>
    <w:rsid w:val="006D4185"/>
    <w:rsid w:val="006D41F9"/>
    <w:rsid w:val="006D421F"/>
    <w:rsid w:val="006D4321"/>
    <w:rsid w:val="006D4555"/>
    <w:rsid w:val="006D4562"/>
    <w:rsid w:val="006D4702"/>
    <w:rsid w:val="006D484F"/>
    <w:rsid w:val="006D4E30"/>
    <w:rsid w:val="006D52E2"/>
    <w:rsid w:val="006D5339"/>
    <w:rsid w:val="006D53A0"/>
    <w:rsid w:val="006D54F4"/>
    <w:rsid w:val="006D5554"/>
    <w:rsid w:val="006D5692"/>
    <w:rsid w:val="006D57CB"/>
    <w:rsid w:val="006D5BB8"/>
    <w:rsid w:val="006D5E48"/>
    <w:rsid w:val="006D5E85"/>
    <w:rsid w:val="006D608B"/>
    <w:rsid w:val="006D6172"/>
    <w:rsid w:val="006D64C4"/>
    <w:rsid w:val="006D65BF"/>
    <w:rsid w:val="006D65CD"/>
    <w:rsid w:val="006D67A8"/>
    <w:rsid w:val="006D6880"/>
    <w:rsid w:val="006D6A37"/>
    <w:rsid w:val="006D6D4E"/>
    <w:rsid w:val="006D6D88"/>
    <w:rsid w:val="006D6F8B"/>
    <w:rsid w:val="006D6F9B"/>
    <w:rsid w:val="006D713A"/>
    <w:rsid w:val="006D72D3"/>
    <w:rsid w:val="006D771E"/>
    <w:rsid w:val="006D7AF4"/>
    <w:rsid w:val="006D7BB0"/>
    <w:rsid w:val="006D7DF7"/>
    <w:rsid w:val="006E0198"/>
    <w:rsid w:val="006E01F6"/>
    <w:rsid w:val="006E035E"/>
    <w:rsid w:val="006E0462"/>
    <w:rsid w:val="006E04B5"/>
    <w:rsid w:val="006E052B"/>
    <w:rsid w:val="006E06C0"/>
    <w:rsid w:val="006E06C4"/>
    <w:rsid w:val="006E072B"/>
    <w:rsid w:val="006E0A9E"/>
    <w:rsid w:val="006E0AF3"/>
    <w:rsid w:val="006E0AFF"/>
    <w:rsid w:val="006E0B52"/>
    <w:rsid w:val="006E0C3C"/>
    <w:rsid w:val="006E0E6F"/>
    <w:rsid w:val="006E1440"/>
    <w:rsid w:val="006E1472"/>
    <w:rsid w:val="006E149E"/>
    <w:rsid w:val="006E14C7"/>
    <w:rsid w:val="006E1609"/>
    <w:rsid w:val="006E16A5"/>
    <w:rsid w:val="006E16E0"/>
    <w:rsid w:val="006E17B5"/>
    <w:rsid w:val="006E1839"/>
    <w:rsid w:val="006E1870"/>
    <w:rsid w:val="006E18D1"/>
    <w:rsid w:val="006E1AF8"/>
    <w:rsid w:val="006E1BD2"/>
    <w:rsid w:val="006E1E92"/>
    <w:rsid w:val="006E2007"/>
    <w:rsid w:val="006E2026"/>
    <w:rsid w:val="006E20A8"/>
    <w:rsid w:val="006E2193"/>
    <w:rsid w:val="006E239C"/>
    <w:rsid w:val="006E2435"/>
    <w:rsid w:val="006E24DE"/>
    <w:rsid w:val="006E2930"/>
    <w:rsid w:val="006E2978"/>
    <w:rsid w:val="006E2A2B"/>
    <w:rsid w:val="006E2A90"/>
    <w:rsid w:val="006E2A92"/>
    <w:rsid w:val="006E2ACD"/>
    <w:rsid w:val="006E2C36"/>
    <w:rsid w:val="006E2E4F"/>
    <w:rsid w:val="006E2F56"/>
    <w:rsid w:val="006E306A"/>
    <w:rsid w:val="006E30F7"/>
    <w:rsid w:val="006E3112"/>
    <w:rsid w:val="006E314F"/>
    <w:rsid w:val="006E335C"/>
    <w:rsid w:val="006E33FF"/>
    <w:rsid w:val="006E370C"/>
    <w:rsid w:val="006E38D3"/>
    <w:rsid w:val="006E3C3B"/>
    <w:rsid w:val="006E3C61"/>
    <w:rsid w:val="006E3D19"/>
    <w:rsid w:val="006E3DB6"/>
    <w:rsid w:val="006E3F55"/>
    <w:rsid w:val="006E444A"/>
    <w:rsid w:val="006E4487"/>
    <w:rsid w:val="006E451A"/>
    <w:rsid w:val="006E49C5"/>
    <w:rsid w:val="006E4BAF"/>
    <w:rsid w:val="006E4BE8"/>
    <w:rsid w:val="006E4D0B"/>
    <w:rsid w:val="006E4FBD"/>
    <w:rsid w:val="006E531C"/>
    <w:rsid w:val="006E53EC"/>
    <w:rsid w:val="006E54C3"/>
    <w:rsid w:val="006E55C5"/>
    <w:rsid w:val="006E55FE"/>
    <w:rsid w:val="006E58AF"/>
    <w:rsid w:val="006E5C4A"/>
    <w:rsid w:val="006E5EDD"/>
    <w:rsid w:val="006E62F6"/>
    <w:rsid w:val="006E6436"/>
    <w:rsid w:val="006E6463"/>
    <w:rsid w:val="006E653B"/>
    <w:rsid w:val="006E660B"/>
    <w:rsid w:val="006E6970"/>
    <w:rsid w:val="006E6DCF"/>
    <w:rsid w:val="006E6E8B"/>
    <w:rsid w:val="006E6F75"/>
    <w:rsid w:val="006E71CC"/>
    <w:rsid w:val="006E7200"/>
    <w:rsid w:val="006E7341"/>
    <w:rsid w:val="006E74C4"/>
    <w:rsid w:val="006E74E3"/>
    <w:rsid w:val="006E77A2"/>
    <w:rsid w:val="006E7808"/>
    <w:rsid w:val="006E7905"/>
    <w:rsid w:val="006E79C1"/>
    <w:rsid w:val="006E7A20"/>
    <w:rsid w:val="006E7B0B"/>
    <w:rsid w:val="006E7C04"/>
    <w:rsid w:val="006E7C47"/>
    <w:rsid w:val="006E7FF0"/>
    <w:rsid w:val="006F009E"/>
    <w:rsid w:val="006F00B0"/>
    <w:rsid w:val="006F0383"/>
    <w:rsid w:val="006F0A12"/>
    <w:rsid w:val="006F0AD1"/>
    <w:rsid w:val="006F10C7"/>
    <w:rsid w:val="006F11BB"/>
    <w:rsid w:val="006F1493"/>
    <w:rsid w:val="006F1734"/>
    <w:rsid w:val="006F1754"/>
    <w:rsid w:val="006F17DB"/>
    <w:rsid w:val="006F1B17"/>
    <w:rsid w:val="006F1C6C"/>
    <w:rsid w:val="006F2046"/>
    <w:rsid w:val="006F2293"/>
    <w:rsid w:val="006F22AA"/>
    <w:rsid w:val="006F22F0"/>
    <w:rsid w:val="006F2413"/>
    <w:rsid w:val="006F24FB"/>
    <w:rsid w:val="006F2544"/>
    <w:rsid w:val="006F26B6"/>
    <w:rsid w:val="006F27FD"/>
    <w:rsid w:val="006F291B"/>
    <w:rsid w:val="006F295D"/>
    <w:rsid w:val="006F2C01"/>
    <w:rsid w:val="006F2DB4"/>
    <w:rsid w:val="006F2E93"/>
    <w:rsid w:val="006F3283"/>
    <w:rsid w:val="006F32E6"/>
    <w:rsid w:val="006F35B8"/>
    <w:rsid w:val="006F3625"/>
    <w:rsid w:val="006F3725"/>
    <w:rsid w:val="006F3821"/>
    <w:rsid w:val="006F3856"/>
    <w:rsid w:val="006F3955"/>
    <w:rsid w:val="006F3B0B"/>
    <w:rsid w:val="006F3BAF"/>
    <w:rsid w:val="006F3D0A"/>
    <w:rsid w:val="006F3D22"/>
    <w:rsid w:val="006F3E2B"/>
    <w:rsid w:val="006F3E9E"/>
    <w:rsid w:val="006F42D3"/>
    <w:rsid w:val="006F4483"/>
    <w:rsid w:val="006F4564"/>
    <w:rsid w:val="006F469F"/>
    <w:rsid w:val="006F471F"/>
    <w:rsid w:val="006F4774"/>
    <w:rsid w:val="006F47CE"/>
    <w:rsid w:val="006F4A8E"/>
    <w:rsid w:val="006F4C8F"/>
    <w:rsid w:val="006F4CEC"/>
    <w:rsid w:val="006F4D9C"/>
    <w:rsid w:val="006F4E6D"/>
    <w:rsid w:val="006F4E85"/>
    <w:rsid w:val="006F4F86"/>
    <w:rsid w:val="006F51BC"/>
    <w:rsid w:val="006F5256"/>
    <w:rsid w:val="006F5483"/>
    <w:rsid w:val="006F550E"/>
    <w:rsid w:val="006F5576"/>
    <w:rsid w:val="006F55FB"/>
    <w:rsid w:val="006F5859"/>
    <w:rsid w:val="006F5AF2"/>
    <w:rsid w:val="006F5C6A"/>
    <w:rsid w:val="006F600D"/>
    <w:rsid w:val="006F607C"/>
    <w:rsid w:val="006F61B5"/>
    <w:rsid w:val="006F6609"/>
    <w:rsid w:val="006F6835"/>
    <w:rsid w:val="006F68E3"/>
    <w:rsid w:val="006F694D"/>
    <w:rsid w:val="006F6A08"/>
    <w:rsid w:val="006F6AF5"/>
    <w:rsid w:val="006F6BE8"/>
    <w:rsid w:val="006F70EF"/>
    <w:rsid w:val="006F72B7"/>
    <w:rsid w:val="006F72E9"/>
    <w:rsid w:val="006F746C"/>
    <w:rsid w:val="006F7649"/>
    <w:rsid w:val="006F7728"/>
    <w:rsid w:val="006F7829"/>
    <w:rsid w:val="006F78AD"/>
    <w:rsid w:val="006F7A2D"/>
    <w:rsid w:val="006F7C34"/>
    <w:rsid w:val="006F7D85"/>
    <w:rsid w:val="006F7DD1"/>
    <w:rsid w:val="006F7FCE"/>
    <w:rsid w:val="0070001B"/>
    <w:rsid w:val="00700026"/>
    <w:rsid w:val="00700071"/>
    <w:rsid w:val="007000DF"/>
    <w:rsid w:val="00700149"/>
    <w:rsid w:val="00700210"/>
    <w:rsid w:val="00700410"/>
    <w:rsid w:val="00700582"/>
    <w:rsid w:val="007006EC"/>
    <w:rsid w:val="00700769"/>
    <w:rsid w:val="007007C7"/>
    <w:rsid w:val="007008BA"/>
    <w:rsid w:val="0070090E"/>
    <w:rsid w:val="00700917"/>
    <w:rsid w:val="00700BCF"/>
    <w:rsid w:val="00700EBE"/>
    <w:rsid w:val="00700EC7"/>
    <w:rsid w:val="00700F19"/>
    <w:rsid w:val="00701050"/>
    <w:rsid w:val="007016BC"/>
    <w:rsid w:val="00701721"/>
    <w:rsid w:val="00701887"/>
    <w:rsid w:val="00701C67"/>
    <w:rsid w:val="00701D39"/>
    <w:rsid w:val="00701E70"/>
    <w:rsid w:val="00702219"/>
    <w:rsid w:val="0070260C"/>
    <w:rsid w:val="0070272A"/>
    <w:rsid w:val="007029E2"/>
    <w:rsid w:val="00702C33"/>
    <w:rsid w:val="00702C65"/>
    <w:rsid w:val="00702D88"/>
    <w:rsid w:val="00702F01"/>
    <w:rsid w:val="00702F14"/>
    <w:rsid w:val="00702FB8"/>
    <w:rsid w:val="00702FF0"/>
    <w:rsid w:val="00703162"/>
    <w:rsid w:val="0070345D"/>
    <w:rsid w:val="00703464"/>
    <w:rsid w:val="00703481"/>
    <w:rsid w:val="00703612"/>
    <w:rsid w:val="0070389F"/>
    <w:rsid w:val="00703AB5"/>
    <w:rsid w:val="00703B5F"/>
    <w:rsid w:val="00703B98"/>
    <w:rsid w:val="00704052"/>
    <w:rsid w:val="007042E9"/>
    <w:rsid w:val="00704308"/>
    <w:rsid w:val="007043F6"/>
    <w:rsid w:val="00704620"/>
    <w:rsid w:val="00704714"/>
    <w:rsid w:val="00704776"/>
    <w:rsid w:val="0070478A"/>
    <w:rsid w:val="007047E6"/>
    <w:rsid w:val="0070480A"/>
    <w:rsid w:val="007048AC"/>
    <w:rsid w:val="00704933"/>
    <w:rsid w:val="00704B32"/>
    <w:rsid w:val="00704BB6"/>
    <w:rsid w:val="00704C2A"/>
    <w:rsid w:val="00704F9E"/>
    <w:rsid w:val="00705455"/>
    <w:rsid w:val="007054C9"/>
    <w:rsid w:val="00705799"/>
    <w:rsid w:val="00705B9B"/>
    <w:rsid w:val="00705C10"/>
    <w:rsid w:val="00705C11"/>
    <w:rsid w:val="00705CF8"/>
    <w:rsid w:val="00705D3A"/>
    <w:rsid w:val="00705DA7"/>
    <w:rsid w:val="00706276"/>
    <w:rsid w:val="00706551"/>
    <w:rsid w:val="00706661"/>
    <w:rsid w:val="00706719"/>
    <w:rsid w:val="00706868"/>
    <w:rsid w:val="00706C02"/>
    <w:rsid w:val="00706DE6"/>
    <w:rsid w:val="00706ED1"/>
    <w:rsid w:val="00706F11"/>
    <w:rsid w:val="007070E0"/>
    <w:rsid w:val="00707347"/>
    <w:rsid w:val="007075DE"/>
    <w:rsid w:val="0070764A"/>
    <w:rsid w:val="0070796D"/>
    <w:rsid w:val="007079A7"/>
    <w:rsid w:val="00707AE7"/>
    <w:rsid w:val="00707BAB"/>
    <w:rsid w:val="00707BB0"/>
    <w:rsid w:val="00707DAB"/>
    <w:rsid w:val="00707E76"/>
    <w:rsid w:val="00710131"/>
    <w:rsid w:val="0071021D"/>
    <w:rsid w:val="0071033A"/>
    <w:rsid w:val="007103FF"/>
    <w:rsid w:val="0071040B"/>
    <w:rsid w:val="0071056E"/>
    <w:rsid w:val="00710808"/>
    <w:rsid w:val="00710852"/>
    <w:rsid w:val="007109D5"/>
    <w:rsid w:val="007109F3"/>
    <w:rsid w:val="00710A11"/>
    <w:rsid w:val="00710A37"/>
    <w:rsid w:val="00710A47"/>
    <w:rsid w:val="00710A71"/>
    <w:rsid w:val="00710BFC"/>
    <w:rsid w:val="00710C5A"/>
    <w:rsid w:val="00710CA2"/>
    <w:rsid w:val="00710E26"/>
    <w:rsid w:val="00710E82"/>
    <w:rsid w:val="00710F09"/>
    <w:rsid w:val="00711025"/>
    <w:rsid w:val="00711226"/>
    <w:rsid w:val="007117D2"/>
    <w:rsid w:val="00711867"/>
    <w:rsid w:val="007118CF"/>
    <w:rsid w:val="00711908"/>
    <w:rsid w:val="007127B6"/>
    <w:rsid w:val="007129E9"/>
    <w:rsid w:val="00712BDD"/>
    <w:rsid w:val="00712E45"/>
    <w:rsid w:val="007130A6"/>
    <w:rsid w:val="00713421"/>
    <w:rsid w:val="0071346D"/>
    <w:rsid w:val="007136AA"/>
    <w:rsid w:val="007137C5"/>
    <w:rsid w:val="0071383E"/>
    <w:rsid w:val="007138F3"/>
    <w:rsid w:val="0071397E"/>
    <w:rsid w:val="00713BD0"/>
    <w:rsid w:val="00713C56"/>
    <w:rsid w:val="00713EC8"/>
    <w:rsid w:val="0071409C"/>
    <w:rsid w:val="007141C8"/>
    <w:rsid w:val="007141F3"/>
    <w:rsid w:val="0071424C"/>
    <w:rsid w:val="00714698"/>
    <w:rsid w:val="00714720"/>
    <w:rsid w:val="007148E8"/>
    <w:rsid w:val="00714CE3"/>
    <w:rsid w:val="00714F4A"/>
    <w:rsid w:val="00714F4F"/>
    <w:rsid w:val="00715041"/>
    <w:rsid w:val="007151BA"/>
    <w:rsid w:val="00715318"/>
    <w:rsid w:val="00715383"/>
    <w:rsid w:val="007153AA"/>
    <w:rsid w:val="007153BD"/>
    <w:rsid w:val="00715472"/>
    <w:rsid w:val="00715DC8"/>
    <w:rsid w:val="0071610F"/>
    <w:rsid w:val="00716228"/>
    <w:rsid w:val="0071632F"/>
    <w:rsid w:val="0071636D"/>
    <w:rsid w:val="00716873"/>
    <w:rsid w:val="0071693D"/>
    <w:rsid w:val="007169C7"/>
    <w:rsid w:val="00716AEC"/>
    <w:rsid w:val="00716CC6"/>
    <w:rsid w:val="00716CE4"/>
    <w:rsid w:val="00716E7F"/>
    <w:rsid w:val="00717082"/>
    <w:rsid w:val="0071711A"/>
    <w:rsid w:val="00717171"/>
    <w:rsid w:val="007171BA"/>
    <w:rsid w:val="007174A8"/>
    <w:rsid w:val="007176D3"/>
    <w:rsid w:val="00717A13"/>
    <w:rsid w:val="00717AF9"/>
    <w:rsid w:val="00717DBE"/>
    <w:rsid w:val="007200C4"/>
    <w:rsid w:val="00720516"/>
    <w:rsid w:val="00720939"/>
    <w:rsid w:val="00720A80"/>
    <w:rsid w:val="00720BB1"/>
    <w:rsid w:val="00720C1A"/>
    <w:rsid w:val="00720D32"/>
    <w:rsid w:val="007210D5"/>
    <w:rsid w:val="007214E1"/>
    <w:rsid w:val="0072184B"/>
    <w:rsid w:val="0072194E"/>
    <w:rsid w:val="00721A0C"/>
    <w:rsid w:val="00721C80"/>
    <w:rsid w:val="00721F26"/>
    <w:rsid w:val="00721F99"/>
    <w:rsid w:val="0072210C"/>
    <w:rsid w:val="0072216A"/>
    <w:rsid w:val="00722275"/>
    <w:rsid w:val="007222DE"/>
    <w:rsid w:val="007224CB"/>
    <w:rsid w:val="00722538"/>
    <w:rsid w:val="0072265D"/>
    <w:rsid w:val="00722664"/>
    <w:rsid w:val="0072269D"/>
    <w:rsid w:val="00722803"/>
    <w:rsid w:val="00722CAC"/>
    <w:rsid w:val="00722DB9"/>
    <w:rsid w:val="00722DC7"/>
    <w:rsid w:val="00722E65"/>
    <w:rsid w:val="007230A0"/>
    <w:rsid w:val="00723134"/>
    <w:rsid w:val="00723191"/>
    <w:rsid w:val="00723259"/>
    <w:rsid w:val="0072327D"/>
    <w:rsid w:val="007234AD"/>
    <w:rsid w:val="0072350D"/>
    <w:rsid w:val="007235A5"/>
    <w:rsid w:val="00723959"/>
    <w:rsid w:val="00723AC4"/>
    <w:rsid w:val="00723EFD"/>
    <w:rsid w:val="007240C9"/>
    <w:rsid w:val="007244A8"/>
    <w:rsid w:val="00724782"/>
    <w:rsid w:val="0072478F"/>
    <w:rsid w:val="00724815"/>
    <w:rsid w:val="007248DC"/>
    <w:rsid w:val="00724965"/>
    <w:rsid w:val="00724A00"/>
    <w:rsid w:val="00724A22"/>
    <w:rsid w:val="00724D3E"/>
    <w:rsid w:val="00724EE6"/>
    <w:rsid w:val="007251E2"/>
    <w:rsid w:val="00725274"/>
    <w:rsid w:val="00725388"/>
    <w:rsid w:val="007254C4"/>
    <w:rsid w:val="00725523"/>
    <w:rsid w:val="00725588"/>
    <w:rsid w:val="00725660"/>
    <w:rsid w:val="00725A31"/>
    <w:rsid w:val="00725A47"/>
    <w:rsid w:val="00725A7D"/>
    <w:rsid w:val="007260C5"/>
    <w:rsid w:val="007260ED"/>
    <w:rsid w:val="00726106"/>
    <w:rsid w:val="007261B3"/>
    <w:rsid w:val="00726260"/>
    <w:rsid w:val="00726408"/>
    <w:rsid w:val="0072658E"/>
    <w:rsid w:val="0072661E"/>
    <w:rsid w:val="00726782"/>
    <w:rsid w:val="00726A26"/>
    <w:rsid w:val="00726BCE"/>
    <w:rsid w:val="00727343"/>
    <w:rsid w:val="00727460"/>
    <w:rsid w:val="007277BF"/>
    <w:rsid w:val="00727A80"/>
    <w:rsid w:val="00727BDB"/>
    <w:rsid w:val="00727BE5"/>
    <w:rsid w:val="00727CF5"/>
    <w:rsid w:val="00727E09"/>
    <w:rsid w:val="00727F6B"/>
    <w:rsid w:val="007301B0"/>
    <w:rsid w:val="0073022A"/>
    <w:rsid w:val="007302A4"/>
    <w:rsid w:val="007306B2"/>
    <w:rsid w:val="007306E9"/>
    <w:rsid w:val="0073079E"/>
    <w:rsid w:val="00730ABE"/>
    <w:rsid w:val="00730C77"/>
    <w:rsid w:val="00730CCB"/>
    <w:rsid w:val="00730D21"/>
    <w:rsid w:val="00730F82"/>
    <w:rsid w:val="00730F87"/>
    <w:rsid w:val="00730F9E"/>
    <w:rsid w:val="0073114B"/>
    <w:rsid w:val="007311EC"/>
    <w:rsid w:val="00731255"/>
    <w:rsid w:val="00731267"/>
    <w:rsid w:val="0073128E"/>
    <w:rsid w:val="007312C3"/>
    <w:rsid w:val="007312DD"/>
    <w:rsid w:val="0073140F"/>
    <w:rsid w:val="00731813"/>
    <w:rsid w:val="00731885"/>
    <w:rsid w:val="00731A2C"/>
    <w:rsid w:val="00731BFF"/>
    <w:rsid w:val="00731D0E"/>
    <w:rsid w:val="00731DCA"/>
    <w:rsid w:val="00731DCE"/>
    <w:rsid w:val="00732122"/>
    <w:rsid w:val="00732123"/>
    <w:rsid w:val="00732146"/>
    <w:rsid w:val="007321CC"/>
    <w:rsid w:val="0073226F"/>
    <w:rsid w:val="007324C4"/>
    <w:rsid w:val="00732575"/>
    <w:rsid w:val="007328B4"/>
    <w:rsid w:val="00732B13"/>
    <w:rsid w:val="00732DF1"/>
    <w:rsid w:val="0073303F"/>
    <w:rsid w:val="00733040"/>
    <w:rsid w:val="0073314E"/>
    <w:rsid w:val="00733243"/>
    <w:rsid w:val="00733428"/>
    <w:rsid w:val="0073354D"/>
    <w:rsid w:val="0073372C"/>
    <w:rsid w:val="00733D05"/>
    <w:rsid w:val="00733ECB"/>
    <w:rsid w:val="00734049"/>
    <w:rsid w:val="0073408D"/>
    <w:rsid w:val="00734579"/>
    <w:rsid w:val="00734629"/>
    <w:rsid w:val="0073464E"/>
    <w:rsid w:val="00734890"/>
    <w:rsid w:val="0073491B"/>
    <w:rsid w:val="00734B57"/>
    <w:rsid w:val="00734E07"/>
    <w:rsid w:val="00734F55"/>
    <w:rsid w:val="00735404"/>
    <w:rsid w:val="007354BE"/>
    <w:rsid w:val="0073551B"/>
    <w:rsid w:val="00735641"/>
    <w:rsid w:val="007357D0"/>
    <w:rsid w:val="00735860"/>
    <w:rsid w:val="00735AC7"/>
    <w:rsid w:val="00735B2D"/>
    <w:rsid w:val="00735BCC"/>
    <w:rsid w:val="00735D37"/>
    <w:rsid w:val="00735D4B"/>
    <w:rsid w:val="00735F4C"/>
    <w:rsid w:val="00736129"/>
    <w:rsid w:val="00736283"/>
    <w:rsid w:val="007363A6"/>
    <w:rsid w:val="007363E5"/>
    <w:rsid w:val="00736439"/>
    <w:rsid w:val="00736581"/>
    <w:rsid w:val="00736711"/>
    <w:rsid w:val="00736BDD"/>
    <w:rsid w:val="00736BEA"/>
    <w:rsid w:val="00736CB2"/>
    <w:rsid w:val="00737031"/>
    <w:rsid w:val="007372CE"/>
    <w:rsid w:val="00737653"/>
    <w:rsid w:val="007376D3"/>
    <w:rsid w:val="007377CD"/>
    <w:rsid w:val="00737B17"/>
    <w:rsid w:val="00737B58"/>
    <w:rsid w:val="00737D7F"/>
    <w:rsid w:val="00737DD6"/>
    <w:rsid w:val="00737E4F"/>
    <w:rsid w:val="00737EF6"/>
    <w:rsid w:val="00737EFD"/>
    <w:rsid w:val="0074033C"/>
    <w:rsid w:val="007403D4"/>
    <w:rsid w:val="0074050C"/>
    <w:rsid w:val="00740588"/>
    <w:rsid w:val="00740693"/>
    <w:rsid w:val="00740981"/>
    <w:rsid w:val="00740B4C"/>
    <w:rsid w:val="00740D22"/>
    <w:rsid w:val="00741156"/>
    <w:rsid w:val="007411E5"/>
    <w:rsid w:val="007414A5"/>
    <w:rsid w:val="00741664"/>
    <w:rsid w:val="00741743"/>
    <w:rsid w:val="007419F9"/>
    <w:rsid w:val="00741B00"/>
    <w:rsid w:val="00741C71"/>
    <w:rsid w:val="00741CEF"/>
    <w:rsid w:val="00741E25"/>
    <w:rsid w:val="00741E3D"/>
    <w:rsid w:val="00741FDB"/>
    <w:rsid w:val="00742283"/>
    <w:rsid w:val="00742358"/>
    <w:rsid w:val="007425C5"/>
    <w:rsid w:val="0074265C"/>
    <w:rsid w:val="00742B4D"/>
    <w:rsid w:val="00742C9E"/>
    <w:rsid w:val="00742E42"/>
    <w:rsid w:val="00742F20"/>
    <w:rsid w:val="00743018"/>
    <w:rsid w:val="007437CB"/>
    <w:rsid w:val="007439B4"/>
    <w:rsid w:val="00743A45"/>
    <w:rsid w:val="00743AA1"/>
    <w:rsid w:val="00743ADD"/>
    <w:rsid w:val="00743E0D"/>
    <w:rsid w:val="00743EEC"/>
    <w:rsid w:val="00743F3F"/>
    <w:rsid w:val="007444DB"/>
    <w:rsid w:val="007444E4"/>
    <w:rsid w:val="0074473C"/>
    <w:rsid w:val="007447C7"/>
    <w:rsid w:val="00744810"/>
    <w:rsid w:val="00745147"/>
    <w:rsid w:val="007454C0"/>
    <w:rsid w:val="0074559F"/>
    <w:rsid w:val="007456FC"/>
    <w:rsid w:val="00745A1B"/>
    <w:rsid w:val="00745BFC"/>
    <w:rsid w:val="00745F6D"/>
    <w:rsid w:val="00745FC8"/>
    <w:rsid w:val="00745FF8"/>
    <w:rsid w:val="00746047"/>
    <w:rsid w:val="0074609F"/>
    <w:rsid w:val="00746113"/>
    <w:rsid w:val="00746154"/>
    <w:rsid w:val="0074619C"/>
    <w:rsid w:val="00746282"/>
    <w:rsid w:val="00746429"/>
    <w:rsid w:val="00746484"/>
    <w:rsid w:val="00746516"/>
    <w:rsid w:val="007466A2"/>
    <w:rsid w:val="00746757"/>
    <w:rsid w:val="00746793"/>
    <w:rsid w:val="007468C7"/>
    <w:rsid w:val="00746B7E"/>
    <w:rsid w:val="00746C37"/>
    <w:rsid w:val="00746CB7"/>
    <w:rsid w:val="00747090"/>
    <w:rsid w:val="00747093"/>
    <w:rsid w:val="007470FB"/>
    <w:rsid w:val="0074754F"/>
    <w:rsid w:val="007475BC"/>
    <w:rsid w:val="007477A6"/>
    <w:rsid w:val="00747845"/>
    <w:rsid w:val="00747881"/>
    <w:rsid w:val="007479BC"/>
    <w:rsid w:val="00747B25"/>
    <w:rsid w:val="00747B54"/>
    <w:rsid w:val="00747DD9"/>
    <w:rsid w:val="007503A5"/>
    <w:rsid w:val="007503E0"/>
    <w:rsid w:val="0075049D"/>
    <w:rsid w:val="007509BB"/>
    <w:rsid w:val="00750A50"/>
    <w:rsid w:val="00750B19"/>
    <w:rsid w:val="00750C3B"/>
    <w:rsid w:val="00750D54"/>
    <w:rsid w:val="00750FD0"/>
    <w:rsid w:val="007510FC"/>
    <w:rsid w:val="007512E7"/>
    <w:rsid w:val="00751367"/>
    <w:rsid w:val="0075138E"/>
    <w:rsid w:val="00751410"/>
    <w:rsid w:val="0075142F"/>
    <w:rsid w:val="00751581"/>
    <w:rsid w:val="00751955"/>
    <w:rsid w:val="00751A61"/>
    <w:rsid w:val="00751B23"/>
    <w:rsid w:val="00751E04"/>
    <w:rsid w:val="00751E07"/>
    <w:rsid w:val="00751EE1"/>
    <w:rsid w:val="00751F35"/>
    <w:rsid w:val="007520A0"/>
    <w:rsid w:val="007522D4"/>
    <w:rsid w:val="0075242F"/>
    <w:rsid w:val="0075247F"/>
    <w:rsid w:val="00752599"/>
    <w:rsid w:val="007525CC"/>
    <w:rsid w:val="0075265E"/>
    <w:rsid w:val="0075272B"/>
    <w:rsid w:val="007529FC"/>
    <w:rsid w:val="00752AAF"/>
    <w:rsid w:val="00752CB5"/>
    <w:rsid w:val="00752E37"/>
    <w:rsid w:val="00752E6E"/>
    <w:rsid w:val="00752FF5"/>
    <w:rsid w:val="00753091"/>
    <w:rsid w:val="007530C0"/>
    <w:rsid w:val="00753329"/>
    <w:rsid w:val="007533BA"/>
    <w:rsid w:val="007536C1"/>
    <w:rsid w:val="00753809"/>
    <w:rsid w:val="00753830"/>
    <w:rsid w:val="007539DA"/>
    <w:rsid w:val="00753BCE"/>
    <w:rsid w:val="00753BD1"/>
    <w:rsid w:val="00753C95"/>
    <w:rsid w:val="00753D3D"/>
    <w:rsid w:val="00753DBA"/>
    <w:rsid w:val="00753F35"/>
    <w:rsid w:val="00754297"/>
    <w:rsid w:val="007543C0"/>
    <w:rsid w:val="0075479B"/>
    <w:rsid w:val="007547DC"/>
    <w:rsid w:val="00754864"/>
    <w:rsid w:val="00754B4F"/>
    <w:rsid w:val="00754BAC"/>
    <w:rsid w:val="00754DA3"/>
    <w:rsid w:val="00754FAB"/>
    <w:rsid w:val="00755000"/>
    <w:rsid w:val="007555AE"/>
    <w:rsid w:val="00755691"/>
    <w:rsid w:val="00755947"/>
    <w:rsid w:val="00755A31"/>
    <w:rsid w:val="00755A59"/>
    <w:rsid w:val="00755A68"/>
    <w:rsid w:val="00755B40"/>
    <w:rsid w:val="00755C8E"/>
    <w:rsid w:val="00755DEC"/>
    <w:rsid w:val="00755E2D"/>
    <w:rsid w:val="00755E7A"/>
    <w:rsid w:val="007560E8"/>
    <w:rsid w:val="007561C3"/>
    <w:rsid w:val="0075637E"/>
    <w:rsid w:val="00756C37"/>
    <w:rsid w:val="00757267"/>
    <w:rsid w:val="00757537"/>
    <w:rsid w:val="00757636"/>
    <w:rsid w:val="00757815"/>
    <w:rsid w:val="0075787D"/>
    <w:rsid w:val="0075796E"/>
    <w:rsid w:val="00757C91"/>
    <w:rsid w:val="00757D76"/>
    <w:rsid w:val="00757DE7"/>
    <w:rsid w:val="00757EA0"/>
    <w:rsid w:val="00760040"/>
    <w:rsid w:val="00760055"/>
    <w:rsid w:val="0076008F"/>
    <w:rsid w:val="00760456"/>
    <w:rsid w:val="007604EA"/>
    <w:rsid w:val="007606BC"/>
    <w:rsid w:val="00760962"/>
    <w:rsid w:val="00760F24"/>
    <w:rsid w:val="00760F53"/>
    <w:rsid w:val="0076104A"/>
    <w:rsid w:val="00761065"/>
    <w:rsid w:val="007611E9"/>
    <w:rsid w:val="00761337"/>
    <w:rsid w:val="00761484"/>
    <w:rsid w:val="007614BA"/>
    <w:rsid w:val="007616FC"/>
    <w:rsid w:val="00761785"/>
    <w:rsid w:val="007617DD"/>
    <w:rsid w:val="0076181A"/>
    <w:rsid w:val="007619EA"/>
    <w:rsid w:val="00761AC4"/>
    <w:rsid w:val="00761B8A"/>
    <w:rsid w:val="00761EB2"/>
    <w:rsid w:val="00761FCC"/>
    <w:rsid w:val="007621FA"/>
    <w:rsid w:val="00762252"/>
    <w:rsid w:val="007624C1"/>
    <w:rsid w:val="007627AB"/>
    <w:rsid w:val="0076286B"/>
    <w:rsid w:val="00762AAD"/>
    <w:rsid w:val="00762CC4"/>
    <w:rsid w:val="00762DD8"/>
    <w:rsid w:val="00762DF1"/>
    <w:rsid w:val="00762F6F"/>
    <w:rsid w:val="00762F78"/>
    <w:rsid w:val="00763263"/>
    <w:rsid w:val="007636A5"/>
    <w:rsid w:val="0076370D"/>
    <w:rsid w:val="00763A1F"/>
    <w:rsid w:val="00763E8D"/>
    <w:rsid w:val="00763EE8"/>
    <w:rsid w:val="00764058"/>
    <w:rsid w:val="007640EA"/>
    <w:rsid w:val="007640FF"/>
    <w:rsid w:val="00764174"/>
    <w:rsid w:val="007641A4"/>
    <w:rsid w:val="0076434C"/>
    <w:rsid w:val="00764522"/>
    <w:rsid w:val="007649B9"/>
    <w:rsid w:val="00764AF3"/>
    <w:rsid w:val="00764EC8"/>
    <w:rsid w:val="00764F3E"/>
    <w:rsid w:val="0076500C"/>
    <w:rsid w:val="00765049"/>
    <w:rsid w:val="0076507B"/>
    <w:rsid w:val="007650AE"/>
    <w:rsid w:val="007650F0"/>
    <w:rsid w:val="00765104"/>
    <w:rsid w:val="007651AB"/>
    <w:rsid w:val="0076530B"/>
    <w:rsid w:val="0076537C"/>
    <w:rsid w:val="0076544B"/>
    <w:rsid w:val="007654C3"/>
    <w:rsid w:val="007654E8"/>
    <w:rsid w:val="00765DEC"/>
    <w:rsid w:val="00765EF3"/>
    <w:rsid w:val="00765F1E"/>
    <w:rsid w:val="00765F4E"/>
    <w:rsid w:val="0076620E"/>
    <w:rsid w:val="0076638F"/>
    <w:rsid w:val="0076642E"/>
    <w:rsid w:val="00766461"/>
    <w:rsid w:val="0076666E"/>
    <w:rsid w:val="00766805"/>
    <w:rsid w:val="00766838"/>
    <w:rsid w:val="0076689A"/>
    <w:rsid w:val="00766BD4"/>
    <w:rsid w:val="00766DF5"/>
    <w:rsid w:val="00766E30"/>
    <w:rsid w:val="00766E50"/>
    <w:rsid w:val="007670B4"/>
    <w:rsid w:val="007674B6"/>
    <w:rsid w:val="00767662"/>
    <w:rsid w:val="0076767A"/>
    <w:rsid w:val="00767731"/>
    <w:rsid w:val="007677D8"/>
    <w:rsid w:val="00767820"/>
    <w:rsid w:val="00767863"/>
    <w:rsid w:val="00767AB7"/>
    <w:rsid w:val="00767B0F"/>
    <w:rsid w:val="00767BE8"/>
    <w:rsid w:val="00767C84"/>
    <w:rsid w:val="00767C9C"/>
    <w:rsid w:val="00767E44"/>
    <w:rsid w:val="00767EA0"/>
    <w:rsid w:val="00767EC4"/>
    <w:rsid w:val="00770072"/>
    <w:rsid w:val="0077029D"/>
    <w:rsid w:val="0077032E"/>
    <w:rsid w:val="0077042F"/>
    <w:rsid w:val="00770582"/>
    <w:rsid w:val="00770764"/>
    <w:rsid w:val="00770844"/>
    <w:rsid w:val="00770A23"/>
    <w:rsid w:val="00770B64"/>
    <w:rsid w:val="00770DD3"/>
    <w:rsid w:val="00770E31"/>
    <w:rsid w:val="0077102B"/>
    <w:rsid w:val="0077112B"/>
    <w:rsid w:val="00771183"/>
    <w:rsid w:val="00771433"/>
    <w:rsid w:val="007718E8"/>
    <w:rsid w:val="007718F4"/>
    <w:rsid w:val="00771B15"/>
    <w:rsid w:val="00771E35"/>
    <w:rsid w:val="00771FFC"/>
    <w:rsid w:val="0077222C"/>
    <w:rsid w:val="00772275"/>
    <w:rsid w:val="00772609"/>
    <w:rsid w:val="007729AE"/>
    <w:rsid w:val="00772B79"/>
    <w:rsid w:val="00772CBB"/>
    <w:rsid w:val="00772DED"/>
    <w:rsid w:val="00772E7A"/>
    <w:rsid w:val="0077304A"/>
    <w:rsid w:val="0077322E"/>
    <w:rsid w:val="007735DA"/>
    <w:rsid w:val="007736CB"/>
    <w:rsid w:val="00773802"/>
    <w:rsid w:val="00773975"/>
    <w:rsid w:val="007739BA"/>
    <w:rsid w:val="007739DF"/>
    <w:rsid w:val="00774021"/>
    <w:rsid w:val="00774450"/>
    <w:rsid w:val="00774480"/>
    <w:rsid w:val="00774687"/>
    <w:rsid w:val="007746F4"/>
    <w:rsid w:val="00774868"/>
    <w:rsid w:val="00774940"/>
    <w:rsid w:val="00774966"/>
    <w:rsid w:val="007749F3"/>
    <w:rsid w:val="00774A17"/>
    <w:rsid w:val="00774A5B"/>
    <w:rsid w:val="00774BBA"/>
    <w:rsid w:val="00774C7E"/>
    <w:rsid w:val="00774EBE"/>
    <w:rsid w:val="00774EF1"/>
    <w:rsid w:val="00774F18"/>
    <w:rsid w:val="00775337"/>
    <w:rsid w:val="00775692"/>
    <w:rsid w:val="007756A8"/>
    <w:rsid w:val="00775732"/>
    <w:rsid w:val="00775961"/>
    <w:rsid w:val="007759FE"/>
    <w:rsid w:val="00775B6A"/>
    <w:rsid w:val="00775DB5"/>
    <w:rsid w:val="00775E05"/>
    <w:rsid w:val="00775E20"/>
    <w:rsid w:val="00775EC6"/>
    <w:rsid w:val="00775ECD"/>
    <w:rsid w:val="0077606F"/>
    <w:rsid w:val="00776071"/>
    <w:rsid w:val="0077607B"/>
    <w:rsid w:val="007760E0"/>
    <w:rsid w:val="007763D4"/>
    <w:rsid w:val="007764F0"/>
    <w:rsid w:val="007765E1"/>
    <w:rsid w:val="00776632"/>
    <w:rsid w:val="0077688D"/>
    <w:rsid w:val="0077689B"/>
    <w:rsid w:val="0077698E"/>
    <w:rsid w:val="007769C2"/>
    <w:rsid w:val="007769E7"/>
    <w:rsid w:val="00776AB6"/>
    <w:rsid w:val="00776E32"/>
    <w:rsid w:val="0077701D"/>
    <w:rsid w:val="00777190"/>
    <w:rsid w:val="00777298"/>
    <w:rsid w:val="007772F6"/>
    <w:rsid w:val="00777352"/>
    <w:rsid w:val="007773C4"/>
    <w:rsid w:val="00777530"/>
    <w:rsid w:val="00777542"/>
    <w:rsid w:val="0077760C"/>
    <w:rsid w:val="0077777A"/>
    <w:rsid w:val="007777EB"/>
    <w:rsid w:val="00777A6D"/>
    <w:rsid w:val="00780131"/>
    <w:rsid w:val="007801C1"/>
    <w:rsid w:val="0078033C"/>
    <w:rsid w:val="007805CF"/>
    <w:rsid w:val="00780656"/>
    <w:rsid w:val="0078077B"/>
    <w:rsid w:val="007808D6"/>
    <w:rsid w:val="00780B30"/>
    <w:rsid w:val="00780B8C"/>
    <w:rsid w:val="00780F14"/>
    <w:rsid w:val="007811AB"/>
    <w:rsid w:val="007811EA"/>
    <w:rsid w:val="00781221"/>
    <w:rsid w:val="00781466"/>
    <w:rsid w:val="00781FCC"/>
    <w:rsid w:val="00782038"/>
    <w:rsid w:val="007820AF"/>
    <w:rsid w:val="0078213E"/>
    <w:rsid w:val="00782172"/>
    <w:rsid w:val="0078231E"/>
    <w:rsid w:val="00782428"/>
    <w:rsid w:val="007828B7"/>
    <w:rsid w:val="007828C7"/>
    <w:rsid w:val="007829B9"/>
    <w:rsid w:val="00782CDB"/>
    <w:rsid w:val="00783119"/>
    <w:rsid w:val="007833EA"/>
    <w:rsid w:val="007836C9"/>
    <w:rsid w:val="00783AC5"/>
    <w:rsid w:val="00783B0C"/>
    <w:rsid w:val="00783B4D"/>
    <w:rsid w:val="00783CEB"/>
    <w:rsid w:val="00783EA4"/>
    <w:rsid w:val="007841D0"/>
    <w:rsid w:val="00784219"/>
    <w:rsid w:val="007848FE"/>
    <w:rsid w:val="00784B77"/>
    <w:rsid w:val="00784C8F"/>
    <w:rsid w:val="00784CAF"/>
    <w:rsid w:val="00784CD0"/>
    <w:rsid w:val="00784E27"/>
    <w:rsid w:val="007850EC"/>
    <w:rsid w:val="00785264"/>
    <w:rsid w:val="00785472"/>
    <w:rsid w:val="00785550"/>
    <w:rsid w:val="007857BE"/>
    <w:rsid w:val="007857E2"/>
    <w:rsid w:val="007858BC"/>
    <w:rsid w:val="007859F5"/>
    <w:rsid w:val="00785A55"/>
    <w:rsid w:val="00785C25"/>
    <w:rsid w:val="00785CCE"/>
    <w:rsid w:val="00785F2E"/>
    <w:rsid w:val="00785FBF"/>
    <w:rsid w:val="00785FC7"/>
    <w:rsid w:val="0078611E"/>
    <w:rsid w:val="00786126"/>
    <w:rsid w:val="007862C3"/>
    <w:rsid w:val="00786523"/>
    <w:rsid w:val="00786581"/>
    <w:rsid w:val="007865F6"/>
    <w:rsid w:val="00786988"/>
    <w:rsid w:val="00786AD8"/>
    <w:rsid w:val="00786CE2"/>
    <w:rsid w:val="00786DCD"/>
    <w:rsid w:val="007871BC"/>
    <w:rsid w:val="00787341"/>
    <w:rsid w:val="007873AB"/>
    <w:rsid w:val="0078792E"/>
    <w:rsid w:val="00787B58"/>
    <w:rsid w:val="007901E5"/>
    <w:rsid w:val="00790581"/>
    <w:rsid w:val="00790721"/>
    <w:rsid w:val="007909FF"/>
    <w:rsid w:val="00790AD8"/>
    <w:rsid w:val="00790B94"/>
    <w:rsid w:val="00790EB4"/>
    <w:rsid w:val="00791140"/>
    <w:rsid w:val="007913E6"/>
    <w:rsid w:val="0079142C"/>
    <w:rsid w:val="0079153E"/>
    <w:rsid w:val="007915E4"/>
    <w:rsid w:val="007916F4"/>
    <w:rsid w:val="00791842"/>
    <w:rsid w:val="00791927"/>
    <w:rsid w:val="00791E1F"/>
    <w:rsid w:val="00791F91"/>
    <w:rsid w:val="007922DE"/>
    <w:rsid w:val="007922FE"/>
    <w:rsid w:val="007926E7"/>
    <w:rsid w:val="007926FC"/>
    <w:rsid w:val="0079282C"/>
    <w:rsid w:val="0079296E"/>
    <w:rsid w:val="00792BE4"/>
    <w:rsid w:val="00792CAD"/>
    <w:rsid w:val="00792D10"/>
    <w:rsid w:val="00792DAB"/>
    <w:rsid w:val="00792E31"/>
    <w:rsid w:val="00793128"/>
    <w:rsid w:val="00793383"/>
    <w:rsid w:val="00793643"/>
    <w:rsid w:val="0079376C"/>
    <w:rsid w:val="00793A2F"/>
    <w:rsid w:val="00793BF3"/>
    <w:rsid w:val="00793D5C"/>
    <w:rsid w:val="00793F17"/>
    <w:rsid w:val="00793FD1"/>
    <w:rsid w:val="00793FF0"/>
    <w:rsid w:val="007942AC"/>
    <w:rsid w:val="007942E5"/>
    <w:rsid w:val="0079439B"/>
    <w:rsid w:val="007947D6"/>
    <w:rsid w:val="00794931"/>
    <w:rsid w:val="00794ADD"/>
    <w:rsid w:val="00794AE7"/>
    <w:rsid w:val="00794BD5"/>
    <w:rsid w:val="00794C37"/>
    <w:rsid w:val="00794C3B"/>
    <w:rsid w:val="00794D87"/>
    <w:rsid w:val="00794DD9"/>
    <w:rsid w:val="0079538C"/>
    <w:rsid w:val="0079573E"/>
    <w:rsid w:val="007957CA"/>
    <w:rsid w:val="007958DB"/>
    <w:rsid w:val="00795A7F"/>
    <w:rsid w:val="00795ACF"/>
    <w:rsid w:val="00795CD8"/>
    <w:rsid w:val="007960D0"/>
    <w:rsid w:val="007961E3"/>
    <w:rsid w:val="00796223"/>
    <w:rsid w:val="00796239"/>
    <w:rsid w:val="0079637F"/>
    <w:rsid w:val="00796843"/>
    <w:rsid w:val="00796900"/>
    <w:rsid w:val="007969FB"/>
    <w:rsid w:val="00796A79"/>
    <w:rsid w:val="007971F1"/>
    <w:rsid w:val="007975EA"/>
    <w:rsid w:val="007976AA"/>
    <w:rsid w:val="007976B7"/>
    <w:rsid w:val="007977E8"/>
    <w:rsid w:val="0079783A"/>
    <w:rsid w:val="00797868"/>
    <w:rsid w:val="007978A9"/>
    <w:rsid w:val="007A012D"/>
    <w:rsid w:val="007A01DD"/>
    <w:rsid w:val="007A0368"/>
    <w:rsid w:val="007A038E"/>
    <w:rsid w:val="007A03FE"/>
    <w:rsid w:val="007A05B5"/>
    <w:rsid w:val="007A0C05"/>
    <w:rsid w:val="007A0D4D"/>
    <w:rsid w:val="007A1191"/>
    <w:rsid w:val="007A1243"/>
    <w:rsid w:val="007A1269"/>
    <w:rsid w:val="007A1415"/>
    <w:rsid w:val="007A14C8"/>
    <w:rsid w:val="007A14FB"/>
    <w:rsid w:val="007A151B"/>
    <w:rsid w:val="007A1614"/>
    <w:rsid w:val="007A16CC"/>
    <w:rsid w:val="007A16F8"/>
    <w:rsid w:val="007A19C4"/>
    <w:rsid w:val="007A19CE"/>
    <w:rsid w:val="007A1A9B"/>
    <w:rsid w:val="007A2338"/>
    <w:rsid w:val="007A2590"/>
    <w:rsid w:val="007A282E"/>
    <w:rsid w:val="007A28D8"/>
    <w:rsid w:val="007A2D83"/>
    <w:rsid w:val="007A2E55"/>
    <w:rsid w:val="007A2FA6"/>
    <w:rsid w:val="007A3086"/>
    <w:rsid w:val="007A317F"/>
    <w:rsid w:val="007A31FD"/>
    <w:rsid w:val="007A3406"/>
    <w:rsid w:val="007A34D3"/>
    <w:rsid w:val="007A351E"/>
    <w:rsid w:val="007A38C4"/>
    <w:rsid w:val="007A38DF"/>
    <w:rsid w:val="007A3915"/>
    <w:rsid w:val="007A3A4F"/>
    <w:rsid w:val="007A3A99"/>
    <w:rsid w:val="007A3B41"/>
    <w:rsid w:val="007A3F10"/>
    <w:rsid w:val="007A4085"/>
    <w:rsid w:val="007A441A"/>
    <w:rsid w:val="007A449A"/>
    <w:rsid w:val="007A44B3"/>
    <w:rsid w:val="007A4601"/>
    <w:rsid w:val="007A47ED"/>
    <w:rsid w:val="007A486C"/>
    <w:rsid w:val="007A49F9"/>
    <w:rsid w:val="007A4A5B"/>
    <w:rsid w:val="007A4B1B"/>
    <w:rsid w:val="007A4DB8"/>
    <w:rsid w:val="007A4E27"/>
    <w:rsid w:val="007A4F43"/>
    <w:rsid w:val="007A4F9F"/>
    <w:rsid w:val="007A5143"/>
    <w:rsid w:val="007A52E9"/>
    <w:rsid w:val="007A53E8"/>
    <w:rsid w:val="007A57E5"/>
    <w:rsid w:val="007A57F4"/>
    <w:rsid w:val="007A58FD"/>
    <w:rsid w:val="007A5912"/>
    <w:rsid w:val="007A59BA"/>
    <w:rsid w:val="007A59CC"/>
    <w:rsid w:val="007A5F71"/>
    <w:rsid w:val="007A60CC"/>
    <w:rsid w:val="007A6123"/>
    <w:rsid w:val="007A6488"/>
    <w:rsid w:val="007A64B6"/>
    <w:rsid w:val="007A661C"/>
    <w:rsid w:val="007A6642"/>
    <w:rsid w:val="007A674B"/>
    <w:rsid w:val="007A68FD"/>
    <w:rsid w:val="007A6A3E"/>
    <w:rsid w:val="007A6B46"/>
    <w:rsid w:val="007A6B89"/>
    <w:rsid w:val="007A6BD0"/>
    <w:rsid w:val="007A6CBE"/>
    <w:rsid w:val="007A6CFC"/>
    <w:rsid w:val="007A6D03"/>
    <w:rsid w:val="007A6FC9"/>
    <w:rsid w:val="007A71B5"/>
    <w:rsid w:val="007A7284"/>
    <w:rsid w:val="007A7390"/>
    <w:rsid w:val="007A7444"/>
    <w:rsid w:val="007A7594"/>
    <w:rsid w:val="007A774D"/>
    <w:rsid w:val="007A77DE"/>
    <w:rsid w:val="007A7AD0"/>
    <w:rsid w:val="007A7DAB"/>
    <w:rsid w:val="007A7FEB"/>
    <w:rsid w:val="007B016B"/>
    <w:rsid w:val="007B02B6"/>
    <w:rsid w:val="007B02F1"/>
    <w:rsid w:val="007B039D"/>
    <w:rsid w:val="007B046B"/>
    <w:rsid w:val="007B0583"/>
    <w:rsid w:val="007B063F"/>
    <w:rsid w:val="007B0687"/>
    <w:rsid w:val="007B0688"/>
    <w:rsid w:val="007B0689"/>
    <w:rsid w:val="007B0716"/>
    <w:rsid w:val="007B0D85"/>
    <w:rsid w:val="007B101C"/>
    <w:rsid w:val="007B11A8"/>
    <w:rsid w:val="007B1310"/>
    <w:rsid w:val="007B13BF"/>
    <w:rsid w:val="007B168B"/>
    <w:rsid w:val="007B16ED"/>
    <w:rsid w:val="007B179C"/>
    <w:rsid w:val="007B1A0C"/>
    <w:rsid w:val="007B202C"/>
    <w:rsid w:val="007B269C"/>
    <w:rsid w:val="007B272D"/>
    <w:rsid w:val="007B2B30"/>
    <w:rsid w:val="007B2B5C"/>
    <w:rsid w:val="007B2C70"/>
    <w:rsid w:val="007B2FAE"/>
    <w:rsid w:val="007B3199"/>
    <w:rsid w:val="007B3357"/>
    <w:rsid w:val="007B355D"/>
    <w:rsid w:val="007B3577"/>
    <w:rsid w:val="007B35FE"/>
    <w:rsid w:val="007B36EF"/>
    <w:rsid w:val="007B3987"/>
    <w:rsid w:val="007B3B75"/>
    <w:rsid w:val="007B3BF0"/>
    <w:rsid w:val="007B3E2C"/>
    <w:rsid w:val="007B4432"/>
    <w:rsid w:val="007B45DC"/>
    <w:rsid w:val="007B47C0"/>
    <w:rsid w:val="007B4B8B"/>
    <w:rsid w:val="007B5020"/>
    <w:rsid w:val="007B507F"/>
    <w:rsid w:val="007B50FB"/>
    <w:rsid w:val="007B527E"/>
    <w:rsid w:val="007B55C2"/>
    <w:rsid w:val="007B57BD"/>
    <w:rsid w:val="007B57CD"/>
    <w:rsid w:val="007B59DA"/>
    <w:rsid w:val="007B5BCB"/>
    <w:rsid w:val="007B5BD5"/>
    <w:rsid w:val="007B5BDF"/>
    <w:rsid w:val="007B5C18"/>
    <w:rsid w:val="007B5C64"/>
    <w:rsid w:val="007B5D35"/>
    <w:rsid w:val="007B62E5"/>
    <w:rsid w:val="007B6547"/>
    <w:rsid w:val="007B6798"/>
    <w:rsid w:val="007B679F"/>
    <w:rsid w:val="007B68EA"/>
    <w:rsid w:val="007B696C"/>
    <w:rsid w:val="007B69B4"/>
    <w:rsid w:val="007B6B85"/>
    <w:rsid w:val="007B6BC6"/>
    <w:rsid w:val="007B6BE7"/>
    <w:rsid w:val="007B6FB6"/>
    <w:rsid w:val="007B70C5"/>
    <w:rsid w:val="007B714E"/>
    <w:rsid w:val="007B71CB"/>
    <w:rsid w:val="007B7349"/>
    <w:rsid w:val="007B745D"/>
    <w:rsid w:val="007B74A8"/>
    <w:rsid w:val="007B77C8"/>
    <w:rsid w:val="007B79B1"/>
    <w:rsid w:val="007B7BE4"/>
    <w:rsid w:val="007B7C59"/>
    <w:rsid w:val="007B7C74"/>
    <w:rsid w:val="007B7F37"/>
    <w:rsid w:val="007C02B5"/>
    <w:rsid w:val="007C0488"/>
    <w:rsid w:val="007C04ED"/>
    <w:rsid w:val="007C0664"/>
    <w:rsid w:val="007C077B"/>
    <w:rsid w:val="007C07C5"/>
    <w:rsid w:val="007C095C"/>
    <w:rsid w:val="007C0A52"/>
    <w:rsid w:val="007C0BCE"/>
    <w:rsid w:val="007C0D7E"/>
    <w:rsid w:val="007C0DEB"/>
    <w:rsid w:val="007C0F21"/>
    <w:rsid w:val="007C0F73"/>
    <w:rsid w:val="007C1277"/>
    <w:rsid w:val="007C145A"/>
    <w:rsid w:val="007C158C"/>
    <w:rsid w:val="007C15C7"/>
    <w:rsid w:val="007C1802"/>
    <w:rsid w:val="007C1F59"/>
    <w:rsid w:val="007C20EB"/>
    <w:rsid w:val="007C228F"/>
    <w:rsid w:val="007C2471"/>
    <w:rsid w:val="007C2592"/>
    <w:rsid w:val="007C2641"/>
    <w:rsid w:val="007C2AF5"/>
    <w:rsid w:val="007C2BF1"/>
    <w:rsid w:val="007C2D02"/>
    <w:rsid w:val="007C2DC2"/>
    <w:rsid w:val="007C2DEE"/>
    <w:rsid w:val="007C2F75"/>
    <w:rsid w:val="007C2FA2"/>
    <w:rsid w:val="007C309C"/>
    <w:rsid w:val="007C3465"/>
    <w:rsid w:val="007C34AB"/>
    <w:rsid w:val="007C35B0"/>
    <w:rsid w:val="007C3ADC"/>
    <w:rsid w:val="007C3B31"/>
    <w:rsid w:val="007C3B5D"/>
    <w:rsid w:val="007C3C6C"/>
    <w:rsid w:val="007C3C70"/>
    <w:rsid w:val="007C3CEA"/>
    <w:rsid w:val="007C3CF1"/>
    <w:rsid w:val="007C3E9F"/>
    <w:rsid w:val="007C442D"/>
    <w:rsid w:val="007C44F1"/>
    <w:rsid w:val="007C451A"/>
    <w:rsid w:val="007C4630"/>
    <w:rsid w:val="007C4B21"/>
    <w:rsid w:val="007C4FB2"/>
    <w:rsid w:val="007C5065"/>
    <w:rsid w:val="007C508E"/>
    <w:rsid w:val="007C53FB"/>
    <w:rsid w:val="007C5521"/>
    <w:rsid w:val="007C5E92"/>
    <w:rsid w:val="007C6096"/>
    <w:rsid w:val="007C61FB"/>
    <w:rsid w:val="007C63E1"/>
    <w:rsid w:val="007C653C"/>
    <w:rsid w:val="007C675B"/>
    <w:rsid w:val="007C67C6"/>
    <w:rsid w:val="007C6971"/>
    <w:rsid w:val="007C69AB"/>
    <w:rsid w:val="007C6BF5"/>
    <w:rsid w:val="007C7492"/>
    <w:rsid w:val="007C7744"/>
    <w:rsid w:val="007C775C"/>
    <w:rsid w:val="007C7874"/>
    <w:rsid w:val="007C7957"/>
    <w:rsid w:val="007C7A17"/>
    <w:rsid w:val="007C7AC9"/>
    <w:rsid w:val="007C7B3B"/>
    <w:rsid w:val="007C7D59"/>
    <w:rsid w:val="007D0158"/>
    <w:rsid w:val="007D0426"/>
    <w:rsid w:val="007D06DF"/>
    <w:rsid w:val="007D070F"/>
    <w:rsid w:val="007D09C7"/>
    <w:rsid w:val="007D0D41"/>
    <w:rsid w:val="007D0E8A"/>
    <w:rsid w:val="007D10E4"/>
    <w:rsid w:val="007D12EE"/>
    <w:rsid w:val="007D14FD"/>
    <w:rsid w:val="007D1595"/>
    <w:rsid w:val="007D1714"/>
    <w:rsid w:val="007D17FF"/>
    <w:rsid w:val="007D1C8E"/>
    <w:rsid w:val="007D1D58"/>
    <w:rsid w:val="007D1ED2"/>
    <w:rsid w:val="007D1FA4"/>
    <w:rsid w:val="007D20D9"/>
    <w:rsid w:val="007D223B"/>
    <w:rsid w:val="007D2393"/>
    <w:rsid w:val="007D2625"/>
    <w:rsid w:val="007D29F4"/>
    <w:rsid w:val="007D2A09"/>
    <w:rsid w:val="007D2A2C"/>
    <w:rsid w:val="007D2A5E"/>
    <w:rsid w:val="007D2B1B"/>
    <w:rsid w:val="007D2CF6"/>
    <w:rsid w:val="007D2D51"/>
    <w:rsid w:val="007D2DC6"/>
    <w:rsid w:val="007D2E0B"/>
    <w:rsid w:val="007D2E9E"/>
    <w:rsid w:val="007D3055"/>
    <w:rsid w:val="007D30FA"/>
    <w:rsid w:val="007D351C"/>
    <w:rsid w:val="007D3636"/>
    <w:rsid w:val="007D374C"/>
    <w:rsid w:val="007D3852"/>
    <w:rsid w:val="007D3892"/>
    <w:rsid w:val="007D39AC"/>
    <w:rsid w:val="007D3B61"/>
    <w:rsid w:val="007D3D0A"/>
    <w:rsid w:val="007D3D72"/>
    <w:rsid w:val="007D4162"/>
    <w:rsid w:val="007D4165"/>
    <w:rsid w:val="007D41F2"/>
    <w:rsid w:val="007D41FF"/>
    <w:rsid w:val="007D4518"/>
    <w:rsid w:val="007D4677"/>
    <w:rsid w:val="007D487A"/>
    <w:rsid w:val="007D48E8"/>
    <w:rsid w:val="007D4A11"/>
    <w:rsid w:val="007D4BEA"/>
    <w:rsid w:val="007D4C5D"/>
    <w:rsid w:val="007D5067"/>
    <w:rsid w:val="007D51CB"/>
    <w:rsid w:val="007D525F"/>
    <w:rsid w:val="007D5466"/>
    <w:rsid w:val="007D5576"/>
    <w:rsid w:val="007D565F"/>
    <w:rsid w:val="007D57C2"/>
    <w:rsid w:val="007D57F6"/>
    <w:rsid w:val="007D58B4"/>
    <w:rsid w:val="007D5917"/>
    <w:rsid w:val="007D592D"/>
    <w:rsid w:val="007D5CCF"/>
    <w:rsid w:val="007D5F43"/>
    <w:rsid w:val="007D6053"/>
    <w:rsid w:val="007D6165"/>
    <w:rsid w:val="007D618B"/>
    <w:rsid w:val="007D6229"/>
    <w:rsid w:val="007D6469"/>
    <w:rsid w:val="007D64E5"/>
    <w:rsid w:val="007D6522"/>
    <w:rsid w:val="007D65F5"/>
    <w:rsid w:val="007D68A3"/>
    <w:rsid w:val="007D68E6"/>
    <w:rsid w:val="007D6A75"/>
    <w:rsid w:val="007D6BBC"/>
    <w:rsid w:val="007D6C48"/>
    <w:rsid w:val="007D6E87"/>
    <w:rsid w:val="007D6EC1"/>
    <w:rsid w:val="007D6F37"/>
    <w:rsid w:val="007D7243"/>
    <w:rsid w:val="007D7275"/>
    <w:rsid w:val="007D7328"/>
    <w:rsid w:val="007D747C"/>
    <w:rsid w:val="007D75B3"/>
    <w:rsid w:val="007D775A"/>
    <w:rsid w:val="007D7930"/>
    <w:rsid w:val="007D7AF2"/>
    <w:rsid w:val="007D7C27"/>
    <w:rsid w:val="007D7D6C"/>
    <w:rsid w:val="007D7E2D"/>
    <w:rsid w:val="007E0050"/>
    <w:rsid w:val="007E0417"/>
    <w:rsid w:val="007E04FB"/>
    <w:rsid w:val="007E0539"/>
    <w:rsid w:val="007E08EF"/>
    <w:rsid w:val="007E09C2"/>
    <w:rsid w:val="007E0A69"/>
    <w:rsid w:val="007E0B77"/>
    <w:rsid w:val="007E0C79"/>
    <w:rsid w:val="007E0CBA"/>
    <w:rsid w:val="007E0D61"/>
    <w:rsid w:val="007E0F7B"/>
    <w:rsid w:val="007E0FC9"/>
    <w:rsid w:val="007E10DA"/>
    <w:rsid w:val="007E12C1"/>
    <w:rsid w:val="007E13B6"/>
    <w:rsid w:val="007E1B56"/>
    <w:rsid w:val="007E1D41"/>
    <w:rsid w:val="007E1E08"/>
    <w:rsid w:val="007E2034"/>
    <w:rsid w:val="007E20B9"/>
    <w:rsid w:val="007E222B"/>
    <w:rsid w:val="007E232B"/>
    <w:rsid w:val="007E277C"/>
    <w:rsid w:val="007E27D6"/>
    <w:rsid w:val="007E2B22"/>
    <w:rsid w:val="007E2DBF"/>
    <w:rsid w:val="007E2F28"/>
    <w:rsid w:val="007E2F67"/>
    <w:rsid w:val="007E3041"/>
    <w:rsid w:val="007E35DF"/>
    <w:rsid w:val="007E3608"/>
    <w:rsid w:val="007E370E"/>
    <w:rsid w:val="007E37DA"/>
    <w:rsid w:val="007E38C6"/>
    <w:rsid w:val="007E393D"/>
    <w:rsid w:val="007E3ADD"/>
    <w:rsid w:val="007E3DEE"/>
    <w:rsid w:val="007E3E40"/>
    <w:rsid w:val="007E43CC"/>
    <w:rsid w:val="007E45F3"/>
    <w:rsid w:val="007E46ED"/>
    <w:rsid w:val="007E479F"/>
    <w:rsid w:val="007E49ED"/>
    <w:rsid w:val="007E4D16"/>
    <w:rsid w:val="007E50ED"/>
    <w:rsid w:val="007E56D5"/>
    <w:rsid w:val="007E56F9"/>
    <w:rsid w:val="007E5790"/>
    <w:rsid w:val="007E58B7"/>
    <w:rsid w:val="007E5926"/>
    <w:rsid w:val="007E5A97"/>
    <w:rsid w:val="007E5E4E"/>
    <w:rsid w:val="007E6096"/>
    <w:rsid w:val="007E60FA"/>
    <w:rsid w:val="007E62C6"/>
    <w:rsid w:val="007E6325"/>
    <w:rsid w:val="007E63C1"/>
    <w:rsid w:val="007E6446"/>
    <w:rsid w:val="007E6565"/>
    <w:rsid w:val="007E6671"/>
    <w:rsid w:val="007E671A"/>
    <w:rsid w:val="007E67BE"/>
    <w:rsid w:val="007E6802"/>
    <w:rsid w:val="007E6886"/>
    <w:rsid w:val="007E6BDF"/>
    <w:rsid w:val="007E6C8E"/>
    <w:rsid w:val="007E71E3"/>
    <w:rsid w:val="007E72E0"/>
    <w:rsid w:val="007E7643"/>
    <w:rsid w:val="007E766B"/>
    <w:rsid w:val="007E768D"/>
    <w:rsid w:val="007E76A8"/>
    <w:rsid w:val="007E76E7"/>
    <w:rsid w:val="007E76F6"/>
    <w:rsid w:val="007E7A33"/>
    <w:rsid w:val="007E7B39"/>
    <w:rsid w:val="007E7CE6"/>
    <w:rsid w:val="007E7CF6"/>
    <w:rsid w:val="007E7D23"/>
    <w:rsid w:val="007E7F13"/>
    <w:rsid w:val="007E7F7B"/>
    <w:rsid w:val="007F0121"/>
    <w:rsid w:val="007F01B8"/>
    <w:rsid w:val="007F039F"/>
    <w:rsid w:val="007F050F"/>
    <w:rsid w:val="007F06FC"/>
    <w:rsid w:val="007F0825"/>
    <w:rsid w:val="007F0896"/>
    <w:rsid w:val="007F0953"/>
    <w:rsid w:val="007F0A29"/>
    <w:rsid w:val="007F0A4C"/>
    <w:rsid w:val="007F0B2A"/>
    <w:rsid w:val="007F0BD3"/>
    <w:rsid w:val="007F0BF0"/>
    <w:rsid w:val="007F1229"/>
    <w:rsid w:val="007F1633"/>
    <w:rsid w:val="007F16D2"/>
    <w:rsid w:val="007F1861"/>
    <w:rsid w:val="007F1955"/>
    <w:rsid w:val="007F1976"/>
    <w:rsid w:val="007F1A0C"/>
    <w:rsid w:val="007F1B61"/>
    <w:rsid w:val="007F1FCD"/>
    <w:rsid w:val="007F20E5"/>
    <w:rsid w:val="007F229A"/>
    <w:rsid w:val="007F23E7"/>
    <w:rsid w:val="007F2593"/>
    <w:rsid w:val="007F267A"/>
    <w:rsid w:val="007F2782"/>
    <w:rsid w:val="007F28BB"/>
    <w:rsid w:val="007F295F"/>
    <w:rsid w:val="007F2A22"/>
    <w:rsid w:val="007F2BD6"/>
    <w:rsid w:val="007F2DF8"/>
    <w:rsid w:val="007F2FFB"/>
    <w:rsid w:val="007F32EE"/>
    <w:rsid w:val="007F3886"/>
    <w:rsid w:val="007F3999"/>
    <w:rsid w:val="007F3A50"/>
    <w:rsid w:val="007F3DE5"/>
    <w:rsid w:val="007F3EFA"/>
    <w:rsid w:val="007F4177"/>
    <w:rsid w:val="007F4273"/>
    <w:rsid w:val="007F438C"/>
    <w:rsid w:val="007F43B6"/>
    <w:rsid w:val="007F4460"/>
    <w:rsid w:val="007F452B"/>
    <w:rsid w:val="007F4606"/>
    <w:rsid w:val="007F465D"/>
    <w:rsid w:val="007F4B1D"/>
    <w:rsid w:val="007F4D12"/>
    <w:rsid w:val="007F4E26"/>
    <w:rsid w:val="007F50A2"/>
    <w:rsid w:val="007F5268"/>
    <w:rsid w:val="007F5483"/>
    <w:rsid w:val="007F54A3"/>
    <w:rsid w:val="007F54F0"/>
    <w:rsid w:val="007F55D8"/>
    <w:rsid w:val="007F5742"/>
    <w:rsid w:val="007F578E"/>
    <w:rsid w:val="007F59BB"/>
    <w:rsid w:val="007F59EE"/>
    <w:rsid w:val="007F5B52"/>
    <w:rsid w:val="007F5C21"/>
    <w:rsid w:val="007F5CC6"/>
    <w:rsid w:val="007F5DC4"/>
    <w:rsid w:val="007F5E1D"/>
    <w:rsid w:val="007F5EF2"/>
    <w:rsid w:val="007F623A"/>
    <w:rsid w:val="007F62AE"/>
    <w:rsid w:val="007F65AD"/>
    <w:rsid w:val="007F6664"/>
    <w:rsid w:val="007F68B7"/>
    <w:rsid w:val="007F6C5A"/>
    <w:rsid w:val="007F6F9A"/>
    <w:rsid w:val="007F7169"/>
    <w:rsid w:val="007F7179"/>
    <w:rsid w:val="007F722D"/>
    <w:rsid w:val="007F74F6"/>
    <w:rsid w:val="007F758C"/>
    <w:rsid w:val="007F75B5"/>
    <w:rsid w:val="007F75D3"/>
    <w:rsid w:val="007F77CB"/>
    <w:rsid w:val="007F78AE"/>
    <w:rsid w:val="007F78BA"/>
    <w:rsid w:val="007F7A31"/>
    <w:rsid w:val="008000BD"/>
    <w:rsid w:val="0080018B"/>
    <w:rsid w:val="008001BF"/>
    <w:rsid w:val="00800338"/>
    <w:rsid w:val="00800773"/>
    <w:rsid w:val="0080091D"/>
    <w:rsid w:val="00800928"/>
    <w:rsid w:val="00800A0C"/>
    <w:rsid w:val="00800D7F"/>
    <w:rsid w:val="00800F2C"/>
    <w:rsid w:val="00800F35"/>
    <w:rsid w:val="008010B9"/>
    <w:rsid w:val="008011D0"/>
    <w:rsid w:val="0080128A"/>
    <w:rsid w:val="008012C9"/>
    <w:rsid w:val="00801316"/>
    <w:rsid w:val="00801723"/>
    <w:rsid w:val="00801B2C"/>
    <w:rsid w:val="00801C0B"/>
    <w:rsid w:val="00801D78"/>
    <w:rsid w:val="00801DC3"/>
    <w:rsid w:val="00801E19"/>
    <w:rsid w:val="00801ECE"/>
    <w:rsid w:val="00801F68"/>
    <w:rsid w:val="00801FC7"/>
    <w:rsid w:val="008021C5"/>
    <w:rsid w:val="00802227"/>
    <w:rsid w:val="00802527"/>
    <w:rsid w:val="008027A2"/>
    <w:rsid w:val="0080283C"/>
    <w:rsid w:val="0080285E"/>
    <w:rsid w:val="00802A9A"/>
    <w:rsid w:val="00802C83"/>
    <w:rsid w:val="00802D5C"/>
    <w:rsid w:val="00802F1E"/>
    <w:rsid w:val="0080311B"/>
    <w:rsid w:val="00803365"/>
    <w:rsid w:val="00803469"/>
    <w:rsid w:val="008034AF"/>
    <w:rsid w:val="00803677"/>
    <w:rsid w:val="00803715"/>
    <w:rsid w:val="008037C7"/>
    <w:rsid w:val="00803BDA"/>
    <w:rsid w:val="00803DD5"/>
    <w:rsid w:val="00803F1C"/>
    <w:rsid w:val="008041F0"/>
    <w:rsid w:val="008042A9"/>
    <w:rsid w:val="008043C9"/>
    <w:rsid w:val="008047C6"/>
    <w:rsid w:val="00804A63"/>
    <w:rsid w:val="00804E82"/>
    <w:rsid w:val="00804E9C"/>
    <w:rsid w:val="00804F05"/>
    <w:rsid w:val="00805124"/>
    <w:rsid w:val="0080523D"/>
    <w:rsid w:val="0080542B"/>
    <w:rsid w:val="0080551D"/>
    <w:rsid w:val="00805622"/>
    <w:rsid w:val="0080565A"/>
    <w:rsid w:val="00805789"/>
    <w:rsid w:val="00805917"/>
    <w:rsid w:val="0080597D"/>
    <w:rsid w:val="00805AEB"/>
    <w:rsid w:val="00805E5B"/>
    <w:rsid w:val="00806293"/>
    <w:rsid w:val="00806309"/>
    <w:rsid w:val="0080633A"/>
    <w:rsid w:val="00806555"/>
    <w:rsid w:val="0080691F"/>
    <w:rsid w:val="00806928"/>
    <w:rsid w:val="008069B3"/>
    <w:rsid w:val="008069F7"/>
    <w:rsid w:val="00806A48"/>
    <w:rsid w:val="00806B6B"/>
    <w:rsid w:val="00806C88"/>
    <w:rsid w:val="00806CD9"/>
    <w:rsid w:val="00806FBA"/>
    <w:rsid w:val="00806FD1"/>
    <w:rsid w:val="00807016"/>
    <w:rsid w:val="008071B4"/>
    <w:rsid w:val="008071FB"/>
    <w:rsid w:val="0080773E"/>
    <w:rsid w:val="00807808"/>
    <w:rsid w:val="00807C54"/>
    <w:rsid w:val="00807C7E"/>
    <w:rsid w:val="00807CE5"/>
    <w:rsid w:val="00807ED7"/>
    <w:rsid w:val="00810392"/>
    <w:rsid w:val="00810466"/>
    <w:rsid w:val="0081066F"/>
    <w:rsid w:val="00810728"/>
    <w:rsid w:val="00810A2C"/>
    <w:rsid w:val="00810C68"/>
    <w:rsid w:val="00810CA7"/>
    <w:rsid w:val="00810D7A"/>
    <w:rsid w:val="00810DD5"/>
    <w:rsid w:val="00810F09"/>
    <w:rsid w:val="00810F45"/>
    <w:rsid w:val="00810FEF"/>
    <w:rsid w:val="00811052"/>
    <w:rsid w:val="00811193"/>
    <w:rsid w:val="008111B5"/>
    <w:rsid w:val="00811297"/>
    <w:rsid w:val="00811671"/>
    <w:rsid w:val="0081169E"/>
    <w:rsid w:val="00811917"/>
    <w:rsid w:val="0081194D"/>
    <w:rsid w:val="008119AC"/>
    <w:rsid w:val="00811A2A"/>
    <w:rsid w:val="00811A84"/>
    <w:rsid w:val="00811E33"/>
    <w:rsid w:val="00811E92"/>
    <w:rsid w:val="00812130"/>
    <w:rsid w:val="008122EC"/>
    <w:rsid w:val="00812413"/>
    <w:rsid w:val="00812806"/>
    <w:rsid w:val="00812C69"/>
    <w:rsid w:val="00812E93"/>
    <w:rsid w:val="00813431"/>
    <w:rsid w:val="008134AB"/>
    <w:rsid w:val="008136B0"/>
    <w:rsid w:val="00813A57"/>
    <w:rsid w:val="00813CDF"/>
    <w:rsid w:val="00813EC8"/>
    <w:rsid w:val="00814033"/>
    <w:rsid w:val="008140E9"/>
    <w:rsid w:val="008141D5"/>
    <w:rsid w:val="00814242"/>
    <w:rsid w:val="00814315"/>
    <w:rsid w:val="0081436B"/>
    <w:rsid w:val="008145F7"/>
    <w:rsid w:val="00814813"/>
    <w:rsid w:val="00814964"/>
    <w:rsid w:val="00814A6E"/>
    <w:rsid w:val="00814B2F"/>
    <w:rsid w:val="00814B7C"/>
    <w:rsid w:val="00814C73"/>
    <w:rsid w:val="00814CEB"/>
    <w:rsid w:val="00814DFF"/>
    <w:rsid w:val="00814EE4"/>
    <w:rsid w:val="00815057"/>
    <w:rsid w:val="00815240"/>
    <w:rsid w:val="0081576E"/>
    <w:rsid w:val="008157BB"/>
    <w:rsid w:val="0081585E"/>
    <w:rsid w:val="0081588D"/>
    <w:rsid w:val="00815AEF"/>
    <w:rsid w:val="00815BE0"/>
    <w:rsid w:val="00815CA9"/>
    <w:rsid w:val="00815E26"/>
    <w:rsid w:val="00815E4B"/>
    <w:rsid w:val="00815F4A"/>
    <w:rsid w:val="00816033"/>
    <w:rsid w:val="008161CE"/>
    <w:rsid w:val="00816221"/>
    <w:rsid w:val="00816291"/>
    <w:rsid w:val="008163D2"/>
    <w:rsid w:val="00816450"/>
    <w:rsid w:val="008164BA"/>
    <w:rsid w:val="008164D8"/>
    <w:rsid w:val="00816531"/>
    <w:rsid w:val="008165DB"/>
    <w:rsid w:val="008165F7"/>
    <w:rsid w:val="008166D9"/>
    <w:rsid w:val="00816861"/>
    <w:rsid w:val="008169E3"/>
    <w:rsid w:val="00816CFE"/>
    <w:rsid w:val="00816D12"/>
    <w:rsid w:val="00816DC9"/>
    <w:rsid w:val="008170F8"/>
    <w:rsid w:val="008171F8"/>
    <w:rsid w:val="008176A5"/>
    <w:rsid w:val="008176B6"/>
    <w:rsid w:val="008176F1"/>
    <w:rsid w:val="0081770A"/>
    <w:rsid w:val="00817737"/>
    <w:rsid w:val="00817AFA"/>
    <w:rsid w:val="00817BC6"/>
    <w:rsid w:val="00817D2E"/>
    <w:rsid w:val="008200A6"/>
    <w:rsid w:val="008201CE"/>
    <w:rsid w:val="0082042A"/>
    <w:rsid w:val="00820540"/>
    <w:rsid w:val="0082055A"/>
    <w:rsid w:val="008207E6"/>
    <w:rsid w:val="00820897"/>
    <w:rsid w:val="008209A2"/>
    <w:rsid w:val="00820BCA"/>
    <w:rsid w:val="00820DD1"/>
    <w:rsid w:val="00820EA4"/>
    <w:rsid w:val="00820EF8"/>
    <w:rsid w:val="00820FA4"/>
    <w:rsid w:val="00821094"/>
    <w:rsid w:val="0082117A"/>
    <w:rsid w:val="00821331"/>
    <w:rsid w:val="008214A0"/>
    <w:rsid w:val="00821D84"/>
    <w:rsid w:val="008221ED"/>
    <w:rsid w:val="0082238F"/>
    <w:rsid w:val="0082246A"/>
    <w:rsid w:val="00822540"/>
    <w:rsid w:val="0082274D"/>
    <w:rsid w:val="00822774"/>
    <w:rsid w:val="00822840"/>
    <w:rsid w:val="008228B2"/>
    <w:rsid w:val="008228F8"/>
    <w:rsid w:val="00822B52"/>
    <w:rsid w:val="00822B6B"/>
    <w:rsid w:val="00822E97"/>
    <w:rsid w:val="00823110"/>
    <w:rsid w:val="00823264"/>
    <w:rsid w:val="00823396"/>
    <w:rsid w:val="008234BB"/>
    <w:rsid w:val="00823505"/>
    <w:rsid w:val="008235C0"/>
    <w:rsid w:val="0082364D"/>
    <w:rsid w:val="0082375E"/>
    <w:rsid w:val="008238F4"/>
    <w:rsid w:val="00823A05"/>
    <w:rsid w:val="00823AC9"/>
    <w:rsid w:val="00823D22"/>
    <w:rsid w:val="00823E7D"/>
    <w:rsid w:val="00823F80"/>
    <w:rsid w:val="00824050"/>
    <w:rsid w:val="0082423B"/>
    <w:rsid w:val="00824274"/>
    <w:rsid w:val="00824334"/>
    <w:rsid w:val="00824390"/>
    <w:rsid w:val="00824752"/>
    <w:rsid w:val="00824827"/>
    <w:rsid w:val="00824843"/>
    <w:rsid w:val="00824A69"/>
    <w:rsid w:val="00824BAA"/>
    <w:rsid w:val="00824BCD"/>
    <w:rsid w:val="00824DFC"/>
    <w:rsid w:val="00824F64"/>
    <w:rsid w:val="00824F71"/>
    <w:rsid w:val="00825077"/>
    <w:rsid w:val="00825497"/>
    <w:rsid w:val="00825681"/>
    <w:rsid w:val="00825A92"/>
    <w:rsid w:val="00825B78"/>
    <w:rsid w:val="00825C06"/>
    <w:rsid w:val="00825C91"/>
    <w:rsid w:val="00825D71"/>
    <w:rsid w:val="00825D9E"/>
    <w:rsid w:val="00825DD2"/>
    <w:rsid w:val="00825EE2"/>
    <w:rsid w:val="00826098"/>
    <w:rsid w:val="008260C6"/>
    <w:rsid w:val="0082610C"/>
    <w:rsid w:val="00826133"/>
    <w:rsid w:val="008261A0"/>
    <w:rsid w:val="00826201"/>
    <w:rsid w:val="00826267"/>
    <w:rsid w:val="008263CC"/>
    <w:rsid w:val="00826400"/>
    <w:rsid w:val="00826419"/>
    <w:rsid w:val="00826643"/>
    <w:rsid w:val="00826753"/>
    <w:rsid w:val="00826807"/>
    <w:rsid w:val="008269CC"/>
    <w:rsid w:val="008269FE"/>
    <w:rsid w:val="00826A14"/>
    <w:rsid w:val="00826A4F"/>
    <w:rsid w:val="00826A52"/>
    <w:rsid w:val="00826CE6"/>
    <w:rsid w:val="00826DFB"/>
    <w:rsid w:val="0082706C"/>
    <w:rsid w:val="008272C1"/>
    <w:rsid w:val="0082739F"/>
    <w:rsid w:val="00827477"/>
    <w:rsid w:val="00827575"/>
    <w:rsid w:val="008276C6"/>
    <w:rsid w:val="008276CA"/>
    <w:rsid w:val="008276F8"/>
    <w:rsid w:val="008277CE"/>
    <w:rsid w:val="0082792C"/>
    <w:rsid w:val="00827A7A"/>
    <w:rsid w:val="00827BE5"/>
    <w:rsid w:val="00827FA7"/>
    <w:rsid w:val="00830282"/>
    <w:rsid w:val="008305E7"/>
    <w:rsid w:val="0083061B"/>
    <w:rsid w:val="008306A5"/>
    <w:rsid w:val="008306F0"/>
    <w:rsid w:val="008307B5"/>
    <w:rsid w:val="00830952"/>
    <w:rsid w:val="00830B2D"/>
    <w:rsid w:val="00830D9A"/>
    <w:rsid w:val="00830E78"/>
    <w:rsid w:val="00831129"/>
    <w:rsid w:val="00831152"/>
    <w:rsid w:val="008312BD"/>
    <w:rsid w:val="008312CB"/>
    <w:rsid w:val="0083137D"/>
    <w:rsid w:val="00831411"/>
    <w:rsid w:val="0083146E"/>
    <w:rsid w:val="00831579"/>
    <w:rsid w:val="00831882"/>
    <w:rsid w:val="00831A20"/>
    <w:rsid w:val="00831A3E"/>
    <w:rsid w:val="00831A63"/>
    <w:rsid w:val="00831CE1"/>
    <w:rsid w:val="00831E8B"/>
    <w:rsid w:val="00832021"/>
    <w:rsid w:val="00832256"/>
    <w:rsid w:val="00832498"/>
    <w:rsid w:val="0083281E"/>
    <w:rsid w:val="00832903"/>
    <w:rsid w:val="0083298A"/>
    <w:rsid w:val="00832A48"/>
    <w:rsid w:val="00832A4C"/>
    <w:rsid w:val="00832B7A"/>
    <w:rsid w:val="00832E12"/>
    <w:rsid w:val="00832FB8"/>
    <w:rsid w:val="00833464"/>
    <w:rsid w:val="008338DB"/>
    <w:rsid w:val="0083399B"/>
    <w:rsid w:val="00833AE1"/>
    <w:rsid w:val="00833B8C"/>
    <w:rsid w:val="00833CA3"/>
    <w:rsid w:val="00833CCE"/>
    <w:rsid w:val="00833DA6"/>
    <w:rsid w:val="00833DBA"/>
    <w:rsid w:val="00834179"/>
    <w:rsid w:val="00834490"/>
    <w:rsid w:val="008344B8"/>
    <w:rsid w:val="0083456E"/>
    <w:rsid w:val="00834AEC"/>
    <w:rsid w:val="00834CF9"/>
    <w:rsid w:val="00835199"/>
    <w:rsid w:val="00835516"/>
    <w:rsid w:val="00835557"/>
    <w:rsid w:val="0083555A"/>
    <w:rsid w:val="00835633"/>
    <w:rsid w:val="008357C4"/>
    <w:rsid w:val="0083584C"/>
    <w:rsid w:val="00835864"/>
    <w:rsid w:val="00835903"/>
    <w:rsid w:val="0083600A"/>
    <w:rsid w:val="00836160"/>
    <w:rsid w:val="008366BA"/>
    <w:rsid w:val="008367A4"/>
    <w:rsid w:val="0083698D"/>
    <w:rsid w:val="00836A0C"/>
    <w:rsid w:val="00836C23"/>
    <w:rsid w:val="00836DE9"/>
    <w:rsid w:val="00836E4B"/>
    <w:rsid w:val="00836F03"/>
    <w:rsid w:val="00836F80"/>
    <w:rsid w:val="008370B0"/>
    <w:rsid w:val="008371F5"/>
    <w:rsid w:val="0083734B"/>
    <w:rsid w:val="0083737C"/>
    <w:rsid w:val="00837504"/>
    <w:rsid w:val="008375A8"/>
    <w:rsid w:val="008375FF"/>
    <w:rsid w:val="0083772F"/>
    <w:rsid w:val="008378A1"/>
    <w:rsid w:val="00837909"/>
    <w:rsid w:val="00837A66"/>
    <w:rsid w:val="00837A75"/>
    <w:rsid w:val="00837EAB"/>
    <w:rsid w:val="00840060"/>
    <w:rsid w:val="008400C6"/>
    <w:rsid w:val="00840132"/>
    <w:rsid w:val="00840267"/>
    <w:rsid w:val="008405CA"/>
    <w:rsid w:val="00840795"/>
    <w:rsid w:val="008408FD"/>
    <w:rsid w:val="00840A8E"/>
    <w:rsid w:val="00840AAE"/>
    <w:rsid w:val="00840BFD"/>
    <w:rsid w:val="00840E6E"/>
    <w:rsid w:val="0084113F"/>
    <w:rsid w:val="008413AE"/>
    <w:rsid w:val="0084151A"/>
    <w:rsid w:val="00841577"/>
    <w:rsid w:val="0084171E"/>
    <w:rsid w:val="008418DC"/>
    <w:rsid w:val="00841CD4"/>
    <w:rsid w:val="00841E0E"/>
    <w:rsid w:val="00842038"/>
    <w:rsid w:val="008420F3"/>
    <w:rsid w:val="008422BC"/>
    <w:rsid w:val="008427F6"/>
    <w:rsid w:val="00842943"/>
    <w:rsid w:val="00842C5A"/>
    <w:rsid w:val="00842CBA"/>
    <w:rsid w:val="00842CCD"/>
    <w:rsid w:val="00842D99"/>
    <w:rsid w:val="00843191"/>
    <w:rsid w:val="0084365D"/>
    <w:rsid w:val="0084369F"/>
    <w:rsid w:val="00843772"/>
    <w:rsid w:val="00843B3B"/>
    <w:rsid w:val="008440B3"/>
    <w:rsid w:val="0084422D"/>
    <w:rsid w:val="008443B8"/>
    <w:rsid w:val="0084457D"/>
    <w:rsid w:val="00844582"/>
    <w:rsid w:val="00844583"/>
    <w:rsid w:val="00844671"/>
    <w:rsid w:val="00844721"/>
    <w:rsid w:val="0084478B"/>
    <w:rsid w:val="0084497D"/>
    <w:rsid w:val="008449B8"/>
    <w:rsid w:val="00844B86"/>
    <w:rsid w:val="00844C20"/>
    <w:rsid w:val="00844E11"/>
    <w:rsid w:val="00844E45"/>
    <w:rsid w:val="00844F77"/>
    <w:rsid w:val="00845001"/>
    <w:rsid w:val="008450BB"/>
    <w:rsid w:val="008452FE"/>
    <w:rsid w:val="00845305"/>
    <w:rsid w:val="0084535C"/>
    <w:rsid w:val="00845946"/>
    <w:rsid w:val="0084596C"/>
    <w:rsid w:val="00845B61"/>
    <w:rsid w:val="00845C6C"/>
    <w:rsid w:val="00845C8C"/>
    <w:rsid w:val="00845D19"/>
    <w:rsid w:val="00845F9D"/>
    <w:rsid w:val="0084615D"/>
    <w:rsid w:val="0084624D"/>
    <w:rsid w:val="00846309"/>
    <w:rsid w:val="00846397"/>
    <w:rsid w:val="008464AF"/>
    <w:rsid w:val="008465EB"/>
    <w:rsid w:val="00846684"/>
    <w:rsid w:val="008468D1"/>
    <w:rsid w:val="00846A7B"/>
    <w:rsid w:val="00846F79"/>
    <w:rsid w:val="00847109"/>
    <w:rsid w:val="0084761E"/>
    <w:rsid w:val="008477C1"/>
    <w:rsid w:val="008477DC"/>
    <w:rsid w:val="00847A40"/>
    <w:rsid w:val="00847AC1"/>
    <w:rsid w:val="00847BC1"/>
    <w:rsid w:val="00847D9C"/>
    <w:rsid w:val="00847E9C"/>
    <w:rsid w:val="00847EAA"/>
    <w:rsid w:val="00847F06"/>
    <w:rsid w:val="00850041"/>
    <w:rsid w:val="008501B2"/>
    <w:rsid w:val="0085022B"/>
    <w:rsid w:val="008502F6"/>
    <w:rsid w:val="00850522"/>
    <w:rsid w:val="00850645"/>
    <w:rsid w:val="008507A8"/>
    <w:rsid w:val="0085086B"/>
    <w:rsid w:val="008508CD"/>
    <w:rsid w:val="00850F81"/>
    <w:rsid w:val="00850F85"/>
    <w:rsid w:val="008510DA"/>
    <w:rsid w:val="008510E3"/>
    <w:rsid w:val="00851130"/>
    <w:rsid w:val="00851223"/>
    <w:rsid w:val="008514AD"/>
    <w:rsid w:val="008516E1"/>
    <w:rsid w:val="00851788"/>
    <w:rsid w:val="00851791"/>
    <w:rsid w:val="00851809"/>
    <w:rsid w:val="0085197B"/>
    <w:rsid w:val="00851B57"/>
    <w:rsid w:val="00851E66"/>
    <w:rsid w:val="00851E87"/>
    <w:rsid w:val="0085205C"/>
    <w:rsid w:val="0085212B"/>
    <w:rsid w:val="00852343"/>
    <w:rsid w:val="0085248B"/>
    <w:rsid w:val="008528AE"/>
    <w:rsid w:val="00852B1E"/>
    <w:rsid w:val="00852CA4"/>
    <w:rsid w:val="00852EAB"/>
    <w:rsid w:val="00853073"/>
    <w:rsid w:val="008530B9"/>
    <w:rsid w:val="00853761"/>
    <w:rsid w:val="008537A2"/>
    <w:rsid w:val="00853B4C"/>
    <w:rsid w:val="00853F70"/>
    <w:rsid w:val="00854037"/>
    <w:rsid w:val="008543FC"/>
    <w:rsid w:val="008544C4"/>
    <w:rsid w:val="008546CF"/>
    <w:rsid w:val="00854701"/>
    <w:rsid w:val="00854720"/>
    <w:rsid w:val="008548B2"/>
    <w:rsid w:val="00854953"/>
    <w:rsid w:val="008549D0"/>
    <w:rsid w:val="00854C9D"/>
    <w:rsid w:val="00854FAA"/>
    <w:rsid w:val="00855206"/>
    <w:rsid w:val="0085531C"/>
    <w:rsid w:val="008554CD"/>
    <w:rsid w:val="008555F7"/>
    <w:rsid w:val="008556E6"/>
    <w:rsid w:val="00855902"/>
    <w:rsid w:val="00855939"/>
    <w:rsid w:val="00855CA9"/>
    <w:rsid w:val="00855DE5"/>
    <w:rsid w:val="00855E7A"/>
    <w:rsid w:val="00855F32"/>
    <w:rsid w:val="00856023"/>
    <w:rsid w:val="00856049"/>
    <w:rsid w:val="00856185"/>
    <w:rsid w:val="008561EB"/>
    <w:rsid w:val="00856309"/>
    <w:rsid w:val="00856356"/>
    <w:rsid w:val="00856382"/>
    <w:rsid w:val="008563EF"/>
    <w:rsid w:val="00856695"/>
    <w:rsid w:val="0085672A"/>
    <w:rsid w:val="008568A3"/>
    <w:rsid w:val="008569AA"/>
    <w:rsid w:val="008569E7"/>
    <w:rsid w:val="00856A09"/>
    <w:rsid w:val="00856C49"/>
    <w:rsid w:val="00856EAB"/>
    <w:rsid w:val="00856F99"/>
    <w:rsid w:val="00857434"/>
    <w:rsid w:val="008574CC"/>
    <w:rsid w:val="0085750E"/>
    <w:rsid w:val="00857659"/>
    <w:rsid w:val="0085771E"/>
    <w:rsid w:val="00857796"/>
    <w:rsid w:val="008577DE"/>
    <w:rsid w:val="0085792A"/>
    <w:rsid w:val="0085794C"/>
    <w:rsid w:val="00857977"/>
    <w:rsid w:val="00857B49"/>
    <w:rsid w:val="00857B5B"/>
    <w:rsid w:val="00857CAA"/>
    <w:rsid w:val="00857E8D"/>
    <w:rsid w:val="00857F15"/>
    <w:rsid w:val="008602F1"/>
    <w:rsid w:val="00860509"/>
    <w:rsid w:val="008605EA"/>
    <w:rsid w:val="00860600"/>
    <w:rsid w:val="008607C2"/>
    <w:rsid w:val="00860BA7"/>
    <w:rsid w:val="00860C03"/>
    <w:rsid w:val="00860D88"/>
    <w:rsid w:val="00860DC4"/>
    <w:rsid w:val="0086161F"/>
    <w:rsid w:val="0086173A"/>
    <w:rsid w:val="00861855"/>
    <w:rsid w:val="00861893"/>
    <w:rsid w:val="008618F4"/>
    <w:rsid w:val="00861AB4"/>
    <w:rsid w:val="00861BFC"/>
    <w:rsid w:val="00861D67"/>
    <w:rsid w:val="00861D80"/>
    <w:rsid w:val="00861F05"/>
    <w:rsid w:val="0086211F"/>
    <w:rsid w:val="00862238"/>
    <w:rsid w:val="0086242D"/>
    <w:rsid w:val="008627A2"/>
    <w:rsid w:val="008628F0"/>
    <w:rsid w:val="00862C6F"/>
    <w:rsid w:val="00862E6A"/>
    <w:rsid w:val="008633D1"/>
    <w:rsid w:val="00863405"/>
    <w:rsid w:val="008635D4"/>
    <w:rsid w:val="008636E8"/>
    <w:rsid w:val="00863954"/>
    <w:rsid w:val="008639D0"/>
    <w:rsid w:val="008639E0"/>
    <w:rsid w:val="00863C6A"/>
    <w:rsid w:val="0086409A"/>
    <w:rsid w:val="00864202"/>
    <w:rsid w:val="0086430F"/>
    <w:rsid w:val="008649FF"/>
    <w:rsid w:val="00864EDD"/>
    <w:rsid w:val="0086506C"/>
    <w:rsid w:val="00865115"/>
    <w:rsid w:val="00865144"/>
    <w:rsid w:val="008651BF"/>
    <w:rsid w:val="00865342"/>
    <w:rsid w:val="008655B0"/>
    <w:rsid w:val="00865623"/>
    <w:rsid w:val="00865625"/>
    <w:rsid w:val="00865A5E"/>
    <w:rsid w:val="00865E34"/>
    <w:rsid w:val="008660BF"/>
    <w:rsid w:val="0086616E"/>
    <w:rsid w:val="008666FC"/>
    <w:rsid w:val="00866BEB"/>
    <w:rsid w:val="00866C50"/>
    <w:rsid w:val="00866CAB"/>
    <w:rsid w:val="00866D2E"/>
    <w:rsid w:val="00866D3B"/>
    <w:rsid w:val="00866E4D"/>
    <w:rsid w:val="00866F8A"/>
    <w:rsid w:val="008670E8"/>
    <w:rsid w:val="008670FC"/>
    <w:rsid w:val="0086710F"/>
    <w:rsid w:val="00867137"/>
    <w:rsid w:val="0086713C"/>
    <w:rsid w:val="00867290"/>
    <w:rsid w:val="00867912"/>
    <w:rsid w:val="008679D3"/>
    <w:rsid w:val="00867C1F"/>
    <w:rsid w:val="00867C63"/>
    <w:rsid w:val="00867D70"/>
    <w:rsid w:val="008702F1"/>
    <w:rsid w:val="00870325"/>
    <w:rsid w:val="008705F7"/>
    <w:rsid w:val="0087078B"/>
    <w:rsid w:val="00870904"/>
    <w:rsid w:val="00870A0E"/>
    <w:rsid w:val="00870A14"/>
    <w:rsid w:val="00870CAE"/>
    <w:rsid w:val="00870E42"/>
    <w:rsid w:val="008712C9"/>
    <w:rsid w:val="0087139D"/>
    <w:rsid w:val="008719D4"/>
    <w:rsid w:val="00871A4E"/>
    <w:rsid w:val="00871B24"/>
    <w:rsid w:val="00871C84"/>
    <w:rsid w:val="00871D54"/>
    <w:rsid w:val="008720AF"/>
    <w:rsid w:val="008724A8"/>
    <w:rsid w:val="00872832"/>
    <w:rsid w:val="008729CC"/>
    <w:rsid w:val="008729EB"/>
    <w:rsid w:val="00872BDC"/>
    <w:rsid w:val="00872C3F"/>
    <w:rsid w:val="00872EFE"/>
    <w:rsid w:val="00873006"/>
    <w:rsid w:val="0087314C"/>
    <w:rsid w:val="00873313"/>
    <w:rsid w:val="00873325"/>
    <w:rsid w:val="0087344B"/>
    <w:rsid w:val="0087356B"/>
    <w:rsid w:val="00873586"/>
    <w:rsid w:val="00873607"/>
    <w:rsid w:val="00873865"/>
    <w:rsid w:val="008739BD"/>
    <w:rsid w:val="00873ACF"/>
    <w:rsid w:val="00873CE3"/>
    <w:rsid w:val="00873D9B"/>
    <w:rsid w:val="0087414D"/>
    <w:rsid w:val="0087448F"/>
    <w:rsid w:val="008746C9"/>
    <w:rsid w:val="008746D4"/>
    <w:rsid w:val="00874F18"/>
    <w:rsid w:val="00875217"/>
    <w:rsid w:val="008753E2"/>
    <w:rsid w:val="008756AC"/>
    <w:rsid w:val="008757A1"/>
    <w:rsid w:val="00875902"/>
    <w:rsid w:val="00875A19"/>
    <w:rsid w:val="00875DE4"/>
    <w:rsid w:val="008761CB"/>
    <w:rsid w:val="008761CC"/>
    <w:rsid w:val="008762A7"/>
    <w:rsid w:val="00876654"/>
    <w:rsid w:val="008768EF"/>
    <w:rsid w:val="00876D3C"/>
    <w:rsid w:val="0087726D"/>
    <w:rsid w:val="00877324"/>
    <w:rsid w:val="0087767D"/>
    <w:rsid w:val="00877768"/>
    <w:rsid w:val="008778D6"/>
    <w:rsid w:val="0087795A"/>
    <w:rsid w:val="00877A93"/>
    <w:rsid w:val="00877C48"/>
    <w:rsid w:val="00877DBA"/>
    <w:rsid w:val="00877ECF"/>
    <w:rsid w:val="00877F91"/>
    <w:rsid w:val="00880013"/>
    <w:rsid w:val="00880117"/>
    <w:rsid w:val="00880328"/>
    <w:rsid w:val="0088042A"/>
    <w:rsid w:val="00880646"/>
    <w:rsid w:val="0088068C"/>
    <w:rsid w:val="00880849"/>
    <w:rsid w:val="008809D9"/>
    <w:rsid w:val="00880AF9"/>
    <w:rsid w:val="00880C61"/>
    <w:rsid w:val="00880DE6"/>
    <w:rsid w:val="00880FD2"/>
    <w:rsid w:val="00881030"/>
    <w:rsid w:val="00881281"/>
    <w:rsid w:val="008814A7"/>
    <w:rsid w:val="0088159C"/>
    <w:rsid w:val="00881688"/>
    <w:rsid w:val="008816F7"/>
    <w:rsid w:val="0088170C"/>
    <w:rsid w:val="00881D61"/>
    <w:rsid w:val="00881DB8"/>
    <w:rsid w:val="00881DED"/>
    <w:rsid w:val="00882599"/>
    <w:rsid w:val="008828FB"/>
    <w:rsid w:val="0088291E"/>
    <w:rsid w:val="00882A81"/>
    <w:rsid w:val="0088338F"/>
    <w:rsid w:val="00883407"/>
    <w:rsid w:val="00883A00"/>
    <w:rsid w:val="00883B75"/>
    <w:rsid w:val="00883C4F"/>
    <w:rsid w:val="00883F4B"/>
    <w:rsid w:val="0088411A"/>
    <w:rsid w:val="00884165"/>
    <w:rsid w:val="00884331"/>
    <w:rsid w:val="0088444A"/>
    <w:rsid w:val="00884623"/>
    <w:rsid w:val="00884AB9"/>
    <w:rsid w:val="00884B0E"/>
    <w:rsid w:val="00884B3E"/>
    <w:rsid w:val="00884BC0"/>
    <w:rsid w:val="00884C21"/>
    <w:rsid w:val="00884C75"/>
    <w:rsid w:val="00884CD8"/>
    <w:rsid w:val="00884E67"/>
    <w:rsid w:val="00884E87"/>
    <w:rsid w:val="0088504A"/>
    <w:rsid w:val="00885658"/>
    <w:rsid w:val="008856F4"/>
    <w:rsid w:val="008859E2"/>
    <w:rsid w:val="00885E0E"/>
    <w:rsid w:val="00885F1B"/>
    <w:rsid w:val="00886166"/>
    <w:rsid w:val="00886650"/>
    <w:rsid w:val="0088666C"/>
    <w:rsid w:val="008866FD"/>
    <w:rsid w:val="00886AA1"/>
    <w:rsid w:val="00886B2A"/>
    <w:rsid w:val="00886D26"/>
    <w:rsid w:val="00886F6A"/>
    <w:rsid w:val="00886FF7"/>
    <w:rsid w:val="008871CF"/>
    <w:rsid w:val="00887214"/>
    <w:rsid w:val="008874FF"/>
    <w:rsid w:val="00887648"/>
    <w:rsid w:val="0088796D"/>
    <w:rsid w:val="00887C92"/>
    <w:rsid w:val="00887E87"/>
    <w:rsid w:val="008900A7"/>
    <w:rsid w:val="0089035A"/>
    <w:rsid w:val="00890392"/>
    <w:rsid w:val="00890441"/>
    <w:rsid w:val="0089045D"/>
    <w:rsid w:val="008906AE"/>
    <w:rsid w:val="00890C25"/>
    <w:rsid w:val="00890E24"/>
    <w:rsid w:val="0089100B"/>
    <w:rsid w:val="00891039"/>
    <w:rsid w:val="00891057"/>
    <w:rsid w:val="00891174"/>
    <w:rsid w:val="008914BD"/>
    <w:rsid w:val="008914FE"/>
    <w:rsid w:val="008915B7"/>
    <w:rsid w:val="008915BB"/>
    <w:rsid w:val="008915C7"/>
    <w:rsid w:val="008915F0"/>
    <w:rsid w:val="00891649"/>
    <w:rsid w:val="0089167F"/>
    <w:rsid w:val="00891684"/>
    <w:rsid w:val="0089186A"/>
    <w:rsid w:val="00891935"/>
    <w:rsid w:val="0089195D"/>
    <w:rsid w:val="00891975"/>
    <w:rsid w:val="00891984"/>
    <w:rsid w:val="008919AE"/>
    <w:rsid w:val="00892010"/>
    <w:rsid w:val="00892492"/>
    <w:rsid w:val="0089254C"/>
    <w:rsid w:val="00892C5E"/>
    <w:rsid w:val="00892D82"/>
    <w:rsid w:val="00892E0E"/>
    <w:rsid w:val="0089310E"/>
    <w:rsid w:val="00893120"/>
    <w:rsid w:val="00893346"/>
    <w:rsid w:val="0089349C"/>
    <w:rsid w:val="00893565"/>
    <w:rsid w:val="008939BB"/>
    <w:rsid w:val="00893B91"/>
    <w:rsid w:val="00893BE0"/>
    <w:rsid w:val="00893BE4"/>
    <w:rsid w:val="00893C17"/>
    <w:rsid w:val="00893EC6"/>
    <w:rsid w:val="00894029"/>
    <w:rsid w:val="008941B5"/>
    <w:rsid w:val="00894219"/>
    <w:rsid w:val="008942B3"/>
    <w:rsid w:val="008942E3"/>
    <w:rsid w:val="00894725"/>
    <w:rsid w:val="0089482F"/>
    <w:rsid w:val="0089494C"/>
    <w:rsid w:val="00894A21"/>
    <w:rsid w:val="00894BB8"/>
    <w:rsid w:val="00894E4E"/>
    <w:rsid w:val="008952F5"/>
    <w:rsid w:val="0089537D"/>
    <w:rsid w:val="008954A5"/>
    <w:rsid w:val="008954D2"/>
    <w:rsid w:val="0089567A"/>
    <w:rsid w:val="0089571F"/>
    <w:rsid w:val="0089575B"/>
    <w:rsid w:val="008957A4"/>
    <w:rsid w:val="00895926"/>
    <w:rsid w:val="00895BBB"/>
    <w:rsid w:val="00895C2B"/>
    <w:rsid w:val="00895DDC"/>
    <w:rsid w:val="00895ECE"/>
    <w:rsid w:val="00895F50"/>
    <w:rsid w:val="00896237"/>
    <w:rsid w:val="0089625E"/>
    <w:rsid w:val="008962D0"/>
    <w:rsid w:val="008962DE"/>
    <w:rsid w:val="008962DF"/>
    <w:rsid w:val="0089645B"/>
    <w:rsid w:val="0089646E"/>
    <w:rsid w:val="008964F8"/>
    <w:rsid w:val="0089683C"/>
    <w:rsid w:val="00896B55"/>
    <w:rsid w:val="00896E0B"/>
    <w:rsid w:val="00896E56"/>
    <w:rsid w:val="00897092"/>
    <w:rsid w:val="00897452"/>
    <w:rsid w:val="00897891"/>
    <w:rsid w:val="00897A81"/>
    <w:rsid w:val="00897BD7"/>
    <w:rsid w:val="00897CA6"/>
    <w:rsid w:val="00897CA8"/>
    <w:rsid w:val="00897D7C"/>
    <w:rsid w:val="00897DCA"/>
    <w:rsid w:val="00897DDB"/>
    <w:rsid w:val="00897DE6"/>
    <w:rsid w:val="008A0044"/>
    <w:rsid w:val="008A01FA"/>
    <w:rsid w:val="008A02C3"/>
    <w:rsid w:val="008A0324"/>
    <w:rsid w:val="008A0328"/>
    <w:rsid w:val="008A038A"/>
    <w:rsid w:val="008A040E"/>
    <w:rsid w:val="008A05C3"/>
    <w:rsid w:val="008A0845"/>
    <w:rsid w:val="008A08E8"/>
    <w:rsid w:val="008A0AAA"/>
    <w:rsid w:val="008A0ADE"/>
    <w:rsid w:val="008A0CC6"/>
    <w:rsid w:val="008A0EB0"/>
    <w:rsid w:val="008A0FE1"/>
    <w:rsid w:val="008A114F"/>
    <w:rsid w:val="008A135C"/>
    <w:rsid w:val="008A13B0"/>
    <w:rsid w:val="008A14C8"/>
    <w:rsid w:val="008A153E"/>
    <w:rsid w:val="008A1584"/>
    <w:rsid w:val="008A1640"/>
    <w:rsid w:val="008A173F"/>
    <w:rsid w:val="008A1939"/>
    <w:rsid w:val="008A1C73"/>
    <w:rsid w:val="008A220E"/>
    <w:rsid w:val="008A22C1"/>
    <w:rsid w:val="008A294B"/>
    <w:rsid w:val="008A2BC2"/>
    <w:rsid w:val="008A2BE3"/>
    <w:rsid w:val="008A2FC9"/>
    <w:rsid w:val="008A3048"/>
    <w:rsid w:val="008A32D5"/>
    <w:rsid w:val="008A33B7"/>
    <w:rsid w:val="008A3597"/>
    <w:rsid w:val="008A37ED"/>
    <w:rsid w:val="008A39C2"/>
    <w:rsid w:val="008A3A1F"/>
    <w:rsid w:val="008A3E2D"/>
    <w:rsid w:val="008A3F7E"/>
    <w:rsid w:val="008A411A"/>
    <w:rsid w:val="008A4338"/>
    <w:rsid w:val="008A4554"/>
    <w:rsid w:val="008A4712"/>
    <w:rsid w:val="008A4790"/>
    <w:rsid w:val="008A48D0"/>
    <w:rsid w:val="008A4A71"/>
    <w:rsid w:val="008A4B17"/>
    <w:rsid w:val="008A4B27"/>
    <w:rsid w:val="008A5301"/>
    <w:rsid w:val="008A54DD"/>
    <w:rsid w:val="008A55BF"/>
    <w:rsid w:val="008A55EB"/>
    <w:rsid w:val="008A5762"/>
    <w:rsid w:val="008A5A60"/>
    <w:rsid w:val="008A5BB2"/>
    <w:rsid w:val="008A5CBF"/>
    <w:rsid w:val="008A5DF3"/>
    <w:rsid w:val="008A5E20"/>
    <w:rsid w:val="008A6544"/>
    <w:rsid w:val="008A6575"/>
    <w:rsid w:val="008A65A4"/>
    <w:rsid w:val="008A67A4"/>
    <w:rsid w:val="008A69F9"/>
    <w:rsid w:val="008A6C49"/>
    <w:rsid w:val="008A6CB2"/>
    <w:rsid w:val="008A7023"/>
    <w:rsid w:val="008A704A"/>
    <w:rsid w:val="008A7110"/>
    <w:rsid w:val="008A7204"/>
    <w:rsid w:val="008A726A"/>
    <w:rsid w:val="008A7333"/>
    <w:rsid w:val="008A76FA"/>
    <w:rsid w:val="008A76FB"/>
    <w:rsid w:val="008A7ADE"/>
    <w:rsid w:val="008A7BE7"/>
    <w:rsid w:val="008A7C31"/>
    <w:rsid w:val="008A7CDF"/>
    <w:rsid w:val="008A7D36"/>
    <w:rsid w:val="008A7D9B"/>
    <w:rsid w:val="008A7DC7"/>
    <w:rsid w:val="008A7DFC"/>
    <w:rsid w:val="008A7E19"/>
    <w:rsid w:val="008A7FD6"/>
    <w:rsid w:val="008B0072"/>
    <w:rsid w:val="008B008B"/>
    <w:rsid w:val="008B013E"/>
    <w:rsid w:val="008B01D2"/>
    <w:rsid w:val="008B02C8"/>
    <w:rsid w:val="008B0306"/>
    <w:rsid w:val="008B0388"/>
    <w:rsid w:val="008B03D5"/>
    <w:rsid w:val="008B0472"/>
    <w:rsid w:val="008B0573"/>
    <w:rsid w:val="008B0662"/>
    <w:rsid w:val="008B06D5"/>
    <w:rsid w:val="008B077E"/>
    <w:rsid w:val="008B08DF"/>
    <w:rsid w:val="008B0B87"/>
    <w:rsid w:val="008B0CED"/>
    <w:rsid w:val="008B0D39"/>
    <w:rsid w:val="008B0DF0"/>
    <w:rsid w:val="008B0DFF"/>
    <w:rsid w:val="008B0E6C"/>
    <w:rsid w:val="008B0F61"/>
    <w:rsid w:val="008B1242"/>
    <w:rsid w:val="008B155E"/>
    <w:rsid w:val="008B156F"/>
    <w:rsid w:val="008B1602"/>
    <w:rsid w:val="008B1675"/>
    <w:rsid w:val="008B175E"/>
    <w:rsid w:val="008B1797"/>
    <w:rsid w:val="008B18DD"/>
    <w:rsid w:val="008B1950"/>
    <w:rsid w:val="008B196F"/>
    <w:rsid w:val="008B19DD"/>
    <w:rsid w:val="008B1A17"/>
    <w:rsid w:val="008B1A7D"/>
    <w:rsid w:val="008B1ACD"/>
    <w:rsid w:val="008B1BA9"/>
    <w:rsid w:val="008B1BFD"/>
    <w:rsid w:val="008B1CF3"/>
    <w:rsid w:val="008B1D6A"/>
    <w:rsid w:val="008B1D81"/>
    <w:rsid w:val="008B1DD0"/>
    <w:rsid w:val="008B2103"/>
    <w:rsid w:val="008B21D4"/>
    <w:rsid w:val="008B2247"/>
    <w:rsid w:val="008B23C5"/>
    <w:rsid w:val="008B24EB"/>
    <w:rsid w:val="008B255B"/>
    <w:rsid w:val="008B267E"/>
    <w:rsid w:val="008B2885"/>
    <w:rsid w:val="008B2F8F"/>
    <w:rsid w:val="008B31A6"/>
    <w:rsid w:val="008B3314"/>
    <w:rsid w:val="008B3397"/>
    <w:rsid w:val="008B33FA"/>
    <w:rsid w:val="008B3475"/>
    <w:rsid w:val="008B3732"/>
    <w:rsid w:val="008B3735"/>
    <w:rsid w:val="008B37EA"/>
    <w:rsid w:val="008B3824"/>
    <w:rsid w:val="008B3894"/>
    <w:rsid w:val="008B398B"/>
    <w:rsid w:val="008B39A6"/>
    <w:rsid w:val="008B39FB"/>
    <w:rsid w:val="008B3A7A"/>
    <w:rsid w:val="008B3E1C"/>
    <w:rsid w:val="008B402D"/>
    <w:rsid w:val="008B4351"/>
    <w:rsid w:val="008B489C"/>
    <w:rsid w:val="008B4B14"/>
    <w:rsid w:val="008B4B69"/>
    <w:rsid w:val="008B4B9C"/>
    <w:rsid w:val="008B4EEA"/>
    <w:rsid w:val="008B5061"/>
    <w:rsid w:val="008B50C4"/>
    <w:rsid w:val="008B50FF"/>
    <w:rsid w:val="008B5165"/>
    <w:rsid w:val="008B5219"/>
    <w:rsid w:val="008B52F6"/>
    <w:rsid w:val="008B54B9"/>
    <w:rsid w:val="008B54F8"/>
    <w:rsid w:val="008B5712"/>
    <w:rsid w:val="008B5874"/>
    <w:rsid w:val="008B5876"/>
    <w:rsid w:val="008B59C5"/>
    <w:rsid w:val="008B5B6B"/>
    <w:rsid w:val="008B5BFB"/>
    <w:rsid w:val="008B5C93"/>
    <w:rsid w:val="008B5D1F"/>
    <w:rsid w:val="008B5FAF"/>
    <w:rsid w:val="008B61CF"/>
    <w:rsid w:val="008B66CB"/>
    <w:rsid w:val="008B677C"/>
    <w:rsid w:val="008B67AB"/>
    <w:rsid w:val="008B680D"/>
    <w:rsid w:val="008B690B"/>
    <w:rsid w:val="008B6AB6"/>
    <w:rsid w:val="008B6C12"/>
    <w:rsid w:val="008B6C58"/>
    <w:rsid w:val="008B6C5B"/>
    <w:rsid w:val="008B6CC9"/>
    <w:rsid w:val="008B6CFA"/>
    <w:rsid w:val="008B6E09"/>
    <w:rsid w:val="008B6E8F"/>
    <w:rsid w:val="008B719B"/>
    <w:rsid w:val="008B71C8"/>
    <w:rsid w:val="008B72E3"/>
    <w:rsid w:val="008B7309"/>
    <w:rsid w:val="008B7344"/>
    <w:rsid w:val="008B7670"/>
    <w:rsid w:val="008B7686"/>
    <w:rsid w:val="008B77E4"/>
    <w:rsid w:val="008B78C1"/>
    <w:rsid w:val="008B7904"/>
    <w:rsid w:val="008B7BE6"/>
    <w:rsid w:val="008B7D36"/>
    <w:rsid w:val="008B7DAF"/>
    <w:rsid w:val="008C0046"/>
    <w:rsid w:val="008C004E"/>
    <w:rsid w:val="008C004F"/>
    <w:rsid w:val="008C0111"/>
    <w:rsid w:val="008C0258"/>
    <w:rsid w:val="008C034E"/>
    <w:rsid w:val="008C039C"/>
    <w:rsid w:val="008C043E"/>
    <w:rsid w:val="008C0443"/>
    <w:rsid w:val="008C04C3"/>
    <w:rsid w:val="008C054D"/>
    <w:rsid w:val="008C0556"/>
    <w:rsid w:val="008C07CA"/>
    <w:rsid w:val="008C0A2B"/>
    <w:rsid w:val="008C0D28"/>
    <w:rsid w:val="008C0D63"/>
    <w:rsid w:val="008C0F30"/>
    <w:rsid w:val="008C0FCB"/>
    <w:rsid w:val="008C13C5"/>
    <w:rsid w:val="008C1597"/>
    <w:rsid w:val="008C17BD"/>
    <w:rsid w:val="008C1D62"/>
    <w:rsid w:val="008C2051"/>
    <w:rsid w:val="008C21AF"/>
    <w:rsid w:val="008C2408"/>
    <w:rsid w:val="008C25C5"/>
    <w:rsid w:val="008C28F0"/>
    <w:rsid w:val="008C2AA4"/>
    <w:rsid w:val="008C2E1B"/>
    <w:rsid w:val="008C2EA5"/>
    <w:rsid w:val="008C3094"/>
    <w:rsid w:val="008C332B"/>
    <w:rsid w:val="008C3448"/>
    <w:rsid w:val="008C34C4"/>
    <w:rsid w:val="008C34F9"/>
    <w:rsid w:val="008C370B"/>
    <w:rsid w:val="008C3AC6"/>
    <w:rsid w:val="008C3CCF"/>
    <w:rsid w:val="008C3D1F"/>
    <w:rsid w:val="008C3D44"/>
    <w:rsid w:val="008C3DF5"/>
    <w:rsid w:val="008C3E2A"/>
    <w:rsid w:val="008C452A"/>
    <w:rsid w:val="008C4949"/>
    <w:rsid w:val="008C49A1"/>
    <w:rsid w:val="008C4CF6"/>
    <w:rsid w:val="008C4E41"/>
    <w:rsid w:val="008C50CC"/>
    <w:rsid w:val="008C5546"/>
    <w:rsid w:val="008C5871"/>
    <w:rsid w:val="008C5879"/>
    <w:rsid w:val="008C59BD"/>
    <w:rsid w:val="008C5B4E"/>
    <w:rsid w:val="008C5E1B"/>
    <w:rsid w:val="008C609B"/>
    <w:rsid w:val="008C60A6"/>
    <w:rsid w:val="008C6431"/>
    <w:rsid w:val="008C65CF"/>
    <w:rsid w:val="008C65F6"/>
    <w:rsid w:val="008C69D7"/>
    <w:rsid w:val="008C6BD6"/>
    <w:rsid w:val="008C6E72"/>
    <w:rsid w:val="008C703B"/>
    <w:rsid w:val="008C7424"/>
    <w:rsid w:val="008C75A2"/>
    <w:rsid w:val="008C7779"/>
    <w:rsid w:val="008C77DE"/>
    <w:rsid w:val="008C7AAB"/>
    <w:rsid w:val="008C7B06"/>
    <w:rsid w:val="008C7B19"/>
    <w:rsid w:val="008C7B96"/>
    <w:rsid w:val="008C7D13"/>
    <w:rsid w:val="008C7D6D"/>
    <w:rsid w:val="008C7D7B"/>
    <w:rsid w:val="008C7F29"/>
    <w:rsid w:val="008D003D"/>
    <w:rsid w:val="008D0096"/>
    <w:rsid w:val="008D013A"/>
    <w:rsid w:val="008D0243"/>
    <w:rsid w:val="008D0526"/>
    <w:rsid w:val="008D057B"/>
    <w:rsid w:val="008D059D"/>
    <w:rsid w:val="008D0642"/>
    <w:rsid w:val="008D087D"/>
    <w:rsid w:val="008D08DB"/>
    <w:rsid w:val="008D0B01"/>
    <w:rsid w:val="008D0BA4"/>
    <w:rsid w:val="008D0BC3"/>
    <w:rsid w:val="008D0C69"/>
    <w:rsid w:val="008D0D90"/>
    <w:rsid w:val="008D0DC5"/>
    <w:rsid w:val="008D0EA2"/>
    <w:rsid w:val="008D0FAE"/>
    <w:rsid w:val="008D0FD6"/>
    <w:rsid w:val="008D0FF1"/>
    <w:rsid w:val="008D1329"/>
    <w:rsid w:val="008D13DA"/>
    <w:rsid w:val="008D142C"/>
    <w:rsid w:val="008D1705"/>
    <w:rsid w:val="008D1B2C"/>
    <w:rsid w:val="008D1B7D"/>
    <w:rsid w:val="008D1CBF"/>
    <w:rsid w:val="008D1EB2"/>
    <w:rsid w:val="008D217F"/>
    <w:rsid w:val="008D23F5"/>
    <w:rsid w:val="008D2430"/>
    <w:rsid w:val="008D25D6"/>
    <w:rsid w:val="008D281A"/>
    <w:rsid w:val="008D289C"/>
    <w:rsid w:val="008D2A1C"/>
    <w:rsid w:val="008D2D70"/>
    <w:rsid w:val="008D2D9D"/>
    <w:rsid w:val="008D30AA"/>
    <w:rsid w:val="008D30E5"/>
    <w:rsid w:val="008D314D"/>
    <w:rsid w:val="008D34EA"/>
    <w:rsid w:val="008D3541"/>
    <w:rsid w:val="008D363E"/>
    <w:rsid w:val="008D36AB"/>
    <w:rsid w:val="008D38C9"/>
    <w:rsid w:val="008D3947"/>
    <w:rsid w:val="008D3CAE"/>
    <w:rsid w:val="008D3D9C"/>
    <w:rsid w:val="008D3DEF"/>
    <w:rsid w:val="008D3F09"/>
    <w:rsid w:val="008D4110"/>
    <w:rsid w:val="008D476E"/>
    <w:rsid w:val="008D47BF"/>
    <w:rsid w:val="008D487E"/>
    <w:rsid w:val="008D4883"/>
    <w:rsid w:val="008D48DA"/>
    <w:rsid w:val="008D494C"/>
    <w:rsid w:val="008D4A97"/>
    <w:rsid w:val="008D4B1B"/>
    <w:rsid w:val="008D4BB4"/>
    <w:rsid w:val="008D4C92"/>
    <w:rsid w:val="008D4DC3"/>
    <w:rsid w:val="008D4EF2"/>
    <w:rsid w:val="008D4F27"/>
    <w:rsid w:val="008D4FF8"/>
    <w:rsid w:val="008D5078"/>
    <w:rsid w:val="008D5083"/>
    <w:rsid w:val="008D50FE"/>
    <w:rsid w:val="008D546D"/>
    <w:rsid w:val="008D5669"/>
    <w:rsid w:val="008D591F"/>
    <w:rsid w:val="008D5C00"/>
    <w:rsid w:val="008D5D09"/>
    <w:rsid w:val="008D5E11"/>
    <w:rsid w:val="008D5EF9"/>
    <w:rsid w:val="008D5F87"/>
    <w:rsid w:val="008D6278"/>
    <w:rsid w:val="008D6489"/>
    <w:rsid w:val="008D6574"/>
    <w:rsid w:val="008D68FD"/>
    <w:rsid w:val="008D6BC1"/>
    <w:rsid w:val="008D716B"/>
    <w:rsid w:val="008D7399"/>
    <w:rsid w:val="008D75C9"/>
    <w:rsid w:val="008D75F2"/>
    <w:rsid w:val="008D782C"/>
    <w:rsid w:val="008D78FC"/>
    <w:rsid w:val="008D7B81"/>
    <w:rsid w:val="008D7B96"/>
    <w:rsid w:val="008D7BEA"/>
    <w:rsid w:val="008D7EC6"/>
    <w:rsid w:val="008D7F6A"/>
    <w:rsid w:val="008E01DA"/>
    <w:rsid w:val="008E0371"/>
    <w:rsid w:val="008E089A"/>
    <w:rsid w:val="008E0CA7"/>
    <w:rsid w:val="008E0DBA"/>
    <w:rsid w:val="008E0ED2"/>
    <w:rsid w:val="008E0F94"/>
    <w:rsid w:val="008E1101"/>
    <w:rsid w:val="008E113E"/>
    <w:rsid w:val="008E1284"/>
    <w:rsid w:val="008E13DD"/>
    <w:rsid w:val="008E1402"/>
    <w:rsid w:val="008E1501"/>
    <w:rsid w:val="008E16EA"/>
    <w:rsid w:val="008E1746"/>
    <w:rsid w:val="008E177D"/>
    <w:rsid w:val="008E19AD"/>
    <w:rsid w:val="008E1CC1"/>
    <w:rsid w:val="008E1D9A"/>
    <w:rsid w:val="008E1E0B"/>
    <w:rsid w:val="008E1EE2"/>
    <w:rsid w:val="008E2115"/>
    <w:rsid w:val="008E2335"/>
    <w:rsid w:val="008E2964"/>
    <w:rsid w:val="008E2A48"/>
    <w:rsid w:val="008E2AD6"/>
    <w:rsid w:val="008E2CB8"/>
    <w:rsid w:val="008E2D5A"/>
    <w:rsid w:val="008E3702"/>
    <w:rsid w:val="008E375A"/>
    <w:rsid w:val="008E38D3"/>
    <w:rsid w:val="008E38DF"/>
    <w:rsid w:val="008E3C6C"/>
    <w:rsid w:val="008E3CB2"/>
    <w:rsid w:val="008E3CC7"/>
    <w:rsid w:val="008E3CCB"/>
    <w:rsid w:val="008E3D10"/>
    <w:rsid w:val="008E3D1F"/>
    <w:rsid w:val="008E3DD6"/>
    <w:rsid w:val="008E3E99"/>
    <w:rsid w:val="008E3F6F"/>
    <w:rsid w:val="008E3F76"/>
    <w:rsid w:val="008E40F9"/>
    <w:rsid w:val="008E4427"/>
    <w:rsid w:val="008E44AE"/>
    <w:rsid w:val="008E450C"/>
    <w:rsid w:val="008E4798"/>
    <w:rsid w:val="008E4C9F"/>
    <w:rsid w:val="008E4DC8"/>
    <w:rsid w:val="008E4F22"/>
    <w:rsid w:val="008E5057"/>
    <w:rsid w:val="008E50F0"/>
    <w:rsid w:val="008E517A"/>
    <w:rsid w:val="008E538D"/>
    <w:rsid w:val="008E53E7"/>
    <w:rsid w:val="008E5616"/>
    <w:rsid w:val="008E5AF7"/>
    <w:rsid w:val="008E5B66"/>
    <w:rsid w:val="008E5C56"/>
    <w:rsid w:val="008E5D40"/>
    <w:rsid w:val="008E5DC8"/>
    <w:rsid w:val="008E5FCD"/>
    <w:rsid w:val="008E6097"/>
    <w:rsid w:val="008E6217"/>
    <w:rsid w:val="008E62BC"/>
    <w:rsid w:val="008E64B3"/>
    <w:rsid w:val="008E655D"/>
    <w:rsid w:val="008E662B"/>
    <w:rsid w:val="008E6768"/>
    <w:rsid w:val="008E67A5"/>
    <w:rsid w:val="008E6A5B"/>
    <w:rsid w:val="008E6A8B"/>
    <w:rsid w:val="008E6B05"/>
    <w:rsid w:val="008E6DEB"/>
    <w:rsid w:val="008E6EBF"/>
    <w:rsid w:val="008E6EDE"/>
    <w:rsid w:val="008E6F3D"/>
    <w:rsid w:val="008E6FF7"/>
    <w:rsid w:val="008E70B1"/>
    <w:rsid w:val="008E715F"/>
    <w:rsid w:val="008E7256"/>
    <w:rsid w:val="008E73B3"/>
    <w:rsid w:val="008E75AA"/>
    <w:rsid w:val="008E7706"/>
    <w:rsid w:val="008E774D"/>
    <w:rsid w:val="008E77F2"/>
    <w:rsid w:val="008E7AA6"/>
    <w:rsid w:val="008E7AC9"/>
    <w:rsid w:val="008E7DF4"/>
    <w:rsid w:val="008F00A8"/>
    <w:rsid w:val="008F010E"/>
    <w:rsid w:val="008F0488"/>
    <w:rsid w:val="008F05A6"/>
    <w:rsid w:val="008F076B"/>
    <w:rsid w:val="008F0A70"/>
    <w:rsid w:val="008F0A98"/>
    <w:rsid w:val="008F0B95"/>
    <w:rsid w:val="008F0FD3"/>
    <w:rsid w:val="008F1096"/>
    <w:rsid w:val="008F11E2"/>
    <w:rsid w:val="008F1306"/>
    <w:rsid w:val="008F152B"/>
    <w:rsid w:val="008F17CB"/>
    <w:rsid w:val="008F17EE"/>
    <w:rsid w:val="008F1834"/>
    <w:rsid w:val="008F18A2"/>
    <w:rsid w:val="008F18AE"/>
    <w:rsid w:val="008F1DE5"/>
    <w:rsid w:val="008F2108"/>
    <w:rsid w:val="008F21E4"/>
    <w:rsid w:val="008F22F7"/>
    <w:rsid w:val="008F26AB"/>
    <w:rsid w:val="008F26F8"/>
    <w:rsid w:val="008F2FEE"/>
    <w:rsid w:val="008F31B3"/>
    <w:rsid w:val="008F32E1"/>
    <w:rsid w:val="008F3775"/>
    <w:rsid w:val="008F3976"/>
    <w:rsid w:val="008F3AEC"/>
    <w:rsid w:val="008F3EAA"/>
    <w:rsid w:val="008F3F09"/>
    <w:rsid w:val="008F4076"/>
    <w:rsid w:val="008F42C9"/>
    <w:rsid w:val="008F43E8"/>
    <w:rsid w:val="008F4439"/>
    <w:rsid w:val="008F445C"/>
    <w:rsid w:val="008F4850"/>
    <w:rsid w:val="008F495A"/>
    <w:rsid w:val="008F5152"/>
    <w:rsid w:val="008F53DE"/>
    <w:rsid w:val="008F588F"/>
    <w:rsid w:val="008F5AA9"/>
    <w:rsid w:val="008F5C69"/>
    <w:rsid w:val="008F5F77"/>
    <w:rsid w:val="008F610F"/>
    <w:rsid w:val="008F6304"/>
    <w:rsid w:val="008F65E0"/>
    <w:rsid w:val="008F65E7"/>
    <w:rsid w:val="008F6621"/>
    <w:rsid w:val="008F68DA"/>
    <w:rsid w:val="008F68EC"/>
    <w:rsid w:val="008F6B78"/>
    <w:rsid w:val="008F6C34"/>
    <w:rsid w:val="008F6CB5"/>
    <w:rsid w:val="008F6FCF"/>
    <w:rsid w:val="008F70E9"/>
    <w:rsid w:val="008F751A"/>
    <w:rsid w:val="008F75B4"/>
    <w:rsid w:val="008F7696"/>
    <w:rsid w:val="008F7779"/>
    <w:rsid w:val="008F7834"/>
    <w:rsid w:val="008F7938"/>
    <w:rsid w:val="008F7A5A"/>
    <w:rsid w:val="008F7AB5"/>
    <w:rsid w:val="008F7C7C"/>
    <w:rsid w:val="008F7D29"/>
    <w:rsid w:val="008F7E49"/>
    <w:rsid w:val="008F7EE2"/>
    <w:rsid w:val="00900054"/>
    <w:rsid w:val="00900191"/>
    <w:rsid w:val="0090033A"/>
    <w:rsid w:val="0090045C"/>
    <w:rsid w:val="009004AC"/>
    <w:rsid w:val="009004BD"/>
    <w:rsid w:val="009004F8"/>
    <w:rsid w:val="0090061C"/>
    <w:rsid w:val="0090074F"/>
    <w:rsid w:val="00900AB9"/>
    <w:rsid w:val="00900BB3"/>
    <w:rsid w:val="00900BCC"/>
    <w:rsid w:val="0090106B"/>
    <w:rsid w:val="00901070"/>
    <w:rsid w:val="009012DE"/>
    <w:rsid w:val="009015E1"/>
    <w:rsid w:val="009017C6"/>
    <w:rsid w:val="00901817"/>
    <w:rsid w:val="0090183C"/>
    <w:rsid w:val="00901969"/>
    <w:rsid w:val="00901A66"/>
    <w:rsid w:val="00901AE8"/>
    <w:rsid w:val="00901B4B"/>
    <w:rsid w:val="00901B79"/>
    <w:rsid w:val="00901CCF"/>
    <w:rsid w:val="00901F6E"/>
    <w:rsid w:val="009023C2"/>
    <w:rsid w:val="0090256C"/>
    <w:rsid w:val="009025CD"/>
    <w:rsid w:val="0090289D"/>
    <w:rsid w:val="00902A8F"/>
    <w:rsid w:val="00902B15"/>
    <w:rsid w:val="00902E74"/>
    <w:rsid w:val="00903170"/>
    <w:rsid w:val="009031BF"/>
    <w:rsid w:val="009032DD"/>
    <w:rsid w:val="009034EB"/>
    <w:rsid w:val="0090359A"/>
    <w:rsid w:val="00903648"/>
    <w:rsid w:val="0090367B"/>
    <w:rsid w:val="0090396A"/>
    <w:rsid w:val="00903D43"/>
    <w:rsid w:val="00903D9E"/>
    <w:rsid w:val="00903DA8"/>
    <w:rsid w:val="00904393"/>
    <w:rsid w:val="00904563"/>
    <w:rsid w:val="0090461B"/>
    <w:rsid w:val="009046C9"/>
    <w:rsid w:val="009048AF"/>
    <w:rsid w:val="009049C7"/>
    <w:rsid w:val="00904B60"/>
    <w:rsid w:val="00904C39"/>
    <w:rsid w:val="00904D4B"/>
    <w:rsid w:val="00904E79"/>
    <w:rsid w:val="00904EB1"/>
    <w:rsid w:val="0090517A"/>
    <w:rsid w:val="009053B7"/>
    <w:rsid w:val="0090540A"/>
    <w:rsid w:val="009054EC"/>
    <w:rsid w:val="00905A5A"/>
    <w:rsid w:val="00905CB3"/>
    <w:rsid w:val="00905D59"/>
    <w:rsid w:val="00905FA5"/>
    <w:rsid w:val="00905FF5"/>
    <w:rsid w:val="009060D2"/>
    <w:rsid w:val="009062C4"/>
    <w:rsid w:val="00906320"/>
    <w:rsid w:val="009063DD"/>
    <w:rsid w:val="00906497"/>
    <w:rsid w:val="009064F0"/>
    <w:rsid w:val="00906512"/>
    <w:rsid w:val="009067C7"/>
    <w:rsid w:val="00906967"/>
    <w:rsid w:val="00906F41"/>
    <w:rsid w:val="00907108"/>
    <w:rsid w:val="00907174"/>
    <w:rsid w:val="009071B0"/>
    <w:rsid w:val="0090732D"/>
    <w:rsid w:val="0090742D"/>
    <w:rsid w:val="0090743D"/>
    <w:rsid w:val="00907520"/>
    <w:rsid w:val="0090762B"/>
    <w:rsid w:val="00907666"/>
    <w:rsid w:val="009076A8"/>
    <w:rsid w:val="009076B6"/>
    <w:rsid w:val="00907775"/>
    <w:rsid w:val="009079EF"/>
    <w:rsid w:val="00907C2C"/>
    <w:rsid w:val="00907C38"/>
    <w:rsid w:val="00907CD9"/>
    <w:rsid w:val="00907EB3"/>
    <w:rsid w:val="009100D6"/>
    <w:rsid w:val="00910212"/>
    <w:rsid w:val="00910261"/>
    <w:rsid w:val="00910456"/>
    <w:rsid w:val="00910471"/>
    <w:rsid w:val="0091051B"/>
    <w:rsid w:val="00910558"/>
    <w:rsid w:val="00910938"/>
    <w:rsid w:val="00910D32"/>
    <w:rsid w:val="00910D6A"/>
    <w:rsid w:val="009111ED"/>
    <w:rsid w:val="0091124A"/>
    <w:rsid w:val="009116FA"/>
    <w:rsid w:val="009118C6"/>
    <w:rsid w:val="00911979"/>
    <w:rsid w:val="00911B0E"/>
    <w:rsid w:val="00911C93"/>
    <w:rsid w:val="00911CE0"/>
    <w:rsid w:val="00911F5C"/>
    <w:rsid w:val="00911FBA"/>
    <w:rsid w:val="00911FC1"/>
    <w:rsid w:val="00912078"/>
    <w:rsid w:val="009121D0"/>
    <w:rsid w:val="00912327"/>
    <w:rsid w:val="009123D1"/>
    <w:rsid w:val="009124EF"/>
    <w:rsid w:val="00912546"/>
    <w:rsid w:val="00912708"/>
    <w:rsid w:val="00912A5A"/>
    <w:rsid w:val="00912D0D"/>
    <w:rsid w:val="00912E64"/>
    <w:rsid w:val="00912FDD"/>
    <w:rsid w:val="00913139"/>
    <w:rsid w:val="0091318B"/>
    <w:rsid w:val="009131CD"/>
    <w:rsid w:val="009132F0"/>
    <w:rsid w:val="0091339A"/>
    <w:rsid w:val="00913714"/>
    <w:rsid w:val="0091389F"/>
    <w:rsid w:val="00913A74"/>
    <w:rsid w:val="00913AEC"/>
    <w:rsid w:val="00913B0E"/>
    <w:rsid w:val="00913BCC"/>
    <w:rsid w:val="00913D28"/>
    <w:rsid w:val="00913D3B"/>
    <w:rsid w:val="00913E13"/>
    <w:rsid w:val="00913F31"/>
    <w:rsid w:val="00914341"/>
    <w:rsid w:val="009145E4"/>
    <w:rsid w:val="0091472D"/>
    <w:rsid w:val="00914756"/>
    <w:rsid w:val="00914870"/>
    <w:rsid w:val="009149FA"/>
    <w:rsid w:val="0091501A"/>
    <w:rsid w:val="009152A8"/>
    <w:rsid w:val="00915352"/>
    <w:rsid w:val="00915511"/>
    <w:rsid w:val="0091578F"/>
    <w:rsid w:val="00915815"/>
    <w:rsid w:val="009158BE"/>
    <w:rsid w:val="00915994"/>
    <w:rsid w:val="00915A92"/>
    <w:rsid w:val="00915AB4"/>
    <w:rsid w:val="0091609A"/>
    <w:rsid w:val="009160B1"/>
    <w:rsid w:val="00916133"/>
    <w:rsid w:val="00916190"/>
    <w:rsid w:val="00916461"/>
    <w:rsid w:val="00916613"/>
    <w:rsid w:val="00916B74"/>
    <w:rsid w:val="00916E70"/>
    <w:rsid w:val="00917074"/>
    <w:rsid w:val="00917233"/>
    <w:rsid w:val="009174E2"/>
    <w:rsid w:val="0091765F"/>
    <w:rsid w:val="009177B8"/>
    <w:rsid w:val="009177D6"/>
    <w:rsid w:val="009177F1"/>
    <w:rsid w:val="00917AC4"/>
    <w:rsid w:val="00917CBB"/>
    <w:rsid w:val="00917CBE"/>
    <w:rsid w:val="00917D0F"/>
    <w:rsid w:val="00917D18"/>
    <w:rsid w:val="00917DC1"/>
    <w:rsid w:val="00917F8F"/>
    <w:rsid w:val="009201BC"/>
    <w:rsid w:val="00920542"/>
    <w:rsid w:val="009207DA"/>
    <w:rsid w:val="00920933"/>
    <w:rsid w:val="00920C29"/>
    <w:rsid w:val="00920C43"/>
    <w:rsid w:val="00920ED7"/>
    <w:rsid w:val="00920EF0"/>
    <w:rsid w:val="00920F44"/>
    <w:rsid w:val="009210E1"/>
    <w:rsid w:val="009211BE"/>
    <w:rsid w:val="009212B3"/>
    <w:rsid w:val="0092159C"/>
    <w:rsid w:val="00921C1E"/>
    <w:rsid w:val="00921E02"/>
    <w:rsid w:val="00921FB1"/>
    <w:rsid w:val="00921FFE"/>
    <w:rsid w:val="00922041"/>
    <w:rsid w:val="00922410"/>
    <w:rsid w:val="00922466"/>
    <w:rsid w:val="0092269C"/>
    <w:rsid w:val="009226FA"/>
    <w:rsid w:val="00922BE6"/>
    <w:rsid w:val="00922CE0"/>
    <w:rsid w:val="00922D83"/>
    <w:rsid w:val="00922FBA"/>
    <w:rsid w:val="009230ED"/>
    <w:rsid w:val="00923314"/>
    <w:rsid w:val="00923362"/>
    <w:rsid w:val="0092348E"/>
    <w:rsid w:val="0092366B"/>
    <w:rsid w:val="00923702"/>
    <w:rsid w:val="00923C4F"/>
    <w:rsid w:val="00923FB5"/>
    <w:rsid w:val="009240AB"/>
    <w:rsid w:val="0092444D"/>
    <w:rsid w:val="009245E6"/>
    <w:rsid w:val="00924845"/>
    <w:rsid w:val="00924A8E"/>
    <w:rsid w:val="00924D0A"/>
    <w:rsid w:val="00924DBE"/>
    <w:rsid w:val="00924EBE"/>
    <w:rsid w:val="00924F06"/>
    <w:rsid w:val="009253E7"/>
    <w:rsid w:val="00925428"/>
    <w:rsid w:val="00925461"/>
    <w:rsid w:val="009254BA"/>
    <w:rsid w:val="00925658"/>
    <w:rsid w:val="00925819"/>
    <w:rsid w:val="00925917"/>
    <w:rsid w:val="009259D7"/>
    <w:rsid w:val="009259F2"/>
    <w:rsid w:val="00925A9A"/>
    <w:rsid w:val="00925C31"/>
    <w:rsid w:val="00925FFD"/>
    <w:rsid w:val="00926078"/>
    <w:rsid w:val="009264BC"/>
    <w:rsid w:val="009267FB"/>
    <w:rsid w:val="00926A04"/>
    <w:rsid w:val="00926ADA"/>
    <w:rsid w:val="00926BB3"/>
    <w:rsid w:val="00926C84"/>
    <w:rsid w:val="00926D28"/>
    <w:rsid w:val="00926E9B"/>
    <w:rsid w:val="00927008"/>
    <w:rsid w:val="009272F6"/>
    <w:rsid w:val="009274D4"/>
    <w:rsid w:val="0092759F"/>
    <w:rsid w:val="00927624"/>
    <w:rsid w:val="009276DA"/>
    <w:rsid w:val="00927B07"/>
    <w:rsid w:val="00927CCB"/>
    <w:rsid w:val="00927DFB"/>
    <w:rsid w:val="00927E37"/>
    <w:rsid w:val="00927EF2"/>
    <w:rsid w:val="00927FCB"/>
    <w:rsid w:val="00930072"/>
    <w:rsid w:val="00930485"/>
    <w:rsid w:val="009304F0"/>
    <w:rsid w:val="00930CDD"/>
    <w:rsid w:val="00930ECF"/>
    <w:rsid w:val="00930F1B"/>
    <w:rsid w:val="0093103D"/>
    <w:rsid w:val="00931096"/>
    <w:rsid w:val="009311C6"/>
    <w:rsid w:val="00931340"/>
    <w:rsid w:val="0093139C"/>
    <w:rsid w:val="00931496"/>
    <w:rsid w:val="00931529"/>
    <w:rsid w:val="00931549"/>
    <w:rsid w:val="009315DB"/>
    <w:rsid w:val="00931679"/>
    <w:rsid w:val="00931934"/>
    <w:rsid w:val="00931B11"/>
    <w:rsid w:val="00931E4D"/>
    <w:rsid w:val="00931EDA"/>
    <w:rsid w:val="00931EDE"/>
    <w:rsid w:val="0093215D"/>
    <w:rsid w:val="009321B1"/>
    <w:rsid w:val="00932368"/>
    <w:rsid w:val="00932491"/>
    <w:rsid w:val="00932534"/>
    <w:rsid w:val="00932613"/>
    <w:rsid w:val="0093279E"/>
    <w:rsid w:val="009328E0"/>
    <w:rsid w:val="0093296D"/>
    <w:rsid w:val="0093298B"/>
    <w:rsid w:val="00932A7D"/>
    <w:rsid w:val="00932B4A"/>
    <w:rsid w:val="00932BA8"/>
    <w:rsid w:val="00932CCC"/>
    <w:rsid w:val="00933158"/>
    <w:rsid w:val="0093315F"/>
    <w:rsid w:val="00933198"/>
    <w:rsid w:val="00933217"/>
    <w:rsid w:val="00933281"/>
    <w:rsid w:val="009332B1"/>
    <w:rsid w:val="0093333F"/>
    <w:rsid w:val="0093340E"/>
    <w:rsid w:val="00933422"/>
    <w:rsid w:val="009337CF"/>
    <w:rsid w:val="009339EB"/>
    <w:rsid w:val="00933B51"/>
    <w:rsid w:val="00933C8B"/>
    <w:rsid w:val="00933E4C"/>
    <w:rsid w:val="00933F54"/>
    <w:rsid w:val="00934097"/>
    <w:rsid w:val="009344DD"/>
    <w:rsid w:val="0093466B"/>
    <w:rsid w:val="009347C6"/>
    <w:rsid w:val="009348B9"/>
    <w:rsid w:val="00934BC6"/>
    <w:rsid w:val="00934E03"/>
    <w:rsid w:val="00935146"/>
    <w:rsid w:val="00935184"/>
    <w:rsid w:val="00935280"/>
    <w:rsid w:val="009354AD"/>
    <w:rsid w:val="00935521"/>
    <w:rsid w:val="009355CD"/>
    <w:rsid w:val="00935836"/>
    <w:rsid w:val="009358A1"/>
    <w:rsid w:val="0093590A"/>
    <w:rsid w:val="0093592B"/>
    <w:rsid w:val="00935A9C"/>
    <w:rsid w:val="00935AE7"/>
    <w:rsid w:val="00935B62"/>
    <w:rsid w:val="00935D32"/>
    <w:rsid w:val="00935DA2"/>
    <w:rsid w:val="00935EFC"/>
    <w:rsid w:val="00936119"/>
    <w:rsid w:val="00936774"/>
    <w:rsid w:val="009367AC"/>
    <w:rsid w:val="0093683C"/>
    <w:rsid w:val="00936908"/>
    <w:rsid w:val="00936BC6"/>
    <w:rsid w:val="00936D02"/>
    <w:rsid w:val="00936F6A"/>
    <w:rsid w:val="00937264"/>
    <w:rsid w:val="00937303"/>
    <w:rsid w:val="00937386"/>
    <w:rsid w:val="009374AC"/>
    <w:rsid w:val="00937635"/>
    <w:rsid w:val="009376E5"/>
    <w:rsid w:val="00937728"/>
    <w:rsid w:val="00937B6C"/>
    <w:rsid w:val="00937D53"/>
    <w:rsid w:val="00937DEF"/>
    <w:rsid w:val="009401C3"/>
    <w:rsid w:val="009402C9"/>
    <w:rsid w:val="009405B8"/>
    <w:rsid w:val="009407BE"/>
    <w:rsid w:val="00940EFC"/>
    <w:rsid w:val="00940F18"/>
    <w:rsid w:val="00940FA6"/>
    <w:rsid w:val="00941021"/>
    <w:rsid w:val="0094115F"/>
    <w:rsid w:val="00941453"/>
    <w:rsid w:val="0094151C"/>
    <w:rsid w:val="009416FA"/>
    <w:rsid w:val="0094189A"/>
    <w:rsid w:val="0094189D"/>
    <w:rsid w:val="009419B2"/>
    <w:rsid w:val="009419D7"/>
    <w:rsid w:val="00941B3A"/>
    <w:rsid w:val="00941ED9"/>
    <w:rsid w:val="00942005"/>
    <w:rsid w:val="0094203D"/>
    <w:rsid w:val="00942322"/>
    <w:rsid w:val="009423A0"/>
    <w:rsid w:val="00942472"/>
    <w:rsid w:val="00942498"/>
    <w:rsid w:val="00942582"/>
    <w:rsid w:val="00942D51"/>
    <w:rsid w:val="00942D57"/>
    <w:rsid w:val="00942DE2"/>
    <w:rsid w:val="00943086"/>
    <w:rsid w:val="0094314E"/>
    <w:rsid w:val="009433EA"/>
    <w:rsid w:val="00943405"/>
    <w:rsid w:val="00943463"/>
    <w:rsid w:val="009434E4"/>
    <w:rsid w:val="0094353D"/>
    <w:rsid w:val="009435B5"/>
    <w:rsid w:val="00943614"/>
    <w:rsid w:val="0094387E"/>
    <w:rsid w:val="00943AC6"/>
    <w:rsid w:val="00943ACE"/>
    <w:rsid w:val="00943D76"/>
    <w:rsid w:val="00944018"/>
    <w:rsid w:val="009442A9"/>
    <w:rsid w:val="00944442"/>
    <w:rsid w:val="00944549"/>
    <w:rsid w:val="00944860"/>
    <w:rsid w:val="009448AF"/>
    <w:rsid w:val="00944A58"/>
    <w:rsid w:val="00944A80"/>
    <w:rsid w:val="00944AFE"/>
    <w:rsid w:val="00944BDD"/>
    <w:rsid w:val="0094522F"/>
    <w:rsid w:val="00945293"/>
    <w:rsid w:val="00945682"/>
    <w:rsid w:val="00945695"/>
    <w:rsid w:val="00945D62"/>
    <w:rsid w:val="00945EF9"/>
    <w:rsid w:val="00946024"/>
    <w:rsid w:val="0094625C"/>
    <w:rsid w:val="009462AD"/>
    <w:rsid w:val="009462BF"/>
    <w:rsid w:val="0094630B"/>
    <w:rsid w:val="009465B2"/>
    <w:rsid w:val="009469B8"/>
    <w:rsid w:val="009469D4"/>
    <w:rsid w:val="00946DF4"/>
    <w:rsid w:val="00946F1F"/>
    <w:rsid w:val="009473C9"/>
    <w:rsid w:val="00947428"/>
    <w:rsid w:val="00947539"/>
    <w:rsid w:val="009476AA"/>
    <w:rsid w:val="009476B8"/>
    <w:rsid w:val="00947728"/>
    <w:rsid w:val="009477A7"/>
    <w:rsid w:val="00947B4C"/>
    <w:rsid w:val="00947B78"/>
    <w:rsid w:val="00947BCB"/>
    <w:rsid w:val="00947BE1"/>
    <w:rsid w:val="00947D97"/>
    <w:rsid w:val="00947FAC"/>
    <w:rsid w:val="0095020C"/>
    <w:rsid w:val="0095032E"/>
    <w:rsid w:val="0095033D"/>
    <w:rsid w:val="0095033E"/>
    <w:rsid w:val="00950663"/>
    <w:rsid w:val="00950870"/>
    <w:rsid w:val="00950B5F"/>
    <w:rsid w:val="00950BE9"/>
    <w:rsid w:val="00950F42"/>
    <w:rsid w:val="009512B5"/>
    <w:rsid w:val="00951310"/>
    <w:rsid w:val="009517B4"/>
    <w:rsid w:val="00951CD0"/>
    <w:rsid w:val="00951ED2"/>
    <w:rsid w:val="00951F6A"/>
    <w:rsid w:val="00952096"/>
    <w:rsid w:val="009524CD"/>
    <w:rsid w:val="009525B7"/>
    <w:rsid w:val="009529FF"/>
    <w:rsid w:val="00952B9B"/>
    <w:rsid w:val="00952E80"/>
    <w:rsid w:val="00953087"/>
    <w:rsid w:val="00953138"/>
    <w:rsid w:val="00953299"/>
    <w:rsid w:val="00953373"/>
    <w:rsid w:val="009533F2"/>
    <w:rsid w:val="009534BF"/>
    <w:rsid w:val="009534F4"/>
    <w:rsid w:val="00953820"/>
    <w:rsid w:val="0095389C"/>
    <w:rsid w:val="009538D7"/>
    <w:rsid w:val="00953961"/>
    <w:rsid w:val="00953A72"/>
    <w:rsid w:val="00953A85"/>
    <w:rsid w:val="00953C7C"/>
    <w:rsid w:val="00953DE0"/>
    <w:rsid w:val="00953FB8"/>
    <w:rsid w:val="00954336"/>
    <w:rsid w:val="00954627"/>
    <w:rsid w:val="0095479D"/>
    <w:rsid w:val="009549FF"/>
    <w:rsid w:val="00954B29"/>
    <w:rsid w:val="00954CA9"/>
    <w:rsid w:val="00954D0A"/>
    <w:rsid w:val="00954D54"/>
    <w:rsid w:val="00955061"/>
    <w:rsid w:val="009552FB"/>
    <w:rsid w:val="009553F6"/>
    <w:rsid w:val="009555FA"/>
    <w:rsid w:val="00955727"/>
    <w:rsid w:val="009557D2"/>
    <w:rsid w:val="00955878"/>
    <w:rsid w:val="00955BC9"/>
    <w:rsid w:val="00955BDA"/>
    <w:rsid w:val="00955C5E"/>
    <w:rsid w:val="00955D86"/>
    <w:rsid w:val="00955F4F"/>
    <w:rsid w:val="00955FC6"/>
    <w:rsid w:val="00955FCD"/>
    <w:rsid w:val="00956013"/>
    <w:rsid w:val="0095605F"/>
    <w:rsid w:val="00956083"/>
    <w:rsid w:val="009562F9"/>
    <w:rsid w:val="009566E4"/>
    <w:rsid w:val="00956761"/>
    <w:rsid w:val="00956A1D"/>
    <w:rsid w:val="00956A29"/>
    <w:rsid w:val="00956AEE"/>
    <w:rsid w:val="00956FC6"/>
    <w:rsid w:val="0095718E"/>
    <w:rsid w:val="0095730C"/>
    <w:rsid w:val="00957456"/>
    <w:rsid w:val="00960110"/>
    <w:rsid w:val="009601BE"/>
    <w:rsid w:val="009601DD"/>
    <w:rsid w:val="009601F6"/>
    <w:rsid w:val="00960250"/>
    <w:rsid w:val="0096030E"/>
    <w:rsid w:val="00960410"/>
    <w:rsid w:val="009604E4"/>
    <w:rsid w:val="00960526"/>
    <w:rsid w:val="00960677"/>
    <w:rsid w:val="009607BB"/>
    <w:rsid w:val="009608C9"/>
    <w:rsid w:val="00960AD6"/>
    <w:rsid w:val="00960B49"/>
    <w:rsid w:val="00960BE5"/>
    <w:rsid w:val="00960DFB"/>
    <w:rsid w:val="00960E01"/>
    <w:rsid w:val="009610F2"/>
    <w:rsid w:val="00961262"/>
    <w:rsid w:val="00961385"/>
    <w:rsid w:val="00961393"/>
    <w:rsid w:val="009613E7"/>
    <w:rsid w:val="009616E5"/>
    <w:rsid w:val="00961716"/>
    <w:rsid w:val="00961877"/>
    <w:rsid w:val="009618A0"/>
    <w:rsid w:val="00961C17"/>
    <w:rsid w:val="00961DAF"/>
    <w:rsid w:val="00961DBB"/>
    <w:rsid w:val="00961F17"/>
    <w:rsid w:val="0096202E"/>
    <w:rsid w:val="00962120"/>
    <w:rsid w:val="00962298"/>
    <w:rsid w:val="009622A7"/>
    <w:rsid w:val="009623B5"/>
    <w:rsid w:val="00962460"/>
    <w:rsid w:val="00962519"/>
    <w:rsid w:val="00962741"/>
    <w:rsid w:val="00962821"/>
    <w:rsid w:val="00962C0A"/>
    <w:rsid w:val="00962C4E"/>
    <w:rsid w:val="00962DA4"/>
    <w:rsid w:val="00962EBE"/>
    <w:rsid w:val="00963104"/>
    <w:rsid w:val="00963148"/>
    <w:rsid w:val="0096326C"/>
    <w:rsid w:val="0096328D"/>
    <w:rsid w:val="00963347"/>
    <w:rsid w:val="00963487"/>
    <w:rsid w:val="00963BED"/>
    <w:rsid w:val="00963C9B"/>
    <w:rsid w:val="00963F3D"/>
    <w:rsid w:val="00963F46"/>
    <w:rsid w:val="0096412F"/>
    <w:rsid w:val="009642FC"/>
    <w:rsid w:val="00964719"/>
    <w:rsid w:val="00964DF6"/>
    <w:rsid w:val="00964EB3"/>
    <w:rsid w:val="00964EF7"/>
    <w:rsid w:val="009652D4"/>
    <w:rsid w:val="0096563B"/>
    <w:rsid w:val="00965745"/>
    <w:rsid w:val="00965899"/>
    <w:rsid w:val="009658C1"/>
    <w:rsid w:val="00965916"/>
    <w:rsid w:val="00965A42"/>
    <w:rsid w:val="00965AD8"/>
    <w:rsid w:val="00965C01"/>
    <w:rsid w:val="00965F0D"/>
    <w:rsid w:val="0096635E"/>
    <w:rsid w:val="00966993"/>
    <w:rsid w:val="00966ADC"/>
    <w:rsid w:val="00966D29"/>
    <w:rsid w:val="009670FC"/>
    <w:rsid w:val="009670FE"/>
    <w:rsid w:val="009671AE"/>
    <w:rsid w:val="009672B8"/>
    <w:rsid w:val="009673EE"/>
    <w:rsid w:val="009674E7"/>
    <w:rsid w:val="00967816"/>
    <w:rsid w:val="00967981"/>
    <w:rsid w:val="00967B3F"/>
    <w:rsid w:val="00967D4F"/>
    <w:rsid w:val="00967D6F"/>
    <w:rsid w:val="00967EB6"/>
    <w:rsid w:val="00967EC6"/>
    <w:rsid w:val="00967F78"/>
    <w:rsid w:val="009702D2"/>
    <w:rsid w:val="0097087E"/>
    <w:rsid w:val="009708F3"/>
    <w:rsid w:val="00970A5D"/>
    <w:rsid w:val="00970A95"/>
    <w:rsid w:val="00970F6B"/>
    <w:rsid w:val="00970F74"/>
    <w:rsid w:val="009713D8"/>
    <w:rsid w:val="009714A5"/>
    <w:rsid w:val="009715C3"/>
    <w:rsid w:val="0097191B"/>
    <w:rsid w:val="00971926"/>
    <w:rsid w:val="00971A26"/>
    <w:rsid w:val="00971B23"/>
    <w:rsid w:val="00971B48"/>
    <w:rsid w:val="00971CF9"/>
    <w:rsid w:val="00971EFB"/>
    <w:rsid w:val="00971F45"/>
    <w:rsid w:val="00972000"/>
    <w:rsid w:val="00972067"/>
    <w:rsid w:val="00972120"/>
    <w:rsid w:val="00972338"/>
    <w:rsid w:val="009724DE"/>
    <w:rsid w:val="009726BF"/>
    <w:rsid w:val="00972781"/>
    <w:rsid w:val="00972903"/>
    <w:rsid w:val="00972A64"/>
    <w:rsid w:val="00972A8F"/>
    <w:rsid w:val="00972B20"/>
    <w:rsid w:val="00972BF1"/>
    <w:rsid w:val="00972D14"/>
    <w:rsid w:val="00972F87"/>
    <w:rsid w:val="0097306B"/>
    <w:rsid w:val="0097306C"/>
    <w:rsid w:val="00973545"/>
    <w:rsid w:val="0097379B"/>
    <w:rsid w:val="009739AD"/>
    <w:rsid w:val="00973A2F"/>
    <w:rsid w:val="00973B93"/>
    <w:rsid w:val="00973FED"/>
    <w:rsid w:val="009740E0"/>
    <w:rsid w:val="009740ED"/>
    <w:rsid w:val="00974215"/>
    <w:rsid w:val="0097423D"/>
    <w:rsid w:val="009742B0"/>
    <w:rsid w:val="009744B4"/>
    <w:rsid w:val="00974575"/>
    <w:rsid w:val="009745F3"/>
    <w:rsid w:val="00974645"/>
    <w:rsid w:val="0097477B"/>
    <w:rsid w:val="00974870"/>
    <w:rsid w:val="0097489E"/>
    <w:rsid w:val="009749D6"/>
    <w:rsid w:val="00974ACE"/>
    <w:rsid w:val="00974C22"/>
    <w:rsid w:val="00974D86"/>
    <w:rsid w:val="00974EC9"/>
    <w:rsid w:val="00974F71"/>
    <w:rsid w:val="00974F92"/>
    <w:rsid w:val="00974FD4"/>
    <w:rsid w:val="009750A7"/>
    <w:rsid w:val="009750FD"/>
    <w:rsid w:val="0097513E"/>
    <w:rsid w:val="0097517C"/>
    <w:rsid w:val="009753D0"/>
    <w:rsid w:val="00975486"/>
    <w:rsid w:val="00975708"/>
    <w:rsid w:val="00975726"/>
    <w:rsid w:val="00975821"/>
    <w:rsid w:val="00975960"/>
    <w:rsid w:val="009759E9"/>
    <w:rsid w:val="00975C60"/>
    <w:rsid w:val="00975F41"/>
    <w:rsid w:val="00976100"/>
    <w:rsid w:val="00976172"/>
    <w:rsid w:val="009763A2"/>
    <w:rsid w:val="00976473"/>
    <w:rsid w:val="0097648C"/>
    <w:rsid w:val="009766A9"/>
    <w:rsid w:val="009766AF"/>
    <w:rsid w:val="009769BB"/>
    <w:rsid w:val="009769FC"/>
    <w:rsid w:val="00976D61"/>
    <w:rsid w:val="00976D6D"/>
    <w:rsid w:val="0097700F"/>
    <w:rsid w:val="00977212"/>
    <w:rsid w:val="0097721C"/>
    <w:rsid w:val="0097743C"/>
    <w:rsid w:val="009777A7"/>
    <w:rsid w:val="009778A2"/>
    <w:rsid w:val="00977910"/>
    <w:rsid w:val="00977ACD"/>
    <w:rsid w:val="00977B6A"/>
    <w:rsid w:val="00977C48"/>
    <w:rsid w:val="00977C87"/>
    <w:rsid w:val="00977CDC"/>
    <w:rsid w:val="00980024"/>
    <w:rsid w:val="00980117"/>
    <w:rsid w:val="00980121"/>
    <w:rsid w:val="0098015D"/>
    <w:rsid w:val="0098022C"/>
    <w:rsid w:val="00980387"/>
    <w:rsid w:val="0098039C"/>
    <w:rsid w:val="009804D6"/>
    <w:rsid w:val="0098062B"/>
    <w:rsid w:val="0098064D"/>
    <w:rsid w:val="0098067C"/>
    <w:rsid w:val="009809BE"/>
    <w:rsid w:val="00980BE8"/>
    <w:rsid w:val="00980BED"/>
    <w:rsid w:val="00980C16"/>
    <w:rsid w:val="00980C8C"/>
    <w:rsid w:val="00980E9A"/>
    <w:rsid w:val="0098103B"/>
    <w:rsid w:val="00981180"/>
    <w:rsid w:val="0098118A"/>
    <w:rsid w:val="0098118E"/>
    <w:rsid w:val="009813CC"/>
    <w:rsid w:val="00981499"/>
    <w:rsid w:val="00981519"/>
    <w:rsid w:val="009815B9"/>
    <w:rsid w:val="009815C3"/>
    <w:rsid w:val="00981709"/>
    <w:rsid w:val="00981864"/>
    <w:rsid w:val="0098194A"/>
    <w:rsid w:val="00981A2E"/>
    <w:rsid w:val="00981A32"/>
    <w:rsid w:val="00981BC9"/>
    <w:rsid w:val="00981DFF"/>
    <w:rsid w:val="00981E53"/>
    <w:rsid w:val="00982111"/>
    <w:rsid w:val="009821CF"/>
    <w:rsid w:val="00982251"/>
    <w:rsid w:val="0098235C"/>
    <w:rsid w:val="00982366"/>
    <w:rsid w:val="009825C7"/>
    <w:rsid w:val="00982683"/>
    <w:rsid w:val="009827C0"/>
    <w:rsid w:val="00982ADB"/>
    <w:rsid w:val="00982DFC"/>
    <w:rsid w:val="00982E4C"/>
    <w:rsid w:val="00982E79"/>
    <w:rsid w:val="00982F6A"/>
    <w:rsid w:val="009831B1"/>
    <w:rsid w:val="0098327E"/>
    <w:rsid w:val="00983375"/>
    <w:rsid w:val="009834DA"/>
    <w:rsid w:val="00983510"/>
    <w:rsid w:val="00983556"/>
    <w:rsid w:val="00983615"/>
    <w:rsid w:val="00983647"/>
    <w:rsid w:val="0098377E"/>
    <w:rsid w:val="009837FD"/>
    <w:rsid w:val="009838B4"/>
    <w:rsid w:val="009839F0"/>
    <w:rsid w:val="00983A83"/>
    <w:rsid w:val="00983E11"/>
    <w:rsid w:val="00983E88"/>
    <w:rsid w:val="009840F4"/>
    <w:rsid w:val="00984139"/>
    <w:rsid w:val="00984171"/>
    <w:rsid w:val="009842E6"/>
    <w:rsid w:val="00984302"/>
    <w:rsid w:val="00984415"/>
    <w:rsid w:val="0098454E"/>
    <w:rsid w:val="00984788"/>
    <w:rsid w:val="00984A54"/>
    <w:rsid w:val="00984A57"/>
    <w:rsid w:val="00984BE0"/>
    <w:rsid w:val="00984D7D"/>
    <w:rsid w:val="00984E49"/>
    <w:rsid w:val="00985248"/>
    <w:rsid w:val="009853CD"/>
    <w:rsid w:val="0098543A"/>
    <w:rsid w:val="00985564"/>
    <w:rsid w:val="009858E0"/>
    <w:rsid w:val="00985A54"/>
    <w:rsid w:val="00985A7F"/>
    <w:rsid w:val="00985FE5"/>
    <w:rsid w:val="00986003"/>
    <w:rsid w:val="0098602A"/>
    <w:rsid w:val="0098632B"/>
    <w:rsid w:val="0098645B"/>
    <w:rsid w:val="0098681F"/>
    <w:rsid w:val="00986B58"/>
    <w:rsid w:val="00986B85"/>
    <w:rsid w:val="00986B9B"/>
    <w:rsid w:val="00986CC9"/>
    <w:rsid w:val="00986E08"/>
    <w:rsid w:val="00987039"/>
    <w:rsid w:val="009870A8"/>
    <w:rsid w:val="009870DE"/>
    <w:rsid w:val="009870F9"/>
    <w:rsid w:val="009874C0"/>
    <w:rsid w:val="009874E8"/>
    <w:rsid w:val="00987666"/>
    <w:rsid w:val="0098776A"/>
    <w:rsid w:val="00987872"/>
    <w:rsid w:val="00987AA1"/>
    <w:rsid w:val="00987BB1"/>
    <w:rsid w:val="00987EA8"/>
    <w:rsid w:val="00987FFC"/>
    <w:rsid w:val="00990031"/>
    <w:rsid w:val="00990252"/>
    <w:rsid w:val="0099032E"/>
    <w:rsid w:val="009903FC"/>
    <w:rsid w:val="00990438"/>
    <w:rsid w:val="009904D8"/>
    <w:rsid w:val="00990511"/>
    <w:rsid w:val="00990545"/>
    <w:rsid w:val="00990553"/>
    <w:rsid w:val="00990AB0"/>
    <w:rsid w:val="00990ABD"/>
    <w:rsid w:val="00990CFB"/>
    <w:rsid w:val="00990E34"/>
    <w:rsid w:val="009911D7"/>
    <w:rsid w:val="0099167F"/>
    <w:rsid w:val="00991744"/>
    <w:rsid w:val="00991982"/>
    <w:rsid w:val="00991ACD"/>
    <w:rsid w:val="0099213B"/>
    <w:rsid w:val="009921BF"/>
    <w:rsid w:val="009922F6"/>
    <w:rsid w:val="00992396"/>
    <w:rsid w:val="0099255B"/>
    <w:rsid w:val="009926C3"/>
    <w:rsid w:val="0099274B"/>
    <w:rsid w:val="00992752"/>
    <w:rsid w:val="00992782"/>
    <w:rsid w:val="0099295B"/>
    <w:rsid w:val="00992C6B"/>
    <w:rsid w:val="009932B1"/>
    <w:rsid w:val="009932E1"/>
    <w:rsid w:val="009934A9"/>
    <w:rsid w:val="00993640"/>
    <w:rsid w:val="00993642"/>
    <w:rsid w:val="00993683"/>
    <w:rsid w:val="009938CF"/>
    <w:rsid w:val="00993923"/>
    <w:rsid w:val="00993B40"/>
    <w:rsid w:val="00993B53"/>
    <w:rsid w:val="00993DC2"/>
    <w:rsid w:val="00993E72"/>
    <w:rsid w:val="009940F6"/>
    <w:rsid w:val="00994209"/>
    <w:rsid w:val="0099430D"/>
    <w:rsid w:val="009945FA"/>
    <w:rsid w:val="0099468C"/>
    <w:rsid w:val="009949FE"/>
    <w:rsid w:val="00994AA4"/>
    <w:rsid w:val="00994CD2"/>
    <w:rsid w:val="00994DCA"/>
    <w:rsid w:val="00994E0B"/>
    <w:rsid w:val="0099538F"/>
    <w:rsid w:val="009955AA"/>
    <w:rsid w:val="009956D5"/>
    <w:rsid w:val="009957CF"/>
    <w:rsid w:val="00995ACE"/>
    <w:rsid w:val="00995CB7"/>
    <w:rsid w:val="00995D78"/>
    <w:rsid w:val="00995F78"/>
    <w:rsid w:val="00995FC3"/>
    <w:rsid w:val="009961CD"/>
    <w:rsid w:val="009964AD"/>
    <w:rsid w:val="00996655"/>
    <w:rsid w:val="009966DE"/>
    <w:rsid w:val="00996745"/>
    <w:rsid w:val="009968AD"/>
    <w:rsid w:val="009968B1"/>
    <w:rsid w:val="00996B2A"/>
    <w:rsid w:val="00996D8B"/>
    <w:rsid w:val="009970C2"/>
    <w:rsid w:val="009970E1"/>
    <w:rsid w:val="00997433"/>
    <w:rsid w:val="00997570"/>
    <w:rsid w:val="00997571"/>
    <w:rsid w:val="0099763C"/>
    <w:rsid w:val="00997AFE"/>
    <w:rsid w:val="00997BD6"/>
    <w:rsid w:val="00997DC6"/>
    <w:rsid w:val="009A0360"/>
    <w:rsid w:val="009A0386"/>
    <w:rsid w:val="009A0435"/>
    <w:rsid w:val="009A05D5"/>
    <w:rsid w:val="009A0847"/>
    <w:rsid w:val="009A08C6"/>
    <w:rsid w:val="009A0A4A"/>
    <w:rsid w:val="009A0A9D"/>
    <w:rsid w:val="009A0D7A"/>
    <w:rsid w:val="009A0EA5"/>
    <w:rsid w:val="009A0F89"/>
    <w:rsid w:val="009A0FD3"/>
    <w:rsid w:val="009A101E"/>
    <w:rsid w:val="009A1066"/>
    <w:rsid w:val="009A1174"/>
    <w:rsid w:val="009A1300"/>
    <w:rsid w:val="009A13AF"/>
    <w:rsid w:val="009A13B1"/>
    <w:rsid w:val="009A13FB"/>
    <w:rsid w:val="009A1462"/>
    <w:rsid w:val="009A147A"/>
    <w:rsid w:val="009A151E"/>
    <w:rsid w:val="009A175F"/>
    <w:rsid w:val="009A1A7D"/>
    <w:rsid w:val="009A1B57"/>
    <w:rsid w:val="009A1B66"/>
    <w:rsid w:val="009A1BFB"/>
    <w:rsid w:val="009A1C86"/>
    <w:rsid w:val="009A1CFC"/>
    <w:rsid w:val="009A1D57"/>
    <w:rsid w:val="009A1E71"/>
    <w:rsid w:val="009A1EF9"/>
    <w:rsid w:val="009A2000"/>
    <w:rsid w:val="009A200E"/>
    <w:rsid w:val="009A20EE"/>
    <w:rsid w:val="009A22E2"/>
    <w:rsid w:val="009A2320"/>
    <w:rsid w:val="009A235B"/>
    <w:rsid w:val="009A24CD"/>
    <w:rsid w:val="009A250C"/>
    <w:rsid w:val="009A25AA"/>
    <w:rsid w:val="009A27B9"/>
    <w:rsid w:val="009A2842"/>
    <w:rsid w:val="009A28EF"/>
    <w:rsid w:val="009A2A90"/>
    <w:rsid w:val="009A2B91"/>
    <w:rsid w:val="009A2FE2"/>
    <w:rsid w:val="009A3314"/>
    <w:rsid w:val="009A338D"/>
    <w:rsid w:val="009A345F"/>
    <w:rsid w:val="009A359C"/>
    <w:rsid w:val="009A373A"/>
    <w:rsid w:val="009A388A"/>
    <w:rsid w:val="009A3A24"/>
    <w:rsid w:val="009A3AA4"/>
    <w:rsid w:val="009A3AB3"/>
    <w:rsid w:val="009A3AD1"/>
    <w:rsid w:val="009A3CCA"/>
    <w:rsid w:val="009A3F09"/>
    <w:rsid w:val="009A40BB"/>
    <w:rsid w:val="009A43CF"/>
    <w:rsid w:val="009A447A"/>
    <w:rsid w:val="009A44BA"/>
    <w:rsid w:val="009A4541"/>
    <w:rsid w:val="009A4569"/>
    <w:rsid w:val="009A48D0"/>
    <w:rsid w:val="009A4A5E"/>
    <w:rsid w:val="009A4B71"/>
    <w:rsid w:val="009A4E5B"/>
    <w:rsid w:val="009A4F0C"/>
    <w:rsid w:val="009A4F98"/>
    <w:rsid w:val="009A501B"/>
    <w:rsid w:val="009A51E5"/>
    <w:rsid w:val="009A5541"/>
    <w:rsid w:val="009A567B"/>
    <w:rsid w:val="009A57A0"/>
    <w:rsid w:val="009A5850"/>
    <w:rsid w:val="009A5949"/>
    <w:rsid w:val="009A5964"/>
    <w:rsid w:val="009A5A5F"/>
    <w:rsid w:val="009A5A6B"/>
    <w:rsid w:val="009A5B15"/>
    <w:rsid w:val="009A5B38"/>
    <w:rsid w:val="009A5B8B"/>
    <w:rsid w:val="009A61D5"/>
    <w:rsid w:val="009A620A"/>
    <w:rsid w:val="009A632D"/>
    <w:rsid w:val="009A63F0"/>
    <w:rsid w:val="009A6405"/>
    <w:rsid w:val="009A65AA"/>
    <w:rsid w:val="009A672D"/>
    <w:rsid w:val="009A68E4"/>
    <w:rsid w:val="009A6955"/>
    <w:rsid w:val="009A695F"/>
    <w:rsid w:val="009A6B36"/>
    <w:rsid w:val="009A7288"/>
    <w:rsid w:val="009A7488"/>
    <w:rsid w:val="009A74CF"/>
    <w:rsid w:val="009A7C7D"/>
    <w:rsid w:val="009A7C9F"/>
    <w:rsid w:val="009A7E79"/>
    <w:rsid w:val="009B03C1"/>
    <w:rsid w:val="009B05A2"/>
    <w:rsid w:val="009B0798"/>
    <w:rsid w:val="009B0835"/>
    <w:rsid w:val="009B089B"/>
    <w:rsid w:val="009B08DD"/>
    <w:rsid w:val="009B0A79"/>
    <w:rsid w:val="009B0D66"/>
    <w:rsid w:val="009B0E15"/>
    <w:rsid w:val="009B0F56"/>
    <w:rsid w:val="009B12E8"/>
    <w:rsid w:val="009B1326"/>
    <w:rsid w:val="009B140C"/>
    <w:rsid w:val="009B143B"/>
    <w:rsid w:val="009B1466"/>
    <w:rsid w:val="009B1512"/>
    <w:rsid w:val="009B18F0"/>
    <w:rsid w:val="009B1A12"/>
    <w:rsid w:val="009B1B47"/>
    <w:rsid w:val="009B1C59"/>
    <w:rsid w:val="009B1D49"/>
    <w:rsid w:val="009B1E28"/>
    <w:rsid w:val="009B1F3C"/>
    <w:rsid w:val="009B204E"/>
    <w:rsid w:val="009B220C"/>
    <w:rsid w:val="009B23F5"/>
    <w:rsid w:val="009B24E3"/>
    <w:rsid w:val="009B2529"/>
    <w:rsid w:val="009B258E"/>
    <w:rsid w:val="009B265D"/>
    <w:rsid w:val="009B27F9"/>
    <w:rsid w:val="009B2A41"/>
    <w:rsid w:val="009B3051"/>
    <w:rsid w:val="009B3151"/>
    <w:rsid w:val="009B3266"/>
    <w:rsid w:val="009B3288"/>
    <w:rsid w:val="009B3357"/>
    <w:rsid w:val="009B33AA"/>
    <w:rsid w:val="009B3480"/>
    <w:rsid w:val="009B36F0"/>
    <w:rsid w:val="009B3788"/>
    <w:rsid w:val="009B39A5"/>
    <w:rsid w:val="009B3A27"/>
    <w:rsid w:val="009B3B66"/>
    <w:rsid w:val="009B3CB9"/>
    <w:rsid w:val="009B3E40"/>
    <w:rsid w:val="009B3EA1"/>
    <w:rsid w:val="009B4029"/>
    <w:rsid w:val="009B4394"/>
    <w:rsid w:val="009B4434"/>
    <w:rsid w:val="009B44A6"/>
    <w:rsid w:val="009B466C"/>
    <w:rsid w:val="009B46CB"/>
    <w:rsid w:val="009B47B6"/>
    <w:rsid w:val="009B4C86"/>
    <w:rsid w:val="009B537A"/>
    <w:rsid w:val="009B53CB"/>
    <w:rsid w:val="009B5491"/>
    <w:rsid w:val="009B5B4E"/>
    <w:rsid w:val="009B5BEF"/>
    <w:rsid w:val="009B5C65"/>
    <w:rsid w:val="009B6054"/>
    <w:rsid w:val="009B60F8"/>
    <w:rsid w:val="009B6465"/>
    <w:rsid w:val="009B6635"/>
    <w:rsid w:val="009B6781"/>
    <w:rsid w:val="009B6895"/>
    <w:rsid w:val="009B6B0C"/>
    <w:rsid w:val="009B6B92"/>
    <w:rsid w:val="009B6C67"/>
    <w:rsid w:val="009B6D17"/>
    <w:rsid w:val="009B6FA4"/>
    <w:rsid w:val="009B6FBA"/>
    <w:rsid w:val="009B7356"/>
    <w:rsid w:val="009B737B"/>
    <w:rsid w:val="009B7396"/>
    <w:rsid w:val="009B73B0"/>
    <w:rsid w:val="009B73CC"/>
    <w:rsid w:val="009B76DC"/>
    <w:rsid w:val="009B778D"/>
    <w:rsid w:val="009B791E"/>
    <w:rsid w:val="009B7B9C"/>
    <w:rsid w:val="009B7CDB"/>
    <w:rsid w:val="009B7D7A"/>
    <w:rsid w:val="009B7DA7"/>
    <w:rsid w:val="009B7F52"/>
    <w:rsid w:val="009B7F7A"/>
    <w:rsid w:val="009C013F"/>
    <w:rsid w:val="009C02D0"/>
    <w:rsid w:val="009C06CD"/>
    <w:rsid w:val="009C0784"/>
    <w:rsid w:val="009C07D1"/>
    <w:rsid w:val="009C0803"/>
    <w:rsid w:val="009C0914"/>
    <w:rsid w:val="009C0B1C"/>
    <w:rsid w:val="009C0B64"/>
    <w:rsid w:val="009C0C67"/>
    <w:rsid w:val="009C0D97"/>
    <w:rsid w:val="009C0F62"/>
    <w:rsid w:val="009C157F"/>
    <w:rsid w:val="009C15DA"/>
    <w:rsid w:val="009C1646"/>
    <w:rsid w:val="009C1770"/>
    <w:rsid w:val="009C18DB"/>
    <w:rsid w:val="009C1A52"/>
    <w:rsid w:val="009C1B01"/>
    <w:rsid w:val="009C1B45"/>
    <w:rsid w:val="009C1BAD"/>
    <w:rsid w:val="009C1D8E"/>
    <w:rsid w:val="009C1DE3"/>
    <w:rsid w:val="009C20D2"/>
    <w:rsid w:val="009C214A"/>
    <w:rsid w:val="009C2325"/>
    <w:rsid w:val="009C24C9"/>
    <w:rsid w:val="009C2756"/>
    <w:rsid w:val="009C2793"/>
    <w:rsid w:val="009C27C4"/>
    <w:rsid w:val="009C280D"/>
    <w:rsid w:val="009C28FA"/>
    <w:rsid w:val="009C2A97"/>
    <w:rsid w:val="009C2B5A"/>
    <w:rsid w:val="009C2C40"/>
    <w:rsid w:val="009C2C6F"/>
    <w:rsid w:val="009C2ED4"/>
    <w:rsid w:val="009C2F59"/>
    <w:rsid w:val="009C316E"/>
    <w:rsid w:val="009C322A"/>
    <w:rsid w:val="009C33DF"/>
    <w:rsid w:val="009C33E4"/>
    <w:rsid w:val="009C370C"/>
    <w:rsid w:val="009C3715"/>
    <w:rsid w:val="009C3ACE"/>
    <w:rsid w:val="009C3B46"/>
    <w:rsid w:val="009C3D4A"/>
    <w:rsid w:val="009C3F15"/>
    <w:rsid w:val="009C4299"/>
    <w:rsid w:val="009C4309"/>
    <w:rsid w:val="009C457B"/>
    <w:rsid w:val="009C45F4"/>
    <w:rsid w:val="009C46DA"/>
    <w:rsid w:val="009C4ABE"/>
    <w:rsid w:val="009C4AEC"/>
    <w:rsid w:val="009C4B60"/>
    <w:rsid w:val="009C4C36"/>
    <w:rsid w:val="009C4C3A"/>
    <w:rsid w:val="009C4D97"/>
    <w:rsid w:val="009C4DF6"/>
    <w:rsid w:val="009C4F45"/>
    <w:rsid w:val="009C52FF"/>
    <w:rsid w:val="009C5671"/>
    <w:rsid w:val="009C57AA"/>
    <w:rsid w:val="009C58F1"/>
    <w:rsid w:val="009C59B6"/>
    <w:rsid w:val="009C5AA1"/>
    <w:rsid w:val="009C5B6D"/>
    <w:rsid w:val="009C5B93"/>
    <w:rsid w:val="009C5C49"/>
    <w:rsid w:val="009C5CFC"/>
    <w:rsid w:val="009C5E49"/>
    <w:rsid w:val="009C5FAC"/>
    <w:rsid w:val="009C616C"/>
    <w:rsid w:val="009C634A"/>
    <w:rsid w:val="009C63BD"/>
    <w:rsid w:val="009C651E"/>
    <w:rsid w:val="009C6827"/>
    <w:rsid w:val="009C697D"/>
    <w:rsid w:val="009C6BC7"/>
    <w:rsid w:val="009C6D78"/>
    <w:rsid w:val="009C6F34"/>
    <w:rsid w:val="009C6F92"/>
    <w:rsid w:val="009C703F"/>
    <w:rsid w:val="009C716E"/>
    <w:rsid w:val="009C71F7"/>
    <w:rsid w:val="009C723B"/>
    <w:rsid w:val="009C75B0"/>
    <w:rsid w:val="009C7603"/>
    <w:rsid w:val="009C797B"/>
    <w:rsid w:val="009C7D69"/>
    <w:rsid w:val="009C7D86"/>
    <w:rsid w:val="009D0009"/>
    <w:rsid w:val="009D02DF"/>
    <w:rsid w:val="009D0397"/>
    <w:rsid w:val="009D04C7"/>
    <w:rsid w:val="009D0813"/>
    <w:rsid w:val="009D0E94"/>
    <w:rsid w:val="009D10A0"/>
    <w:rsid w:val="009D1124"/>
    <w:rsid w:val="009D1266"/>
    <w:rsid w:val="009D135E"/>
    <w:rsid w:val="009D1508"/>
    <w:rsid w:val="009D1633"/>
    <w:rsid w:val="009D16D5"/>
    <w:rsid w:val="009D1744"/>
    <w:rsid w:val="009D17FC"/>
    <w:rsid w:val="009D193E"/>
    <w:rsid w:val="009D1A2F"/>
    <w:rsid w:val="009D1FE3"/>
    <w:rsid w:val="009D2297"/>
    <w:rsid w:val="009D229C"/>
    <w:rsid w:val="009D2314"/>
    <w:rsid w:val="009D2375"/>
    <w:rsid w:val="009D24F5"/>
    <w:rsid w:val="009D2659"/>
    <w:rsid w:val="009D29D8"/>
    <w:rsid w:val="009D2B2F"/>
    <w:rsid w:val="009D2C38"/>
    <w:rsid w:val="009D2F0B"/>
    <w:rsid w:val="009D2FBC"/>
    <w:rsid w:val="009D336D"/>
    <w:rsid w:val="009D33A9"/>
    <w:rsid w:val="009D366C"/>
    <w:rsid w:val="009D3796"/>
    <w:rsid w:val="009D380C"/>
    <w:rsid w:val="009D391C"/>
    <w:rsid w:val="009D394E"/>
    <w:rsid w:val="009D3C01"/>
    <w:rsid w:val="009D3C81"/>
    <w:rsid w:val="009D3CEE"/>
    <w:rsid w:val="009D3D3D"/>
    <w:rsid w:val="009D3D4C"/>
    <w:rsid w:val="009D4252"/>
    <w:rsid w:val="009D4304"/>
    <w:rsid w:val="009D44E6"/>
    <w:rsid w:val="009D4890"/>
    <w:rsid w:val="009D48F3"/>
    <w:rsid w:val="009D4EBD"/>
    <w:rsid w:val="009D50AC"/>
    <w:rsid w:val="009D50E2"/>
    <w:rsid w:val="009D5367"/>
    <w:rsid w:val="009D5421"/>
    <w:rsid w:val="009D5476"/>
    <w:rsid w:val="009D5C3E"/>
    <w:rsid w:val="009D5C90"/>
    <w:rsid w:val="009D5D90"/>
    <w:rsid w:val="009D5DA6"/>
    <w:rsid w:val="009D5E3C"/>
    <w:rsid w:val="009D5FB4"/>
    <w:rsid w:val="009D5FC9"/>
    <w:rsid w:val="009D664E"/>
    <w:rsid w:val="009D66B8"/>
    <w:rsid w:val="009D66D4"/>
    <w:rsid w:val="009D680D"/>
    <w:rsid w:val="009D6848"/>
    <w:rsid w:val="009D6B84"/>
    <w:rsid w:val="009D6EB6"/>
    <w:rsid w:val="009D6FB3"/>
    <w:rsid w:val="009D7008"/>
    <w:rsid w:val="009D7143"/>
    <w:rsid w:val="009D7227"/>
    <w:rsid w:val="009D7612"/>
    <w:rsid w:val="009D7AF0"/>
    <w:rsid w:val="009D7CF9"/>
    <w:rsid w:val="009E0077"/>
    <w:rsid w:val="009E01D5"/>
    <w:rsid w:val="009E0205"/>
    <w:rsid w:val="009E0289"/>
    <w:rsid w:val="009E0293"/>
    <w:rsid w:val="009E0429"/>
    <w:rsid w:val="009E0453"/>
    <w:rsid w:val="009E06AB"/>
    <w:rsid w:val="009E06CF"/>
    <w:rsid w:val="009E087E"/>
    <w:rsid w:val="009E089B"/>
    <w:rsid w:val="009E093F"/>
    <w:rsid w:val="009E094E"/>
    <w:rsid w:val="009E0A85"/>
    <w:rsid w:val="009E0CB8"/>
    <w:rsid w:val="009E0E00"/>
    <w:rsid w:val="009E10EF"/>
    <w:rsid w:val="009E11D3"/>
    <w:rsid w:val="009E120C"/>
    <w:rsid w:val="009E1488"/>
    <w:rsid w:val="009E149E"/>
    <w:rsid w:val="009E14C0"/>
    <w:rsid w:val="009E1676"/>
    <w:rsid w:val="009E178D"/>
    <w:rsid w:val="009E19B2"/>
    <w:rsid w:val="009E19DC"/>
    <w:rsid w:val="009E1A1F"/>
    <w:rsid w:val="009E1AB7"/>
    <w:rsid w:val="009E1B09"/>
    <w:rsid w:val="009E1B5C"/>
    <w:rsid w:val="009E1C95"/>
    <w:rsid w:val="009E221A"/>
    <w:rsid w:val="009E22AF"/>
    <w:rsid w:val="009E2304"/>
    <w:rsid w:val="009E2865"/>
    <w:rsid w:val="009E2B14"/>
    <w:rsid w:val="009E2B1C"/>
    <w:rsid w:val="009E2B2C"/>
    <w:rsid w:val="009E2B47"/>
    <w:rsid w:val="009E2B8A"/>
    <w:rsid w:val="009E2D48"/>
    <w:rsid w:val="009E2DDC"/>
    <w:rsid w:val="009E2E8B"/>
    <w:rsid w:val="009E304E"/>
    <w:rsid w:val="009E3277"/>
    <w:rsid w:val="009E3402"/>
    <w:rsid w:val="009E39B0"/>
    <w:rsid w:val="009E4175"/>
    <w:rsid w:val="009E428A"/>
    <w:rsid w:val="009E42D7"/>
    <w:rsid w:val="009E4331"/>
    <w:rsid w:val="009E443A"/>
    <w:rsid w:val="009E4475"/>
    <w:rsid w:val="009E49F7"/>
    <w:rsid w:val="009E4C87"/>
    <w:rsid w:val="009E500C"/>
    <w:rsid w:val="009E5427"/>
    <w:rsid w:val="009E5512"/>
    <w:rsid w:val="009E5663"/>
    <w:rsid w:val="009E5790"/>
    <w:rsid w:val="009E5831"/>
    <w:rsid w:val="009E5940"/>
    <w:rsid w:val="009E5AF2"/>
    <w:rsid w:val="009E5B25"/>
    <w:rsid w:val="009E5B55"/>
    <w:rsid w:val="009E5D24"/>
    <w:rsid w:val="009E5D42"/>
    <w:rsid w:val="009E5DBD"/>
    <w:rsid w:val="009E5F1F"/>
    <w:rsid w:val="009E6105"/>
    <w:rsid w:val="009E621A"/>
    <w:rsid w:val="009E628E"/>
    <w:rsid w:val="009E6320"/>
    <w:rsid w:val="009E6534"/>
    <w:rsid w:val="009E655D"/>
    <w:rsid w:val="009E66A9"/>
    <w:rsid w:val="009E6729"/>
    <w:rsid w:val="009E6B48"/>
    <w:rsid w:val="009E6C7A"/>
    <w:rsid w:val="009E6E11"/>
    <w:rsid w:val="009E6F5C"/>
    <w:rsid w:val="009E735C"/>
    <w:rsid w:val="009E7470"/>
    <w:rsid w:val="009E74A9"/>
    <w:rsid w:val="009E7967"/>
    <w:rsid w:val="009E7983"/>
    <w:rsid w:val="009E79D1"/>
    <w:rsid w:val="009E79E4"/>
    <w:rsid w:val="009E7A14"/>
    <w:rsid w:val="009E7D96"/>
    <w:rsid w:val="009E7D9A"/>
    <w:rsid w:val="009E7DEC"/>
    <w:rsid w:val="009E7ECE"/>
    <w:rsid w:val="009F0168"/>
    <w:rsid w:val="009F017C"/>
    <w:rsid w:val="009F01E2"/>
    <w:rsid w:val="009F024C"/>
    <w:rsid w:val="009F02D0"/>
    <w:rsid w:val="009F03D9"/>
    <w:rsid w:val="009F03EA"/>
    <w:rsid w:val="009F04E1"/>
    <w:rsid w:val="009F063C"/>
    <w:rsid w:val="009F0694"/>
    <w:rsid w:val="009F08A7"/>
    <w:rsid w:val="009F08B7"/>
    <w:rsid w:val="009F0EA5"/>
    <w:rsid w:val="009F0EA8"/>
    <w:rsid w:val="009F100F"/>
    <w:rsid w:val="009F1063"/>
    <w:rsid w:val="009F1309"/>
    <w:rsid w:val="009F1370"/>
    <w:rsid w:val="009F14A4"/>
    <w:rsid w:val="009F1540"/>
    <w:rsid w:val="009F15A9"/>
    <w:rsid w:val="009F15B6"/>
    <w:rsid w:val="009F1729"/>
    <w:rsid w:val="009F18B0"/>
    <w:rsid w:val="009F1B81"/>
    <w:rsid w:val="009F1CDD"/>
    <w:rsid w:val="009F2151"/>
    <w:rsid w:val="009F2819"/>
    <w:rsid w:val="009F2B57"/>
    <w:rsid w:val="009F2C23"/>
    <w:rsid w:val="009F2C27"/>
    <w:rsid w:val="009F2D7E"/>
    <w:rsid w:val="009F2EED"/>
    <w:rsid w:val="009F3213"/>
    <w:rsid w:val="009F3366"/>
    <w:rsid w:val="009F353B"/>
    <w:rsid w:val="009F35C0"/>
    <w:rsid w:val="009F3632"/>
    <w:rsid w:val="009F3800"/>
    <w:rsid w:val="009F3E8B"/>
    <w:rsid w:val="009F3FD2"/>
    <w:rsid w:val="009F4092"/>
    <w:rsid w:val="009F41A4"/>
    <w:rsid w:val="009F41AF"/>
    <w:rsid w:val="009F445A"/>
    <w:rsid w:val="009F446C"/>
    <w:rsid w:val="009F4612"/>
    <w:rsid w:val="009F461F"/>
    <w:rsid w:val="009F4683"/>
    <w:rsid w:val="009F468D"/>
    <w:rsid w:val="009F4698"/>
    <w:rsid w:val="009F474D"/>
    <w:rsid w:val="009F4795"/>
    <w:rsid w:val="009F4887"/>
    <w:rsid w:val="009F4991"/>
    <w:rsid w:val="009F4BD9"/>
    <w:rsid w:val="009F4DC7"/>
    <w:rsid w:val="009F4E54"/>
    <w:rsid w:val="009F4EBC"/>
    <w:rsid w:val="009F4F60"/>
    <w:rsid w:val="009F51BB"/>
    <w:rsid w:val="009F5272"/>
    <w:rsid w:val="009F540B"/>
    <w:rsid w:val="009F565C"/>
    <w:rsid w:val="009F5738"/>
    <w:rsid w:val="009F5965"/>
    <w:rsid w:val="009F5A0C"/>
    <w:rsid w:val="009F5DCF"/>
    <w:rsid w:val="009F612E"/>
    <w:rsid w:val="009F6213"/>
    <w:rsid w:val="009F6526"/>
    <w:rsid w:val="009F66A0"/>
    <w:rsid w:val="009F6805"/>
    <w:rsid w:val="009F6A78"/>
    <w:rsid w:val="009F6BF5"/>
    <w:rsid w:val="009F6D6C"/>
    <w:rsid w:val="009F6E8C"/>
    <w:rsid w:val="009F6F9A"/>
    <w:rsid w:val="009F720E"/>
    <w:rsid w:val="009F73AC"/>
    <w:rsid w:val="009F74A0"/>
    <w:rsid w:val="009F7531"/>
    <w:rsid w:val="009F79DA"/>
    <w:rsid w:val="009F7A1E"/>
    <w:rsid w:val="009F7A6C"/>
    <w:rsid w:val="009F7C0F"/>
    <w:rsid w:val="009F7CB1"/>
    <w:rsid w:val="009F7CB5"/>
    <w:rsid w:val="009F7CDA"/>
    <w:rsid w:val="009F7D1E"/>
    <w:rsid w:val="009F7DA3"/>
    <w:rsid w:val="009F7E9A"/>
    <w:rsid w:val="009F7F6D"/>
    <w:rsid w:val="00A000F7"/>
    <w:rsid w:val="00A00465"/>
    <w:rsid w:val="00A005E0"/>
    <w:rsid w:val="00A0078F"/>
    <w:rsid w:val="00A00D02"/>
    <w:rsid w:val="00A00D47"/>
    <w:rsid w:val="00A00D84"/>
    <w:rsid w:val="00A00F07"/>
    <w:rsid w:val="00A00FB3"/>
    <w:rsid w:val="00A0103B"/>
    <w:rsid w:val="00A01079"/>
    <w:rsid w:val="00A01096"/>
    <w:rsid w:val="00A013D5"/>
    <w:rsid w:val="00A014C1"/>
    <w:rsid w:val="00A017CC"/>
    <w:rsid w:val="00A017CE"/>
    <w:rsid w:val="00A01B6F"/>
    <w:rsid w:val="00A01CC0"/>
    <w:rsid w:val="00A01D11"/>
    <w:rsid w:val="00A01DC2"/>
    <w:rsid w:val="00A01E5C"/>
    <w:rsid w:val="00A01EB5"/>
    <w:rsid w:val="00A01F83"/>
    <w:rsid w:val="00A01F89"/>
    <w:rsid w:val="00A021F1"/>
    <w:rsid w:val="00A02463"/>
    <w:rsid w:val="00A026F3"/>
    <w:rsid w:val="00A02750"/>
    <w:rsid w:val="00A0292B"/>
    <w:rsid w:val="00A02F7C"/>
    <w:rsid w:val="00A02FE0"/>
    <w:rsid w:val="00A03074"/>
    <w:rsid w:val="00A030AB"/>
    <w:rsid w:val="00A0320F"/>
    <w:rsid w:val="00A032D9"/>
    <w:rsid w:val="00A0330F"/>
    <w:rsid w:val="00A03317"/>
    <w:rsid w:val="00A03318"/>
    <w:rsid w:val="00A0340A"/>
    <w:rsid w:val="00A034C0"/>
    <w:rsid w:val="00A0361C"/>
    <w:rsid w:val="00A037FB"/>
    <w:rsid w:val="00A03977"/>
    <w:rsid w:val="00A03C95"/>
    <w:rsid w:val="00A03CBB"/>
    <w:rsid w:val="00A03E04"/>
    <w:rsid w:val="00A03E4D"/>
    <w:rsid w:val="00A0408D"/>
    <w:rsid w:val="00A04100"/>
    <w:rsid w:val="00A0417B"/>
    <w:rsid w:val="00A041C5"/>
    <w:rsid w:val="00A048AD"/>
    <w:rsid w:val="00A048BE"/>
    <w:rsid w:val="00A04BB3"/>
    <w:rsid w:val="00A04C0D"/>
    <w:rsid w:val="00A04DA8"/>
    <w:rsid w:val="00A04DB7"/>
    <w:rsid w:val="00A0511D"/>
    <w:rsid w:val="00A05272"/>
    <w:rsid w:val="00A05630"/>
    <w:rsid w:val="00A05981"/>
    <w:rsid w:val="00A059C1"/>
    <w:rsid w:val="00A05BC3"/>
    <w:rsid w:val="00A05C3D"/>
    <w:rsid w:val="00A05D4D"/>
    <w:rsid w:val="00A06195"/>
    <w:rsid w:val="00A065FB"/>
    <w:rsid w:val="00A0679B"/>
    <w:rsid w:val="00A06A05"/>
    <w:rsid w:val="00A06B57"/>
    <w:rsid w:val="00A06C05"/>
    <w:rsid w:val="00A06EA2"/>
    <w:rsid w:val="00A07077"/>
    <w:rsid w:val="00A0745D"/>
    <w:rsid w:val="00A07466"/>
    <w:rsid w:val="00A074BD"/>
    <w:rsid w:val="00A075A3"/>
    <w:rsid w:val="00A0768F"/>
    <w:rsid w:val="00A07699"/>
    <w:rsid w:val="00A076EA"/>
    <w:rsid w:val="00A07A38"/>
    <w:rsid w:val="00A07BDC"/>
    <w:rsid w:val="00A07C3A"/>
    <w:rsid w:val="00A07DF2"/>
    <w:rsid w:val="00A103B7"/>
    <w:rsid w:val="00A104E2"/>
    <w:rsid w:val="00A105B1"/>
    <w:rsid w:val="00A106F7"/>
    <w:rsid w:val="00A109E0"/>
    <w:rsid w:val="00A10AF2"/>
    <w:rsid w:val="00A10B87"/>
    <w:rsid w:val="00A10BBD"/>
    <w:rsid w:val="00A10E8C"/>
    <w:rsid w:val="00A10F3E"/>
    <w:rsid w:val="00A11084"/>
    <w:rsid w:val="00A1108E"/>
    <w:rsid w:val="00A11230"/>
    <w:rsid w:val="00A11286"/>
    <w:rsid w:val="00A114D6"/>
    <w:rsid w:val="00A11542"/>
    <w:rsid w:val="00A115E4"/>
    <w:rsid w:val="00A118BA"/>
    <w:rsid w:val="00A1199F"/>
    <w:rsid w:val="00A119FD"/>
    <w:rsid w:val="00A11A04"/>
    <w:rsid w:val="00A11BA4"/>
    <w:rsid w:val="00A11BC8"/>
    <w:rsid w:val="00A11CE3"/>
    <w:rsid w:val="00A11FDF"/>
    <w:rsid w:val="00A12262"/>
    <w:rsid w:val="00A1250D"/>
    <w:rsid w:val="00A12789"/>
    <w:rsid w:val="00A12817"/>
    <w:rsid w:val="00A12917"/>
    <w:rsid w:val="00A129EC"/>
    <w:rsid w:val="00A1305B"/>
    <w:rsid w:val="00A1313A"/>
    <w:rsid w:val="00A131E3"/>
    <w:rsid w:val="00A13248"/>
    <w:rsid w:val="00A134FE"/>
    <w:rsid w:val="00A13681"/>
    <w:rsid w:val="00A137A5"/>
    <w:rsid w:val="00A137E9"/>
    <w:rsid w:val="00A138CD"/>
    <w:rsid w:val="00A1392F"/>
    <w:rsid w:val="00A13977"/>
    <w:rsid w:val="00A13AB6"/>
    <w:rsid w:val="00A13CA3"/>
    <w:rsid w:val="00A13CB8"/>
    <w:rsid w:val="00A13CE0"/>
    <w:rsid w:val="00A13CE2"/>
    <w:rsid w:val="00A14069"/>
    <w:rsid w:val="00A140C8"/>
    <w:rsid w:val="00A14494"/>
    <w:rsid w:val="00A14630"/>
    <w:rsid w:val="00A14947"/>
    <w:rsid w:val="00A1496C"/>
    <w:rsid w:val="00A149F2"/>
    <w:rsid w:val="00A14AA3"/>
    <w:rsid w:val="00A14AD7"/>
    <w:rsid w:val="00A14D68"/>
    <w:rsid w:val="00A14EC4"/>
    <w:rsid w:val="00A14FDE"/>
    <w:rsid w:val="00A152A0"/>
    <w:rsid w:val="00A1556F"/>
    <w:rsid w:val="00A15638"/>
    <w:rsid w:val="00A156F5"/>
    <w:rsid w:val="00A157E1"/>
    <w:rsid w:val="00A15A3A"/>
    <w:rsid w:val="00A15CC2"/>
    <w:rsid w:val="00A15DCF"/>
    <w:rsid w:val="00A15E58"/>
    <w:rsid w:val="00A15FD9"/>
    <w:rsid w:val="00A163AE"/>
    <w:rsid w:val="00A163F0"/>
    <w:rsid w:val="00A166B8"/>
    <w:rsid w:val="00A1680E"/>
    <w:rsid w:val="00A1696B"/>
    <w:rsid w:val="00A169FB"/>
    <w:rsid w:val="00A16C86"/>
    <w:rsid w:val="00A16E94"/>
    <w:rsid w:val="00A16F98"/>
    <w:rsid w:val="00A171D6"/>
    <w:rsid w:val="00A17336"/>
    <w:rsid w:val="00A174A2"/>
    <w:rsid w:val="00A17671"/>
    <w:rsid w:val="00A17E14"/>
    <w:rsid w:val="00A17E76"/>
    <w:rsid w:val="00A20156"/>
    <w:rsid w:val="00A2026F"/>
    <w:rsid w:val="00A203BF"/>
    <w:rsid w:val="00A204E4"/>
    <w:rsid w:val="00A2051F"/>
    <w:rsid w:val="00A2057C"/>
    <w:rsid w:val="00A2070F"/>
    <w:rsid w:val="00A20767"/>
    <w:rsid w:val="00A20A0D"/>
    <w:rsid w:val="00A20A23"/>
    <w:rsid w:val="00A20C1F"/>
    <w:rsid w:val="00A20C2E"/>
    <w:rsid w:val="00A20D68"/>
    <w:rsid w:val="00A20DD3"/>
    <w:rsid w:val="00A20DEE"/>
    <w:rsid w:val="00A21365"/>
    <w:rsid w:val="00A213C5"/>
    <w:rsid w:val="00A214B4"/>
    <w:rsid w:val="00A21697"/>
    <w:rsid w:val="00A2169D"/>
    <w:rsid w:val="00A217F1"/>
    <w:rsid w:val="00A21A26"/>
    <w:rsid w:val="00A22125"/>
    <w:rsid w:val="00A22180"/>
    <w:rsid w:val="00A221B6"/>
    <w:rsid w:val="00A225A4"/>
    <w:rsid w:val="00A22744"/>
    <w:rsid w:val="00A227DE"/>
    <w:rsid w:val="00A22B0F"/>
    <w:rsid w:val="00A22C1C"/>
    <w:rsid w:val="00A22D65"/>
    <w:rsid w:val="00A23037"/>
    <w:rsid w:val="00A230CE"/>
    <w:rsid w:val="00A231AE"/>
    <w:rsid w:val="00A232C9"/>
    <w:rsid w:val="00A23352"/>
    <w:rsid w:val="00A2344C"/>
    <w:rsid w:val="00A23765"/>
    <w:rsid w:val="00A237A6"/>
    <w:rsid w:val="00A23897"/>
    <w:rsid w:val="00A239A9"/>
    <w:rsid w:val="00A239D9"/>
    <w:rsid w:val="00A23ABF"/>
    <w:rsid w:val="00A23AFD"/>
    <w:rsid w:val="00A23DA8"/>
    <w:rsid w:val="00A23EAA"/>
    <w:rsid w:val="00A23FAE"/>
    <w:rsid w:val="00A2400E"/>
    <w:rsid w:val="00A24086"/>
    <w:rsid w:val="00A24226"/>
    <w:rsid w:val="00A242B4"/>
    <w:rsid w:val="00A2452A"/>
    <w:rsid w:val="00A24649"/>
    <w:rsid w:val="00A248C3"/>
    <w:rsid w:val="00A24AB6"/>
    <w:rsid w:val="00A24EC5"/>
    <w:rsid w:val="00A2506A"/>
    <w:rsid w:val="00A25149"/>
    <w:rsid w:val="00A25171"/>
    <w:rsid w:val="00A25243"/>
    <w:rsid w:val="00A25387"/>
    <w:rsid w:val="00A2541E"/>
    <w:rsid w:val="00A25452"/>
    <w:rsid w:val="00A2554E"/>
    <w:rsid w:val="00A25603"/>
    <w:rsid w:val="00A2564E"/>
    <w:rsid w:val="00A257B1"/>
    <w:rsid w:val="00A259E4"/>
    <w:rsid w:val="00A25BC8"/>
    <w:rsid w:val="00A25C25"/>
    <w:rsid w:val="00A25CE0"/>
    <w:rsid w:val="00A25E23"/>
    <w:rsid w:val="00A26002"/>
    <w:rsid w:val="00A260EE"/>
    <w:rsid w:val="00A260F1"/>
    <w:rsid w:val="00A26154"/>
    <w:rsid w:val="00A26181"/>
    <w:rsid w:val="00A261E5"/>
    <w:rsid w:val="00A26437"/>
    <w:rsid w:val="00A2650B"/>
    <w:rsid w:val="00A26583"/>
    <w:rsid w:val="00A267A2"/>
    <w:rsid w:val="00A267B9"/>
    <w:rsid w:val="00A268EB"/>
    <w:rsid w:val="00A26946"/>
    <w:rsid w:val="00A26A47"/>
    <w:rsid w:val="00A26AE5"/>
    <w:rsid w:val="00A26B72"/>
    <w:rsid w:val="00A26C2B"/>
    <w:rsid w:val="00A26FEA"/>
    <w:rsid w:val="00A271A0"/>
    <w:rsid w:val="00A2723F"/>
    <w:rsid w:val="00A272B6"/>
    <w:rsid w:val="00A272C8"/>
    <w:rsid w:val="00A2734E"/>
    <w:rsid w:val="00A273EE"/>
    <w:rsid w:val="00A27686"/>
    <w:rsid w:val="00A276C4"/>
    <w:rsid w:val="00A2776C"/>
    <w:rsid w:val="00A277A7"/>
    <w:rsid w:val="00A2781A"/>
    <w:rsid w:val="00A27852"/>
    <w:rsid w:val="00A279E7"/>
    <w:rsid w:val="00A27D47"/>
    <w:rsid w:val="00A301BF"/>
    <w:rsid w:val="00A30611"/>
    <w:rsid w:val="00A3063D"/>
    <w:rsid w:val="00A309EC"/>
    <w:rsid w:val="00A30A28"/>
    <w:rsid w:val="00A30A94"/>
    <w:rsid w:val="00A30BBC"/>
    <w:rsid w:val="00A30C1E"/>
    <w:rsid w:val="00A30E99"/>
    <w:rsid w:val="00A30EA6"/>
    <w:rsid w:val="00A30FFA"/>
    <w:rsid w:val="00A3131F"/>
    <w:rsid w:val="00A31A58"/>
    <w:rsid w:val="00A31B09"/>
    <w:rsid w:val="00A31BCB"/>
    <w:rsid w:val="00A31CE4"/>
    <w:rsid w:val="00A31D1B"/>
    <w:rsid w:val="00A31DB4"/>
    <w:rsid w:val="00A31FBF"/>
    <w:rsid w:val="00A31FF8"/>
    <w:rsid w:val="00A3202B"/>
    <w:rsid w:val="00A32133"/>
    <w:rsid w:val="00A322F7"/>
    <w:rsid w:val="00A323F6"/>
    <w:rsid w:val="00A32434"/>
    <w:rsid w:val="00A324AF"/>
    <w:rsid w:val="00A3265D"/>
    <w:rsid w:val="00A32805"/>
    <w:rsid w:val="00A32A3C"/>
    <w:rsid w:val="00A32C3C"/>
    <w:rsid w:val="00A32CAE"/>
    <w:rsid w:val="00A32D07"/>
    <w:rsid w:val="00A32D86"/>
    <w:rsid w:val="00A3381B"/>
    <w:rsid w:val="00A3390D"/>
    <w:rsid w:val="00A33953"/>
    <w:rsid w:val="00A33B22"/>
    <w:rsid w:val="00A33C92"/>
    <w:rsid w:val="00A33F03"/>
    <w:rsid w:val="00A34162"/>
    <w:rsid w:val="00A341B8"/>
    <w:rsid w:val="00A34243"/>
    <w:rsid w:val="00A34725"/>
    <w:rsid w:val="00A3487F"/>
    <w:rsid w:val="00A34931"/>
    <w:rsid w:val="00A34A0A"/>
    <w:rsid w:val="00A34CC4"/>
    <w:rsid w:val="00A352AD"/>
    <w:rsid w:val="00A35372"/>
    <w:rsid w:val="00A357BE"/>
    <w:rsid w:val="00A35858"/>
    <w:rsid w:val="00A35860"/>
    <w:rsid w:val="00A35A0C"/>
    <w:rsid w:val="00A360C8"/>
    <w:rsid w:val="00A36362"/>
    <w:rsid w:val="00A363DC"/>
    <w:rsid w:val="00A36611"/>
    <w:rsid w:val="00A366B0"/>
    <w:rsid w:val="00A368EC"/>
    <w:rsid w:val="00A3690F"/>
    <w:rsid w:val="00A36A6B"/>
    <w:rsid w:val="00A36DA4"/>
    <w:rsid w:val="00A36FC0"/>
    <w:rsid w:val="00A3707B"/>
    <w:rsid w:val="00A370DD"/>
    <w:rsid w:val="00A37341"/>
    <w:rsid w:val="00A3734D"/>
    <w:rsid w:val="00A373D8"/>
    <w:rsid w:val="00A37418"/>
    <w:rsid w:val="00A375CE"/>
    <w:rsid w:val="00A376E4"/>
    <w:rsid w:val="00A37AD2"/>
    <w:rsid w:val="00A37B5A"/>
    <w:rsid w:val="00A37C1A"/>
    <w:rsid w:val="00A37C81"/>
    <w:rsid w:val="00A37F79"/>
    <w:rsid w:val="00A37FEE"/>
    <w:rsid w:val="00A40480"/>
    <w:rsid w:val="00A406B1"/>
    <w:rsid w:val="00A408AB"/>
    <w:rsid w:val="00A408F3"/>
    <w:rsid w:val="00A409D5"/>
    <w:rsid w:val="00A40A5B"/>
    <w:rsid w:val="00A40AD9"/>
    <w:rsid w:val="00A40B26"/>
    <w:rsid w:val="00A40C33"/>
    <w:rsid w:val="00A40C58"/>
    <w:rsid w:val="00A41281"/>
    <w:rsid w:val="00A41640"/>
    <w:rsid w:val="00A419B3"/>
    <w:rsid w:val="00A419EC"/>
    <w:rsid w:val="00A41A0D"/>
    <w:rsid w:val="00A41A25"/>
    <w:rsid w:val="00A41B82"/>
    <w:rsid w:val="00A41D81"/>
    <w:rsid w:val="00A41E14"/>
    <w:rsid w:val="00A420C4"/>
    <w:rsid w:val="00A420DB"/>
    <w:rsid w:val="00A4222E"/>
    <w:rsid w:val="00A4254F"/>
    <w:rsid w:val="00A425E0"/>
    <w:rsid w:val="00A426FC"/>
    <w:rsid w:val="00A427A5"/>
    <w:rsid w:val="00A42891"/>
    <w:rsid w:val="00A428E6"/>
    <w:rsid w:val="00A42968"/>
    <w:rsid w:val="00A42A83"/>
    <w:rsid w:val="00A42BA0"/>
    <w:rsid w:val="00A42DFB"/>
    <w:rsid w:val="00A42E5A"/>
    <w:rsid w:val="00A42FE6"/>
    <w:rsid w:val="00A43075"/>
    <w:rsid w:val="00A432F2"/>
    <w:rsid w:val="00A43421"/>
    <w:rsid w:val="00A43469"/>
    <w:rsid w:val="00A4347D"/>
    <w:rsid w:val="00A434AF"/>
    <w:rsid w:val="00A4353F"/>
    <w:rsid w:val="00A435C7"/>
    <w:rsid w:val="00A43960"/>
    <w:rsid w:val="00A43CB3"/>
    <w:rsid w:val="00A43CE0"/>
    <w:rsid w:val="00A43DB2"/>
    <w:rsid w:val="00A43E8F"/>
    <w:rsid w:val="00A440F4"/>
    <w:rsid w:val="00A4411D"/>
    <w:rsid w:val="00A4424E"/>
    <w:rsid w:val="00A4428B"/>
    <w:rsid w:val="00A442F9"/>
    <w:rsid w:val="00A443D7"/>
    <w:rsid w:val="00A446AC"/>
    <w:rsid w:val="00A4488A"/>
    <w:rsid w:val="00A44947"/>
    <w:rsid w:val="00A44A2F"/>
    <w:rsid w:val="00A44A97"/>
    <w:rsid w:val="00A44C7E"/>
    <w:rsid w:val="00A44D54"/>
    <w:rsid w:val="00A44EF1"/>
    <w:rsid w:val="00A453E3"/>
    <w:rsid w:val="00A4545A"/>
    <w:rsid w:val="00A45534"/>
    <w:rsid w:val="00A45563"/>
    <w:rsid w:val="00A455F3"/>
    <w:rsid w:val="00A45780"/>
    <w:rsid w:val="00A4588F"/>
    <w:rsid w:val="00A45BF1"/>
    <w:rsid w:val="00A45E92"/>
    <w:rsid w:val="00A45FE8"/>
    <w:rsid w:val="00A46079"/>
    <w:rsid w:val="00A46339"/>
    <w:rsid w:val="00A4637C"/>
    <w:rsid w:val="00A46608"/>
    <w:rsid w:val="00A46740"/>
    <w:rsid w:val="00A467CF"/>
    <w:rsid w:val="00A46AE9"/>
    <w:rsid w:val="00A470A0"/>
    <w:rsid w:val="00A47227"/>
    <w:rsid w:val="00A4734D"/>
    <w:rsid w:val="00A4739E"/>
    <w:rsid w:val="00A47423"/>
    <w:rsid w:val="00A474C5"/>
    <w:rsid w:val="00A4778A"/>
    <w:rsid w:val="00A47920"/>
    <w:rsid w:val="00A47AC8"/>
    <w:rsid w:val="00A47C3C"/>
    <w:rsid w:val="00A47E35"/>
    <w:rsid w:val="00A47F68"/>
    <w:rsid w:val="00A47FC5"/>
    <w:rsid w:val="00A50042"/>
    <w:rsid w:val="00A5038B"/>
    <w:rsid w:val="00A508C5"/>
    <w:rsid w:val="00A50D33"/>
    <w:rsid w:val="00A511E4"/>
    <w:rsid w:val="00A51267"/>
    <w:rsid w:val="00A51460"/>
    <w:rsid w:val="00A515DA"/>
    <w:rsid w:val="00A515F0"/>
    <w:rsid w:val="00A5172F"/>
    <w:rsid w:val="00A51843"/>
    <w:rsid w:val="00A51A24"/>
    <w:rsid w:val="00A51AF7"/>
    <w:rsid w:val="00A51C54"/>
    <w:rsid w:val="00A51C5B"/>
    <w:rsid w:val="00A51CE6"/>
    <w:rsid w:val="00A51DAA"/>
    <w:rsid w:val="00A51E6B"/>
    <w:rsid w:val="00A51F8F"/>
    <w:rsid w:val="00A52085"/>
    <w:rsid w:val="00A5210F"/>
    <w:rsid w:val="00A5232E"/>
    <w:rsid w:val="00A525BD"/>
    <w:rsid w:val="00A527FB"/>
    <w:rsid w:val="00A52A1A"/>
    <w:rsid w:val="00A52B07"/>
    <w:rsid w:val="00A52BDE"/>
    <w:rsid w:val="00A52CB7"/>
    <w:rsid w:val="00A52D51"/>
    <w:rsid w:val="00A52E46"/>
    <w:rsid w:val="00A52E47"/>
    <w:rsid w:val="00A52EF2"/>
    <w:rsid w:val="00A5313E"/>
    <w:rsid w:val="00A531BF"/>
    <w:rsid w:val="00A5321B"/>
    <w:rsid w:val="00A53306"/>
    <w:rsid w:val="00A53316"/>
    <w:rsid w:val="00A5332B"/>
    <w:rsid w:val="00A533A0"/>
    <w:rsid w:val="00A5343D"/>
    <w:rsid w:val="00A53600"/>
    <w:rsid w:val="00A53729"/>
    <w:rsid w:val="00A53935"/>
    <w:rsid w:val="00A53A0C"/>
    <w:rsid w:val="00A53BBB"/>
    <w:rsid w:val="00A53D1F"/>
    <w:rsid w:val="00A53E65"/>
    <w:rsid w:val="00A53F39"/>
    <w:rsid w:val="00A542C6"/>
    <w:rsid w:val="00A5434F"/>
    <w:rsid w:val="00A54843"/>
    <w:rsid w:val="00A54865"/>
    <w:rsid w:val="00A54B2B"/>
    <w:rsid w:val="00A54D1F"/>
    <w:rsid w:val="00A54E40"/>
    <w:rsid w:val="00A54F0C"/>
    <w:rsid w:val="00A54F9A"/>
    <w:rsid w:val="00A5502B"/>
    <w:rsid w:val="00A5511B"/>
    <w:rsid w:val="00A55227"/>
    <w:rsid w:val="00A5541B"/>
    <w:rsid w:val="00A55420"/>
    <w:rsid w:val="00A5548F"/>
    <w:rsid w:val="00A554EB"/>
    <w:rsid w:val="00A555A0"/>
    <w:rsid w:val="00A556D6"/>
    <w:rsid w:val="00A5573A"/>
    <w:rsid w:val="00A558E3"/>
    <w:rsid w:val="00A55959"/>
    <w:rsid w:val="00A559E7"/>
    <w:rsid w:val="00A55D03"/>
    <w:rsid w:val="00A560C1"/>
    <w:rsid w:val="00A56105"/>
    <w:rsid w:val="00A56329"/>
    <w:rsid w:val="00A5655F"/>
    <w:rsid w:val="00A5665F"/>
    <w:rsid w:val="00A5673B"/>
    <w:rsid w:val="00A56A8C"/>
    <w:rsid w:val="00A56C05"/>
    <w:rsid w:val="00A56DCB"/>
    <w:rsid w:val="00A56EA7"/>
    <w:rsid w:val="00A56FA7"/>
    <w:rsid w:val="00A56FBD"/>
    <w:rsid w:val="00A5706A"/>
    <w:rsid w:val="00A571C2"/>
    <w:rsid w:val="00A571E9"/>
    <w:rsid w:val="00A571EF"/>
    <w:rsid w:val="00A5742E"/>
    <w:rsid w:val="00A5753F"/>
    <w:rsid w:val="00A5759A"/>
    <w:rsid w:val="00A576D9"/>
    <w:rsid w:val="00A57B6E"/>
    <w:rsid w:val="00A57E40"/>
    <w:rsid w:val="00A6003E"/>
    <w:rsid w:val="00A60380"/>
    <w:rsid w:val="00A6048E"/>
    <w:rsid w:val="00A60519"/>
    <w:rsid w:val="00A60524"/>
    <w:rsid w:val="00A6055A"/>
    <w:rsid w:val="00A60562"/>
    <w:rsid w:val="00A60565"/>
    <w:rsid w:val="00A60708"/>
    <w:rsid w:val="00A6082E"/>
    <w:rsid w:val="00A60962"/>
    <w:rsid w:val="00A60B03"/>
    <w:rsid w:val="00A61438"/>
    <w:rsid w:val="00A615EB"/>
    <w:rsid w:val="00A616CD"/>
    <w:rsid w:val="00A6174A"/>
    <w:rsid w:val="00A619A0"/>
    <w:rsid w:val="00A61C28"/>
    <w:rsid w:val="00A61C95"/>
    <w:rsid w:val="00A61E9E"/>
    <w:rsid w:val="00A61FA3"/>
    <w:rsid w:val="00A62607"/>
    <w:rsid w:val="00A6266D"/>
    <w:rsid w:val="00A62837"/>
    <w:rsid w:val="00A62916"/>
    <w:rsid w:val="00A62B82"/>
    <w:rsid w:val="00A62C77"/>
    <w:rsid w:val="00A62F34"/>
    <w:rsid w:val="00A6330D"/>
    <w:rsid w:val="00A633E9"/>
    <w:rsid w:val="00A6353B"/>
    <w:rsid w:val="00A636DD"/>
    <w:rsid w:val="00A6396A"/>
    <w:rsid w:val="00A63A2A"/>
    <w:rsid w:val="00A63AEB"/>
    <w:rsid w:val="00A63BB0"/>
    <w:rsid w:val="00A63CEB"/>
    <w:rsid w:val="00A63E33"/>
    <w:rsid w:val="00A63F06"/>
    <w:rsid w:val="00A644AA"/>
    <w:rsid w:val="00A644F8"/>
    <w:rsid w:val="00A645E9"/>
    <w:rsid w:val="00A64925"/>
    <w:rsid w:val="00A64C1A"/>
    <w:rsid w:val="00A64CF5"/>
    <w:rsid w:val="00A6524D"/>
    <w:rsid w:val="00A652B7"/>
    <w:rsid w:val="00A65396"/>
    <w:rsid w:val="00A656B7"/>
    <w:rsid w:val="00A65804"/>
    <w:rsid w:val="00A658AC"/>
    <w:rsid w:val="00A65931"/>
    <w:rsid w:val="00A659A9"/>
    <w:rsid w:val="00A65E7C"/>
    <w:rsid w:val="00A6606D"/>
    <w:rsid w:val="00A660E6"/>
    <w:rsid w:val="00A66446"/>
    <w:rsid w:val="00A6658C"/>
    <w:rsid w:val="00A669DC"/>
    <w:rsid w:val="00A669E1"/>
    <w:rsid w:val="00A66A91"/>
    <w:rsid w:val="00A66C90"/>
    <w:rsid w:val="00A66D38"/>
    <w:rsid w:val="00A67046"/>
    <w:rsid w:val="00A67211"/>
    <w:rsid w:val="00A67333"/>
    <w:rsid w:val="00A674D7"/>
    <w:rsid w:val="00A674EE"/>
    <w:rsid w:val="00A6755A"/>
    <w:rsid w:val="00A677AD"/>
    <w:rsid w:val="00A67911"/>
    <w:rsid w:val="00A67BF9"/>
    <w:rsid w:val="00A67E93"/>
    <w:rsid w:val="00A70044"/>
    <w:rsid w:val="00A700EF"/>
    <w:rsid w:val="00A70332"/>
    <w:rsid w:val="00A70636"/>
    <w:rsid w:val="00A7065C"/>
    <w:rsid w:val="00A707F7"/>
    <w:rsid w:val="00A709B8"/>
    <w:rsid w:val="00A709DD"/>
    <w:rsid w:val="00A70BD0"/>
    <w:rsid w:val="00A70E9C"/>
    <w:rsid w:val="00A70FB9"/>
    <w:rsid w:val="00A7123F"/>
    <w:rsid w:val="00A71461"/>
    <w:rsid w:val="00A71474"/>
    <w:rsid w:val="00A71591"/>
    <w:rsid w:val="00A715E7"/>
    <w:rsid w:val="00A717AE"/>
    <w:rsid w:val="00A718C2"/>
    <w:rsid w:val="00A7193F"/>
    <w:rsid w:val="00A71E40"/>
    <w:rsid w:val="00A72041"/>
    <w:rsid w:val="00A72111"/>
    <w:rsid w:val="00A72123"/>
    <w:rsid w:val="00A72332"/>
    <w:rsid w:val="00A7238C"/>
    <w:rsid w:val="00A72410"/>
    <w:rsid w:val="00A72CBB"/>
    <w:rsid w:val="00A72DD0"/>
    <w:rsid w:val="00A7315B"/>
    <w:rsid w:val="00A731EB"/>
    <w:rsid w:val="00A73364"/>
    <w:rsid w:val="00A73585"/>
    <w:rsid w:val="00A735CF"/>
    <w:rsid w:val="00A73716"/>
    <w:rsid w:val="00A73980"/>
    <w:rsid w:val="00A73E0B"/>
    <w:rsid w:val="00A74236"/>
    <w:rsid w:val="00A74455"/>
    <w:rsid w:val="00A744D3"/>
    <w:rsid w:val="00A744E2"/>
    <w:rsid w:val="00A745D3"/>
    <w:rsid w:val="00A7465A"/>
    <w:rsid w:val="00A74681"/>
    <w:rsid w:val="00A74A3B"/>
    <w:rsid w:val="00A74B08"/>
    <w:rsid w:val="00A74B63"/>
    <w:rsid w:val="00A74CBC"/>
    <w:rsid w:val="00A74CFF"/>
    <w:rsid w:val="00A752A6"/>
    <w:rsid w:val="00A752F4"/>
    <w:rsid w:val="00A7531A"/>
    <w:rsid w:val="00A75345"/>
    <w:rsid w:val="00A754C7"/>
    <w:rsid w:val="00A7575C"/>
    <w:rsid w:val="00A75823"/>
    <w:rsid w:val="00A75BBD"/>
    <w:rsid w:val="00A75D0F"/>
    <w:rsid w:val="00A75E87"/>
    <w:rsid w:val="00A75F73"/>
    <w:rsid w:val="00A7607D"/>
    <w:rsid w:val="00A760DE"/>
    <w:rsid w:val="00A76515"/>
    <w:rsid w:val="00A7663B"/>
    <w:rsid w:val="00A76727"/>
    <w:rsid w:val="00A7674E"/>
    <w:rsid w:val="00A76ACE"/>
    <w:rsid w:val="00A76C0F"/>
    <w:rsid w:val="00A76ECA"/>
    <w:rsid w:val="00A76F23"/>
    <w:rsid w:val="00A7711E"/>
    <w:rsid w:val="00A771CC"/>
    <w:rsid w:val="00A774B1"/>
    <w:rsid w:val="00A77589"/>
    <w:rsid w:val="00A7766C"/>
    <w:rsid w:val="00A776BC"/>
    <w:rsid w:val="00A7776F"/>
    <w:rsid w:val="00A77832"/>
    <w:rsid w:val="00A77A43"/>
    <w:rsid w:val="00A77ADA"/>
    <w:rsid w:val="00A77B4F"/>
    <w:rsid w:val="00A80042"/>
    <w:rsid w:val="00A80087"/>
    <w:rsid w:val="00A800D0"/>
    <w:rsid w:val="00A80186"/>
    <w:rsid w:val="00A803D7"/>
    <w:rsid w:val="00A80446"/>
    <w:rsid w:val="00A805D2"/>
    <w:rsid w:val="00A80641"/>
    <w:rsid w:val="00A808CE"/>
    <w:rsid w:val="00A80A70"/>
    <w:rsid w:val="00A80B2A"/>
    <w:rsid w:val="00A80B41"/>
    <w:rsid w:val="00A80C09"/>
    <w:rsid w:val="00A80C62"/>
    <w:rsid w:val="00A80EE3"/>
    <w:rsid w:val="00A8104B"/>
    <w:rsid w:val="00A81285"/>
    <w:rsid w:val="00A812BF"/>
    <w:rsid w:val="00A812F0"/>
    <w:rsid w:val="00A813EA"/>
    <w:rsid w:val="00A8142A"/>
    <w:rsid w:val="00A81463"/>
    <w:rsid w:val="00A81491"/>
    <w:rsid w:val="00A81A9E"/>
    <w:rsid w:val="00A81C27"/>
    <w:rsid w:val="00A81F5B"/>
    <w:rsid w:val="00A81F94"/>
    <w:rsid w:val="00A82053"/>
    <w:rsid w:val="00A82061"/>
    <w:rsid w:val="00A821D0"/>
    <w:rsid w:val="00A82719"/>
    <w:rsid w:val="00A8272F"/>
    <w:rsid w:val="00A827B5"/>
    <w:rsid w:val="00A82842"/>
    <w:rsid w:val="00A82A80"/>
    <w:rsid w:val="00A82B49"/>
    <w:rsid w:val="00A82B76"/>
    <w:rsid w:val="00A82C57"/>
    <w:rsid w:val="00A82DD3"/>
    <w:rsid w:val="00A82FF9"/>
    <w:rsid w:val="00A830E5"/>
    <w:rsid w:val="00A8313E"/>
    <w:rsid w:val="00A832C9"/>
    <w:rsid w:val="00A83448"/>
    <w:rsid w:val="00A8352F"/>
    <w:rsid w:val="00A836F6"/>
    <w:rsid w:val="00A838FA"/>
    <w:rsid w:val="00A839E4"/>
    <w:rsid w:val="00A83BED"/>
    <w:rsid w:val="00A83FC6"/>
    <w:rsid w:val="00A8401D"/>
    <w:rsid w:val="00A84102"/>
    <w:rsid w:val="00A8429F"/>
    <w:rsid w:val="00A84394"/>
    <w:rsid w:val="00A84460"/>
    <w:rsid w:val="00A845CC"/>
    <w:rsid w:val="00A845D6"/>
    <w:rsid w:val="00A84757"/>
    <w:rsid w:val="00A847A3"/>
    <w:rsid w:val="00A849FB"/>
    <w:rsid w:val="00A84B6D"/>
    <w:rsid w:val="00A84D13"/>
    <w:rsid w:val="00A84D82"/>
    <w:rsid w:val="00A85279"/>
    <w:rsid w:val="00A8530E"/>
    <w:rsid w:val="00A853E5"/>
    <w:rsid w:val="00A85527"/>
    <w:rsid w:val="00A857DF"/>
    <w:rsid w:val="00A85844"/>
    <w:rsid w:val="00A858FC"/>
    <w:rsid w:val="00A85928"/>
    <w:rsid w:val="00A85B96"/>
    <w:rsid w:val="00A85BAF"/>
    <w:rsid w:val="00A85D13"/>
    <w:rsid w:val="00A85FA8"/>
    <w:rsid w:val="00A86072"/>
    <w:rsid w:val="00A8611A"/>
    <w:rsid w:val="00A861DE"/>
    <w:rsid w:val="00A862B7"/>
    <w:rsid w:val="00A863D2"/>
    <w:rsid w:val="00A86446"/>
    <w:rsid w:val="00A8661B"/>
    <w:rsid w:val="00A869CB"/>
    <w:rsid w:val="00A86C68"/>
    <w:rsid w:val="00A86D8D"/>
    <w:rsid w:val="00A86F2A"/>
    <w:rsid w:val="00A8776C"/>
    <w:rsid w:val="00A87F5A"/>
    <w:rsid w:val="00A9019D"/>
    <w:rsid w:val="00A9027D"/>
    <w:rsid w:val="00A902CA"/>
    <w:rsid w:val="00A90322"/>
    <w:rsid w:val="00A90390"/>
    <w:rsid w:val="00A905A4"/>
    <w:rsid w:val="00A90652"/>
    <w:rsid w:val="00A906A4"/>
    <w:rsid w:val="00A906D5"/>
    <w:rsid w:val="00A9074A"/>
    <w:rsid w:val="00A907EE"/>
    <w:rsid w:val="00A90825"/>
    <w:rsid w:val="00A90A48"/>
    <w:rsid w:val="00A90B36"/>
    <w:rsid w:val="00A90DFB"/>
    <w:rsid w:val="00A91B98"/>
    <w:rsid w:val="00A91C24"/>
    <w:rsid w:val="00A91D99"/>
    <w:rsid w:val="00A91EB3"/>
    <w:rsid w:val="00A921B9"/>
    <w:rsid w:val="00A923AA"/>
    <w:rsid w:val="00A926C7"/>
    <w:rsid w:val="00A928AB"/>
    <w:rsid w:val="00A929C6"/>
    <w:rsid w:val="00A929D3"/>
    <w:rsid w:val="00A92A17"/>
    <w:rsid w:val="00A92A9B"/>
    <w:rsid w:val="00A92B49"/>
    <w:rsid w:val="00A92BA2"/>
    <w:rsid w:val="00A92D5A"/>
    <w:rsid w:val="00A92E19"/>
    <w:rsid w:val="00A92F05"/>
    <w:rsid w:val="00A930F0"/>
    <w:rsid w:val="00A933FA"/>
    <w:rsid w:val="00A9349B"/>
    <w:rsid w:val="00A9366F"/>
    <w:rsid w:val="00A93824"/>
    <w:rsid w:val="00A93AB5"/>
    <w:rsid w:val="00A93B0E"/>
    <w:rsid w:val="00A93B2D"/>
    <w:rsid w:val="00A93EC2"/>
    <w:rsid w:val="00A93FFD"/>
    <w:rsid w:val="00A9403C"/>
    <w:rsid w:val="00A94080"/>
    <w:rsid w:val="00A9452A"/>
    <w:rsid w:val="00A94638"/>
    <w:rsid w:val="00A946D2"/>
    <w:rsid w:val="00A94957"/>
    <w:rsid w:val="00A949DE"/>
    <w:rsid w:val="00A94A8D"/>
    <w:rsid w:val="00A94ABD"/>
    <w:rsid w:val="00A94B0B"/>
    <w:rsid w:val="00A94B1E"/>
    <w:rsid w:val="00A94B54"/>
    <w:rsid w:val="00A94B5D"/>
    <w:rsid w:val="00A94BC1"/>
    <w:rsid w:val="00A94D20"/>
    <w:rsid w:val="00A94D8E"/>
    <w:rsid w:val="00A94FF5"/>
    <w:rsid w:val="00A95149"/>
    <w:rsid w:val="00A951A5"/>
    <w:rsid w:val="00A952BE"/>
    <w:rsid w:val="00A954BE"/>
    <w:rsid w:val="00A95796"/>
    <w:rsid w:val="00A959D9"/>
    <w:rsid w:val="00A95A96"/>
    <w:rsid w:val="00A95B9A"/>
    <w:rsid w:val="00A95BBF"/>
    <w:rsid w:val="00A95C0B"/>
    <w:rsid w:val="00A95D9F"/>
    <w:rsid w:val="00A95F23"/>
    <w:rsid w:val="00A962E3"/>
    <w:rsid w:val="00A964E8"/>
    <w:rsid w:val="00A9671C"/>
    <w:rsid w:val="00A969CC"/>
    <w:rsid w:val="00A96BCF"/>
    <w:rsid w:val="00A96DF6"/>
    <w:rsid w:val="00A96FB2"/>
    <w:rsid w:val="00A97016"/>
    <w:rsid w:val="00A97040"/>
    <w:rsid w:val="00A97224"/>
    <w:rsid w:val="00A975F7"/>
    <w:rsid w:val="00A97809"/>
    <w:rsid w:val="00A9793A"/>
    <w:rsid w:val="00A97B50"/>
    <w:rsid w:val="00A97B88"/>
    <w:rsid w:val="00A97BC9"/>
    <w:rsid w:val="00A97D5D"/>
    <w:rsid w:val="00AA00C4"/>
    <w:rsid w:val="00AA00C5"/>
    <w:rsid w:val="00AA01A8"/>
    <w:rsid w:val="00AA01D0"/>
    <w:rsid w:val="00AA0383"/>
    <w:rsid w:val="00AA044E"/>
    <w:rsid w:val="00AA097A"/>
    <w:rsid w:val="00AA0B7A"/>
    <w:rsid w:val="00AA0B83"/>
    <w:rsid w:val="00AA0D34"/>
    <w:rsid w:val="00AA0FD6"/>
    <w:rsid w:val="00AA104D"/>
    <w:rsid w:val="00AA107B"/>
    <w:rsid w:val="00AA1409"/>
    <w:rsid w:val="00AA1640"/>
    <w:rsid w:val="00AA1663"/>
    <w:rsid w:val="00AA181E"/>
    <w:rsid w:val="00AA1829"/>
    <w:rsid w:val="00AA1B74"/>
    <w:rsid w:val="00AA1C31"/>
    <w:rsid w:val="00AA1C79"/>
    <w:rsid w:val="00AA1D08"/>
    <w:rsid w:val="00AA202B"/>
    <w:rsid w:val="00AA221C"/>
    <w:rsid w:val="00AA2309"/>
    <w:rsid w:val="00AA25ED"/>
    <w:rsid w:val="00AA2874"/>
    <w:rsid w:val="00AA2A3F"/>
    <w:rsid w:val="00AA2B90"/>
    <w:rsid w:val="00AA2BCE"/>
    <w:rsid w:val="00AA2D0B"/>
    <w:rsid w:val="00AA2E64"/>
    <w:rsid w:val="00AA2F1E"/>
    <w:rsid w:val="00AA2FAC"/>
    <w:rsid w:val="00AA3085"/>
    <w:rsid w:val="00AA3343"/>
    <w:rsid w:val="00AA347E"/>
    <w:rsid w:val="00AA3583"/>
    <w:rsid w:val="00AA3591"/>
    <w:rsid w:val="00AA3802"/>
    <w:rsid w:val="00AA3875"/>
    <w:rsid w:val="00AA3CB8"/>
    <w:rsid w:val="00AA3CD5"/>
    <w:rsid w:val="00AA3DF7"/>
    <w:rsid w:val="00AA3F15"/>
    <w:rsid w:val="00AA4133"/>
    <w:rsid w:val="00AA4150"/>
    <w:rsid w:val="00AA421A"/>
    <w:rsid w:val="00AA4281"/>
    <w:rsid w:val="00AA445F"/>
    <w:rsid w:val="00AA4834"/>
    <w:rsid w:val="00AA4C45"/>
    <w:rsid w:val="00AA4C68"/>
    <w:rsid w:val="00AA4CD8"/>
    <w:rsid w:val="00AA4D65"/>
    <w:rsid w:val="00AA4ED2"/>
    <w:rsid w:val="00AA4EDC"/>
    <w:rsid w:val="00AA4F6D"/>
    <w:rsid w:val="00AA50E3"/>
    <w:rsid w:val="00AA5163"/>
    <w:rsid w:val="00AA5317"/>
    <w:rsid w:val="00AA58DD"/>
    <w:rsid w:val="00AA5A18"/>
    <w:rsid w:val="00AA5C1B"/>
    <w:rsid w:val="00AA5C29"/>
    <w:rsid w:val="00AA5C46"/>
    <w:rsid w:val="00AA60CD"/>
    <w:rsid w:val="00AA61CE"/>
    <w:rsid w:val="00AA6291"/>
    <w:rsid w:val="00AA64D5"/>
    <w:rsid w:val="00AA65D6"/>
    <w:rsid w:val="00AA6662"/>
    <w:rsid w:val="00AA6795"/>
    <w:rsid w:val="00AA6B98"/>
    <w:rsid w:val="00AA6BC8"/>
    <w:rsid w:val="00AA6C16"/>
    <w:rsid w:val="00AA6CC6"/>
    <w:rsid w:val="00AA6D88"/>
    <w:rsid w:val="00AA6DF0"/>
    <w:rsid w:val="00AA6F4C"/>
    <w:rsid w:val="00AA708E"/>
    <w:rsid w:val="00AA7367"/>
    <w:rsid w:val="00AA743A"/>
    <w:rsid w:val="00AA75EB"/>
    <w:rsid w:val="00AA794B"/>
    <w:rsid w:val="00AA796A"/>
    <w:rsid w:val="00AA79EE"/>
    <w:rsid w:val="00AA7AE2"/>
    <w:rsid w:val="00AA7C54"/>
    <w:rsid w:val="00AA7CA6"/>
    <w:rsid w:val="00AA7D9C"/>
    <w:rsid w:val="00AA7F57"/>
    <w:rsid w:val="00AA7F9D"/>
    <w:rsid w:val="00AB0265"/>
    <w:rsid w:val="00AB02D9"/>
    <w:rsid w:val="00AB0343"/>
    <w:rsid w:val="00AB0456"/>
    <w:rsid w:val="00AB04BB"/>
    <w:rsid w:val="00AB0573"/>
    <w:rsid w:val="00AB059B"/>
    <w:rsid w:val="00AB0635"/>
    <w:rsid w:val="00AB08B4"/>
    <w:rsid w:val="00AB0926"/>
    <w:rsid w:val="00AB09B0"/>
    <w:rsid w:val="00AB09BA"/>
    <w:rsid w:val="00AB0B56"/>
    <w:rsid w:val="00AB0C57"/>
    <w:rsid w:val="00AB0CF2"/>
    <w:rsid w:val="00AB0E9B"/>
    <w:rsid w:val="00AB106E"/>
    <w:rsid w:val="00AB128B"/>
    <w:rsid w:val="00AB1640"/>
    <w:rsid w:val="00AB1727"/>
    <w:rsid w:val="00AB197A"/>
    <w:rsid w:val="00AB1A82"/>
    <w:rsid w:val="00AB1AB5"/>
    <w:rsid w:val="00AB1AF3"/>
    <w:rsid w:val="00AB1BC0"/>
    <w:rsid w:val="00AB1BE6"/>
    <w:rsid w:val="00AB1CD1"/>
    <w:rsid w:val="00AB1D6A"/>
    <w:rsid w:val="00AB1E1A"/>
    <w:rsid w:val="00AB1F36"/>
    <w:rsid w:val="00AB21E1"/>
    <w:rsid w:val="00AB22EB"/>
    <w:rsid w:val="00AB24CC"/>
    <w:rsid w:val="00AB2703"/>
    <w:rsid w:val="00AB287B"/>
    <w:rsid w:val="00AB28D1"/>
    <w:rsid w:val="00AB2959"/>
    <w:rsid w:val="00AB2A3B"/>
    <w:rsid w:val="00AB2C05"/>
    <w:rsid w:val="00AB2D15"/>
    <w:rsid w:val="00AB2DD8"/>
    <w:rsid w:val="00AB2E8D"/>
    <w:rsid w:val="00AB30DB"/>
    <w:rsid w:val="00AB361F"/>
    <w:rsid w:val="00AB37DF"/>
    <w:rsid w:val="00AB380C"/>
    <w:rsid w:val="00AB3968"/>
    <w:rsid w:val="00AB3D8A"/>
    <w:rsid w:val="00AB3ECC"/>
    <w:rsid w:val="00AB402A"/>
    <w:rsid w:val="00AB4059"/>
    <w:rsid w:val="00AB40BD"/>
    <w:rsid w:val="00AB41CC"/>
    <w:rsid w:val="00AB41E3"/>
    <w:rsid w:val="00AB4279"/>
    <w:rsid w:val="00AB42E5"/>
    <w:rsid w:val="00AB4317"/>
    <w:rsid w:val="00AB473A"/>
    <w:rsid w:val="00AB48F6"/>
    <w:rsid w:val="00AB48FD"/>
    <w:rsid w:val="00AB4942"/>
    <w:rsid w:val="00AB4A78"/>
    <w:rsid w:val="00AB4FFA"/>
    <w:rsid w:val="00AB5297"/>
    <w:rsid w:val="00AB5308"/>
    <w:rsid w:val="00AB54DF"/>
    <w:rsid w:val="00AB5507"/>
    <w:rsid w:val="00AB55B5"/>
    <w:rsid w:val="00AB59FA"/>
    <w:rsid w:val="00AB5B74"/>
    <w:rsid w:val="00AB5BBF"/>
    <w:rsid w:val="00AB5D4E"/>
    <w:rsid w:val="00AB5D6F"/>
    <w:rsid w:val="00AB6440"/>
    <w:rsid w:val="00AB64DC"/>
    <w:rsid w:val="00AB64F4"/>
    <w:rsid w:val="00AB65EB"/>
    <w:rsid w:val="00AB67C1"/>
    <w:rsid w:val="00AB6A2F"/>
    <w:rsid w:val="00AB6B0C"/>
    <w:rsid w:val="00AB6CDC"/>
    <w:rsid w:val="00AB6DD4"/>
    <w:rsid w:val="00AB6FA6"/>
    <w:rsid w:val="00AB716A"/>
    <w:rsid w:val="00AB716F"/>
    <w:rsid w:val="00AB7222"/>
    <w:rsid w:val="00AB72C7"/>
    <w:rsid w:val="00AB72DD"/>
    <w:rsid w:val="00AB72E0"/>
    <w:rsid w:val="00AB7305"/>
    <w:rsid w:val="00AB7342"/>
    <w:rsid w:val="00AB757B"/>
    <w:rsid w:val="00AB75C8"/>
    <w:rsid w:val="00AB75E3"/>
    <w:rsid w:val="00AB762B"/>
    <w:rsid w:val="00AB775F"/>
    <w:rsid w:val="00AB7810"/>
    <w:rsid w:val="00AB78FF"/>
    <w:rsid w:val="00AB7975"/>
    <w:rsid w:val="00AB7C4C"/>
    <w:rsid w:val="00AB7E3D"/>
    <w:rsid w:val="00AB7E8B"/>
    <w:rsid w:val="00AB7F3B"/>
    <w:rsid w:val="00AC0195"/>
    <w:rsid w:val="00AC0229"/>
    <w:rsid w:val="00AC0309"/>
    <w:rsid w:val="00AC0393"/>
    <w:rsid w:val="00AC0535"/>
    <w:rsid w:val="00AC0749"/>
    <w:rsid w:val="00AC0804"/>
    <w:rsid w:val="00AC090B"/>
    <w:rsid w:val="00AC0DD0"/>
    <w:rsid w:val="00AC104C"/>
    <w:rsid w:val="00AC1075"/>
    <w:rsid w:val="00AC1128"/>
    <w:rsid w:val="00AC1452"/>
    <w:rsid w:val="00AC14A3"/>
    <w:rsid w:val="00AC1ADA"/>
    <w:rsid w:val="00AC1FD5"/>
    <w:rsid w:val="00AC1FDE"/>
    <w:rsid w:val="00AC201F"/>
    <w:rsid w:val="00AC2259"/>
    <w:rsid w:val="00AC227D"/>
    <w:rsid w:val="00AC2422"/>
    <w:rsid w:val="00AC2440"/>
    <w:rsid w:val="00AC254D"/>
    <w:rsid w:val="00AC26E8"/>
    <w:rsid w:val="00AC29FF"/>
    <w:rsid w:val="00AC2B0B"/>
    <w:rsid w:val="00AC2C07"/>
    <w:rsid w:val="00AC2D13"/>
    <w:rsid w:val="00AC2DF6"/>
    <w:rsid w:val="00AC2E0B"/>
    <w:rsid w:val="00AC341E"/>
    <w:rsid w:val="00AC37B2"/>
    <w:rsid w:val="00AC3865"/>
    <w:rsid w:val="00AC38B9"/>
    <w:rsid w:val="00AC38CA"/>
    <w:rsid w:val="00AC3D3B"/>
    <w:rsid w:val="00AC4054"/>
    <w:rsid w:val="00AC431A"/>
    <w:rsid w:val="00AC4354"/>
    <w:rsid w:val="00AC44B8"/>
    <w:rsid w:val="00AC45E5"/>
    <w:rsid w:val="00AC495C"/>
    <w:rsid w:val="00AC49ED"/>
    <w:rsid w:val="00AC4B01"/>
    <w:rsid w:val="00AC4F07"/>
    <w:rsid w:val="00AC5413"/>
    <w:rsid w:val="00AC58ED"/>
    <w:rsid w:val="00AC5A5F"/>
    <w:rsid w:val="00AC5BF7"/>
    <w:rsid w:val="00AC5FE8"/>
    <w:rsid w:val="00AC6145"/>
    <w:rsid w:val="00AC6166"/>
    <w:rsid w:val="00AC616D"/>
    <w:rsid w:val="00AC6770"/>
    <w:rsid w:val="00AC6787"/>
    <w:rsid w:val="00AC684A"/>
    <w:rsid w:val="00AC69CB"/>
    <w:rsid w:val="00AC6A3B"/>
    <w:rsid w:val="00AC6E69"/>
    <w:rsid w:val="00AC6FC4"/>
    <w:rsid w:val="00AC72A3"/>
    <w:rsid w:val="00AC753C"/>
    <w:rsid w:val="00AC7682"/>
    <w:rsid w:val="00AC78B9"/>
    <w:rsid w:val="00AC7BBD"/>
    <w:rsid w:val="00AC7D5E"/>
    <w:rsid w:val="00AC7E63"/>
    <w:rsid w:val="00AC7FE3"/>
    <w:rsid w:val="00AD00ED"/>
    <w:rsid w:val="00AD016F"/>
    <w:rsid w:val="00AD0405"/>
    <w:rsid w:val="00AD0684"/>
    <w:rsid w:val="00AD0CE5"/>
    <w:rsid w:val="00AD0E57"/>
    <w:rsid w:val="00AD13F5"/>
    <w:rsid w:val="00AD147F"/>
    <w:rsid w:val="00AD1576"/>
    <w:rsid w:val="00AD168E"/>
    <w:rsid w:val="00AD1A28"/>
    <w:rsid w:val="00AD1BA9"/>
    <w:rsid w:val="00AD1BC6"/>
    <w:rsid w:val="00AD1D3A"/>
    <w:rsid w:val="00AD1EF5"/>
    <w:rsid w:val="00AD1F89"/>
    <w:rsid w:val="00AD1FEE"/>
    <w:rsid w:val="00AD202D"/>
    <w:rsid w:val="00AD2052"/>
    <w:rsid w:val="00AD218E"/>
    <w:rsid w:val="00AD2463"/>
    <w:rsid w:val="00AD24FB"/>
    <w:rsid w:val="00AD2556"/>
    <w:rsid w:val="00AD285D"/>
    <w:rsid w:val="00AD2941"/>
    <w:rsid w:val="00AD29E9"/>
    <w:rsid w:val="00AD2D22"/>
    <w:rsid w:val="00AD2DE7"/>
    <w:rsid w:val="00AD314E"/>
    <w:rsid w:val="00AD343D"/>
    <w:rsid w:val="00AD34BE"/>
    <w:rsid w:val="00AD36C5"/>
    <w:rsid w:val="00AD3846"/>
    <w:rsid w:val="00AD3A86"/>
    <w:rsid w:val="00AD3B7B"/>
    <w:rsid w:val="00AD3B80"/>
    <w:rsid w:val="00AD3C92"/>
    <w:rsid w:val="00AD3CBF"/>
    <w:rsid w:val="00AD3D37"/>
    <w:rsid w:val="00AD4075"/>
    <w:rsid w:val="00AD41B4"/>
    <w:rsid w:val="00AD4607"/>
    <w:rsid w:val="00AD463F"/>
    <w:rsid w:val="00AD49AF"/>
    <w:rsid w:val="00AD4A52"/>
    <w:rsid w:val="00AD4C13"/>
    <w:rsid w:val="00AD4D4D"/>
    <w:rsid w:val="00AD4F54"/>
    <w:rsid w:val="00AD5072"/>
    <w:rsid w:val="00AD531F"/>
    <w:rsid w:val="00AD54A1"/>
    <w:rsid w:val="00AD57C1"/>
    <w:rsid w:val="00AD5C43"/>
    <w:rsid w:val="00AD5F41"/>
    <w:rsid w:val="00AD6334"/>
    <w:rsid w:val="00AD633C"/>
    <w:rsid w:val="00AD65BE"/>
    <w:rsid w:val="00AD66CB"/>
    <w:rsid w:val="00AD66E5"/>
    <w:rsid w:val="00AD673D"/>
    <w:rsid w:val="00AD67EE"/>
    <w:rsid w:val="00AD6B32"/>
    <w:rsid w:val="00AD6BAD"/>
    <w:rsid w:val="00AD6BEA"/>
    <w:rsid w:val="00AD6C3B"/>
    <w:rsid w:val="00AD6C96"/>
    <w:rsid w:val="00AD6F6C"/>
    <w:rsid w:val="00AD7176"/>
    <w:rsid w:val="00AD71F0"/>
    <w:rsid w:val="00AD73A8"/>
    <w:rsid w:val="00AD7449"/>
    <w:rsid w:val="00AD7474"/>
    <w:rsid w:val="00AD7519"/>
    <w:rsid w:val="00AD7576"/>
    <w:rsid w:val="00AD7607"/>
    <w:rsid w:val="00AD7686"/>
    <w:rsid w:val="00AD77E5"/>
    <w:rsid w:val="00AD79F6"/>
    <w:rsid w:val="00AD7A4D"/>
    <w:rsid w:val="00AD7B6F"/>
    <w:rsid w:val="00AD7C7E"/>
    <w:rsid w:val="00AD7D28"/>
    <w:rsid w:val="00AE0230"/>
    <w:rsid w:val="00AE0772"/>
    <w:rsid w:val="00AE0989"/>
    <w:rsid w:val="00AE09A3"/>
    <w:rsid w:val="00AE0AFA"/>
    <w:rsid w:val="00AE0B4D"/>
    <w:rsid w:val="00AE0F71"/>
    <w:rsid w:val="00AE10CC"/>
    <w:rsid w:val="00AE117C"/>
    <w:rsid w:val="00AE1291"/>
    <w:rsid w:val="00AE13F2"/>
    <w:rsid w:val="00AE15B5"/>
    <w:rsid w:val="00AE169C"/>
    <w:rsid w:val="00AE1846"/>
    <w:rsid w:val="00AE18A6"/>
    <w:rsid w:val="00AE1E13"/>
    <w:rsid w:val="00AE1E9C"/>
    <w:rsid w:val="00AE1FE6"/>
    <w:rsid w:val="00AE23C7"/>
    <w:rsid w:val="00AE27D6"/>
    <w:rsid w:val="00AE29E3"/>
    <w:rsid w:val="00AE2B95"/>
    <w:rsid w:val="00AE2C9E"/>
    <w:rsid w:val="00AE3108"/>
    <w:rsid w:val="00AE31A4"/>
    <w:rsid w:val="00AE322E"/>
    <w:rsid w:val="00AE3256"/>
    <w:rsid w:val="00AE36F0"/>
    <w:rsid w:val="00AE375C"/>
    <w:rsid w:val="00AE388D"/>
    <w:rsid w:val="00AE38B8"/>
    <w:rsid w:val="00AE38E4"/>
    <w:rsid w:val="00AE3AB6"/>
    <w:rsid w:val="00AE3C3A"/>
    <w:rsid w:val="00AE3C4A"/>
    <w:rsid w:val="00AE3ECF"/>
    <w:rsid w:val="00AE409C"/>
    <w:rsid w:val="00AE418E"/>
    <w:rsid w:val="00AE418F"/>
    <w:rsid w:val="00AE41FE"/>
    <w:rsid w:val="00AE42C0"/>
    <w:rsid w:val="00AE42C4"/>
    <w:rsid w:val="00AE44D0"/>
    <w:rsid w:val="00AE4573"/>
    <w:rsid w:val="00AE4753"/>
    <w:rsid w:val="00AE49AB"/>
    <w:rsid w:val="00AE4A41"/>
    <w:rsid w:val="00AE4ABD"/>
    <w:rsid w:val="00AE4C0B"/>
    <w:rsid w:val="00AE4EB2"/>
    <w:rsid w:val="00AE55A0"/>
    <w:rsid w:val="00AE56C4"/>
    <w:rsid w:val="00AE577F"/>
    <w:rsid w:val="00AE57ED"/>
    <w:rsid w:val="00AE58B7"/>
    <w:rsid w:val="00AE5996"/>
    <w:rsid w:val="00AE5A31"/>
    <w:rsid w:val="00AE5C86"/>
    <w:rsid w:val="00AE5D96"/>
    <w:rsid w:val="00AE5DB9"/>
    <w:rsid w:val="00AE5FF2"/>
    <w:rsid w:val="00AE60FD"/>
    <w:rsid w:val="00AE6183"/>
    <w:rsid w:val="00AE61E6"/>
    <w:rsid w:val="00AE6249"/>
    <w:rsid w:val="00AE6285"/>
    <w:rsid w:val="00AE62B4"/>
    <w:rsid w:val="00AE6311"/>
    <w:rsid w:val="00AE633F"/>
    <w:rsid w:val="00AE648B"/>
    <w:rsid w:val="00AE64B6"/>
    <w:rsid w:val="00AE64ED"/>
    <w:rsid w:val="00AE692A"/>
    <w:rsid w:val="00AE6988"/>
    <w:rsid w:val="00AE6A27"/>
    <w:rsid w:val="00AE6AF6"/>
    <w:rsid w:val="00AE6D65"/>
    <w:rsid w:val="00AE6DC6"/>
    <w:rsid w:val="00AE6E1E"/>
    <w:rsid w:val="00AE6FA3"/>
    <w:rsid w:val="00AE750E"/>
    <w:rsid w:val="00AE77B0"/>
    <w:rsid w:val="00AF013B"/>
    <w:rsid w:val="00AF02C4"/>
    <w:rsid w:val="00AF02DD"/>
    <w:rsid w:val="00AF0393"/>
    <w:rsid w:val="00AF0477"/>
    <w:rsid w:val="00AF0A48"/>
    <w:rsid w:val="00AF0AA5"/>
    <w:rsid w:val="00AF0DBD"/>
    <w:rsid w:val="00AF0EFB"/>
    <w:rsid w:val="00AF11D5"/>
    <w:rsid w:val="00AF1520"/>
    <w:rsid w:val="00AF1ECC"/>
    <w:rsid w:val="00AF1EDB"/>
    <w:rsid w:val="00AF20C0"/>
    <w:rsid w:val="00AF20C9"/>
    <w:rsid w:val="00AF2541"/>
    <w:rsid w:val="00AF2553"/>
    <w:rsid w:val="00AF25F5"/>
    <w:rsid w:val="00AF2704"/>
    <w:rsid w:val="00AF2C1F"/>
    <w:rsid w:val="00AF2CD1"/>
    <w:rsid w:val="00AF2CEB"/>
    <w:rsid w:val="00AF2D01"/>
    <w:rsid w:val="00AF2DBF"/>
    <w:rsid w:val="00AF2E85"/>
    <w:rsid w:val="00AF2FAE"/>
    <w:rsid w:val="00AF310A"/>
    <w:rsid w:val="00AF3121"/>
    <w:rsid w:val="00AF3458"/>
    <w:rsid w:val="00AF34EB"/>
    <w:rsid w:val="00AF350F"/>
    <w:rsid w:val="00AF3612"/>
    <w:rsid w:val="00AF367C"/>
    <w:rsid w:val="00AF380F"/>
    <w:rsid w:val="00AF3964"/>
    <w:rsid w:val="00AF3AA7"/>
    <w:rsid w:val="00AF3BA4"/>
    <w:rsid w:val="00AF3BAE"/>
    <w:rsid w:val="00AF3D29"/>
    <w:rsid w:val="00AF3D90"/>
    <w:rsid w:val="00AF40CE"/>
    <w:rsid w:val="00AF4118"/>
    <w:rsid w:val="00AF4459"/>
    <w:rsid w:val="00AF473D"/>
    <w:rsid w:val="00AF47CB"/>
    <w:rsid w:val="00AF4A3E"/>
    <w:rsid w:val="00AF4DA6"/>
    <w:rsid w:val="00AF5108"/>
    <w:rsid w:val="00AF53C8"/>
    <w:rsid w:val="00AF560F"/>
    <w:rsid w:val="00AF56C9"/>
    <w:rsid w:val="00AF56EE"/>
    <w:rsid w:val="00AF587D"/>
    <w:rsid w:val="00AF58AD"/>
    <w:rsid w:val="00AF5A2E"/>
    <w:rsid w:val="00AF5DE1"/>
    <w:rsid w:val="00AF5F7C"/>
    <w:rsid w:val="00AF5FB6"/>
    <w:rsid w:val="00AF61EB"/>
    <w:rsid w:val="00AF634B"/>
    <w:rsid w:val="00AF6413"/>
    <w:rsid w:val="00AF65D5"/>
    <w:rsid w:val="00AF65F8"/>
    <w:rsid w:val="00AF664A"/>
    <w:rsid w:val="00AF67F9"/>
    <w:rsid w:val="00AF690E"/>
    <w:rsid w:val="00AF6A18"/>
    <w:rsid w:val="00AF6D99"/>
    <w:rsid w:val="00AF6F59"/>
    <w:rsid w:val="00AF7284"/>
    <w:rsid w:val="00AF7371"/>
    <w:rsid w:val="00AF744B"/>
    <w:rsid w:val="00AF7504"/>
    <w:rsid w:val="00AF7556"/>
    <w:rsid w:val="00AF768D"/>
    <w:rsid w:val="00AF76AF"/>
    <w:rsid w:val="00AF76FD"/>
    <w:rsid w:val="00AF7808"/>
    <w:rsid w:val="00B00009"/>
    <w:rsid w:val="00B000DF"/>
    <w:rsid w:val="00B00192"/>
    <w:rsid w:val="00B00481"/>
    <w:rsid w:val="00B00515"/>
    <w:rsid w:val="00B00550"/>
    <w:rsid w:val="00B0070A"/>
    <w:rsid w:val="00B00A3A"/>
    <w:rsid w:val="00B00BB0"/>
    <w:rsid w:val="00B00C15"/>
    <w:rsid w:val="00B00EB6"/>
    <w:rsid w:val="00B00FBA"/>
    <w:rsid w:val="00B0104B"/>
    <w:rsid w:val="00B01115"/>
    <w:rsid w:val="00B01185"/>
    <w:rsid w:val="00B01297"/>
    <w:rsid w:val="00B012DD"/>
    <w:rsid w:val="00B013A8"/>
    <w:rsid w:val="00B01409"/>
    <w:rsid w:val="00B01555"/>
    <w:rsid w:val="00B01663"/>
    <w:rsid w:val="00B01974"/>
    <w:rsid w:val="00B01AFF"/>
    <w:rsid w:val="00B01F1A"/>
    <w:rsid w:val="00B0208B"/>
    <w:rsid w:val="00B02106"/>
    <w:rsid w:val="00B02141"/>
    <w:rsid w:val="00B022E8"/>
    <w:rsid w:val="00B026EE"/>
    <w:rsid w:val="00B02710"/>
    <w:rsid w:val="00B0288D"/>
    <w:rsid w:val="00B02A10"/>
    <w:rsid w:val="00B02B69"/>
    <w:rsid w:val="00B02DB2"/>
    <w:rsid w:val="00B02DC0"/>
    <w:rsid w:val="00B0319E"/>
    <w:rsid w:val="00B03391"/>
    <w:rsid w:val="00B0349C"/>
    <w:rsid w:val="00B0374B"/>
    <w:rsid w:val="00B0389A"/>
    <w:rsid w:val="00B03ADF"/>
    <w:rsid w:val="00B03E62"/>
    <w:rsid w:val="00B041CA"/>
    <w:rsid w:val="00B04232"/>
    <w:rsid w:val="00B0438E"/>
    <w:rsid w:val="00B043A4"/>
    <w:rsid w:val="00B043AE"/>
    <w:rsid w:val="00B045A0"/>
    <w:rsid w:val="00B045AF"/>
    <w:rsid w:val="00B046FC"/>
    <w:rsid w:val="00B0480F"/>
    <w:rsid w:val="00B04A5B"/>
    <w:rsid w:val="00B04ADD"/>
    <w:rsid w:val="00B04C7E"/>
    <w:rsid w:val="00B04F80"/>
    <w:rsid w:val="00B0500E"/>
    <w:rsid w:val="00B05288"/>
    <w:rsid w:val="00B05448"/>
    <w:rsid w:val="00B05497"/>
    <w:rsid w:val="00B05597"/>
    <w:rsid w:val="00B055F1"/>
    <w:rsid w:val="00B057A8"/>
    <w:rsid w:val="00B057D0"/>
    <w:rsid w:val="00B0584A"/>
    <w:rsid w:val="00B0586C"/>
    <w:rsid w:val="00B058AE"/>
    <w:rsid w:val="00B05A8B"/>
    <w:rsid w:val="00B05AEB"/>
    <w:rsid w:val="00B05B7D"/>
    <w:rsid w:val="00B05E4D"/>
    <w:rsid w:val="00B061FA"/>
    <w:rsid w:val="00B063AA"/>
    <w:rsid w:val="00B06475"/>
    <w:rsid w:val="00B064FF"/>
    <w:rsid w:val="00B0656E"/>
    <w:rsid w:val="00B0671A"/>
    <w:rsid w:val="00B06882"/>
    <w:rsid w:val="00B06C67"/>
    <w:rsid w:val="00B06F8C"/>
    <w:rsid w:val="00B070B8"/>
    <w:rsid w:val="00B07178"/>
    <w:rsid w:val="00B071CF"/>
    <w:rsid w:val="00B077B5"/>
    <w:rsid w:val="00B07896"/>
    <w:rsid w:val="00B07BE6"/>
    <w:rsid w:val="00B07C44"/>
    <w:rsid w:val="00B07CEC"/>
    <w:rsid w:val="00B07D3B"/>
    <w:rsid w:val="00B07DF5"/>
    <w:rsid w:val="00B10032"/>
    <w:rsid w:val="00B1038C"/>
    <w:rsid w:val="00B103A1"/>
    <w:rsid w:val="00B1042B"/>
    <w:rsid w:val="00B1042F"/>
    <w:rsid w:val="00B105FB"/>
    <w:rsid w:val="00B106F3"/>
    <w:rsid w:val="00B107A5"/>
    <w:rsid w:val="00B10B07"/>
    <w:rsid w:val="00B11122"/>
    <w:rsid w:val="00B115E2"/>
    <w:rsid w:val="00B11CA2"/>
    <w:rsid w:val="00B11D92"/>
    <w:rsid w:val="00B11FEB"/>
    <w:rsid w:val="00B120A0"/>
    <w:rsid w:val="00B1211D"/>
    <w:rsid w:val="00B12241"/>
    <w:rsid w:val="00B1256D"/>
    <w:rsid w:val="00B12BDC"/>
    <w:rsid w:val="00B12F51"/>
    <w:rsid w:val="00B13023"/>
    <w:rsid w:val="00B130D2"/>
    <w:rsid w:val="00B134A7"/>
    <w:rsid w:val="00B13526"/>
    <w:rsid w:val="00B1359B"/>
    <w:rsid w:val="00B135CB"/>
    <w:rsid w:val="00B1366F"/>
    <w:rsid w:val="00B136B5"/>
    <w:rsid w:val="00B137F2"/>
    <w:rsid w:val="00B13847"/>
    <w:rsid w:val="00B13959"/>
    <w:rsid w:val="00B13A7D"/>
    <w:rsid w:val="00B13F57"/>
    <w:rsid w:val="00B14112"/>
    <w:rsid w:val="00B14277"/>
    <w:rsid w:val="00B14344"/>
    <w:rsid w:val="00B14437"/>
    <w:rsid w:val="00B145E6"/>
    <w:rsid w:val="00B14949"/>
    <w:rsid w:val="00B1494A"/>
    <w:rsid w:val="00B1497A"/>
    <w:rsid w:val="00B14B36"/>
    <w:rsid w:val="00B14B8F"/>
    <w:rsid w:val="00B14D63"/>
    <w:rsid w:val="00B14F16"/>
    <w:rsid w:val="00B1505B"/>
    <w:rsid w:val="00B150CB"/>
    <w:rsid w:val="00B152CD"/>
    <w:rsid w:val="00B154A3"/>
    <w:rsid w:val="00B154CE"/>
    <w:rsid w:val="00B155A7"/>
    <w:rsid w:val="00B155A8"/>
    <w:rsid w:val="00B1562D"/>
    <w:rsid w:val="00B15C58"/>
    <w:rsid w:val="00B15D45"/>
    <w:rsid w:val="00B15F1B"/>
    <w:rsid w:val="00B15F5F"/>
    <w:rsid w:val="00B1612F"/>
    <w:rsid w:val="00B16569"/>
    <w:rsid w:val="00B1667B"/>
    <w:rsid w:val="00B168C7"/>
    <w:rsid w:val="00B16964"/>
    <w:rsid w:val="00B169DE"/>
    <w:rsid w:val="00B16A49"/>
    <w:rsid w:val="00B16A86"/>
    <w:rsid w:val="00B16EFE"/>
    <w:rsid w:val="00B16F19"/>
    <w:rsid w:val="00B1705E"/>
    <w:rsid w:val="00B17257"/>
    <w:rsid w:val="00B1738E"/>
    <w:rsid w:val="00B17396"/>
    <w:rsid w:val="00B1743F"/>
    <w:rsid w:val="00B174A3"/>
    <w:rsid w:val="00B174B9"/>
    <w:rsid w:val="00B1755E"/>
    <w:rsid w:val="00B178DC"/>
    <w:rsid w:val="00B17AB6"/>
    <w:rsid w:val="00B2016D"/>
    <w:rsid w:val="00B201A3"/>
    <w:rsid w:val="00B20386"/>
    <w:rsid w:val="00B203D7"/>
    <w:rsid w:val="00B20552"/>
    <w:rsid w:val="00B2058C"/>
    <w:rsid w:val="00B20620"/>
    <w:rsid w:val="00B20F0F"/>
    <w:rsid w:val="00B21130"/>
    <w:rsid w:val="00B21302"/>
    <w:rsid w:val="00B215B9"/>
    <w:rsid w:val="00B215D7"/>
    <w:rsid w:val="00B215FE"/>
    <w:rsid w:val="00B218C6"/>
    <w:rsid w:val="00B21C1F"/>
    <w:rsid w:val="00B21C53"/>
    <w:rsid w:val="00B222B8"/>
    <w:rsid w:val="00B22543"/>
    <w:rsid w:val="00B2265A"/>
    <w:rsid w:val="00B22975"/>
    <w:rsid w:val="00B22A06"/>
    <w:rsid w:val="00B22A72"/>
    <w:rsid w:val="00B22B09"/>
    <w:rsid w:val="00B22B50"/>
    <w:rsid w:val="00B22D14"/>
    <w:rsid w:val="00B22E6B"/>
    <w:rsid w:val="00B22EC8"/>
    <w:rsid w:val="00B22FAF"/>
    <w:rsid w:val="00B2310B"/>
    <w:rsid w:val="00B2356E"/>
    <w:rsid w:val="00B23651"/>
    <w:rsid w:val="00B23B20"/>
    <w:rsid w:val="00B23B2E"/>
    <w:rsid w:val="00B23BDA"/>
    <w:rsid w:val="00B23E22"/>
    <w:rsid w:val="00B23F58"/>
    <w:rsid w:val="00B240E6"/>
    <w:rsid w:val="00B2422C"/>
    <w:rsid w:val="00B24750"/>
    <w:rsid w:val="00B2476F"/>
    <w:rsid w:val="00B248BE"/>
    <w:rsid w:val="00B249D5"/>
    <w:rsid w:val="00B24A7B"/>
    <w:rsid w:val="00B24ABC"/>
    <w:rsid w:val="00B24B7A"/>
    <w:rsid w:val="00B24F5C"/>
    <w:rsid w:val="00B24F85"/>
    <w:rsid w:val="00B25101"/>
    <w:rsid w:val="00B2511D"/>
    <w:rsid w:val="00B25156"/>
    <w:rsid w:val="00B251BD"/>
    <w:rsid w:val="00B25296"/>
    <w:rsid w:val="00B252D2"/>
    <w:rsid w:val="00B253A6"/>
    <w:rsid w:val="00B2546B"/>
    <w:rsid w:val="00B25537"/>
    <w:rsid w:val="00B255C9"/>
    <w:rsid w:val="00B25970"/>
    <w:rsid w:val="00B259A6"/>
    <w:rsid w:val="00B25D34"/>
    <w:rsid w:val="00B2611A"/>
    <w:rsid w:val="00B26300"/>
    <w:rsid w:val="00B263B3"/>
    <w:rsid w:val="00B26458"/>
    <w:rsid w:val="00B26486"/>
    <w:rsid w:val="00B26664"/>
    <w:rsid w:val="00B268A5"/>
    <w:rsid w:val="00B26A1F"/>
    <w:rsid w:val="00B26A4B"/>
    <w:rsid w:val="00B26FF1"/>
    <w:rsid w:val="00B27031"/>
    <w:rsid w:val="00B2714B"/>
    <w:rsid w:val="00B2715F"/>
    <w:rsid w:val="00B27414"/>
    <w:rsid w:val="00B2761D"/>
    <w:rsid w:val="00B276E4"/>
    <w:rsid w:val="00B27781"/>
    <w:rsid w:val="00B27A3E"/>
    <w:rsid w:val="00B27AC7"/>
    <w:rsid w:val="00B27AEC"/>
    <w:rsid w:val="00B27B0F"/>
    <w:rsid w:val="00B27EB5"/>
    <w:rsid w:val="00B27FE0"/>
    <w:rsid w:val="00B3001C"/>
    <w:rsid w:val="00B301E6"/>
    <w:rsid w:val="00B303D1"/>
    <w:rsid w:val="00B30655"/>
    <w:rsid w:val="00B30861"/>
    <w:rsid w:val="00B30A5A"/>
    <w:rsid w:val="00B30C3A"/>
    <w:rsid w:val="00B30F22"/>
    <w:rsid w:val="00B30F3A"/>
    <w:rsid w:val="00B31176"/>
    <w:rsid w:val="00B3142E"/>
    <w:rsid w:val="00B3158A"/>
    <w:rsid w:val="00B31671"/>
    <w:rsid w:val="00B316A1"/>
    <w:rsid w:val="00B317D8"/>
    <w:rsid w:val="00B318FB"/>
    <w:rsid w:val="00B32037"/>
    <w:rsid w:val="00B3225D"/>
    <w:rsid w:val="00B32367"/>
    <w:rsid w:val="00B323B2"/>
    <w:rsid w:val="00B325E6"/>
    <w:rsid w:val="00B326CE"/>
    <w:rsid w:val="00B3288A"/>
    <w:rsid w:val="00B32910"/>
    <w:rsid w:val="00B32942"/>
    <w:rsid w:val="00B329B9"/>
    <w:rsid w:val="00B32AAB"/>
    <w:rsid w:val="00B32ABB"/>
    <w:rsid w:val="00B32DDD"/>
    <w:rsid w:val="00B32F3E"/>
    <w:rsid w:val="00B32F5C"/>
    <w:rsid w:val="00B33035"/>
    <w:rsid w:val="00B33097"/>
    <w:rsid w:val="00B330A1"/>
    <w:rsid w:val="00B330C6"/>
    <w:rsid w:val="00B331E2"/>
    <w:rsid w:val="00B3321D"/>
    <w:rsid w:val="00B3323B"/>
    <w:rsid w:val="00B33346"/>
    <w:rsid w:val="00B3336C"/>
    <w:rsid w:val="00B33385"/>
    <w:rsid w:val="00B33497"/>
    <w:rsid w:val="00B33539"/>
    <w:rsid w:val="00B33857"/>
    <w:rsid w:val="00B33987"/>
    <w:rsid w:val="00B339EA"/>
    <w:rsid w:val="00B33A05"/>
    <w:rsid w:val="00B33AD3"/>
    <w:rsid w:val="00B33AFE"/>
    <w:rsid w:val="00B33CCC"/>
    <w:rsid w:val="00B33D1D"/>
    <w:rsid w:val="00B33DAB"/>
    <w:rsid w:val="00B33FEF"/>
    <w:rsid w:val="00B34063"/>
    <w:rsid w:val="00B34075"/>
    <w:rsid w:val="00B340C8"/>
    <w:rsid w:val="00B34259"/>
    <w:rsid w:val="00B34649"/>
    <w:rsid w:val="00B3476F"/>
    <w:rsid w:val="00B34798"/>
    <w:rsid w:val="00B3480B"/>
    <w:rsid w:val="00B348EC"/>
    <w:rsid w:val="00B34B5D"/>
    <w:rsid w:val="00B34B9A"/>
    <w:rsid w:val="00B34CB9"/>
    <w:rsid w:val="00B34E58"/>
    <w:rsid w:val="00B3539E"/>
    <w:rsid w:val="00B35A34"/>
    <w:rsid w:val="00B35B07"/>
    <w:rsid w:val="00B35BDF"/>
    <w:rsid w:val="00B35CA0"/>
    <w:rsid w:val="00B35CB1"/>
    <w:rsid w:val="00B35D44"/>
    <w:rsid w:val="00B35E44"/>
    <w:rsid w:val="00B360BC"/>
    <w:rsid w:val="00B367EF"/>
    <w:rsid w:val="00B368D7"/>
    <w:rsid w:val="00B36A13"/>
    <w:rsid w:val="00B36A97"/>
    <w:rsid w:val="00B36C3D"/>
    <w:rsid w:val="00B36F5B"/>
    <w:rsid w:val="00B371A1"/>
    <w:rsid w:val="00B37256"/>
    <w:rsid w:val="00B3736B"/>
    <w:rsid w:val="00B37371"/>
    <w:rsid w:val="00B37793"/>
    <w:rsid w:val="00B37823"/>
    <w:rsid w:val="00B3790F"/>
    <w:rsid w:val="00B3794F"/>
    <w:rsid w:val="00B37A7B"/>
    <w:rsid w:val="00B37B5D"/>
    <w:rsid w:val="00B37B88"/>
    <w:rsid w:val="00B37C19"/>
    <w:rsid w:val="00B37CD8"/>
    <w:rsid w:val="00B37D79"/>
    <w:rsid w:val="00B37DF7"/>
    <w:rsid w:val="00B37F2F"/>
    <w:rsid w:val="00B37FD4"/>
    <w:rsid w:val="00B4012B"/>
    <w:rsid w:val="00B40369"/>
    <w:rsid w:val="00B40444"/>
    <w:rsid w:val="00B40928"/>
    <w:rsid w:val="00B40A38"/>
    <w:rsid w:val="00B40D71"/>
    <w:rsid w:val="00B40DB7"/>
    <w:rsid w:val="00B40E90"/>
    <w:rsid w:val="00B410BC"/>
    <w:rsid w:val="00B4130D"/>
    <w:rsid w:val="00B415F3"/>
    <w:rsid w:val="00B41629"/>
    <w:rsid w:val="00B4165F"/>
    <w:rsid w:val="00B417DC"/>
    <w:rsid w:val="00B41917"/>
    <w:rsid w:val="00B41B1D"/>
    <w:rsid w:val="00B41B95"/>
    <w:rsid w:val="00B41C6D"/>
    <w:rsid w:val="00B41D9D"/>
    <w:rsid w:val="00B41E25"/>
    <w:rsid w:val="00B41E79"/>
    <w:rsid w:val="00B4200C"/>
    <w:rsid w:val="00B42336"/>
    <w:rsid w:val="00B423B1"/>
    <w:rsid w:val="00B42508"/>
    <w:rsid w:val="00B4265C"/>
    <w:rsid w:val="00B4265D"/>
    <w:rsid w:val="00B4277C"/>
    <w:rsid w:val="00B42A14"/>
    <w:rsid w:val="00B42C16"/>
    <w:rsid w:val="00B42D32"/>
    <w:rsid w:val="00B4313B"/>
    <w:rsid w:val="00B431EF"/>
    <w:rsid w:val="00B434D5"/>
    <w:rsid w:val="00B436B4"/>
    <w:rsid w:val="00B43725"/>
    <w:rsid w:val="00B437A4"/>
    <w:rsid w:val="00B438FD"/>
    <w:rsid w:val="00B43ACB"/>
    <w:rsid w:val="00B43B34"/>
    <w:rsid w:val="00B43C57"/>
    <w:rsid w:val="00B43E2B"/>
    <w:rsid w:val="00B43F5F"/>
    <w:rsid w:val="00B44228"/>
    <w:rsid w:val="00B4422B"/>
    <w:rsid w:val="00B4444A"/>
    <w:rsid w:val="00B44497"/>
    <w:rsid w:val="00B444E9"/>
    <w:rsid w:val="00B4460B"/>
    <w:rsid w:val="00B4487A"/>
    <w:rsid w:val="00B449DB"/>
    <w:rsid w:val="00B44A70"/>
    <w:rsid w:val="00B44AED"/>
    <w:rsid w:val="00B44BC2"/>
    <w:rsid w:val="00B44BFD"/>
    <w:rsid w:val="00B44D6D"/>
    <w:rsid w:val="00B44E19"/>
    <w:rsid w:val="00B44F3C"/>
    <w:rsid w:val="00B44FCB"/>
    <w:rsid w:val="00B4529F"/>
    <w:rsid w:val="00B454AE"/>
    <w:rsid w:val="00B456AA"/>
    <w:rsid w:val="00B456C9"/>
    <w:rsid w:val="00B457B2"/>
    <w:rsid w:val="00B4585D"/>
    <w:rsid w:val="00B45973"/>
    <w:rsid w:val="00B45B2D"/>
    <w:rsid w:val="00B45DAD"/>
    <w:rsid w:val="00B45E5C"/>
    <w:rsid w:val="00B45FC1"/>
    <w:rsid w:val="00B46047"/>
    <w:rsid w:val="00B46095"/>
    <w:rsid w:val="00B46114"/>
    <w:rsid w:val="00B46399"/>
    <w:rsid w:val="00B46502"/>
    <w:rsid w:val="00B46886"/>
    <w:rsid w:val="00B46BDE"/>
    <w:rsid w:val="00B46FE2"/>
    <w:rsid w:val="00B471DD"/>
    <w:rsid w:val="00B471FB"/>
    <w:rsid w:val="00B47201"/>
    <w:rsid w:val="00B4720A"/>
    <w:rsid w:val="00B4728E"/>
    <w:rsid w:val="00B472E8"/>
    <w:rsid w:val="00B47565"/>
    <w:rsid w:val="00B47A75"/>
    <w:rsid w:val="00B47AAF"/>
    <w:rsid w:val="00B47E15"/>
    <w:rsid w:val="00B50231"/>
    <w:rsid w:val="00B503E4"/>
    <w:rsid w:val="00B50520"/>
    <w:rsid w:val="00B50920"/>
    <w:rsid w:val="00B50984"/>
    <w:rsid w:val="00B50A4B"/>
    <w:rsid w:val="00B50AD4"/>
    <w:rsid w:val="00B50C3B"/>
    <w:rsid w:val="00B50CFB"/>
    <w:rsid w:val="00B50FA2"/>
    <w:rsid w:val="00B510C4"/>
    <w:rsid w:val="00B51299"/>
    <w:rsid w:val="00B51369"/>
    <w:rsid w:val="00B513B7"/>
    <w:rsid w:val="00B514F8"/>
    <w:rsid w:val="00B515C0"/>
    <w:rsid w:val="00B518B4"/>
    <w:rsid w:val="00B51A40"/>
    <w:rsid w:val="00B51AB0"/>
    <w:rsid w:val="00B51B49"/>
    <w:rsid w:val="00B51BD4"/>
    <w:rsid w:val="00B51E0A"/>
    <w:rsid w:val="00B51EE1"/>
    <w:rsid w:val="00B51FB8"/>
    <w:rsid w:val="00B51FCE"/>
    <w:rsid w:val="00B51FEA"/>
    <w:rsid w:val="00B520BF"/>
    <w:rsid w:val="00B520E8"/>
    <w:rsid w:val="00B52492"/>
    <w:rsid w:val="00B52818"/>
    <w:rsid w:val="00B52936"/>
    <w:rsid w:val="00B52D37"/>
    <w:rsid w:val="00B52F7D"/>
    <w:rsid w:val="00B53232"/>
    <w:rsid w:val="00B533BA"/>
    <w:rsid w:val="00B53464"/>
    <w:rsid w:val="00B53B9F"/>
    <w:rsid w:val="00B53C92"/>
    <w:rsid w:val="00B53CD2"/>
    <w:rsid w:val="00B53D96"/>
    <w:rsid w:val="00B53DEE"/>
    <w:rsid w:val="00B540D7"/>
    <w:rsid w:val="00B54449"/>
    <w:rsid w:val="00B5465F"/>
    <w:rsid w:val="00B54686"/>
    <w:rsid w:val="00B54885"/>
    <w:rsid w:val="00B54BBC"/>
    <w:rsid w:val="00B54D48"/>
    <w:rsid w:val="00B55008"/>
    <w:rsid w:val="00B55185"/>
    <w:rsid w:val="00B55281"/>
    <w:rsid w:val="00B5529A"/>
    <w:rsid w:val="00B552CA"/>
    <w:rsid w:val="00B55314"/>
    <w:rsid w:val="00B5557F"/>
    <w:rsid w:val="00B556C4"/>
    <w:rsid w:val="00B557F2"/>
    <w:rsid w:val="00B55818"/>
    <w:rsid w:val="00B558A4"/>
    <w:rsid w:val="00B559B9"/>
    <w:rsid w:val="00B55B13"/>
    <w:rsid w:val="00B55D78"/>
    <w:rsid w:val="00B55F4A"/>
    <w:rsid w:val="00B55F5E"/>
    <w:rsid w:val="00B56150"/>
    <w:rsid w:val="00B561C6"/>
    <w:rsid w:val="00B562EE"/>
    <w:rsid w:val="00B56365"/>
    <w:rsid w:val="00B56591"/>
    <w:rsid w:val="00B565B9"/>
    <w:rsid w:val="00B565BC"/>
    <w:rsid w:val="00B56753"/>
    <w:rsid w:val="00B56BBE"/>
    <w:rsid w:val="00B56C6C"/>
    <w:rsid w:val="00B56D1E"/>
    <w:rsid w:val="00B56DF9"/>
    <w:rsid w:val="00B5710A"/>
    <w:rsid w:val="00B575FC"/>
    <w:rsid w:val="00B576D9"/>
    <w:rsid w:val="00B57718"/>
    <w:rsid w:val="00B57816"/>
    <w:rsid w:val="00B57A14"/>
    <w:rsid w:val="00B57C24"/>
    <w:rsid w:val="00B6000C"/>
    <w:rsid w:val="00B60030"/>
    <w:rsid w:val="00B601B8"/>
    <w:rsid w:val="00B602AB"/>
    <w:rsid w:val="00B60977"/>
    <w:rsid w:val="00B60E7B"/>
    <w:rsid w:val="00B611C4"/>
    <w:rsid w:val="00B613CF"/>
    <w:rsid w:val="00B6142C"/>
    <w:rsid w:val="00B61757"/>
    <w:rsid w:val="00B61F0E"/>
    <w:rsid w:val="00B61FAB"/>
    <w:rsid w:val="00B624CB"/>
    <w:rsid w:val="00B626BF"/>
    <w:rsid w:val="00B6285B"/>
    <w:rsid w:val="00B62BA0"/>
    <w:rsid w:val="00B62CF4"/>
    <w:rsid w:val="00B62F06"/>
    <w:rsid w:val="00B631F5"/>
    <w:rsid w:val="00B636EA"/>
    <w:rsid w:val="00B638CC"/>
    <w:rsid w:val="00B63E1B"/>
    <w:rsid w:val="00B63F45"/>
    <w:rsid w:val="00B64338"/>
    <w:rsid w:val="00B64443"/>
    <w:rsid w:val="00B64507"/>
    <w:rsid w:val="00B64670"/>
    <w:rsid w:val="00B648DB"/>
    <w:rsid w:val="00B6492D"/>
    <w:rsid w:val="00B64992"/>
    <w:rsid w:val="00B64B42"/>
    <w:rsid w:val="00B64D31"/>
    <w:rsid w:val="00B64DB9"/>
    <w:rsid w:val="00B64E1A"/>
    <w:rsid w:val="00B64FBA"/>
    <w:rsid w:val="00B650D9"/>
    <w:rsid w:val="00B65148"/>
    <w:rsid w:val="00B65267"/>
    <w:rsid w:val="00B65625"/>
    <w:rsid w:val="00B6564F"/>
    <w:rsid w:val="00B656A8"/>
    <w:rsid w:val="00B6576E"/>
    <w:rsid w:val="00B657DE"/>
    <w:rsid w:val="00B65831"/>
    <w:rsid w:val="00B65C1D"/>
    <w:rsid w:val="00B65C32"/>
    <w:rsid w:val="00B65D1A"/>
    <w:rsid w:val="00B65E81"/>
    <w:rsid w:val="00B65EF8"/>
    <w:rsid w:val="00B65F84"/>
    <w:rsid w:val="00B6614D"/>
    <w:rsid w:val="00B66164"/>
    <w:rsid w:val="00B661FA"/>
    <w:rsid w:val="00B66336"/>
    <w:rsid w:val="00B663AC"/>
    <w:rsid w:val="00B66402"/>
    <w:rsid w:val="00B664E6"/>
    <w:rsid w:val="00B66521"/>
    <w:rsid w:val="00B66532"/>
    <w:rsid w:val="00B66615"/>
    <w:rsid w:val="00B66857"/>
    <w:rsid w:val="00B6698B"/>
    <w:rsid w:val="00B66E63"/>
    <w:rsid w:val="00B66ED2"/>
    <w:rsid w:val="00B66FDB"/>
    <w:rsid w:val="00B67049"/>
    <w:rsid w:val="00B673FA"/>
    <w:rsid w:val="00B674B6"/>
    <w:rsid w:val="00B677C9"/>
    <w:rsid w:val="00B678B8"/>
    <w:rsid w:val="00B678F7"/>
    <w:rsid w:val="00B67AB5"/>
    <w:rsid w:val="00B67ACA"/>
    <w:rsid w:val="00B67B64"/>
    <w:rsid w:val="00B67B70"/>
    <w:rsid w:val="00B67B7F"/>
    <w:rsid w:val="00B67C87"/>
    <w:rsid w:val="00B67DE4"/>
    <w:rsid w:val="00B67EFF"/>
    <w:rsid w:val="00B700C3"/>
    <w:rsid w:val="00B7013E"/>
    <w:rsid w:val="00B70178"/>
    <w:rsid w:val="00B702F2"/>
    <w:rsid w:val="00B7063C"/>
    <w:rsid w:val="00B708D1"/>
    <w:rsid w:val="00B709EA"/>
    <w:rsid w:val="00B70A3A"/>
    <w:rsid w:val="00B70B14"/>
    <w:rsid w:val="00B70C0C"/>
    <w:rsid w:val="00B70C27"/>
    <w:rsid w:val="00B70CED"/>
    <w:rsid w:val="00B70D0B"/>
    <w:rsid w:val="00B70D4E"/>
    <w:rsid w:val="00B71216"/>
    <w:rsid w:val="00B71230"/>
    <w:rsid w:val="00B71702"/>
    <w:rsid w:val="00B71872"/>
    <w:rsid w:val="00B71994"/>
    <w:rsid w:val="00B71A70"/>
    <w:rsid w:val="00B71C24"/>
    <w:rsid w:val="00B71C4E"/>
    <w:rsid w:val="00B71D8D"/>
    <w:rsid w:val="00B72077"/>
    <w:rsid w:val="00B7252A"/>
    <w:rsid w:val="00B7281A"/>
    <w:rsid w:val="00B72861"/>
    <w:rsid w:val="00B72A49"/>
    <w:rsid w:val="00B72C34"/>
    <w:rsid w:val="00B72D21"/>
    <w:rsid w:val="00B73159"/>
    <w:rsid w:val="00B73279"/>
    <w:rsid w:val="00B734BD"/>
    <w:rsid w:val="00B7355F"/>
    <w:rsid w:val="00B73618"/>
    <w:rsid w:val="00B73648"/>
    <w:rsid w:val="00B736FA"/>
    <w:rsid w:val="00B73796"/>
    <w:rsid w:val="00B73E53"/>
    <w:rsid w:val="00B73FC6"/>
    <w:rsid w:val="00B7416F"/>
    <w:rsid w:val="00B741D4"/>
    <w:rsid w:val="00B741E4"/>
    <w:rsid w:val="00B74350"/>
    <w:rsid w:val="00B74669"/>
    <w:rsid w:val="00B74A1B"/>
    <w:rsid w:val="00B74A5D"/>
    <w:rsid w:val="00B74A63"/>
    <w:rsid w:val="00B750A3"/>
    <w:rsid w:val="00B751A8"/>
    <w:rsid w:val="00B7564D"/>
    <w:rsid w:val="00B75660"/>
    <w:rsid w:val="00B757B2"/>
    <w:rsid w:val="00B758D2"/>
    <w:rsid w:val="00B75949"/>
    <w:rsid w:val="00B759CB"/>
    <w:rsid w:val="00B75EEF"/>
    <w:rsid w:val="00B75F88"/>
    <w:rsid w:val="00B7641B"/>
    <w:rsid w:val="00B77023"/>
    <w:rsid w:val="00B77570"/>
    <w:rsid w:val="00B775EB"/>
    <w:rsid w:val="00B7773A"/>
    <w:rsid w:val="00B77799"/>
    <w:rsid w:val="00B778FB"/>
    <w:rsid w:val="00B77ACF"/>
    <w:rsid w:val="00B77B39"/>
    <w:rsid w:val="00B77B49"/>
    <w:rsid w:val="00B77B55"/>
    <w:rsid w:val="00B77DB1"/>
    <w:rsid w:val="00B80084"/>
    <w:rsid w:val="00B80304"/>
    <w:rsid w:val="00B809C4"/>
    <w:rsid w:val="00B80CC7"/>
    <w:rsid w:val="00B80CD8"/>
    <w:rsid w:val="00B80CFC"/>
    <w:rsid w:val="00B80F3D"/>
    <w:rsid w:val="00B80FA3"/>
    <w:rsid w:val="00B80FE3"/>
    <w:rsid w:val="00B81678"/>
    <w:rsid w:val="00B81687"/>
    <w:rsid w:val="00B816D0"/>
    <w:rsid w:val="00B81733"/>
    <w:rsid w:val="00B817F3"/>
    <w:rsid w:val="00B81881"/>
    <w:rsid w:val="00B81AA6"/>
    <w:rsid w:val="00B81BB6"/>
    <w:rsid w:val="00B81DDE"/>
    <w:rsid w:val="00B81E90"/>
    <w:rsid w:val="00B81EB0"/>
    <w:rsid w:val="00B820DB"/>
    <w:rsid w:val="00B820F1"/>
    <w:rsid w:val="00B8211D"/>
    <w:rsid w:val="00B82173"/>
    <w:rsid w:val="00B821D0"/>
    <w:rsid w:val="00B82209"/>
    <w:rsid w:val="00B822C7"/>
    <w:rsid w:val="00B82321"/>
    <w:rsid w:val="00B823D7"/>
    <w:rsid w:val="00B82B2C"/>
    <w:rsid w:val="00B82C1E"/>
    <w:rsid w:val="00B82D1A"/>
    <w:rsid w:val="00B82E54"/>
    <w:rsid w:val="00B82EBF"/>
    <w:rsid w:val="00B82F83"/>
    <w:rsid w:val="00B82FB9"/>
    <w:rsid w:val="00B830AF"/>
    <w:rsid w:val="00B8317F"/>
    <w:rsid w:val="00B831DC"/>
    <w:rsid w:val="00B8335F"/>
    <w:rsid w:val="00B83533"/>
    <w:rsid w:val="00B83715"/>
    <w:rsid w:val="00B83BF1"/>
    <w:rsid w:val="00B83E00"/>
    <w:rsid w:val="00B83E52"/>
    <w:rsid w:val="00B83FCC"/>
    <w:rsid w:val="00B84200"/>
    <w:rsid w:val="00B84375"/>
    <w:rsid w:val="00B845B0"/>
    <w:rsid w:val="00B847CB"/>
    <w:rsid w:val="00B849C9"/>
    <w:rsid w:val="00B84A2B"/>
    <w:rsid w:val="00B84C1B"/>
    <w:rsid w:val="00B84D3D"/>
    <w:rsid w:val="00B85317"/>
    <w:rsid w:val="00B85364"/>
    <w:rsid w:val="00B8555C"/>
    <w:rsid w:val="00B855B4"/>
    <w:rsid w:val="00B85755"/>
    <w:rsid w:val="00B85756"/>
    <w:rsid w:val="00B858EB"/>
    <w:rsid w:val="00B85ABE"/>
    <w:rsid w:val="00B85B85"/>
    <w:rsid w:val="00B85BE4"/>
    <w:rsid w:val="00B85F06"/>
    <w:rsid w:val="00B85FF4"/>
    <w:rsid w:val="00B860E8"/>
    <w:rsid w:val="00B862B8"/>
    <w:rsid w:val="00B8631E"/>
    <w:rsid w:val="00B86364"/>
    <w:rsid w:val="00B8659F"/>
    <w:rsid w:val="00B86634"/>
    <w:rsid w:val="00B86815"/>
    <w:rsid w:val="00B86867"/>
    <w:rsid w:val="00B86924"/>
    <w:rsid w:val="00B86A5D"/>
    <w:rsid w:val="00B86AA1"/>
    <w:rsid w:val="00B871CC"/>
    <w:rsid w:val="00B87326"/>
    <w:rsid w:val="00B87729"/>
    <w:rsid w:val="00B87845"/>
    <w:rsid w:val="00B87ADE"/>
    <w:rsid w:val="00B87AEC"/>
    <w:rsid w:val="00B87C3F"/>
    <w:rsid w:val="00B87D07"/>
    <w:rsid w:val="00B87F62"/>
    <w:rsid w:val="00B87FB4"/>
    <w:rsid w:val="00B900EC"/>
    <w:rsid w:val="00B903DB"/>
    <w:rsid w:val="00B904A2"/>
    <w:rsid w:val="00B9059C"/>
    <w:rsid w:val="00B90603"/>
    <w:rsid w:val="00B90685"/>
    <w:rsid w:val="00B9073C"/>
    <w:rsid w:val="00B90875"/>
    <w:rsid w:val="00B909B2"/>
    <w:rsid w:val="00B90C80"/>
    <w:rsid w:val="00B90D03"/>
    <w:rsid w:val="00B90D4C"/>
    <w:rsid w:val="00B90E02"/>
    <w:rsid w:val="00B90FA3"/>
    <w:rsid w:val="00B9130B"/>
    <w:rsid w:val="00B913AC"/>
    <w:rsid w:val="00B914DA"/>
    <w:rsid w:val="00B9161D"/>
    <w:rsid w:val="00B917A9"/>
    <w:rsid w:val="00B91870"/>
    <w:rsid w:val="00B91A28"/>
    <w:rsid w:val="00B91B1B"/>
    <w:rsid w:val="00B91D99"/>
    <w:rsid w:val="00B91DA6"/>
    <w:rsid w:val="00B91EA4"/>
    <w:rsid w:val="00B9219B"/>
    <w:rsid w:val="00B9222D"/>
    <w:rsid w:val="00B92254"/>
    <w:rsid w:val="00B923B4"/>
    <w:rsid w:val="00B923EB"/>
    <w:rsid w:val="00B926DA"/>
    <w:rsid w:val="00B92737"/>
    <w:rsid w:val="00B9296C"/>
    <w:rsid w:val="00B92EBB"/>
    <w:rsid w:val="00B92F15"/>
    <w:rsid w:val="00B92F77"/>
    <w:rsid w:val="00B9315B"/>
    <w:rsid w:val="00B932C6"/>
    <w:rsid w:val="00B933A6"/>
    <w:rsid w:val="00B933F5"/>
    <w:rsid w:val="00B9367F"/>
    <w:rsid w:val="00B936EC"/>
    <w:rsid w:val="00B93733"/>
    <w:rsid w:val="00B93C05"/>
    <w:rsid w:val="00B93E4D"/>
    <w:rsid w:val="00B93F99"/>
    <w:rsid w:val="00B93FCD"/>
    <w:rsid w:val="00B9416F"/>
    <w:rsid w:val="00B942DC"/>
    <w:rsid w:val="00B946A9"/>
    <w:rsid w:val="00B94A26"/>
    <w:rsid w:val="00B94B38"/>
    <w:rsid w:val="00B94F54"/>
    <w:rsid w:val="00B95091"/>
    <w:rsid w:val="00B951DF"/>
    <w:rsid w:val="00B955B9"/>
    <w:rsid w:val="00B956FC"/>
    <w:rsid w:val="00B95741"/>
    <w:rsid w:val="00B9589C"/>
    <w:rsid w:val="00B95A75"/>
    <w:rsid w:val="00B95AC2"/>
    <w:rsid w:val="00B95B20"/>
    <w:rsid w:val="00B95BDE"/>
    <w:rsid w:val="00B95CC7"/>
    <w:rsid w:val="00B95FA5"/>
    <w:rsid w:val="00B9617F"/>
    <w:rsid w:val="00B961D0"/>
    <w:rsid w:val="00B9623A"/>
    <w:rsid w:val="00B964D7"/>
    <w:rsid w:val="00B96505"/>
    <w:rsid w:val="00B96701"/>
    <w:rsid w:val="00B96708"/>
    <w:rsid w:val="00B967EF"/>
    <w:rsid w:val="00B96A07"/>
    <w:rsid w:val="00B96A71"/>
    <w:rsid w:val="00B96D68"/>
    <w:rsid w:val="00B97044"/>
    <w:rsid w:val="00B97110"/>
    <w:rsid w:val="00B972D3"/>
    <w:rsid w:val="00B972F0"/>
    <w:rsid w:val="00B9744A"/>
    <w:rsid w:val="00B97464"/>
    <w:rsid w:val="00B9749E"/>
    <w:rsid w:val="00B97505"/>
    <w:rsid w:val="00B97A85"/>
    <w:rsid w:val="00B97D50"/>
    <w:rsid w:val="00B97E82"/>
    <w:rsid w:val="00BA00FB"/>
    <w:rsid w:val="00BA018F"/>
    <w:rsid w:val="00BA05F2"/>
    <w:rsid w:val="00BA06CE"/>
    <w:rsid w:val="00BA09E1"/>
    <w:rsid w:val="00BA0A1E"/>
    <w:rsid w:val="00BA0A6E"/>
    <w:rsid w:val="00BA0B0B"/>
    <w:rsid w:val="00BA0B68"/>
    <w:rsid w:val="00BA0B83"/>
    <w:rsid w:val="00BA0EC5"/>
    <w:rsid w:val="00BA102E"/>
    <w:rsid w:val="00BA108C"/>
    <w:rsid w:val="00BA12A1"/>
    <w:rsid w:val="00BA139E"/>
    <w:rsid w:val="00BA1554"/>
    <w:rsid w:val="00BA1565"/>
    <w:rsid w:val="00BA15CC"/>
    <w:rsid w:val="00BA1770"/>
    <w:rsid w:val="00BA17E6"/>
    <w:rsid w:val="00BA1883"/>
    <w:rsid w:val="00BA1890"/>
    <w:rsid w:val="00BA1B25"/>
    <w:rsid w:val="00BA1C14"/>
    <w:rsid w:val="00BA1D33"/>
    <w:rsid w:val="00BA1E1C"/>
    <w:rsid w:val="00BA2065"/>
    <w:rsid w:val="00BA20CF"/>
    <w:rsid w:val="00BA221C"/>
    <w:rsid w:val="00BA228E"/>
    <w:rsid w:val="00BA2434"/>
    <w:rsid w:val="00BA248D"/>
    <w:rsid w:val="00BA261F"/>
    <w:rsid w:val="00BA2C14"/>
    <w:rsid w:val="00BA2C90"/>
    <w:rsid w:val="00BA2D8E"/>
    <w:rsid w:val="00BA31D9"/>
    <w:rsid w:val="00BA3288"/>
    <w:rsid w:val="00BA32A7"/>
    <w:rsid w:val="00BA32C4"/>
    <w:rsid w:val="00BA34B3"/>
    <w:rsid w:val="00BA39A0"/>
    <w:rsid w:val="00BA3B02"/>
    <w:rsid w:val="00BA3C68"/>
    <w:rsid w:val="00BA3D0C"/>
    <w:rsid w:val="00BA3D27"/>
    <w:rsid w:val="00BA3E47"/>
    <w:rsid w:val="00BA3F5D"/>
    <w:rsid w:val="00BA4110"/>
    <w:rsid w:val="00BA41B1"/>
    <w:rsid w:val="00BA41CA"/>
    <w:rsid w:val="00BA45A3"/>
    <w:rsid w:val="00BA465C"/>
    <w:rsid w:val="00BA489F"/>
    <w:rsid w:val="00BA4A3C"/>
    <w:rsid w:val="00BA4B98"/>
    <w:rsid w:val="00BA4B9A"/>
    <w:rsid w:val="00BA4C3F"/>
    <w:rsid w:val="00BA4C98"/>
    <w:rsid w:val="00BA4CA9"/>
    <w:rsid w:val="00BA4D87"/>
    <w:rsid w:val="00BA5607"/>
    <w:rsid w:val="00BA56A7"/>
    <w:rsid w:val="00BA576A"/>
    <w:rsid w:val="00BA57B7"/>
    <w:rsid w:val="00BA57D1"/>
    <w:rsid w:val="00BA583B"/>
    <w:rsid w:val="00BA5A9F"/>
    <w:rsid w:val="00BA5C6D"/>
    <w:rsid w:val="00BA5C77"/>
    <w:rsid w:val="00BA5D62"/>
    <w:rsid w:val="00BA5F00"/>
    <w:rsid w:val="00BA6012"/>
    <w:rsid w:val="00BA60B8"/>
    <w:rsid w:val="00BA60FB"/>
    <w:rsid w:val="00BA6181"/>
    <w:rsid w:val="00BA6349"/>
    <w:rsid w:val="00BA63F5"/>
    <w:rsid w:val="00BA6481"/>
    <w:rsid w:val="00BA65FB"/>
    <w:rsid w:val="00BA6858"/>
    <w:rsid w:val="00BA690E"/>
    <w:rsid w:val="00BA6C89"/>
    <w:rsid w:val="00BA713A"/>
    <w:rsid w:val="00BA71D7"/>
    <w:rsid w:val="00BA71F3"/>
    <w:rsid w:val="00BA72E7"/>
    <w:rsid w:val="00BA7547"/>
    <w:rsid w:val="00BA756A"/>
    <w:rsid w:val="00BA7661"/>
    <w:rsid w:val="00BA785C"/>
    <w:rsid w:val="00BA78D0"/>
    <w:rsid w:val="00BA7981"/>
    <w:rsid w:val="00BA79AB"/>
    <w:rsid w:val="00BA7A3D"/>
    <w:rsid w:val="00BA7B08"/>
    <w:rsid w:val="00BA7BC7"/>
    <w:rsid w:val="00BA7D30"/>
    <w:rsid w:val="00BA7E42"/>
    <w:rsid w:val="00BB0053"/>
    <w:rsid w:val="00BB0122"/>
    <w:rsid w:val="00BB01DE"/>
    <w:rsid w:val="00BB01F4"/>
    <w:rsid w:val="00BB0250"/>
    <w:rsid w:val="00BB0319"/>
    <w:rsid w:val="00BB0341"/>
    <w:rsid w:val="00BB0557"/>
    <w:rsid w:val="00BB06A3"/>
    <w:rsid w:val="00BB0AD6"/>
    <w:rsid w:val="00BB0BA9"/>
    <w:rsid w:val="00BB0DBA"/>
    <w:rsid w:val="00BB114D"/>
    <w:rsid w:val="00BB1292"/>
    <w:rsid w:val="00BB1451"/>
    <w:rsid w:val="00BB147F"/>
    <w:rsid w:val="00BB1750"/>
    <w:rsid w:val="00BB17E8"/>
    <w:rsid w:val="00BB193E"/>
    <w:rsid w:val="00BB194E"/>
    <w:rsid w:val="00BB1A70"/>
    <w:rsid w:val="00BB1BA3"/>
    <w:rsid w:val="00BB1C33"/>
    <w:rsid w:val="00BB1C79"/>
    <w:rsid w:val="00BB1DC4"/>
    <w:rsid w:val="00BB1DEF"/>
    <w:rsid w:val="00BB20DF"/>
    <w:rsid w:val="00BB2358"/>
    <w:rsid w:val="00BB2513"/>
    <w:rsid w:val="00BB2624"/>
    <w:rsid w:val="00BB27DC"/>
    <w:rsid w:val="00BB2893"/>
    <w:rsid w:val="00BB29EB"/>
    <w:rsid w:val="00BB2A33"/>
    <w:rsid w:val="00BB2B11"/>
    <w:rsid w:val="00BB30A1"/>
    <w:rsid w:val="00BB30DD"/>
    <w:rsid w:val="00BB327B"/>
    <w:rsid w:val="00BB331D"/>
    <w:rsid w:val="00BB33AB"/>
    <w:rsid w:val="00BB34CF"/>
    <w:rsid w:val="00BB3545"/>
    <w:rsid w:val="00BB3560"/>
    <w:rsid w:val="00BB35F4"/>
    <w:rsid w:val="00BB36DD"/>
    <w:rsid w:val="00BB37A1"/>
    <w:rsid w:val="00BB38DF"/>
    <w:rsid w:val="00BB39B0"/>
    <w:rsid w:val="00BB3A49"/>
    <w:rsid w:val="00BB3D31"/>
    <w:rsid w:val="00BB4120"/>
    <w:rsid w:val="00BB415E"/>
    <w:rsid w:val="00BB426C"/>
    <w:rsid w:val="00BB42C5"/>
    <w:rsid w:val="00BB4995"/>
    <w:rsid w:val="00BB4D97"/>
    <w:rsid w:val="00BB4F61"/>
    <w:rsid w:val="00BB51BF"/>
    <w:rsid w:val="00BB522F"/>
    <w:rsid w:val="00BB5329"/>
    <w:rsid w:val="00BB55B9"/>
    <w:rsid w:val="00BB57DC"/>
    <w:rsid w:val="00BB582C"/>
    <w:rsid w:val="00BB5891"/>
    <w:rsid w:val="00BB5914"/>
    <w:rsid w:val="00BB5CE3"/>
    <w:rsid w:val="00BB5DC7"/>
    <w:rsid w:val="00BB5DD3"/>
    <w:rsid w:val="00BB5F8A"/>
    <w:rsid w:val="00BB6026"/>
    <w:rsid w:val="00BB649A"/>
    <w:rsid w:val="00BB65C2"/>
    <w:rsid w:val="00BB6677"/>
    <w:rsid w:val="00BB6C84"/>
    <w:rsid w:val="00BB70D9"/>
    <w:rsid w:val="00BB71DF"/>
    <w:rsid w:val="00BB7829"/>
    <w:rsid w:val="00BB7A70"/>
    <w:rsid w:val="00BB7C59"/>
    <w:rsid w:val="00BC002F"/>
    <w:rsid w:val="00BC01EB"/>
    <w:rsid w:val="00BC0285"/>
    <w:rsid w:val="00BC0516"/>
    <w:rsid w:val="00BC0AB6"/>
    <w:rsid w:val="00BC0B2B"/>
    <w:rsid w:val="00BC0B35"/>
    <w:rsid w:val="00BC0B4F"/>
    <w:rsid w:val="00BC0D82"/>
    <w:rsid w:val="00BC0FFB"/>
    <w:rsid w:val="00BC1399"/>
    <w:rsid w:val="00BC1A57"/>
    <w:rsid w:val="00BC1B0B"/>
    <w:rsid w:val="00BC1B35"/>
    <w:rsid w:val="00BC1C8A"/>
    <w:rsid w:val="00BC1DD8"/>
    <w:rsid w:val="00BC1E74"/>
    <w:rsid w:val="00BC1F09"/>
    <w:rsid w:val="00BC2028"/>
    <w:rsid w:val="00BC2050"/>
    <w:rsid w:val="00BC2135"/>
    <w:rsid w:val="00BC244E"/>
    <w:rsid w:val="00BC2472"/>
    <w:rsid w:val="00BC2562"/>
    <w:rsid w:val="00BC2684"/>
    <w:rsid w:val="00BC278A"/>
    <w:rsid w:val="00BC28DC"/>
    <w:rsid w:val="00BC292E"/>
    <w:rsid w:val="00BC2935"/>
    <w:rsid w:val="00BC2B81"/>
    <w:rsid w:val="00BC2BEA"/>
    <w:rsid w:val="00BC2CA0"/>
    <w:rsid w:val="00BC3051"/>
    <w:rsid w:val="00BC3078"/>
    <w:rsid w:val="00BC30D2"/>
    <w:rsid w:val="00BC36DD"/>
    <w:rsid w:val="00BC38E7"/>
    <w:rsid w:val="00BC38EC"/>
    <w:rsid w:val="00BC39D8"/>
    <w:rsid w:val="00BC3C82"/>
    <w:rsid w:val="00BC3E6C"/>
    <w:rsid w:val="00BC4099"/>
    <w:rsid w:val="00BC40F9"/>
    <w:rsid w:val="00BC455B"/>
    <w:rsid w:val="00BC45DD"/>
    <w:rsid w:val="00BC4821"/>
    <w:rsid w:val="00BC4B9D"/>
    <w:rsid w:val="00BC5013"/>
    <w:rsid w:val="00BC5064"/>
    <w:rsid w:val="00BC5140"/>
    <w:rsid w:val="00BC514F"/>
    <w:rsid w:val="00BC5203"/>
    <w:rsid w:val="00BC5405"/>
    <w:rsid w:val="00BC573B"/>
    <w:rsid w:val="00BC5824"/>
    <w:rsid w:val="00BC5BCF"/>
    <w:rsid w:val="00BC5E8D"/>
    <w:rsid w:val="00BC61B8"/>
    <w:rsid w:val="00BC6372"/>
    <w:rsid w:val="00BC638E"/>
    <w:rsid w:val="00BC658B"/>
    <w:rsid w:val="00BC67B1"/>
    <w:rsid w:val="00BC68A0"/>
    <w:rsid w:val="00BC6961"/>
    <w:rsid w:val="00BC6980"/>
    <w:rsid w:val="00BC6BB7"/>
    <w:rsid w:val="00BC6D9E"/>
    <w:rsid w:val="00BC6E6C"/>
    <w:rsid w:val="00BC6F0D"/>
    <w:rsid w:val="00BC6FEB"/>
    <w:rsid w:val="00BC71E2"/>
    <w:rsid w:val="00BC7275"/>
    <w:rsid w:val="00BC74DB"/>
    <w:rsid w:val="00BC7775"/>
    <w:rsid w:val="00BC78F8"/>
    <w:rsid w:val="00BC7D53"/>
    <w:rsid w:val="00BC7E08"/>
    <w:rsid w:val="00BC7E84"/>
    <w:rsid w:val="00BD005D"/>
    <w:rsid w:val="00BD0110"/>
    <w:rsid w:val="00BD05EA"/>
    <w:rsid w:val="00BD06A3"/>
    <w:rsid w:val="00BD0716"/>
    <w:rsid w:val="00BD099E"/>
    <w:rsid w:val="00BD0AE9"/>
    <w:rsid w:val="00BD0C63"/>
    <w:rsid w:val="00BD0E1C"/>
    <w:rsid w:val="00BD0FF6"/>
    <w:rsid w:val="00BD10C8"/>
    <w:rsid w:val="00BD11F5"/>
    <w:rsid w:val="00BD1225"/>
    <w:rsid w:val="00BD136F"/>
    <w:rsid w:val="00BD1517"/>
    <w:rsid w:val="00BD173A"/>
    <w:rsid w:val="00BD1772"/>
    <w:rsid w:val="00BD182B"/>
    <w:rsid w:val="00BD1E50"/>
    <w:rsid w:val="00BD2510"/>
    <w:rsid w:val="00BD2534"/>
    <w:rsid w:val="00BD275F"/>
    <w:rsid w:val="00BD2798"/>
    <w:rsid w:val="00BD2881"/>
    <w:rsid w:val="00BD297D"/>
    <w:rsid w:val="00BD2C62"/>
    <w:rsid w:val="00BD2CE3"/>
    <w:rsid w:val="00BD2E50"/>
    <w:rsid w:val="00BD2E95"/>
    <w:rsid w:val="00BD30AB"/>
    <w:rsid w:val="00BD30F4"/>
    <w:rsid w:val="00BD33E1"/>
    <w:rsid w:val="00BD390D"/>
    <w:rsid w:val="00BD3C35"/>
    <w:rsid w:val="00BD3C83"/>
    <w:rsid w:val="00BD3EBC"/>
    <w:rsid w:val="00BD400D"/>
    <w:rsid w:val="00BD453E"/>
    <w:rsid w:val="00BD476D"/>
    <w:rsid w:val="00BD4787"/>
    <w:rsid w:val="00BD47DF"/>
    <w:rsid w:val="00BD47EF"/>
    <w:rsid w:val="00BD4996"/>
    <w:rsid w:val="00BD49B6"/>
    <w:rsid w:val="00BD4BAC"/>
    <w:rsid w:val="00BD4C54"/>
    <w:rsid w:val="00BD4D21"/>
    <w:rsid w:val="00BD4ECF"/>
    <w:rsid w:val="00BD4FA0"/>
    <w:rsid w:val="00BD4FE2"/>
    <w:rsid w:val="00BD53A8"/>
    <w:rsid w:val="00BD56AE"/>
    <w:rsid w:val="00BD584A"/>
    <w:rsid w:val="00BD5932"/>
    <w:rsid w:val="00BD5C1C"/>
    <w:rsid w:val="00BD5D4E"/>
    <w:rsid w:val="00BD5FF6"/>
    <w:rsid w:val="00BD6081"/>
    <w:rsid w:val="00BD60E4"/>
    <w:rsid w:val="00BD613B"/>
    <w:rsid w:val="00BD624E"/>
    <w:rsid w:val="00BD62AA"/>
    <w:rsid w:val="00BD65ED"/>
    <w:rsid w:val="00BD668C"/>
    <w:rsid w:val="00BD68DB"/>
    <w:rsid w:val="00BD6ABD"/>
    <w:rsid w:val="00BD6ADE"/>
    <w:rsid w:val="00BD6B28"/>
    <w:rsid w:val="00BD6BFB"/>
    <w:rsid w:val="00BD6F7D"/>
    <w:rsid w:val="00BD6FA9"/>
    <w:rsid w:val="00BD6FAE"/>
    <w:rsid w:val="00BD70A3"/>
    <w:rsid w:val="00BD70E3"/>
    <w:rsid w:val="00BD751B"/>
    <w:rsid w:val="00BD75F4"/>
    <w:rsid w:val="00BD781A"/>
    <w:rsid w:val="00BD7864"/>
    <w:rsid w:val="00BD7A0A"/>
    <w:rsid w:val="00BD7B55"/>
    <w:rsid w:val="00BD7EEB"/>
    <w:rsid w:val="00BE00EE"/>
    <w:rsid w:val="00BE01BF"/>
    <w:rsid w:val="00BE0229"/>
    <w:rsid w:val="00BE02C2"/>
    <w:rsid w:val="00BE039D"/>
    <w:rsid w:val="00BE04C5"/>
    <w:rsid w:val="00BE0820"/>
    <w:rsid w:val="00BE08BF"/>
    <w:rsid w:val="00BE09C6"/>
    <w:rsid w:val="00BE0AA3"/>
    <w:rsid w:val="00BE0AE8"/>
    <w:rsid w:val="00BE0AFE"/>
    <w:rsid w:val="00BE0BEC"/>
    <w:rsid w:val="00BE11DF"/>
    <w:rsid w:val="00BE133E"/>
    <w:rsid w:val="00BE1511"/>
    <w:rsid w:val="00BE1523"/>
    <w:rsid w:val="00BE1688"/>
    <w:rsid w:val="00BE18C8"/>
    <w:rsid w:val="00BE1A95"/>
    <w:rsid w:val="00BE1DBD"/>
    <w:rsid w:val="00BE205C"/>
    <w:rsid w:val="00BE20AF"/>
    <w:rsid w:val="00BE2239"/>
    <w:rsid w:val="00BE2B85"/>
    <w:rsid w:val="00BE2BD2"/>
    <w:rsid w:val="00BE2C2B"/>
    <w:rsid w:val="00BE2C4F"/>
    <w:rsid w:val="00BE2D6B"/>
    <w:rsid w:val="00BE2EE5"/>
    <w:rsid w:val="00BE30F4"/>
    <w:rsid w:val="00BE31AF"/>
    <w:rsid w:val="00BE31E3"/>
    <w:rsid w:val="00BE33E3"/>
    <w:rsid w:val="00BE34B6"/>
    <w:rsid w:val="00BE3556"/>
    <w:rsid w:val="00BE3701"/>
    <w:rsid w:val="00BE38C9"/>
    <w:rsid w:val="00BE3D51"/>
    <w:rsid w:val="00BE4088"/>
    <w:rsid w:val="00BE4339"/>
    <w:rsid w:val="00BE4373"/>
    <w:rsid w:val="00BE4408"/>
    <w:rsid w:val="00BE446D"/>
    <w:rsid w:val="00BE45BF"/>
    <w:rsid w:val="00BE4848"/>
    <w:rsid w:val="00BE5225"/>
    <w:rsid w:val="00BE5273"/>
    <w:rsid w:val="00BE53E6"/>
    <w:rsid w:val="00BE54B0"/>
    <w:rsid w:val="00BE57F2"/>
    <w:rsid w:val="00BE598B"/>
    <w:rsid w:val="00BE5CE9"/>
    <w:rsid w:val="00BE5DCD"/>
    <w:rsid w:val="00BE5EA7"/>
    <w:rsid w:val="00BE6392"/>
    <w:rsid w:val="00BE6523"/>
    <w:rsid w:val="00BE6623"/>
    <w:rsid w:val="00BE6672"/>
    <w:rsid w:val="00BE6EDD"/>
    <w:rsid w:val="00BE70F7"/>
    <w:rsid w:val="00BE7111"/>
    <w:rsid w:val="00BE718B"/>
    <w:rsid w:val="00BE71CA"/>
    <w:rsid w:val="00BE72F2"/>
    <w:rsid w:val="00BE7315"/>
    <w:rsid w:val="00BE747C"/>
    <w:rsid w:val="00BE7892"/>
    <w:rsid w:val="00BE798E"/>
    <w:rsid w:val="00BE7F90"/>
    <w:rsid w:val="00BF040F"/>
    <w:rsid w:val="00BF0627"/>
    <w:rsid w:val="00BF0629"/>
    <w:rsid w:val="00BF06AF"/>
    <w:rsid w:val="00BF078A"/>
    <w:rsid w:val="00BF07B9"/>
    <w:rsid w:val="00BF0BFE"/>
    <w:rsid w:val="00BF0C4E"/>
    <w:rsid w:val="00BF0E47"/>
    <w:rsid w:val="00BF1020"/>
    <w:rsid w:val="00BF1126"/>
    <w:rsid w:val="00BF11EE"/>
    <w:rsid w:val="00BF1364"/>
    <w:rsid w:val="00BF14C2"/>
    <w:rsid w:val="00BF1B08"/>
    <w:rsid w:val="00BF1D5E"/>
    <w:rsid w:val="00BF1E63"/>
    <w:rsid w:val="00BF1E71"/>
    <w:rsid w:val="00BF1F48"/>
    <w:rsid w:val="00BF23BD"/>
    <w:rsid w:val="00BF2742"/>
    <w:rsid w:val="00BF27D9"/>
    <w:rsid w:val="00BF2B61"/>
    <w:rsid w:val="00BF2BB6"/>
    <w:rsid w:val="00BF2C35"/>
    <w:rsid w:val="00BF2C60"/>
    <w:rsid w:val="00BF2CA9"/>
    <w:rsid w:val="00BF2E8C"/>
    <w:rsid w:val="00BF2EF3"/>
    <w:rsid w:val="00BF2F0D"/>
    <w:rsid w:val="00BF2F48"/>
    <w:rsid w:val="00BF32E4"/>
    <w:rsid w:val="00BF36BF"/>
    <w:rsid w:val="00BF3809"/>
    <w:rsid w:val="00BF3AC2"/>
    <w:rsid w:val="00BF3B24"/>
    <w:rsid w:val="00BF3E00"/>
    <w:rsid w:val="00BF3F0D"/>
    <w:rsid w:val="00BF4025"/>
    <w:rsid w:val="00BF4053"/>
    <w:rsid w:val="00BF44B9"/>
    <w:rsid w:val="00BF44F1"/>
    <w:rsid w:val="00BF4597"/>
    <w:rsid w:val="00BF47DA"/>
    <w:rsid w:val="00BF4A0F"/>
    <w:rsid w:val="00BF4B4E"/>
    <w:rsid w:val="00BF4C36"/>
    <w:rsid w:val="00BF4CA8"/>
    <w:rsid w:val="00BF4F45"/>
    <w:rsid w:val="00BF4FB1"/>
    <w:rsid w:val="00BF50B1"/>
    <w:rsid w:val="00BF53AC"/>
    <w:rsid w:val="00BF54B9"/>
    <w:rsid w:val="00BF55F9"/>
    <w:rsid w:val="00BF59DC"/>
    <w:rsid w:val="00BF5AD0"/>
    <w:rsid w:val="00BF5B14"/>
    <w:rsid w:val="00BF5B32"/>
    <w:rsid w:val="00BF5FB0"/>
    <w:rsid w:val="00BF6003"/>
    <w:rsid w:val="00BF6115"/>
    <w:rsid w:val="00BF61C7"/>
    <w:rsid w:val="00BF6258"/>
    <w:rsid w:val="00BF63E9"/>
    <w:rsid w:val="00BF644D"/>
    <w:rsid w:val="00BF69B6"/>
    <w:rsid w:val="00BF6B42"/>
    <w:rsid w:val="00BF6CA7"/>
    <w:rsid w:val="00BF6DF3"/>
    <w:rsid w:val="00BF7436"/>
    <w:rsid w:val="00BF74FA"/>
    <w:rsid w:val="00BF7623"/>
    <w:rsid w:val="00BF775A"/>
    <w:rsid w:val="00BF7914"/>
    <w:rsid w:val="00BF79DC"/>
    <w:rsid w:val="00BF7B03"/>
    <w:rsid w:val="00BF7B46"/>
    <w:rsid w:val="00BF7DF5"/>
    <w:rsid w:val="00BF7EB7"/>
    <w:rsid w:val="00C00411"/>
    <w:rsid w:val="00C00526"/>
    <w:rsid w:val="00C005B9"/>
    <w:rsid w:val="00C005E9"/>
    <w:rsid w:val="00C00659"/>
    <w:rsid w:val="00C007CB"/>
    <w:rsid w:val="00C00905"/>
    <w:rsid w:val="00C00920"/>
    <w:rsid w:val="00C00957"/>
    <w:rsid w:val="00C00CDC"/>
    <w:rsid w:val="00C00F44"/>
    <w:rsid w:val="00C00F58"/>
    <w:rsid w:val="00C01436"/>
    <w:rsid w:val="00C015C6"/>
    <w:rsid w:val="00C01937"/>
    <w:rsid w:val="00C01C2F"/>
    <w:rsid w:val="00C01D86"/>
    <w:rsid w:val="00C01E54"/>
    <w:rsid w:val="00C01F4B"/>
    <w:rsid w:val="00C02022"/>
    <w:rsid w:val="00C0266F"/>
    <w:rsid w:val="00C02698"/>
    <w:rsid w:val="00C026AC"/>
    <w:rsid w:val="00C027BB"/>
    <w:rsid w:val="00C029F4"/>
    <w:rsid w:val="00C029F9"/>
    <w:rsid w:val="00C02A50"/>
    <w:rsid w:val="00C02E3B"/>
    <w:rsid w:val="00C02E8C"/>
    <w:rsid w:val="00C03270"/>
    <w:rsid w:val="00C0350D"/>
    <w:rsid w:val="00C0369F"/>
    <w:rsid w:val="00C0379C"/>
    <w:rsid w:val="00C038C9"/>
    <w:rsid w:val="00C03ACF"/>
    <w:rsid w:val="00C03B42"/>
    <w:rsid w:val="00C03BF3"/>
    <w:rsid w:val="00C03C0E"/>
    <w:rsid w:val="00C03FE5"/>
    <w:rsid w:val="00C04122"/>
    <w:rsid w:val="00C045D2"/>
    <w:rsid w:val="00C04645"/>
    <w:rsid w:val="00C047C4"/>
    <w:rsid w:val="00C0480F"/>
    <w:rsid w:val="00C04E0E"/>
    <w:rsid w:val="00C04F5E"/>
    <w:rsid w:val="00C0516B"/>
    <w:rsid w:val="00C05326"/>
    <w:rsid w:val="00C053DA"/>
    <w:rsid w:val="00C055A8"/>
    <w:rsid w:val="00C0562D"/>
    <w:rsid w:val="00C0568F"/>
    <w:rsid w:val="00C0588D"/>
    <w:rsid w:val="00C05BB5"/>
    <w:rsid w:val="00C05C33"/>
    <w:rsid w:val="00C05C61"/>
    <w:rsid w:val="00C0623C"/>
    <w:rsid w:val="00C062DE"/>
    <w:rsid w:val="00C06314"/>
    <w:rsid w:val="00C064D9"/>
    <w:rsid w:val="00C066E9"/>
    <w:rsid w:val="00C067BA"/>
    <w:rsid w:val="00C06835"/>
    <w:rsid w:val="00C06CAE"/>
    <w:rsid w:val="00C06E9A"/>
    <w:rsid w:val="00C06FDF"/>
    <w:rsid w:val="00C070DD"/>
    <w:rsid w:val="00C0728D"/>
    <w:rsid w:val="00C072A3"/>
    <w:rsid w:val="00C072C7"/>
    <w:rsid w:val="00C073F4"/>
    <w:rsid w:val="00C07552"/>
    <w:rsid w:val="00C07557"/>
    <w:rsid w:val="00C0764B"/>
    <w:rsid w:val="00C0772B"/>
    <w:rsid w:val="00C0790A"/>
    <w:rsid w:val="00C07A33"/>
    <w:rsid w:val="00C07A47"/>
    <w:rsid w:val="00C07A7A"/>
    <w:rsid w:val="00C07A84"/>
    <w:rsid w:val="00C07C89"/>
    <w:rsid w:val="00C07CAD"/>
    <w:rsid w:val="00C07F7F"/>
    <w:rsid w:val="00C100AE"/>
    <w:rsid w:val="00C1011C"/>
    <w:rsid w:val="00C10308"/>
    <w:rsid w:val="00C10323"/>
    <w:rsid w:val="00C104E0"/>
    <w:rsid w:val="00C1064D"/>
    <w:rsid w:val="00C109CE"/>
    <w:rsid w:val="00C10A59"/>
    <w:rsid w:val="00C10E84"/>
    <w:rsid w:val="00C11064"/>
    <w:rsid w:val="00C1114C"/>
    <w:rsid w:val="00C111A6"/>
    <w:rsid w:val="00C111BD"/>
    <w:rsid w:val="00C116D3"/>
    <w:rsid w:val="00C11853"/>
    <w:rsid w:val="00C11856"/>
    <w:rsid w:val="00C11C52"/>
    <w:rsid w:val="00C11D83"/>
    <w:rsid w:val="00C12064"/>
    <w:rsid w:val="00C121E1"/>
    <w:rsid w:val="00C12225"/>
    <w:rsid w:val="00C1237E"/>
    <w:rsid w:val="00C12523"/>
    <w:rsid w:val="00C1260B"/>
    <w:rsid w:val="00C12641"/>
    <w:rsid w:val="00C12879"/>
    <w:rsid w:val="00C128A7"/>
    <w:rsid w:val="00C128F3"/>
    <w:rsid w:val="00C12997"/>
    <w:rsid w:val="00C12B89"/>
    <w:rsid w:val="00C12BB1"/>
    <w:rsid w:val="00C12D91"/>
    <w:rsid w:val="00C12F43"/>
    <w:rsid w:val="00C12F7D"/>
    <w:rsid w:val="00C13102"/>
    <w:rsid w:val="00C1332E"/>
    <w:rsid w:val="00C1337E"/>
    <w:rsid w:val="00C136EE"/>
    <w:rsid w:val="00C1374E"/>
    <w:rsid w:val="00C13799"/>
    <w:rsid w:val="00C1389E"/>
    <w:rsid w:val="00C138AE"/>
    <w:rsid w:val="00C138FE"/>
    <w:rsid w:val="00C13A76"/>
    <w:rsid w:val="00C13ADD"/>
    <w:rsid w:val="00C13B55"/>
    <w:rsid w:val="00C13C62"/>
    <w:rsid w:val="00C13E05"/>
    <w:rsid w:val="00C13E08"/>
    <w:rsid w:val="00C13EE6"/>
    <w:rsid w:val="00C13FDE"/>
    <w:rsid w:val="00C140D8"/>
    <w:rsid w:val="00C14307"/>
    <w:rsid w:val="00C14353"/>
    <w:rsid w:val="00C1455B"/>
    <w:rsid w:val="00C1456D"/>
    <w:rsid w:val="00C145A7"/>
    <w:rsid w:val="00C146E1"/>
    <w:rsid w:val="00C147E1"/>
    <w:rsid w:val="00C14C18"/>
    <w:rsid w:val="00C14E59"/>
    <w:rsid w:val="00C14F07"/>
    <w:rsid w:val="00C152D2"/>
    <w:rsid w:val="00C15634"/>
    <w:rsid w:val="00C1574E"/>
    <w:rsid w:val="00C159AA"/>
    <w:rsid w:val="00C15B86"/>
    <w:rsid w:val="00C15B9D"/>
    <w:rsid w:val="00C15BFA"/>
    <w:rsid w:val="00C15C7D"/>
    <w:rsid w:val="00C15E1A"/>
    <w:rsid w:val="00C15E91"/>
    <w:rsid w:val="00C15EE7"/>
    <w:rsid w:val="00C15F1D"/>
    <w:rsid w:val="00C162A8"/>
    <w:rsid w:val="00C16332"/>
    <w:rsid w:val="00C1661D"/>
    <w:rsid w:val="00C16743"/>
    <w:rsid w:val="00C16959"/>
    <w:rsid w:val="00C16B00"/>
    <w:rsid w:val="00C16B77"/>
    <w:rsid w:val="00C16DBF"/>
    <w:rsid w:val="00C16DEA"/>
    <w:rsid w:val="00C173D2"/>
    <w:rsid w:val="00C174BC"/>
    <w:rsid w:val="00C176CE"/>
    <w:rsid w:val="00C176E1"/>
    <w:rsid w:val="00C179C2"/>
    <w:rsid w:val="00C17AAE"/>
    <w:rsid w:val="00C17DF5"/>
    <w:rsid w:val="00C17E0F"/>
    <w:rsid w:val="00C17F40"/>
    <w:rsid w:val="00C20225"/>
    <w:rsid w:val="00C2033D"/>
    <w:rsid w:val="00C205FE"/>
    <w:rsid w:val="00C20A9F"/>
    <w:rsid w:val="00C20ABE"/>
    <w:rsid w:val="00C20DB1"/>
    <w:rsid w:val="00C21323"/>
    <w:rsid w:val="00C21467"/>
    <w:rsid w:val="00C21539"/>
    <w:rsid w:val="00C21627"/>
    <w:rsid w:val="00C216B9"/>
    <w:rsid w:val="00C216BA"/>
    <w:rsid w:val="00C21730"/>
    <w:rsid w:val="00C21B86"/>
    <w:rsid w:val="00C21BCA"/>
    <w:rsid w:val="00C21E7F"/>
    <w:rsid w:val="00C21EFB"/>
    <w:rsid w:val="00C220D9"/>
    <w:rsid w:val="00C22162"/>
    <w:rsid w:val="00C22201"/>
    <w:rsid w:val="00C222E4"/>
    <w:rsid w:val="00C225C6"/>
    <w:rsid w:val="00C22652"/>
    <w:rsid w:val="00C22670"/>
    <w:rsid w:val="00C226B2"/>
    <w:rsid w:val="00C226C0"/>
    <w:rsid w:val="00C228EE"/>
    <w:rsid w:val="00C22E9E"/>
    <w:rsid w:val="00C23086"/>
    <w:rsid w:val="00C230A9"/>
    <w:rsid w:val="00C230AE"/>
    <w:rsid w:val="00C230E0"/>
    <w:rsid w:val="00C23350"/>
    <w:rsid w:val="00C233FD"/>
    <w:rsid w:val="00C234B0"/>
    <w:rsid w:val="00C235B4"/>
    <w:rsid w:val="00C23637"/>
    <w:rsid w:val="00C238F1"/>
    <w:rsid w:val="00C23B28"/>
    <w:rsid w:val="00C23B86"/>
    <w:rsid w:val="00C23C9D"/>
    <w:rsid w:val="00C23C9F"/>
    <w:rsid w:val="00C23DB2"/>
    <w:rsid w:val="00C23ED1"/>
    <w:rsid w:val="00C24151"/>
    <w:rsid w:val="00C241E7"/>
    <w:rsid w:val="00C241E8"/>
    <w:rsid w:val="00C24451"/>
    <w:rsid w:val="00C244F8"/>
    <w:rsid w:val="00C245E2"/>
    <w:rsid w:val="00C24765"/>
    <w:rsid w:val="00C24907"/>
    <w:rsid w:val="00C24B3E"/>
    <w:rsid w:val="00C24DF0"/>
    <w:rsid w:val="00C24E57"/>
    <w:rsid w:val="00C24F9C"/>
    <w:rsid w:val="00C251F9"/>
    <w:rsid w:val="00C2530C"/>
    <w:rsid w:val="00C254DA"/>
    <w:rsid w:val="00C2553E"/>
    <w:rsid w:val="00C2588F"/>
    <w:rsid w:val="00C25A8F"/>
    <w:rsid w:val="00C25AAC"/>
    <w:rsid w:val="00C25D55"/>
    <w:rsid w:val="00C25E40"/>
    <w:rsid w:val="00C25F93"/>
    <w:rsid w:val="00C2656B"/>
    <w:rsid w:val="00C26A87"/>
    <w:rsid w:val="00C26A92"/>
    <w:rsid w:val="00C26CAA"/>
    <w:rsid w:val="00C27684"/>
    <w:rsid w:val="00C2796C"/>
    <w:rsid w:val="00C27A80"/>
    <w:rsid w:val="00C27B12"/>
    <w:rsid w:val="00C27FA1"/>
    <w:rsid w:val="00C3003F"/>
    <w:rsid w:val="00C30053"/>
    <w:rsid w:val="00C30299"/>
    <w:rsid w:val="00C302E2"/>
    <w:rsid w:val="00C303FC"/>
    <w:rsid w:val="00C30824"/>
    <w:rsid w:val="00C30901"/>
    <w:rsid w:val="00C30B2A"/>
    <w:rsid w:val="00C30B3D"/>
    <w:rsid w:val="00C30C77"/>
    <w:rsid w:val="00C30D63"/>
    <w:rsid w:val="00C310D1"/>
    <w:rsid w:val="00C311FD"/>
    <w:rsid w:val="00C3123B"/>
    <w:rsid w:val="00C31422"/>
    <w:rsid w:val="00C31472"/>
    <w:rsid w:val="00C314B5"/>
    <w:rsid w:val="00C3158B"/>
    <w:rsid w:val="00C31937"/>
    <w:rsid w:val="00C3194C"/>
    <w:rsid w:val="00C31A54"/>
    <w:rsid w:val="00C31BE3"/>
    <w:rsid w:val="00C31EAE"/>
    <w:rsid w:val="00C31FEB"/>
    <w:rsid w:val="00C320F2"/>
    <w:rsid w:val="00C327BD"/>
    <w:rsid w:val="00C327DC"/>
    <w:rsid w:val="00C329F6"/>
    <w:rsid w:val="00C32A1F"/>
    <w:rsid w:val="00C32AC2"/>
    <w:rsid w:val="00C32B32"/>
    <w:rsid w:val="00C32BC4"/>
    <w:rsid w:val="00C32C00"/>
    <w:rsid w:val="00C32C0C"/>
    <w:rsid w:val="00C32C55"/>
    <w:rsid w:val="00C32DB4"/>
    <w:rsid w:val="00C32E0A"/>
    <w:rsid w:val="00C32ECF"/>
    <w:rsid w:val="00C32F7A"/>
    <w:rsid w:val="00C3332D"/>
    <w:rsid w:val="00C33358"/>
    <w:rsid w:val="00C33420"/>
    <w:rsid w:val="00C337AC"/>
    <w:rsid w:val="00C337D6"/>
    <w:rsid w:val="00C33A49"/>
    <w:rsid w:val="00C33B80"/>
    <w:rsid w:val="00C33D5D"/>
    <w:rsid w:val="00C33E37"/>
    <w:rsid w:val="00C33F13"/>
    <w:rsid w:val="00C34095"/>
    <w:rsid w:val="00C341BD"/>
    <w:rsid w:val="00C34675"/>
    <w:rsid w:val="00C34918"/>
    <w:rsid w:val="00C35027"/>
    <w:rsid w:val="00C352BF"/>
    <w:rsid w:val="00C35352"/>
    <w:rsid w:val="00C354A1"/>
    <w:rsid w:val="00C35706"/>
    <w:rsid w:val="00C35761"/>
    <w:rsid w:val="00C35782"/>
    <w:rsid w:val="00C35A4B"/>
    <w:rsid w:val="00C35C42"/>
    <w:rsid w:val="00C35CD6"/>
    <w:rsid w:val="00C3615D"/>
    <w:rsid w:val="00C36178"/>
    <w:rsid w:val="00C36419"/>
    <w:rsid w:val="00C364AA"/>
    <w:rsid w:val="00C365C6"/>
    <w:rsid w:val="00C36684"/>
    <w:rsid w:val="00C36710"/>
    <w:rsid w:val="00C36771"/>
    <w:rsid w:val="00C36943"/>
    <w:rsid w:val="00C36A6D"/>
    <w:rsid w:val="00C36AEE"/>
    <w:rsid w:val="00C36C5D"/>
    <w:rsid w:val="00C36C8C"/>
    <w:rsid w:val="00C36C9C"/>
    <w:rsid w:val="00C36D1A"/>
    <w:rsid w:val="00C36D40"/>
    <w:rsid w:val="00C36D8F"/>
    <w:rsid w:val="00C36DEA"/>
    <w:rsid w:val="00C36DFE"/>
    <w:rsid w:val="00C36E07"/>
    <w:rsid w:val="00C36F20"/>
    <w:rsid w:val="00C370F5"/>
    <w:rsid w:val="00C371BF"/>
    <w:rsid w:val="00C373E3"/>
    <w:rsid w:val="00C374E6"/>
    <w:rsid w:val="00C37560"/>
    <w:rsid w:val="00C3771B"/>
    <w:rsid w:val="00C3796D"/>
    <w:rsid w:val="00C379AD"/>
    <w:rsid w:val="00C37A02"/>
    <w:rsid w:val="00C37B74"/>
    <w:rsid w:val="00C37C6F"/>
    <w:rsid w:val="00C37C82"/>
    <w:rsid w:val="00C37CE8"/>
    <w:rsid w:val="00C37D6E"/>
    <w:rsid w:val="00C37DEC"/>
    <w:rsid w:val="00C37DF7"/>
    <w:rsid w:val="00C37E8B"/>
    <w:rsid w:val="00C40227"/>
    <w:rsid w:val="00C40480"/>
    <w:rsid w:val="00C4058E"/>
    <w:rsid w:val="00C409A0"/>
    <w:rsid w:val="00C40A42"/>
    <w:rsid w:val="00C40C2D"/>
    <w:rsid w:val="00C40C65"/>
    <w:rsid w:val="00C40D70"/>
    <w:rsid w:val="00C40DD5"/>
    <w:rsid w:val="00C40DDF"/>
    <w:rsid w:val="00C40E27"/>
    <w:rsid w:val="00C40F62"/>
    <w:rsid w:val="00C40F95"/>
    <w:rsid w:val="00C40FAC"/>
    <w:rsid w:val="00C40FAE"/>
    <w:rsid w:val="00C4100A"/>
    <w:rsid w:val="00C4108D"/>
    <w:rsid w:val="00C410D5"/>
    <w:rsid w:val="00C41490"/>
    <w:rsid w:val="00C4171F"/>
    <w:rsid w:val="00C41993"/>
    <w:rsid w:val="00C41CFA"/>
    <w:rsid w:val="00C41DE4"/>
    <w:rsid w:val="00C41F03"/>
    <w:rsid w:val="00C42072"/>
    <w:rsid w:val="00C421BF"/>
    <w:rsid w:val="00C422B7"/>
    <w:rsid w:val="00C422B8"/>
    <w:rsid w:val="00C4233E"/>
    <w:rsid w:val="00C42493"/>
    <w:rsid w:val="00C42504"/>
    <w:rsid w:val="00C4270C"/>
    <w:rsid w:val="00C427B5"/>
    <w:rsid w:val="00C42906"/>
    <w:rsid w:val="00C42960"/>
    <w:rsid w:val="00C429B3"/>
    <w:rsid w:val="00C429D8"/>
    <w:rsid w:val="00C42BA4"/>
    <w:rsid w:val="00C42CBA"/>
    <w:rsid w:val="00C431B7"/>
    <w:rsid w:val="00C4336D"/>
    <w:rsid w:val="00C433D4"/>
    <w:rsid w:val="00C434AE"/>
    <w:rsid w:val="00C434CB"/>
    <w:rsid w:val="00C43C78"/>
    <w:rsid w:val="00C43CEF"/>
    <w:rsid w:val="00C44268"/>
    <w:rsid w:val="00C442EF"/>
    <w:rsid w:val="00C4432C"/>
    <w:rsid w:val="00C44348"/>
    <w:rsid w:val="00C4444B"/>
    <w:rsid w:val="00C445F8"/>
    <w:rsid w:val="00C44712"/>
    <w:rsid w:val="00C448DA"/>
    <w:rsid w:val="00C44B2A"/>
    <w:rsid w:val="00C44CD5"/>
    <w:rsid w:val="00C44D8D"/>
    <w:rsid w:val="00C45025"/>
    <w:rsid w:val="00C45090"/>
    <w:rsid w:val="00C45494"/>
    <w:rsid w:val="00C45579"/>
    <w:rsid w:val="00C458DC"/>
    <w:rsid w:val="00C458E5"/>
    <w:rsid w:val="00C45C17"/>
    <w:rsid w:val="00C45D06"/>
    <w:rsid w:val="00C45D32"/>
    <w:rsid w:val="00C45D6D"/>
    <w:rsid w:val="00C45DC1"/>
    <w:rsid w:val="00C46159"/>
    <w:rsid w:val="00C461AC"/>
    <w:rsid w:val="00C463D6"/>
    <w:rsid w:val="00C4689F"/>
    <w:rsid w:val="00C46904"/>
    <w:rsid w:val="00C46A23"/>
    <w:rsid w:val="00C46CC4"/>
    <w:rsid w:val="00C46E57"/>
    <w:rsid w:val="00C473DA"/>
    <w:rsid w:val="00C473E6"/>
    <w:rsid w:val="00C47731"/>
    <w:rsid w:val="00C47808"/>
    <w:rsid w:val="00C479F4"/>
    <w:rsid w:val="00C47A00"/>
    <w:rsid w:val="00C47A17"/>
    <w:rsid w:val="00C47F97"/>
    <w:rsid w:val="00C500CA"/>
    <w:rsid w:val="00C50436"/>
    <w:rsid w:val="00C50561"/>
    <w:rsid w:val="00C507B9"/>
    <w:rsid w:val="00C50821"/>
    <w:rsid w:val="00C50878"/>
    <w:rsid w:val="00C50947"/>
    <w:rsid w:val="00C50999"/>
    <w:rsid w:val="00C50A99"/>
    <w:rsid w:val="00C50AD9"/>
    <w:rsid w:val="00C50B1A"/>
    <w:rsid w:val="00C50B72"/>
    <w:rsid w:val="00C50D10"/>
    <w:rsid w:val="00C50E8E"/>
    <w:rsid w:val="00C51021"/>
    <w:rsid w:val="00C51178"/>
    <w:rsid w:val="00C5128F"/>
    <w:rsid w:val="00C512BC"/>
    <w:rsid w:val="00C512D1"/>
    <w:rsid w:val="00C51436"/>
    <w:rsid w:val="00C51AB7"/>
    <w:rsid w:val="00C51AD5"/>
    <w:rsid w:val="00C51D88"/>
    <w:rsid w:val="00C522C3"/>
    <w:rsid w:val="00C524F1"/>
    <w:rsid w:val="00C5258F"/>
    <w:rsid w:val="00C52913"/>
    <w:rsid w:val="00C52A04"/>
    <w:rsid w:val="00C52B1E"/>
    <w:rsid w:val="00C52BC9"/>
    <w:rsid w:val="00C538A1"/>
    <w:rsid w:val="00C539E0"/>
    <w:rsid w:val="00C53AF0"/>
    <w:rsid w:val="00C53C4B"/>
    <w:rsid w:val="00C53DBC"/>
    <w:rsid w:val="00C53F9C"/>
    <w:rsid w:val="00C54077"/>
    <w:rsid w:val="00C543A8"/>
    <w:rsid w:val="00C543E7"/>
    <w:rsid w:val="00C545FE"/>
    <w:rsid w:val="00C54624"/>
    <w:rsid w:val="00C54764"/>
    <w:rsid w:val="00C547BA"/>
    <w:rsid w:val="00C5483A"/>
    <w:rsid w:val="00C548F0"/>
    <w:rsid w:val="00C54C07"/>
    <w:rsid w:val="00C54C36"/>
    <w:rsid w:val="00C54C4F"/>
    <w:rsid w:val="00C54C5D"/>
    <w:rsid w:val="00C55693"/>
    <w:rsid w:val="00C556E4"/>
    <w:rsid w:val="00C557BE"/>
    <w:rsid w:val="00C55896"/>
    <w:rsid w:val="00C55979"/>
    <w:rsid w:val="00C55BF8"/>
    <w:rsid w:val="00C55E0F"/>
    <w:rsid w:val="00C560EA"/>
    <w:rsid w:val="00C560FA"/>
    <w:rsid w:val="00C5613C"/>
    <w:rsid w:val="00C56699"/>
    <w:rsid w:val="00C56830"/>
    <w:rsid w:val="00C56913"/>
    <w:rsid w:val="00C56A7A"/>
    <w:rsid w:val="00C56A85"/>
    <w:rsid w:val="00C56CAF"/>
    <w:rsid w:val="00C56D5E"/>
    <w:rsid w:val="00C56F3E"/>
    <w:rsid w:val="00C56FE3"/>
    <w:rsid w:val="00C5700A"/>
    <w:rsid w:val="00C572A8"/>
    <w:rsid w:val="00C57410"/>
    <w:rsid w:val="00C575F9"/>
    <w:rsid w:val="00C57960"/>
    <w:rsid w:val="00C57972"/>
    <w:rsid w:val="00C57D05"/>
    <w:rsid w:val="00C57E5A"/>
    <w:rsid w:val="00C57EA8"/>
    <w:rsid w:val="00C57EAB"/>
    <w:rsid w:val="00C57EAE"/>
    <w:rsid w:val="00C60260"/>
    <w:rsid w:val="00C602E7"/>
    <w:rsid w:val="00C60416"/>
    <w:rsid w:val="00C607B1"/>
    <w:rsid w:val="00C60892"/>
    <w:rsid w:val="00C60BCF"/>
    <w:rsid w:val="00C60CC7"/>
    <w:rsid w:val="00C60E41"/>
    <w:rsid w:val="00C613C9"/>
    <w:rsid w:val="00C616D8"/>
    <w:rsid w:val="00C617E0"/>
    <w:rsid w:val="00C61876"/>
    <w:rsid w:val="00C6193A"/>
    <w:rsid w:val="00C62237"/>
    <w:rsid w:val="00C622EF"/>
    <w:rsid w:val="00C625DF"/>
    <w:rsid w:val="00C625FD"/>
    <w:rsid w:val="00C628F3"/>
    <w:rsid w:val="00C62992"/>
    <w:rsid w:val="00C63036"/>
    <w:rsid w:val="00C631AE"/>
    <w:rsid w:val="00C63421"/>
    <w:rsid w:val="00C637F9"/>
    <w:rsid w:val="00C63ABC"/>
    <w:rsid w:val="00C63D35"/>
    <w:rsid w:val="00C63EE4"/>
    <w:rsid w:val="00C63F9A"/>
    <w:rsid w:val="00C64094"/>
    <w:rsid w:val="00C6425B"/>
    <w:rsid w:val="00C642B5"/>
    <w:rsid w:val="00C643F5"/>
    <w:rsid w:val="00C64A6B"/>
    <w:rsid w:val="00C64E7C"/>
    <w:rsid w:val="00C64FBC"/>
    <w:rsid w:val="00C6502F"/>
    <w:rsid w:val="00C6529E"/>
    <w:rsid w:val="00C6595C"/>
    <w:rsid w:val="00C65AD4"/>
    <w:rsid w:val="00C65C4A"/>
    <w:rsid w:val="00C65C89"/>
    <w:rsid w:val="00C65F6E"/>
    <w:rsid w:val="00C65FE9"/>
    <w:rsid w:val="00C662A0"/>
    <w:rsid w:val="00C663A7"/>
    <w:rsid w:val="00C6646C"/>
    <w:rsid w:val="00C6669D"/>
    <w:rsid w:val="00C6675A"/>
    <w:rsid w:val="00C66ACC"/>
    <w:rsid w:val="00C66C52"/>
    <w:rsid w:val="00C66F47"/>
    <w:rsid w:val="00C66F4D"/>
    <w:rsid w:val="00C6703C"/>
    <w:rsid w:val="00C670CE"/>
    <w:rsid w:val="00C670E1"/>
    <w:rsid w:val="00C67473"/>
    <w:rsid w:val="00C674F8"/>
    <w:rsid w:val="00C67618"/>
    <w:rsid w:val="00C677F2"/>
    <w:rsid w:val="00C67939"/>
    <w:rsid w:val="00C67998"/>
    <w:rsid w:val="00C67A93"/>
    <w:rsid w:val="00C67BCD"/>
    <w:rsid w:val="00C67CDA"/>
    <w:rsid w:val="00C70638"/>
    <w:rsid w:val="00C707C8"/>
    <w:rsid w:val="00C70938"/>
    <w:rsid w:val="00C7093A"/>
    <w:rsid w:val="00C70969"/>
    <w:rsid w:val="00C70A65"/>
    <w:rsid w:val="00C70C3A"/>
    <w:rsid w:val="00C70C68"/>
    <w:rsid w:val="00C70F28"/>
    <w:rsid w:val="00C710D6"/>
    <w:rsid w:val="00C711CD"/>
    <w:rsid w:val="00C71303"/>
    <w:rsid w:val="00C71310"/>
    <w:rsid w:val="00C713F5"/>
    <w:rsid w:val="00C7152C"/>
    <w:rsid w:val="00C71848"/>
    <w:rsid w:val="00C71995"/>
    <w:rsid w:val="00C719A9"/>
    <w:rsid w:val="00C719F4"/>
    <w:rsid w:val="00C71A4D"/>
    <w:rsid w:val="00C71B13"/>
    <w:rsid w:val="00C71C98"/>
    <w:rsid w:val="00C71D86"/>
    <w:rsid w:val="00C7202F"/>
    <w:rsid w:val="00C7208A"/>
    <w:rsid w:val="00C722F9"/>
    <w:rsid w:val="00C72372"/>
    <w:rsid w:val="00C724CC"/>
    <w:rsid w:val="00C724D4"/>
    <w:rsid w:val="00C72A6E"/>
    <w:rsid w:val="00C72DBD"/>
    <w:rsid w:val="00C72E12"/>
    <w:rsid w:val="00C72F80"/>
    <w:rsid w:val="00C730FF"/>
    <w:rsid w:val="00C73132"/>
    <w:rsid w:val="00C73140"/>
    <w:rsid w:val="00C7393F"/>
    <w:rsid w:val="00C73A02"/>
    <w:rsid w:val="00C73A3B"/>
    <w:rsid w:val="00C73A58"/>
    <w:rsid w:val="00C73B76"/>
    <w:rsid w:val="00C73ED6"/>
    <w:rsid w:val="00C73EFD"/>
    <w:rsid w:val="00C73FA1"/>
    <w:rsid w:val="00C73FC0"/>
    <w:rsid w:val="00C742EB"/>
    <w:rsid w:val="00C74494"/>
    <w:rsid w:val="00C745D5"/>
    <w:rsid w:val="00C7468C"/>
    <w:rsid w:val="00C746F7"/>
    <w:rsid w:val="00C74795"/>
    <w:rsid w:val="00C747BC"/>
    <w:rsid w:val="00C74A60"/>
    <w:rsid w:val="00C74B75"/>
    <w:rsid w:val="00C74D76"/>
    <w:rsid w:val="00C74E22"/>
    <w:rsid w:val="00C7534A"/>
    <w:rsid w:val="00C75503"/>
    <w:rsid w:val="00C75584"/>
    <w:rsid w:val="00C75915"/>
    <w:rsid w:val="00C75A2A"/>
    <w:rsid w:val="00C75AA1"/>
    <w:rsid w:val="00C75BED"/>
    <w:rsid w:val="00C75CCE"/>
    <w:rsid w:val="00C75D00"/>
    <w:rsid w:val="00C75E53"/>
    <w:rsid w:val="00C75F1C"/>
    <w:rsid w:val="00C76037"/>
    <w:rsid w:val="00C76060"/>
    <w:rsid w:val="00C76080"/>
    <w:rsid w:val="00C76123"/>
    <w:rsid w:val="00C762CD"/>
    <w:rsid w:val="00C7650A"/>
    <w:rsid w:val="00C767EA"/>
    <w:rsid w:val="00C76807"/>
    <w:rsid w:val="00C76A14"/>
    <w:rsid w:val="00C76A5C"/>
    <w:rsid w:val="00C76B19"/>
    <w:rsid w:val="00C76D00"/>
    <w:rsid w:val="00C76D2E"/>
    <w:rsid w:val="00C76E31"/>
    <w:rsid w:val="00C76EAB"/>
    <w:rsid w:val="00C7711C"/>
    <w:rsid w:val="00C773E0"/>
    <w:rsid w:val="00C773E3"/>
    <w:rsid w:val="00C77A65"/>
    <w:rsid w:val="00C77AD6"/>
    <w:rsid w:val="00C77C49"/>
    <w:rsid w:val="00C77CEC"/>
    <w:rsid w:val="00C77E6A"/>
    <w:rsid w:val="00C77EBB"/>
    <w:rsid w:val="00C8000C"/>
    <w:rsid w:val="00C80236"/>
    <w:rsid w:val="00C80548"/>
    <w:rsid w:val="00C80748"/>
    <w:rsid w:val="00C80767"/>
    <w:rsid w:val="00C807A6"/>
    <w:rsid w:val="00C808E2"/>
    <w:rsid w:val="00C809C2"/>
    <w:rsid w:val="00C80DA0"/>
    <w:rsid w:val="00C81047"/>
    <w:rsid w:val="00C81075"/>
    <w:rsid w:val="00C813A5"/>
    <w:rsid w:val="00C81433"/>
    <w:rsid w:val="00C814B6"/>
    <w:rsid w:val="00C8153D"/>
    <w:rsid w:val="00C81692"/>
    <w:rsid w:val="00C8174C"/>
    <w:rsid w:val="00C818FD"/>
    <w:rsid w:val="00C8193E"/>
    <w:rsid w:val="00C819D6"/>
    <w:rsid w:val="00C81B4B"/>
    <w:rsid w:val="00C81CB0"/>
    <w:rsid w:val="00C82093"/>
    <w:rsid w:val="00C82580"/>
    <w:rsid w:val="00C829FC"/>
    <w:rsid w:val="00C82B16"/>
    <w:rsid w:val="00C82B3F"/>
    <w:rsid w:val="00C82CF4"/>
    <w:rsid w:val="00C82D1D"/>
    <w:rsid w:val="00C83138"/>
    <w:rsid w:val="00C83169"/>
    <w:rsid w:val="00C83301"/>
    <w:rsid w:val="00C834AF"/>
    <w:rsid w:val="00C8383C"/>
    <w:rsid w:val="00C83840"/>
    <w:rsid w:val="00C8385D"/>
    <w:rsid w:val="00C83891"/>
    <w:rsid w:val="00C839FB"/>
    <w:rsid w:val="00C83C2D"/>
    <w:rsid w:val="00C83D25"/>
    <w:rsid w:val="00C83E7A"/>
    <w:rsid w:val="00C84035"/>
    <w:rsid w:val="00C842EF"/>
    <w:rsid w:val="00C84379"/>
    <w:rsid w:val="00C8452D"/>
    <w:rsid w:val="00C845FF"/>
    <w:rsid w:val="00C847EE"/>
    <w:rsid w:val="00C84AD1"/>
    <w:rsid w:val="00C84C6C"/>
    <w:rsid w:val="00C84F6E"/>
    <w:rsid w:val="00C85092"/>
    <w:rsid w:val="00C85142"/>
    <w:rsid w:val="00C852AD"/>
    <w:rsid w:val="00C853D9"/>
    <w:rsid w:val="00C85803"/>
    <w:rsid w:val="00C85B5D"/>
    <w:rsid w:val="00C85EC3"/>
    <w:rsid w:val="00C86075"/>
    <w:rsid w:val="00C86116"/>
    <w:rsid w:val="00C861AE"/>
    <w:rsid w:val="00C861BE"/>
    <w:rsid w:val="00C864A3"/>
    <w:rsid w:val="00C8655F"/>
    <w:rsid w:val="00C866E6"/>
    <w:rsid w:val="00C86786"/>
    <w:rsid w:val="00C8681E"/>
    <w:rsid w:val="00C86962"/>
    <w:rsid w:val="00C86AE2"/>
    <w:rsid w:val="00C86CF2"/>
    <w:rsid w:val="00C86E8A"/>
    <w:rsid w:val="00C86ECD"/>
    <w:rsid w:val="00C86F4B"/>
    <w:rsid w:val="00C870C7"/>
    <w:rsid w:val="00C871F8"/>
    <w:rsid w:val="00C87237"/>
    <w:rsid w:val="00C87313"/>
    <w:rsid w:val="00C87484"/>
    <w:rsid w:val="00C87516"/>
    <w:rsid w:val="00C87716"/>
    <w:rsid w:val="00C87730"/>
    <w:rsid w:val="00C8795B"/>
    <w:rsid w:val="00C902F3"/>
    <w:rsid w:val="00C90323"/>
    <w:rsid w:val="00C903A2"/>
    <w:rsid w:val="00C90621"/>
    <w:rsid w:val="00C90639"/>
    <w:rsid w:val="00C9087F"/>
    <w:rsid w:val="00C908F8"/>
    <w:rsid w:val="00C90B72"/>
    <w:rsid w:val="00C90BC2"/>
    <w:rsid w:val="00C90BF8"/>
    <w:rsid w:val="00C90E80"/>
    <w:rsid w:val="00C90FAA"/>
    <w:rsid w:val="00C915EA"/>
    <w:rsid w:val="00C918E9"/>
    <w:rsid w:val="00C91A12"/>
    <w:rsid w:val="00C91A4D"/>
    <w:rsid w:val="00C91AD8"/>
    <w:rsid w:val="00C91C90"/>
    <w:rsid w:val="00C91F09"/>
    <w:rsid w:val="00C920E1"/>
    <w:rsid w:val="00C92329"/>
    <w:rsid w:val="00C92368"/>
    <w:rsid w:val="00C9246C"/>
    <w:rsid w:val="00C924D5"/>
    <w:rsid w:val="00C92641"/>
    <w:rsid w:val="00C9269A"/>
    <w:rsid w:val="00C92718"/>
    <w:rsid w:val="00C9273D"/>
    <w:rsid w:val="00C9293F"/>
    <w:rsid w:val="00C92A62"/>
    <w:rsid w:val="00C92CD9"/>
    <w:rsid w:val="00C92D64"/>
    <w:rsid w:val="00C92F9A"/>
    <w:rsid w:val="00C9307E"/>
    <w:rsid w:val="00C9310A"/>
    <w:rsid w:val="00C93139"/>
    <w:rsid w:val="00C933D5"/>
    <w:rsid w:val="00C93774"/>
    <w:rsid w:val="00C937A4"/>
    <w:rsid w:val="00C93934"/>
    <w:rsid w:val="00C93A42"/>
    <w:rsid w:val="00C93A5C"/>
    <w:rsid w:val="00C93B64"/>
    <w:rsid w:val="00C93D81"/>
    <w:rsid w:val="00C93F5E"/>
    <w:rsid w:val="00C9479F"/>
    <w:rsid w:val="00C94809"/>
    <w:rsid w:val="00C949CE"/>
    <w:rsid w:val="00C94B31"/>
    <w:rsid w:val="00C950FF"/>
    <w:rsid w:val="00C9534D"/>
    <w:rsid w:val="00C9536F"/>
    <w:rsid w:val="00C9545F"/>
    <w:rsid w:val="00C954B7"/>
    <w:rsid w:val="00C955C5"/>
    <w:rsid w:val="00C95690"/>
    <w:rsid w:val="00C95736"/>
    <w:rsid w:val="00C95777"/>
    <w:rsid w:val="00C9590E"/>
    <w:rsid w:val="00C95A0D"/>
    <w:rsid w:val="00C95ADC"/>
    <w:rsid w:val="00C95D3F"/>
    <w:rsid w:val="00C95EA4"/>
    <w:rsid w:val="00C95EE6"/>
    <w:rsid w:val="00C95F9D"/>
    <w:rsid w:val="00C960ED"/>
    <w:rsid w:val="00C963CC"/>
    <w:rsid w:val="00C965C2"/>
    <w:rsid w:val="00C966FE"/>
    <w:rsid w:val="00C96A30"/>
    <w:rsid w:val="00C96A4F"/>
    <w:rsid w:val="00C96A82"/>
    <w:rsid w:val="00C96AE8"/>
    <w:rsid w:val="00C96BB5"/>
    <w:rsid w:val="00C96C99"/>
    <w:rsid w:val="00C96E8D"/>
    <w:rsid w:val="00C9702F"/>
    <w:rsid w:val="00C970A8"/>
    <w:rsid w:val="00C974B7"/>
    <w:rsid w:val="00C97743"/>
    <w:rsid w:val="00C97A96"/>
    <w:rsid w:val="00C97A9B"/>
    <w:rsid w:val="00C97AB1"/>
    <w:rsid w:val="00C97B3D"/>
    <w:rsid w:val="00C97CA8"/>
    <w:rsid w:val="00C97D26"/>
    <w:rsid w:val="00C97D31"/>
    <w:rsid w:val="00C97D8A"/>
    <w:rsid w:val="00C97FC6"/>
    <w:rsid w:val="00CA00A4"/>
    <w:rsid w:val="00CA069A"/>
    <w:rsid w:val="00CA09DF"/>
    <w:rsid w:val="00CA0BFC"/>
    <w:rsid w:val="00CA0C43"/>
    <w:rsid w:val="00CA0DC2"/>
    <w:rsid w:val="00CA109B"/>
    <w:rsid w:val="00CA10FD"/>
    <w:rsid w:val="00CA129F"/>
    <w:rsid w:val="00CA1344"/>
    <w:rsid w:val="00CA1375"/>
    <w:rsid w:val="00CA1848"/>
    <w:rsid w:val="00CA18B5"/>
    <w:rsid w:val="00CA1AA8"/>
    <w:rsid w:val="00CA1AC0"/>
    <w:rsid w:val="00CA1D11"/>
    <w:rsid w:val="00CA1DE5"/>
    <w:rsid w:val="00CA20BA"/>
    <w:rsid w:val="00CA217D"/>
    <w:rsid w:val="00CA2211"/>
    <w:rsid w:val="00CA2358"/>
    <w:rsid w:val="00CA266E"/>
    <w:rsid w:val="00CA2859"/>
    <w:rsid w:val="00CA28C0"/>
    <w:rsid w:val="00CA2925"/>
    <w:rsid w:val="00CA2A5A"/>
    <w:rsid w:val="00CA2F5B"/>
    <w:rsid w:val="00CA2F67"/>
    <w:rsid w:val="00CA3010"/>
    <w:rsid w:val="00CA3032"/>
    <w:rsid w:val="00CA3058"/>
    <w:rsid w:val="00CA31DB"/>
    <w:rsid w:val="00CA3226"/>
    <w:rsid w:val="00CA32AA"/>
    <w:rsid w:val="00CA3318"/>
    <w:rsid w:val="00CA345D"/>
    <w:rsid w:val="00CA3795"/>
    <w:rsid w:val="00CA3978"/>
    <w:rsid w:val="00CA3F38"/>
    <w:rsid w:val="00CA3FB3"/>
    <w:rsid w:val="00CA425A"/>
    <w:rsid w:val="00CA4327"/>
    <w:rsid w:val="00CA4497"/>
    <w:rsid w:val="00CA496B"/>
    <w:rsid w:val="00CA4B38"/>
    <w:rsid w:val="00CA4D0D"/>
    <w:rsid w:val="00CA4D8D"/>
    <w:rsid w:val="00CA4E49"/>
    <w:rsid w:val="00CA5686"/>
    <w:rsid w:val="00CA593F"/>
    <w:rsid w:val="00CA5B02"/>
    <w:rsid w:val="00CA5D79"/>
    <w:rsid w:val="00CA5E0D"/>
    <w:rsid w:val="00CA5F1E"/>
    <w:rsid w:val="00CA60C3"/>
    <w:rsid w:val="00CA616F"/>
    <w:rsid w:val="00CA650B"/>
    <w:rsid w:val="00CA6918"/>
    <w:rsid w:val="00CA6937"/>
    <w:rsid w:val="00CA6A5D"/>
    <w:rsid w:val="00CA6C01"/>
    <w:rsid w:val="00CA6C14"/>
    <w:rsid w:val="00CA6CB0"/>
    <w:rsid w:val="00CA6CB8"/>
    <w:rsid w:val="00CA6DA7"/>
    <w:rsid w:val="00CA6ED5"/>
    <w:rsid w:val="00CA7021"/>
    <w:rsid w:val="00CA7025"/>
    <w:rsid w:val="00CA7121"/>
    <w:rsid w:val="00CA714F"/>
    <w:rsid w:val="00CA7275"/>
    <w:rsid w:val="00CA742B"/>
    <w:rsid w:val="00CA75DB"/>
    <w:rsid w:val="00CA765A"/>
    <w:rsid w:val="00CA79B6"/>
    <w:rsid w:val="00CA7FA7"/>
    <w:rsid w:val="00CB014A"/>
    <w:rsid w:val="00CB01BC"/>
    <w:rsid w:val="00CB03EC"/>
    <w:rsid w:val="00CB04F5"/>
    <w:rsid w:val="00CB053F"/>
    <w:rsid w:val="00CB0815"/>
    <w:rsid w:val="00CB08D5"/>
    <w:rsid w:val="00CB0A85"/>
    <w:rsid w:val="00CB0B8C"/>
    <w:rsid w:val="00CB0C9D"/>
    <w:rsid w:val="00CB0DA4"/>
    <w:rsid w:val="00CB1023"/>
    <w:rsid w:val="00CB12CD"/>
    <w:rsid w:val="00CB14B3"/>
    <w:rsid w:val="00CB1675"/>
    <w:rsid w:val="00CB1733"/>
    <w:rsid w:val="00CB1899"/>
    <w:rsid w:val="00CB18E8"/>
    <w:rsid w:val="00CB1A7C"/>
    <w:rsid w:val="00CB1DA3"/>
    <w:rsid w:val="00CB1E5C"/>
    <w:rsid w:val="00CB1F9A"/>
    <w:rsid w:val="00CB2042"/>
    <w:rsid w:val="00CB2055"/>
    <w:rsid w:val="00CB2149"/>
    <w:rsid w:val="00CB24F7"/>
    <w:rsid w:val="00CB264E"/>
    <w:rsid w:val="00CB26DF"/>
    <w:rsid w:val="00CB2886"/>
    <w:rsid w:val="00CB2B74"/>
    <w:rsid w:val="00CB2C38"/>
    <w:rsid w:val="00CB2E11"/>
    <w:rsid w:val="00CB2FDA"/>
    <w:rsid w:val="00CB3030"/>
    <w:rsid w:val="00CB31A4"/>
    <w:rsid w:val="00CB328E"/>
    <w:rsid w:val="00CB32AA"/>
    <w:rsid w:val="00CB35BC"/>
    <w:rsid w:val="00CB36FA"/>
    <w:rsid w:val="00CB3A0E"/>
    <w:rsid w:val="00CB40F7"/>
    <w:rsid w:val="00CB41EA"/>
    <w:rsid w:val="00CB423F"/>
    <w:rsid w:val="00CB445C"/>
    <w:rsid w:val="00CB47EB"/>
    <w:rsid w:val="00CB49FC"/>
    <w:rsid w:val="00CB4EFD"/>
    <w:rsid w:val="00CB4FF0"/>
    <w:rsid w:val="00CB5171"/>
    <w:rsid w:val="00CB533C"/>
    <w:rsid w:val="00CB557E"/>
    <w:rsid w:val="00CB558C"/>
    <w:rsid w:val="00CB55D4"/>
    <w:rsid w:val="00CB59DB"/>
    <w:rsid w:val="00CB5D0A"/>
    <w:rsid w:val="00CB5D47"/>
    <w:rsid w:val="00CB5D7F"/>
    <w:rsid w:val="00CB5D8C"/>
    <w:rsid w:val="00CB5EE4"/>
    <w:rsid w:val="00CB60EF"/>
    <w:rsid w:val="00CB6278"/>
    <w:rsid w:val="00CB6392"/>
    <w:rsid w:val="00CB64CC"/>
    <w:rsid w:val="00CB6712"/>
    <w:rsid w:val="00CB6742"/>
    <w:rsid w:val="00CB67E2"/>
    <w:rsid w:val="00CB6800"/>
    <w:rsid w:val="00CB6AAC"/>
    <w:rsid w:val="00CB6AEA"/>
    <w:rsid w:val="00CB6D58"/>
    <w:rsid w:val="00CB6DA9"/>
    <w:rsid w:val="00CB6E7D"/>
    <w:rsid w:val="00CB75AB"/>
    <w:rsid w:val="00CB7652"/>
    <w:rsid w:val="00CB76E9"/>
    <w:rsid w:val="00CB779C"/>
    <w:rsid w:val="00CB785F"/>
    <w:rsid w:val="00CB790C"/>
    <w:rsid w:val="00CB798B"/>
    <w:rsid w:val="00CB79BA"/>
    <w:rsid w:val="00CB79C5"/>
    <w:rsid w:val="00CB7A03"/>
    <w:rsid w:val="00CB7A0C"/>
    <w:rsid w:val="00CB7EAC"/>
    <w:rsid w:val="00CC053C"/>
    <w:rsid w:val="00CC05BC"/>
    <w:rsid w:val="00CC08A7"/>
    <w:rsid w:val="00CC0B7B"/>
    <w:rsid w:val="00CC0DF1"/>
    <w:rsid w:val="00CC0E43"/>
    <w:rsid w:val="00CC0EFE"/>
    <w:rsid w:val="00CC0FBD"/>
    <w:rsid w:val="00CC117A"/>
    <w:rsid w:val="00CC11D2"/>
    <w:rsid w:val="00CC1273"/>
    <w:rsid w:val="00CC140C"/>
    <w:rsid w:val="00CC1440"/>
    <w:rsid w:val="00CC14ED"/>
    <w:rsid w:val="00CC15D9"/>
    <w:rsid w:val="00CC1610"/>
    <w:rsid w:val="00CC1739"/>
    <w:rsid w:val="00CC19DE"/>
    <w:rsid w:val="00CC1A3A"/>
    <w:rsid w:val="00CC1C2F"/>
    <w:rsid w:val="00CC1C50"/>
    <w:rsid w:val="00CC1F4B"/>
    <w:rsid w:val="00CC221E"/>
    <w:rsid w:val="00CC2310"/>
    <w:rsid w:val="00CC2601"/>
    <w:rsid w:val="00CC2837"/>
    <w:rsid w:val="00CC2972"/>
    <w:rsid w:val="00CC2A3C"/>
    <w:rsid w:val="00CC2C3B"/>
    <w:rsid w:val="00CC2C48"/>
    <w:rsid w:val="00CC2CB7"/>
    <w:rsid w:val="00CC2DB3"/>
    <w:rsid w:val="00CC2E23"/>
    <w:rsid w:val="00CC348E"/>
    <w:rsid w:val="00CC3748"/>
    <w:rsid w:val="00CC3860"/>
    <w:rsid w:val="00CC38B7"/>
    <w:rsid w:val="00CC38DE"/>
    <w:rsid w:val="00CC3DA5"/>
    <w:rsid w:val="00CC3DAB"/>
    <w:rsid w:val="00CC3DCB"/>
    <w:rsid w:val="00CC3E88"/>
    <w:rsid w:val="00CC3FF2"/>
    <w:rsid w:val="00CC413D"/>
    <w:rsid w:val="00CC4237"/>
    <w:rsid w:val="00CC45B8"/>
    <w:rsid w:val="00CC4693"/>
    <w:rsid w:val="00CC4A0B"/>
    <w:rsid w:val="00CC4B17"/>
    <w:rsid w:val="00CC4D4C"/>
    <w:rsid w:val="00CC4DC2"/>
    <w:rsid w:val="00CC4EDB"/>
    <w:rsid w:val="00CC5091"/>
    <w:rsid w:val="00CC5494"/>
    <w:rsid w:val="00CC56BB"/>
    <w:rsid w:val="00CC56E3"/>
    <w:rsid w:val="00CC59AA"/>
    <w:rsid w:val="00CC5A3D"/>
    <w:rsid w:val="00CC5C7D"/>
    <w:rsid w:val="00CC5D11"/>
    <w:rsid w:val="00CC5D38"/>
    <w:rsid w:val="00CC5F9D"/>
    <w:rsid w:val="00CC609E"/>
    <w:rsid w:val="00CC610D"/>
    <w:rsid w:val="00CC610E"/>
    <w:rsid w:val="00CC61C3"/>
    <w:rsid w:val="00CC61DF"/>
    <w:rsid w:val="00CC6231"/>
    <w:rsid w:val="00CC6543"/>
    <w:rsid w:val="00CC66D2"/>
    <w:rsid w:val="00CC678E"/>
    <w:rsid w:val="00CC685C"/>
    <w:rsid w:val="00CC6ACB"/>
    <w:rsid w:val="00CC6EA1"/>
    <w:rsid w:val="00CC6ED9"/>
    <w:rsid w:val="00CC6EE1"/>
    <w:rsid w:val="00CC6F3D"/>
    <w:rsid w:val="00CC727D"/>
    <w:rsid w:val="00CC7445"/>
    <w:rsid w:val="00CC74CA"/>
    <w:rsid w:val="00CC79E7"/>
    <w:rsid w:val="00CC7A54"/>
    <w:rsid w:val="00CC7B8F"/>
    <w:rsid w:val="00CC7EB7"/>
    <w:rsid w:val="00CD00D2"/>
    <w:rsid w:val="00CD0500"/>
    <w:rsid w:val="00CD053B"/>
    <w:rsid w:val="00CD0630"/>
    <w:rsid w:val="00CD063B"/>
    <w:rsid w:val="00CD08D2"/>
    <w:rsid w:val="00CD09B4"/>
    <w:rsid w:val="00CD0A8F"/>
    <w:rsid w:val="00CD0A9E"/>
    <w:rsid w:val="00CD0AF8"/>
    <w:rsid w:val="00CD0CC5"/>
    <w:rsid w:val="00CD0FA1"/>
    <w:rsid w:val="00CD104D"/>
    <w:rsid w:val="00CD10B7"/>
    <w:rsid w:val="00CD1144"/>
    <w:rsid w:val="00CD1190"/>
    <w:rsid w:val="00CD11DE"/>
    <w:rsid w:val="00CD1597"/>
    <w:rsid w:val="00CD1A43"/>
    <w:rsid w:val="00CD1C64"/>
    <w:rsid w:val="00CD1D4C"/>
    <w:rsid w:val="00CD1D9B"/>
    <w:rsid w:val="00CD1F21"/>
    <w:rsid w:val="00CD1F58"/>
    <w:rsid w:val="00CD20F5"/>
    <w:rsid w:val="00CD21BE"/>
    <w:rsid w:val="00CD2252"/>
    <w:rsid w:val="00CD22C9"/>
    <w:rsid w:val="00CD23DF"/>
    <w:rsid w:val="00CD23FD"/>
    <w:rsid w:val="00CD24EC"/>
    <w:rsid w:val="00CD2957"/>
    <w:rsid w:val="00CD2A0F"/>
    <w:rsid w:val="00CD2B58"/>
    <w:rsid w:val="00CD2D84"/>
    <w:rsid w:val="00CD2E94"/>
    <w:rsid w:val="00CD2F9C"/>
    <w:rsid w:val="00CD2FE1"/>
    <w:rsid w:val="00CD3223"/>
    <w:rsid w:val="00CD33BC"/>
    <w:rsid w:val="00CD349C"/>
    <w:rsid w:val="00CD36C0"/>
    <w:rsid w:val="00CD37CD"/>
    <w:rsid w:val="00CD3A6B"/>
    <w:rsid w:val="00CD3C38"/>
    <w:rsid w:val="00CD4157"/>
    <w:rsid w:val="00CD42F1"/>
    <w:rsid w:val="00CD46F6"/>
    <w:rsid w:val="00CD4834"/>
    <w:rsid w:val="00CD48D6"/>
    <w:rsid w:val="00CD4A20"/>
    <w:rsid w:val="00CD4A8F"/>
    <w:rsid w:val="00CD4AF3"/>
    <w:rsid w:val="00CD4C84"/>
    <w:rsid w:val="00CD4C97"/>
    <w:rsid w:val="00CD4D67"/>
    <w:rsid w:val="00CD4E3C"/>
    <w:rsid w:val="00CD4F31"/>
    <w:rsid w:val="00CD4F66"/>
    <w:rsid w:val="00CD4F96"/>
    <w:rsid w:val="00CD4FAE"/>
    <w:rsid w:val="00CD4FE6"/>
    <w:rsid w:val="00CD5152"/>
    <w:rsid w:val="00CD51C2"/>
    <w:rsid w:val="00CD53F7"/>
    <w:rsid w:val="00CD561A"/>
    <w:rsid w:val="00CD569C"/>
    <w:rsid w:val="00CD5829"/>
    <w:rsid w:val="00CD59F6"/>
    <w:rsid w:val="00CD5D2F"/>
    <w:rsid w:val="00CD5FED"/>
    <w:rsid w:val="00CD5FFD"/>
    <w:rsid w:val="00CD66D3"/>
    <w:rsid w:val="00CD6707"/>
    <w:rsid w:val="00CD6790"/>
    <w:rsid w:val="00CD6894"/>
    <w:rsid w:val="00CD6960"/>
    <w:rsid w:val="00CD69D2"/>
    <w:rsid w:val="00CD6ADE"/>
    <w:rsid w:val="00CD6CB4"/>
    <w:rsid w:val="00CD6D6C"/>
    <w:rsid w:val="00CD6DC6"/>
    <w:rsid w:val="00CD6E0E"/>
    <w:rsid w:val="00CD6E14"/>
    <w:rsid w:val="00CD71CA"/>
    <w:rsid w:val="00CD7712"/>
    <w:rsid w:val="00CD776C"/>
    <w:rsid w:val="00CD7927"/>
    <w:rsid w:val="00CD7967"/>
    <w:rsid w:val="00CD7A14"/>
    <w:rsid w:val="00CD7A1F"/>
    <w:rsid w:val="00CD7C50"/>
    <w:rsid w:val="00CD7D28"/>
    <w:rsid w:val="00CD7E31"/>
    <w:rsid w:val="00CD7EE4"/>
    <w:rsid w:val="00CE01C7"/>
    <w:rsid w:val="00CE0237"/>
    <w:rsid w:val="00CE0382"/>
    <w:rsid w:val="00CE0464"/>
    <w:rsid w:val="00CE0530"/>
    <w:rsid w:val="00CE08BB"/>
    <w:rsid w:val="00CE0A1D"/>
    <w:rsid w:val="00CE0A47"/>
    <w:rsid w:val="00CE0E3D"/>
    <w:rsid w:val="00CE0E93"/>
    <w:rsid w:val="00CE0FA2"/>
    <w:rsid w:val="00CE106A"/>
    <w:rsid w:val="00CE10F9"/>
    <w:rsid w:val="00CE1118"/>
    <w:rsid w:val="00CE1377"/>
    <w:rsid w:val="00CE1484"/>
    <w:rsid w:val="00CE14CA"/>
    <w:rsid w:val="00CE1686"/>
    <w:rsid w:val="00CE188D"/>
    <w:rsid w:val="00CE18A2"/>
    <w:rsid w:val="00CE18FC"/>
    <w:rsid w:val="00CE1F89"/>
    <w:rsid w:val="00CE2001"/>
    <w:rsid w:val="00CE203D"/>
    <w:rsid w:val="00CE213D"/>
    <w:rsid w:val="00CE2203"/>
    <w:rsid w:val="00CE2363"/>
    <w:rsid w:val="00CE23EE"/>
    <w:rsid w:val="00CE24AD"/>
    <w:rsid w:val="00CE24C1"/>
    <w:rsid w:val="00CE2830"/>
    <w:rsid w:val="00CE2961"/>
    <w:rsid w:val="00CE2B47"/>
    <w:rsid w:val="00CE2B4B"/>
    <w:rsid w:val="00CE2CF2"/>
    <w:rsid w:val="00CE2E00"/>
    <w:rsid w:val="00CE2E1D"/>
    <w:rsid w:val="00CE2E6F"/>
    <w:rsid w:val="00CE2E88"/>
    <w:rsid w:val="00CE343A"/>
    <w:rsid w:val="00CE3448"/>
    <w:rsid w:val="00CE3497"/>
    <w:rsid w:val="00CE3554"/>
    <w:rsid w:val="00CE369F"/>
    <w:rsid w:val="00CE3989"/>
    <w:rsid w:val="00CE3BE3"/>
    <w:rsid w:val="00CE3D07"/>
    <w:rsid w:val="00CE3F05"/>
    <w:rsid w:val="00CE404F"/>
    <w:rsid w:val="00CE40A1"/>
    <w:rsid w:val="00CE4122"/>
    <w:rsid w:val="00CE4192"/>
    <w:rsid w:val="00CE442D"/>
    <w:rsid w:val="00CE4563"/>
    <w:rsid w:val="00CE4617"/>
    <w:rsid w:val="00CE4645"/>
    <w:rsid w:val="00CE4913"/>
    <w:rsid w:val="00CE4B01"/>
    <w:rsid w:val="00CE4C27"/>
    <w:rsid w:val="00CE4D70"/>
    <w:rsid w:val="00CE4D87"/>
    <w:rsid w:val="00CE4D9F"/>
    <w:rsid w:val="00CE4F1F"/>
    <w:rsid w:val="00CE5007"/>
    <w:rsid w:val="00CE5053"/>
    <w:rsid w:val="00CE5087"/>
    <w:rsid w:val="00CE51C5"/>
    <w:rsid w:val="00CE52BF"/>
    <w:rsid w:val="00CE5371"/>
    <w:rsid w:val="00CE538F"/>
    <w:rsid w:val="00CE55E0"/>
    <w:rsid w:val="00CE583F"/>
    <w:rsid w:val="00CE5916"/>
    <w:rsid w:val="00CE595C"/>
    <w:rsid w:val="00CE59FA"/>
    <w:rsid w:val="00CE5B1D"/>
    <w:rsid w:val="00CE5B6E"/>
    <w:rsid w:val="00CE5C11"/>
    <w:rsid w:val="00CE5D70"/>
    <w:rsid w:val="00CE62CB"/>
    <w:rsid w:val="00CE631D"/>
    <w:rsid w:val="00CE6486"/>
    <w:rsid w:val="00CE6543"/>
    <w:rsid w:val="00CE65EF"/>
    <w:rsid w:val="00CE6702"/>
    <w:rsid w:val="00CE6727"/>
    <w:rsid w:val="00CE6777"/>
    <w:rsid w:val="00CE6814"/>
    <w:rsid w:val="00CE68B3"/>
    <w:rsid w:val="00CE6961"/>
    <w:rsid w:val="00CE6C55"/>
    <w:rsid w:val="00CE6D52"/>
    <w:rsid w:val="00CE6E7E"/>
    <w:rsid w:val="00CE6FBC"/>
    <w:rsid w:val="00CE6FC1"/>
    <w:rsid w:val="00CE719E"/>
    <w:rsid w:val="00CE78DB"/>
    <w:rsid w:val="00CE7B14"/>
    <w:rsid w:val="00CE7BB4"/>
    <w:rsid w:val="00CE7F08"/>
    <w:rsid w:val="00CF000E"/>
    <w:rsid w:val="00CF03C2"/>
    <w:rsid w:val="00CF05AD"/>
    <w:rsid w:val="00CF0811"/>
    <w:rsid w:val="00CF094B"/>
    <w:rsid w:val="00CF0952"/>
    <w:rsid w:val="00CF09B1"/>
    <w:rsid w:val="00CF0A1E"/>
    <w:rsid w:val="00CF0A73"/>
    <w:rsid w:val="00CF0B8C"/>
    <w:rsid w:val="00CF0BAA"/>
    <w:rsid w:val="00CF0C30"/>
    <w:rsid w:val="00CF0CC6"/>
    <w:rsid w:val="00CF0DF2"/>
    <w:rsid w:val="00CF1084"/>
    <w:rsid w:val="00CF108F"/>
    <w:rsid w:val="00CF161C"/>
    <w:rsid w:val="00CF1880"/>
    <w:rsid w:val="00CF1AD2"/>
    <w:rsid w:val="00CF1B29"/>
    <w:rsid w:val="00CF1C8D"/>
    <w:rsid w:val="00CF1CDF"/>
    <w:rsid w:val="00CF1D53"/>
    <w:rsid w:val="00CF1D8A"/>
    <w:rsid w:val="00CF1F8A"/>
    <w:rsid w:val="00CF1FDF"/>
    <w:rsid w:val="00CF2084"/>
    <w:rsid w:val="00CF2867"/>
    <w:rsid w:val="00CF2D7A"/>
    <w:rsid w:val="00CF2EA7"/>
    <w:rsid w:val="00CF2F85"/>
    <w:rsid w:val="00CF300E"/>
    <w:rsid w:val="00CF3108"/>
    <w:rsid w:val="00CF318C"/>
    <w:rsid w:val="00CF334E"/>
    <w:rsid w:val="00CF3357"/>
    <w:rsid w:val="00CF3360"/>
    <w:rsid w:val="00CF3392"/>
    <w:rsid w:val="00CF3516"/>
    <w:rsid w:val="00CF36EF"/>
    <w:rsid w:val="00CF37D2"/>
    <w:rsid w:val="00CF3834"/>
    <w:rsid w:val="00CF38FF"/>
    <w:rsid w:val="00CF3B7F"/>
    <w:rsid w:val="00CF3CA3"/>
    <w:rsid w:val="00CF3E20"/>
    <w:rsid w:val="00CF3F3E"/>
    <w:rsid w:val="00CF3FF1"/>
    <w:rsid w:val="00CF416D"/>
    <w:rsid w:val="00CF4502"/>
    <w:rsid w:val="00CF4615"/>
    <w:rsid w:val="00CF4B0D"/>
    <w:rsid w:val="00CF4C98"/>
    <w:rsid w:val="00CF50DC"/>
    <w:rsid w:val="00CF5110"/>
    <w:rsid w:val="00CF5137"/>
    <w:rsid w:val="00CF5145"/>
    <w:rsid w:val="00CF51FE"/>
    <w:rsid w:val="00CF542A"/>
    <w:rsid w:val="00CF596B"/>
    <w:rsid w:val="00CF59E1"/>
    <w:rsid w:val="00CF5BCC"/>
    <w:rsid w:val="00CF5FE2"/>
    <w:rsid w:val="00CF634E"/>
    <w:rsid w:val="00CF642A"/>
    <w:rsid w:val="00CF6BC6"/>
    <w:rsid w:val="00CF6EE6"/>
    <w:rsid w:val="00CF6F8A"/>
    <w:rsid w:val="00CF70DE"/>
    <w:rsid w:val="00CF759B"/>
    <w:rsid w:val="00CF7606"/>
    <w:rsid w:val="00CF761D"/>
    <w:rsid w:val="00CF76CB"/>
    <w:rsid w:val="00CF770B"/>
    <w:rsid w:val="00CF77B8"/>
    <w:rsid w:val="00CF792D"/>
    <w:rsid w:val="00CF7999"/>
    <w:rsid w:val="00CF79ED"/>
    <w:rsid w:val="00CF7AEB"/>
    <w:rsid w:val="00CF7B6B"/>
    <w:rsid w:val="00D00109"/>
    <w:rsid w:val="00D0019D"/>
    <w:rsid w:val="00D0054C"/>
    <w:rsid w:val="00D008AC"/>
    <w:rsid w:val="00D008D5"/>
    <w:rsid w:val="00D00968"/>
    <w:rsid w:val="00D00E19"/>
    <w:rsid w:val="00D0136A"/>
    <w:rsid w:val="00D013EA"/>
    <w:rsid w:val="00D015E4"/>
    <w:rsid w:val="00D01884"/>
    <w:rsid w:val="00D01911"/>
    <w:rsid w:val="00D019D2"/>
    <w:rsid w:val="00D01ADD"/>
    <w:rsid w:val="00D01D18"/>
    <w:rsid w:val="00D01E88"/>
    <w:rsid w:val="00D01ECF"/>
    <w:rsid w:val="00D02049"/>
    <w:rsid w:val="00D023E2"/>
    <w:rsid w:val="00D02473"/>
    <w:rsid w:val="00D027E0"/>
    <w:rsid w:val="00D029E6"/>
    <w:rsid w:val="00D02C5C"/>
    <w:rsid w:val="00D02D4B"/>
    <w:rsid w:val="00D02D96"/>
    <w:rsid w:val="00D02E85"/>
    <w:rsid w:val="00D02EA0"/>
    <w:rsid w:val="00D02FA6"/>
    <w:rsid w:val="00D02FE3"/>
    <w:rsid w:val="00D0311C"/>
    <w:rsid w:val="00D031DC"/>
    <w:rsid w:val="00D031E4"/>
    <w:rsid w:val="00D033B3"/>
    <w:rsid w:val="00D033E7"/>
    <w:rsid w:val="00D0365C"/>
    <w:rsid w:val="00D036FE"/>
    <w:rsid w:val="00D039FA"/>
    <w:rsid w:val="00D03A7F"/>
    <w:rsid w:val="00D03B44"/>
    <w:rsid w:val="00D03B5E"/>
    <w:rsid w:val="00D03B8C"/>
    <w:rsid w:val="00D03B95"/>
    <w:rsid w:val="00D03FE7"/>
    <w:rsid w:val="00D04504"/>
    <w:rsid w:val="00D047C5"/>
    <w:rsid w:val="00D0485C"/>
    <w:rsid w:val="00D04CD6"/>
    <w:rsid w:val="00D04DB1"/>
    <w:rsid w:val="00D04EF6"/>
    <w:rsid w:val="00D05027"/>
    <w:rsid w:val="00D05111"/>
    <w:rsid w:val="00D051F0"/>
    <w:rsid w:val="00D05256"/>
    <w:rsid w:val="00D054A1"/>
    <w:rsid w:val="00D0570C"/>
    <w:rsid w:val="00D05AE8"/>
    <w:rsid w:val="00D05E19"/>
    <w:rsid w:val="00D05E5C"/>
    <w:rsid w:val="00D05EB6"/>
    <w:rsid w:val="00D05F96"/>
    <w:rsid w:val="00D05FFA"/>
    <w:rsid w:val="00D062F3"/>
    <w:rsid w:val="00D0648C"/>
    <w:rsid w:val="00D0653B"/>
    <w:rsid w:val="00D06641"/>
    <w:rsid w:val="00D066A0"/>
    <w:rsid w:val="00D067BC"/>
    <w:rsid w:val="00D06992"/>
    <w:rsid w:val="00D06A3D"/>
    <w:rsid w:val="00D06B3A"/>
    <w:rsid w:val="00D06D3B"/>
    <w:rsid w:val="00D0710B"/>
    <w:rsid w:val="00D07128"/>
    <w:rsid w:val="00D072E5"/>
    <w:rsid w:val="00D07330"/>
    <w:rsid w:val="00D073AA"/>
    <w:rsid w:val="00D07644"/>
    <w:rsid w:val="00D079C6"/>
    <w:rsid w:val="00D07EDB"/>
    <w:rsid w:val="00D10131"/>
    <w:rsid w:val="00D1014E"/>
    <w:rsid w:val="00D10641"/>
    <w:rsid w:val="00D106B2"/>
    <w:rsid w:val="00D1098E"/>
    <w:rsid w:val="00D10A75"/>
    <w:rsid w:val="00D10C19"/>
    <w:rsid w:val="00D10CD1"/>
    <w:rsid w:val="00D10D15"/>
    <w:rsid w:val="00D110A8"/>
    <w:rsid w:val="00D1115A"/>
    <w:rsid w:val="00D11400"/>
    <w:rsid w:val="00D1148B"/>
    <w:rsid w:val="00D11B6E"/>
    <w:rsid w:val="00D11CE6"/>
    <w:rsid w:val="00D12032"/>
    <w:rsid w:val="00D120BF"/>
    <w:rsid w:val="00D120C6"/>
    <w:rsid w:val="00D120EE"/>
    <w:rsid w:val="00D12209"/>
    <w:rsid w:val="00D12222"/>
    <w:rsid w:val="00D125C3"/>
    <w:rsid w:val="00D126BB"/>
    <w:rsid w:val="00D12791"/>
    <w:rsid w:val="00D12870"/>
    <w:rsid w:val="00D12A33"/>
    <w:rsid w:val="00D12C0A"/>
    <w:rsid w:val="00D12DF4"/>
    <w:rsid w:val="00D12DF8"/>
    <w:rsid w:val="00D12E53"/>
    <w:rsid w:val="00D12FF3"/>
    <w:rsid w:val="00D1372A"/>
    <w:rsid w:val="00D13813"/>
    <w:rsid w:val="00D13953"/>
    <w:rsid w:val="00D13B10"/>
    <w:rsid w:val="00D13D15"/>
    <w:rsid w:val="00D1455B"/>
    <w:rsid w:val="00D14BB3"/>
    <w:rsid w:val="00D14BB9"/>
    <w:rsid w:val="00D14C8C"/>
    <w:rsid w:val="00D14D38"/>
    <w:rsid w:val="00D14F65"/>
    <w:rsid w:val="00D14F7E"/>
    <w:rsid w:val="00D14F80"/>
    <w:rsid w:val="00D15364"/>
    <w:rsid w:val="00D156A8"/>
    <w:rsid w:val="00D157DF"/>
    <w:rsid w:val="00D15B60"/>
    <w:rsid w:val="00D15D4D"/>
    <w:rsid w:val="00D15DA8"/>
    <w:rsid w:val="00D15E6A"/>
    <w:rsid w:val="00D1601B"/>
    <w:rsid w:val="00D16068"/>
    <w:rsid w:val="00D1612C"/>
    <w:rsid w:val="00D163D8"/>
    <w:rsid w:val="00D164E9"/>
    <w:rsid w:val="00D1680F"/>
    <w:rsid w:val="00D169C5"/>
    <w:rsid w:val="00D16D31"/>
    <w:rsid w:val="00D16E36"/>
    <w:rsid w:val="00D1729B"/>
    <w:rsid w:val="00D172FC"/>
    <w:rsid w:val="00D173E4"/>
    <w:rsid w:val="00D1740C"/>
    <w:rsid w:val="00D17427"/>
    <w:rsid w:val="00D1744D"/>
    <w:rsid w:val="00D175F8"/>
    <w:rsid w:val="00D17793"/>
    <w:rsid w:val="00D177B6"/>
    <w:rsid w:val="00D1797B"/>
    <w:rsid w:val="00D17AF6"/>
    <w:rsid w:val="00D17D8B"/>
    <w:rsid w:val="00D17ED8"/>
    <w:rsid w:val="00D17FA0"/>
    <w:rsid w:val="00D2007D"/>
    <w:rsid w:val="00D201A2"/>
    <w:rsid w:val="00D201D6"/>
    <w:rsid w:val="00D201DF"/>
    <w:rsid w:val="00D20393"/>
    <w:rsid w:val="00D203D8"/>
    <w:rsid w:val="00D205A6"/>
    <w:rsid w:val="00D205B9"/>
    <w:rsid w:val="00D206E4"/>
    <w:rsid w:val="00D20809"/>
    <w:rsid w:val="00D209E7"/>
    <w:rsid w:val="00D20C94"/>
    <w:rsid w:val="00D20D9C"/>
    <w:rsid w:val="00D20F25"/>
    <w:rsid w:val="00D20FA5"/>
    <w:rsid w:val="00D21083"/>
    <w:rsid w:val="00D2118E"/>
    <w:rsid w:val="00D212DB"/>
    <w:rsid w:val="00D21437"/>
    <w:rsid w:val="00D214A3"/>
    <w:rsid w:val="00D214E3"/>
    <w:rsid w:val="00D2157D"/>
    <w:rsid w:val="00D21880"/>
    <w:rsid w:val="00D21931"/>
    <w:rsid w:val="00D21A4E"/>
    <w:rsid w:val="00D21BB3"/>
    <w:rsid w:val="00D21EE8"/>
    <w:rsid w:val="00D21F22"/>
    <w:rsid w:val="00D22197"/>
    <w:rsid w:val="00D221A0"/>
    <w:rsid w:val="00D22540"/>
    <w:rsid w:val="00D2270A"/>
    <w:rsid w:val="00D22730"/>
    <w:rsid w:val="00D22AD7"/>
    <w:rsid w:val="00D230E7"/>
    <w:rsid w:val="00D2321D"/>
    <w:rsid w:val="00D2329B"/>
    <w:rsid w:val="00D234EF"/>
    <w:rsid w:val="00D23565"/>
    <w:rsid w:val="00D23654"/>
    <w:rsid w:val="00D23800"/>
    <w:rsid w:val="00D23903"/>
    <w:rsid w:val="00D23994"/>
    <w:rsid w:val="00D239C7"/>
    <w:rsid w:val="00D23B01"/>
    <w:rsid w:val="00D23B4F"/>
    <w:rsid w:val="00D23C13"/>
    <w:rsid w:val="00D23D64"/>
    <w:rsid w:val="00D23EA9"/>
    <w:rsid w:val="00D23F02"/>
    <w:rsid w:val="00D2400F"/>
    <w:rsid w:val="00D240AA"/>
    <w:rsid w:val="00D240E7"/>
    <w:rsid w:val="00D24286"/>
    <w:rsid w:val="00D24382"/>
    <w:rsid w:val="00D249D4"/>
    <w:rsid w:val="00D24B3B"/>
    <w:rsid w:val="00D24C02"/>
    <w:rsid w:val="00D24C1C"/>
    <w:rsid w:val="00D24DB6"/>
    <w:rsid w:val="00D24F2D"/>
    <w:rsid w:val="00D25145"/>
    <w:rsid w:val="00D251DE"/>
    <w:rsid w:val="00D251EA"/>
    <w:rsid w:val="00D253F8"/>
    <w:rsid w:val="00D25737"/>
    <w:rsid w:val="00D25A25"/>
    <w:rsid w:val="00D25C90"/>
    <w:rsid w:val="00D25C9E"/>
    <w:rsid w:val="00D26391"/>
    <w:rsid w:val="00D2654E"/>
    <w:rsid w:val="00D26658"/>
    <w:rsid w:val="00D269EB"/>
    <w:rsid w:val="00D26D86"/>
    <w:rsid w:val="00D26E6A"/>
    <w:rsid w:val="00D26F8B"/>
    <w:rsid w:val="00D27207"/>
    <w:rsid w:val="00D27259"/>
    <w:rsid w:val="00D274FE"/>
    <w:rsid w:val="00D27590"/>
    <w:rsid w:val="00D2759A"/>
    <w:rsid w:val="00D27940"/>
    <w:rsid w:val="00D27FDF"/>
    <w:rsid w:val="00D300B6"/>
    <w:rsid w:val="00D300C6"/>
    <w:rsid w:val="00D302A6"/>
    <w:rsid w:val="00D302B3"/>
    <w:rsid w:val="00D302C8"/>
    <w:rsid w:val="00D30416"/>
    <w:rsid w:val="00D304B3"/>
    <w:rsid w:val="00D304BF"/>
    <w:rsid w:val="00D3055C"/>
    <w:rsid w:val="00D30683"/>
    <w:rsid w:val="00D3077F"/>
    <w:rsid w:val="00D30781"/>
    <w:rsid w:val="00D30B48"/>
    <w:rsid w:val="00D310BB"/>
    <w:rsid w:val="00D310FF"/>
    <w:rsid w:val="00D311A2"/>
    <w:rsid w:val="00D31236"/>
    <w:rsid w:val="00D3132D"/>
    <w:rsid w:val="00D31381"/>
    <w:rsid w:val="00D31438"/>
    <w:rsid w:val="00D31451"/>
    <w:rsid w:val="00D31457"/>
    <w:rsid w:val="00D31551"/>
    <w:rsid w:val="00D315CA"/>
    <w:rsid w:val="00D316C8"/>
    <w:rsid w:val="00D316DD"/>
    <w:rsid w:val="00D317E1"/>
    <w:rsid w:val="00D317E3"/>
    <w:rsid w:val="00D31D56"/>
    <w:rsid w:val="00D31FEA"/>
    <w:rsid w:val="00D32178"/>
    <w:rsid w:val="00D32259"/>
    <w:rsid w:val="00D3229F"/>
    <w:rsid w:val="00D32321"/>
    <w:rsid w:val="00D32351"/>
    <w:rsid w:val="00D32357"/>
    <w:rsid w:val="00D3245C"/>
    <w:rsid w:val="00D3283A"/>
    <w:rsid w:val="00D3284D"/>
    <w:rsid w:val="00D32D9E"/>
    <w:rsid w:val="00D32DC4"/>
    <w:rsid w:val="00D3305A"/>
    <w:rsid w:val="00D3307F"/>
    <w:rsid w:val="00D332C6"/>
    <w:rsid w:val="00D333A8"/>
    <w:rsid w:val="00D334AC"/>
    <w:rsid w:val="00D3355B"/>
    <w:rsid w:val="00D33853"/>
    <w:rsid w:val="00D33A0A"/>
    <w:rsid w:val="00D33A52"/>
    <w:rsid w:val="00D33AE0"/>
    <w:rsid w:val="00D33AF4"/>
    <w:rsid w:val="00D33B53"/>
    <w:rsid w:val="00D33B6A"/>
    <w:rsid w:val="00D33C55"/>
    <w:rsid w:val="00D33E9A"/>
    <w:rsid w:val="00D3406B"/>
    <w:rsid w:val="00D342B4"/>
    <w:rsid w:val="00D347D0"/>
    <w:rsid w:val="00D348F6"/>
    <w:rsid w:val="00D349C0"/>
    <w:rsid w:val="00D34A50"/>
    <w:rsid w:val="00D34F09"/>
    <w:rsid w:val="00D3515C"/>
    <w:rsid w:val="00D351F3"/>
    <w:rsid w:val="00D35201"/>
    <w:rsid w:val="00D35728"/>
    <w:rsid w:val="00D35AE2"/>
    <w:rsid w:val="00D35C7B"/>
    <w:rsid w:val="00D35CC1"/>
    <w:rsid w:val="00D35CD6"/>
    <w:rsid w:val="00D35E36"/>
    <w:rsid w:val="00D36034"/>
    <w:rsid w:val="00D361C8"/>
    <w:rsid w:val="00D361F1"/>
    <w:rsid w:val="00D36208"/>
    <w:rsid w:val="00D3624E"/>
    <w:rsid w:val="00D36347"/>
    <w:rsid w:val="00D363E6"/>
    <w:rsid w:val="00D36471"/>
    <w:rsid w:val="00D364E7"/>
    <w:rsid w:val="00D366F0"/>
    <w:rsid w:val="00D36886"/>
    <w:rsid w:val="00D368D8"/>
    <w:rsid w:val="00D36D03"/>
    <w:rsid w:val="00D36EC3"/>
    <w:rsid w:val="00D37220"/>
    <w:rsid w:val="00D372E9"/>
    <w:rsid w:val="00D37315"/>
    <w:rsid w:val="00D373D5"/>
    <w:rsid w:val="00D3755F"/>
    <w:rsid w:val="00D376A8"/>
    <w:rsid w:val="00D3787D"/>
    <w:rsid w:val="00D37A34"/>
    <w:rsid w:val="00D37BEC"/>
    <w:rsid w:val="00D37CED"/>
    <w:rsid w:val="00D37F17"/>
    <w:rsid w:val="00D40012"/>
    <w:rsid w:val="00D40363"/>
    <w:rsid w:val="00D4049E"/>
    <w:rsid w:val="00D404C4"/>
    <w:rsid w:val="00D40B11"/>
    <w:rsid w:val="00D40C49"/>
    <w:rsid w:val="00D40DEB"/>
    <w:rsid w:val="00D40DFB"/>
    <w:rsid w:val="00D40E57"/>
    <w:rsid w:val="00D412D1"/>
    <w:rsid w:val="00D4159E"/>
    <w:rsid w:val="00D415E1"/>
    <w:rsid w:val="00D41615"/>
    <w:rsid w:val="00D41849"/>
    <w:rsid w:val="00D41AAA"/>
    <w:rsid w:val="00D41C10"/>
    <w:rsid w:val="00D41E9F"/>
    <w:rsid w:val="00D422F7"/>
    <w:rsid w:val="00D42C27"/>
    <w:rsid w:val="00D42C3C"/>
    <w:rsid w:val="00D42DA1"/>
    <w:rsid w:val="00D431E7"/>
    <w:rsid w:val="00D433D2"/>
    <w:rsid w:val="00D43656"/>
    <w:rsid w:val="00D43B85"/>
    <w:rsid w:val="00D43D7C"/>
    <w:rsid w:val="00D43EC6"/>
    <w:rsid w:val="00D43ECE"/>
    <w:rsid w:val="00D43FED"/>
    <w:rsid w:val="00D44122"/>
    <w:rsid w:val="00D441DB"/>
    <w:rsid w:val="00D442A6"/>
    <w:rsid w:val="00D44367"/>
    <w:rsid w:val="00D443F6"/>
    <w:rsid w:val="00D44597"/>
    <w:rsid w:val="00D4462F"/>
    <w:rsid w:val="00D44A62"/>
    <w:rsid w:val="00D44C4F"/>
    <w:rsid w:val="00D44CBB"/>
    <w:rsid w:val="00D44CC1"/>
    <w:rsid w:val="00D44D78"/>
    <w:rsid w:val="00D4508A"/>
    <w:rsid w:val="00D45140"/>
    <w:rsid w:val="00D45293"/>
    <w:rsid w:val="00D453FC"/>
    <w:rsid w:val="00D45630"/>
    <w:rsid w:val="00D4590E"/>
    <w:rsid w:val="00D45C32"/>
    <w:rsid w:val="00D45D75"/>
    <w:rsid w:val="00D45ED2"/>
    <w:rsid w:val="00D45F93"/>
    <w:rsid w:val="00D46180"/>
    <w:rsid w:val="00D4633D"/>
    <w:rsid w:val="00D4677F"/>
    <w:rsid w:val="00D46784"/>
    <w:rsid w:val="00D4696E"/>
    <w:rsid w:val="00D46B21"/>
    <w:rsid w:val="00D46DE1"/>
    <w:rsid w:val="00D46EAB"/>
    <w:rsid w:val="00D46F8C"/>
    <w:rsid w:val="00D4715F"/>
    <w:rsid w:val="00D47403"/>
    <w:rsid w:val="00D4755E"/>
    <w:rsid w:val="00D476EC"/>
    <w:rsid w:val="00D4787D"/>
    <w:rsid w:val="00D47894"/>
    <w:rsid w:val="00D478F6"/>
    <w:rsid w:val="00D47902"/>
    <w:rsid w:val="00D47AA6"/>
    <w:rsid w:val="00D47BA8"/>
    <w:rsid w:val="00D47BDF"/>
    <w:rsid w:val="00D47CEF"/>
    <w:rsid w:val="00D47D88"/>
    <w:rsid w:val="00D47DA8"/>
    <w:rsid w:val="00D47EF3"/>
    <w:rsid w:val="00D5015D"/>
    <w:rsid w:val="00D502DE"/>
    <w:rsid w:val="00D5044A"/>
    <w:rsid w:val="00D5059C"/>
    <w:rsid w:val="00D50B0D"/>
    <w:rsid w:val="00D50B32"/>
    <w:rsid w:val="00D50C8D"/>
    <w:rsid w:val="00D50E4C"/>
    <w:rsid w:val="00D50E95"/>
    <w:rsid w:val="00D50EA0"/>
    <w:rsid w:val="00D50F1F"/>
    <w:rsid w:val="00D514A2"/>
    <w:rsid w:val="00D51578"/>
    <w:rsid w:val="00D5170E"/>
    <w:rsid w:val="00D517F5"/>
    <w:rsid w:val="00D51945"/>
    <w:rsid w:val="00D51BBB"/>
    <w:rsid w:val="00D5272E"/>
    <w:rsid w:val="00D527F3"/>
    <w:rsid w:val="00D52855"/>
    <w:rsid w:val="00D5288F"/>
    <w:rsid w:val="00D52BE8"/>
    <w:rsid w:val="00D52C80"/>
    <w:rsid w:val="00D52CA4"/>
    <w:rsid w:val="00D52CEB"/>
    <w:rsid w:val="00D53111"/>
    <w:rsid w:val="00D53170"/>
    <w:rsid w:val="00D531FF"/>
    <w:rsid w:val="00D532C6"/>
    <w:rsid w:val="00D532D7"/>
    <w:rsid w:val="00D533C6"/>
    <w:rsid w:val="00D53567"/>
    <w:rsid w:val="00D535DF"/>
    <w:rsid w:val="00D536DC"/>
    <w:rsid w:val="00D537EC"/>
    <w:rsid w:val="00D539D7"/>
    <w:rsid w:val="00D53B0C"/>
    <w:rsid w:val="00D53FAA"/>
    <w:rsid w:val="00D5400D"/>
    <w:rsid w:val="00D541E8"/>
    <w:rsid w:val="00D544B1"/>
    <w:rsid w:val="00D5451A"/>
    <w:rsid w:val="00D54607"/>
    <w:rsid w:val="00D54841"/>
    <w:rsid w:val="00D54899"/>
    <w:rsid w:val="00D54939"/>
    <w:rsid w:val="00D5498D"/>
    <w:rsid w:val="00D549ED"/>
    <w:rsid w:val="00D54BD9"/>
    <w:rsid w:val="00D54BEC"/>
    <w:rsid w:val="00D54C36"/>
    <w:rsid w:val="00D54D0F"/>
    <w:rsid w:val="00D54FCA"/>
    <w:rsid w:val="00D553B9"/>
    <w:rsid w:val="00D5551A"/>
    <w:rsid w:val="00D5554E"/>
    <w:rsid w:val="00D5581E"/>
    <w:rsid w:val="00D558F5"/>
    <w:rsid w:val="00D55A34"/>
    <w:rsid w:val="00D55A72"/>
    <w:rsid w:val="00D55B49"/>
    <w:rsid w:val="00D55C20"/>
    <w:rsid w:val="00D55C44"/>
    <w:rsid w:val="00D55CD1"/>
    <w:rsid w:val="00D55DDD"/>
    <w:rsid w:val="00D55E01"/>
    <w:rsid w:val="00D56206"/>
    <w:rsid w:val="00D562FC"/>
    <w:rsid w:val="00D564C6"/>
    <w:rsid w:val="00D565B9"/>
    <w:rsid w:val="00D56655"/>
    <w:rsid w:val="00D567B3"/>
    <w:rsid w:val="00D5682B"/>
    <w:rsid w:val="00D568ED"/>
    <w:rsid w:val="00D56A33"/>
    <w:rsid w:val="00D56CD0"/>
    <w:rsid w:val="00D56D8D"/>
    <w:rsid w:val="00D56FFA"/>
    <w:rsid w:val="00D57000"/>
    <w:rsid w:val="00D5724D"/>
    <w:rsid w:val="00D572E8"/>
    <w:rsid w:val="00D57317"/>
    <w:rsid w:val="00D573C0"/>
    <w:rsid w:val="00D57425"/>
    <w:rsid w:val="00D57489"/>
    <w:rsid w:val="00D57589"/>
    <w:rsid w:val="00D57615"/>
    <w:rsid w:val="00D57670"/>
    <w:rsid w:val="00D5769F"/>
    <w:rsid w:val="00D5777D"/>
    <w:rsid w:val="00D579D5"/>
    <w:rsid w:val="00D57CC3"/>
    <w:rsid w:val="00D57DA2"/>
    <w:rsid w:val="00D57F1A"/>
    <w:rsid w:val="00D60029"/>
    <w:rsid w:val="00D6005F"/>
    <w:rsid w:val="00D600EC"/>
    <w:rsid w:val="00D60164"/>
    <w:rsid w:val="00D60208"/>
    <w:rsid w:val="00D60286"/>
    <w:rsid w:val="00D6030F"/>
    <w:rsid w:val="00D6046F"/>
    <w:rsid w:val="00D60470"/>
    <w:rsid w:val="00D6073E"/>
    <w:rsid w:val="00D609F4"/>
    <w:rsid w:val="00D60B59"/>
    <w:rsid w:val="00D60B9D"/>
    <w:rsid w:val="00D60CB2"/>
    <w:rsid w:val="00D60F68"/>
    <w:rsid w:val="00D60FA5"/>
    <w:rsid w:val="00D610A8"/>
    <w:rsid w:val="00D610B9"/>
    <w:rsid w:val="00D61158"/>
    <w:rsid w:val="00D61559"/>
    <w:rsid w:val="00D615EB"/>
    <w:rsid w:val="00D615FA"/>
    <w:rsid w:val="00D61730"/>
    <w:rsid w:val="00D617D5"/>
    <w:rsid w:val="00D617FB"/>
    <w:rsid w:val="00D61823"/>
    <w:rsid w:val="00D619AF"/>
    <w:rsid w:val="00D61B29"/>
    <w:rsid w:val="00D61C48"/>
    <w:rsid w:val="00D61CA3"/>
    <w:rsid w:val="00D61CA7"/>
    <w:rsid w:val="00D61F1E"/>
    <w:rsid w:val="00D62066"/>
    <w:rsid w:val="00D6212B"/>
    <w:rsid w:val="00D62431"/>
    <w:rsid w:val="00D6270D"/>
    <w:rsid w:val="00D6287B"/>
    <w:rsid w:val="00D62B74"/>
    <w:rsid w:val="00D62CEA"/>
    <w:rsid w:val="00D62D2B"/>
    <w:rsid w:val="00D630C8"/>
    <w:rsid w:val="00D630F8"/>
    <w:rsid w:val="00D63119"/>
    <w:rsid w:val="00D631AB"/>
    <w:rsid w:val="00D633EB"/>
    <w:rsid w:val="00D63841"/>
    <w:rsid w:val="00D6395A"/>
    <w:rsid w:val="00D63990"/>
    <w:rsid w:val="00D63A00"/>
    <w:rsid w:val="00D63AB4"/>
    <w:rsid w:val="00D63CA3"/>
    <w:rsid w:val="00D63DDC"/>
    <w:rsid w:val="00D63DEA"/>
    <w:rsid w:val="00D63EA4"/>
    <w:rsid w:val="00D63F30"/>
    <w:rsid w:val="00D63F4C"/>
    <w:rsid w:val="00D63FF3"/>
    <w:rsid w:val="00D6430E"/>
    <w:rsid w:val="00D644C7"/>
    <w:rsid w:val="00D6459D"/>
    <w:rsid w:val="00D646E5"/>
    <w:rsid w:val="00D647EB"/>
    <w:rsid w:val="00D647F8"/>
    <w:rsid w:val="00D64814"/>
    <w:rsid w:val="00D6493C"/>
    <w:rsid w:val="00D652A2"/>
    <w:rsid w:val="00D65590"/>
    <w:rsid w:val="00D655D3"/>
    <w:rsid w:val="00D658B2"/>
    <w:rsid w:val="00D6599F"/>
    <w:rsid w:val="00D659AA"/>
    <w:rsid w:val="00D659DF"/>
    <w:rsid w:val="00D65D7E"/>
    <w:rsid w:val="00D65FD8"/>
    <w:rsid w:val="00D6600E"/>
    <w:rsid w:val="00D66091"/>
    <w:rsid w:val="00D660DD"/>
    <w:rsid w:val="00D6618E"/>
    <w:rsid w:val="00D661D0"/>
    <w:rsid w:val="00D663A0"/>
    <w:rsid w:val="00D664A7"/>
    <w:rsid w:val="00D665AD"/>
    <w:rsid w:val="00D66864"/>
    <w:rsid w:val="00D669CD"/>
    <w:rsid w:val="00D66A26"/>
    <w:rsid w:val="00D66B7D"/>
    <w:rsid w:val="00D66F53"/>
    <w:rsid w:val="00D66FF5"/>
    <w:rsid w:val="00D672A1"/>
    <w:rsid w:val="00D673FA"/>
    <w:rsid w:val="00D674D0"/>
    <w:rsid w:val="00D675BF"/>
    <w:rsid w:val="00D676E1"/>
    <w:rsid w:val="00D678EB"/>
    <w:rsid w:val="00D67EE7"/>
    <w:rsid w:val="00D67F3D"/>
    <w:rsid w:val="00D70342"/>
    <w:rsid w:val="00D703A1"/>
    <w:rsid w:val="00D70575"/>
    <w:rsid w:val="00D705E3"/>
    <w:rsid w:val="00D708A8"/>
    <w:rsid w:val="00D70934"/>
    <w:rsid w:val="00D709D1"/>
    <w:rsid w:val="00D70B36"/>
    <w:rsid w:val="00D70C92"/>
    <w:rsid w:val="00D70F1D"/>
    <w:rsid w:val="00D7106D"/>
    <w:rsid w:val="00D711AA"/>
    <w:rsid w:val="00D711CA"/>
    <w:rsid w:val="00D711E4"/>
    <w:rsid w:val="00D71359"/>
    <w:rsid w:val="00D715AF"/>
    <w:rsid w:val="00D715FF"/>
    <w:rsid w:val="00D717B4"/>
    <w:rsid w:val="00D71957"/>
    <w:rsid w:val="00D71C0D"/>
    <w:rsid w:val="00D71C75"/>
    <w:rsid w:val="00D71CE4"/>
    <w:rsid w:val="00D7244A"/>
    <w:rsid w:val="00D72536"/>
    <w:rsid w:val="00D725B7"/>
    <w:rsid w:val="00D7270D"/>
    <w:rsid w:val="00D727EB"/>
    <w:rsid w:val="00D729E8"/>
    <w:rsid w:val="00D72A74"/>
    <w:rsid w:val="00D72DCF"/>
    <w:rsid w:val="00D72E9C"/>
    <w:rsid w:val="00D73230"/>
    <w:rsid w:val="00D73284"/>
    <w:rsid w:val="00D733AA"/>
    <w:rsid w:val="00D735BC"/>
    <w:rsid w:val="00D73C92"/>
    <w:rsid w:val="00D73D13"/>
    <w:rsid w:val="00D73DEC"/>
    <w:rsid w:val="00D73FC2"/>
    <w:rsid w:val="00D74076"/>
    <w:rsid w:val="00D741D8"/>
    <w:rsid w:val="00D743E2"/>
    <w:rsid w:val="00D7442B"/>
    <w:rsid w:val="00D745C0"/>
    <w:rsid w:val="00D74607"/>
    <w:rsid w:val="00D74755"/>
    <w:rsid w:val="00D748B4"/>
    <w:rsid w:val="00D74AFB"/>
    <w:rsid w:val="00D74BDD"/>
    <w:rsid w:val="00D74DC0"/>
    <w:rsid w:val="00D74DF4"/>
    <w:rsid w:val="00D7516C"/>
    <w:rsid w:val="00D752AA"/>
    <w:rsid w:val="00D7549A"/>
    <w:rsid w:val="00D75560"/>
    <w:rsid w:val="00D75699"/>
    <w:rsid w:val="00D75823"/>
    <w:rsid w:val="00D75A4B"/>
    <w:rsid w:val="00D75B5A"/>
    <w:rsid w:val="00D75DD7"/>
    <w:rsid w:val="00D76331"/>
    <w:rsid w:val="00D76523"/>
    <w:rsid w:val="00D76567"/>
    <w:rsid w:val="00D7659A"/>
    <w:rsid w:val="00D765EF"/>
    <w:rsid w:val="00D76875"/>
    <w:rsid w:val="00D768A6"/>
    <w:rsid w:val="00D768E9"/>
    <w:rsid w:val="00D7691A"/>
    <w:rsid w:val="00D769E5"/>
    <w:rsid w:val="00D76DA4"/>
    <w:rsid w:val="00D76F34"/>
    <w:rsid w:val="00D76FB0"/>
    <w:rsid w:val="00D77297"/>
    <w:rsid w:val="00D772FA"/>
    <w:rsid w:val="00D77365"/>
    <w:rsid w:val="00D77AA1"/>
    <w:rsid w:val="00D77BBB"/>
    <w:rsid w:val="00D77E00"/>
    <w:rsid w:val="00D77E21"/>
    <w:rsid w:val="00D77FAF"/>
    <w:rsid w:val="00D80101"/>
    <w:rsid w:val="00D80433"/>
    <w:rsid w:val="00D805AB"/>
    <w:rsid w:val="00D805E7"/>
    <w:rsid w:val="00D8069F"/>
    <w:rsid w:val="00D80A1D"/>
    <w:rsid w:val="00D80AD6"/>
    <w:rsid w:val="00D80CA4"/>
    <w:rsid w:val="00D8105E"/>
    <w:rsid w:val="00D8157B"/>
    <w:rsid w:val="00D815C1"/>
    <w:rsid w:val="00D81679"/>
    <w:rsid w:val="00D819A5"/>
    <w:rsid w:val="00D819B5"/>
    <w:rsid w:val="00D81BEC"/>
    <w:rsid w:val="00D81FF0"/>
    <w:rsid w:val="00D82152"/>
    <w:rsid w:val="00D8221E"/>
    <w:rsid w:val="00D82251"/>
    <w:rsid w:val="00D822BB"/>
    <w:rsid w:val="00D824FA"/>
    <w:rsid w:val="00D824FC"/>
    <w:rsid w:val="00D8253E"/>
    <w:rsid w:val="00D825B1"/>
    <w:rsid w:val="00D82742"/>
    <w:rsid w:val="00D828CC"/>
    <w:rsid w:val="00D8295C"/>
    <w:rsid w:val="00D82C32"/>
    <w:rsid w:val="00D82F5E"/>
    <w:rsid w:val="00D8318C"/>
    <w:rsid w:val="00D831D6"/>
    <w:rsid w:val="00D8331C"/>
    <w:rsid w:val="00D8365F"/>
    <w:rsid w:val="00D838A1"/>
    <w:rsid w:val="00D83ADD"/>
    <w:rsid w:val="00D83B76"/>
    <w:rsid w:val="00D83D4D"/>
    <w:rsid w:val="00D83DE1"/>
    <w:rsid w:val="00D84073"/>
    <w:rsid w:val="00D840EA"/>
    <w:rsid w:val="00D84340"/>
    <w:rsid w:val="00D84397"/>
    <w:rsid w:val="00D84400"/>
    <w:rsid w:val="00D8488D"/>
    <w:rsid w:val="00D84988"/>
    <w:rsid w:val="00D84B5D"/>
    <w:rsid w:val="00D84CAC"/>
    <w:rsid w:val="00D853AC"/>
    <w:rsid w:val="00D85598"/>
    <w:rsid w:val="00D85993"/>
    <w:rsid w:val="00D859CD"/>
    <w:rsid w:val="00D85A53"/>
    <w:rsid w:val="00D85B5D"/>
    <w:rsid w:val="00D85BFB"/>
    <w:rsid w:val="00D85EB8"/>
    <w:rsid w:val="00D8609F"/>
    <w:rsid w:val="00D861EF"/>
    <w:rsid w:val="00D862FD"/>
    <w:rsid w:val="00D86398"/>
    <w:rsid w:val="00D863AB"/>
    <w:rsid w:val="00D86454"/>
    <w:rsid w:val="00D8648D"/>
    <w:rsid w:val="00D86577"/>
    <w:rsid w:val="00D86646"/>
    <w:rsid w:val="00D8666D"/>
    <w:rsid w:val="00D86897"/>
    <w:rsid w:val="00D86AEB"/>
    <w:rsid w:val="00D86C42"/>
    <w:rsid w:val="00D86DEB"/>
    <w:rsid w:val="00D86E5D"/>
    <w:rsid w:val="00D87086"/>
    <w:rsid w:val="00D87134"/>
    <w:rsid w:val="00D871B1"/>
    <w:rsid w:val="00D87218"/>
    <w:rsid w:val="00D87637"/>
    <w:rsid w:val="00D87724"/>
    <w:rsid w:val="00D8781B"/>
    <w:rsid w:val="00D87990"/>
    <w:rsid w:val="00D87C2F"/>
    <w:rsid w:val="00D87F0E"/>
    <w:rsid w:val="00D87F49"/>
    <w:rsid w:val="00D87FD5"/>
    <w:rsid w:val="00D9017F"/>
    <w:rsid w:val="00D901C0"/>
    <w:rsid w:val="00D90373"/>
    <w:rsid w:val="00D903EF"/>
    <w:rsid w:val="00D90432"/>
    <w:rsid w:val="00D90904"/>
    <w:rsid w:val="00D90914"/>
    <w:rsid w:val="00D911BC"/>
    <w:rsid w:val="00D913D1"/>
    <w:rsid w:val="00D91529"/>
    <w:rsid w:val="00D91637"/>
    <w:rsid w:val="00D916BA"/>
    <w:rsid w:val="00D917AB"/>
    <w:rsid w:val="00D9199A"/>
    <w:rsid w:val="00D919FA"/>
    <w:rsid w:val="00D91AF6"/>
    <w:rsid w:val="00D91C7D"/>
    <w:rsid w:val="00D91CB7"/>
    <w:rsid w:val="00D91D65"/>
    <w:rsid w:val="00D91F6F"/>
    <w:rsid w:val="00D91FD4"/>
    <w:rsid w:val="00D92369"/>
    <w:rsid w:val="00D923BE"/>
    <w:rsid w:val="00D92750"/>
    <w:rsid w:val="00D927E6"/>
    <w:rsid w:val="00D92852"/>
    <w:rsid w:val="00D92856"/>
    <w:rsid w:val="00D92899"/>
    <w:rsid w:val="00D929D8"/>
    <w:rsid w:val="00D92F4C"/>
    <w:rsid w:val="00D9300A"/>
    <w:rsid w:val="00D93157"/>
    <w:rsid w:val="00D93171"/>
    <w:rsid w:val="00D931AE"/>
    <w:rsid w:val="00D93469"/>
    <w:rsid w:val="00D934EA"/>
    <w:rsid w:val="00D9377B"/>
    <w:rsid w:val="00D93833"/>
    <w:rsid w:val="00D9390E"/>
    <w:rsid w:val="00D93925"/>
    <w:rsid w:val="00D93928"/>
    <w:rsid w:val="00D93B1D"/>
    <w:rsid w:val="00D93B67"/>
    <w:rsid w:val="00D93D33"/>
    <w:rsid w:val="00D93D5B"/>
    <w:rsid w:val="00D93F5A"/>
    <w:rsid w:val="00D94015"/>
    <w:rsid w:val="00D94145"/>
    <w:rsid w:val="00D94225"/>
    <w:rsid w:val="00D944CE"/>
    <w:rsid w:val="00D9452D"/>
    <w:rsid w:val="00D945F0"/>
    <w:rsid w:val="00D9464F"/>
    <w:rsid w:val="00D947F7"/>
    <w:rsid w:val="00D94892"/>
    <w:rsid w:val="00D94F2A"/>
    <w:rsid w:val="00D94FA3"/>
    <w:rsid w:val="00D950DE"/>
    <w:rsid w:val="00D95308"/>
    <w:rsid w:val="00D9533C"/>
    <w:rsid w:val="00D95448"/>
    <w:rsid w:val="00D955F7"/>
    <w:rsid w:val="00D9590E"/>
    <w:rsid w:val="00D95A92"/>
    <w:rsid w:val="00D95B8A"/>
    <w:rsid w:val="00D95CAF"/>
    <w:rsid w:val="00D95E65"/>
    <w:rsid w:val="00D96058"/>
    <w:rsid w:val="00D96172"/>
    <w:rsid w:val="00D9618A"/>
    <w:rsid w:val="00D966BA"/>
    <w:rsid w:val="00D9674D"/>
    <w:rsid w:val="00D96978"/>
    <w:rsid w:val="00D96A7E"/>
    <w:rsid w:val="00D96AFF"/>
    <w:rsid w:val="00D96B27"/>
    <w:rsid w:val="00D96C03"/>
    <w:rsid w:val="00D96C45"/>
    <w:rsid w:val="00D96D26"/>
    <w:rsid w:val="00D96D96"/>
    <w:rsid w:val="00D96FAA"/>
    <w:rsid w:val="00D96FCF"/>
    <w:rsid w:val="00D97002"/>
    <w:rsid w:val="00D9714F"/>
    <w:rsid w:val="00D97269"/>
    <w:rsid w:val="00D973A2"/>
    <w:rsid w:val="00D974AD"/>
    <w:rsid w:val="00D97537"/>
    <w:rsid w:val="00D97544"/>
    <w:rsid w:val="00D97550"/>
    <w:rsid w:val="00D97632"/>
    <w:rsid w:val="00D9779C"/>
    <w:rsid w:val="00D977C0"/>
    <w:rsid w:val="00D97940"/>
    <w:rsid w:val="00D97AEB"/>
    <w:rsid w:val="00D97B30"/>
    <w:rsid w:val="00D97C52"/>
    <w:rsid w:val="00D97C86"/>
    <w:rsid w:val="00D97CCF"/>
    <w:rsid w:val="00D97D9E"/>
    <w:rsid w:val="00D97DC6"/>
    <w:rsid w:val="00DA020F"/>
    <w:rsid w:val="00DA02AB"/>
    <w:rsid w:val="00DA0309"/>
    <w:rsid w:val="00DA0343"/>
    <w:rsid w:val="00DA03E4"/>
    <w:rsid w:val="00DA04A4"/>
    <w:rsid w:val="00DA0640"/>
    <w:rsid w:val="00DA0A8A"/>
    <w:rsid w:val="00DA0A92"/>
    <w:rsid w:val="00DA0C03"/>
    <w:rsid w:val="00DA1035"/>
    <w:rsid w:val="00DA131B"/>
    <w:rsid w:val="00DA1477"/>
    <w:rsid w:val="00DA1824"/>
    <w:rsid w:val="00DA1842"/>
    <w:rsid w:val="00DA18F7"/>
    <w:rsid w:val="00DA1A01"/>
    <w:rsid w:val="00DA1A44"/>
    <w:rsid w:val="00DA1DCA"/>
    <w:rsid w:val="00DA1E14"/>
    <w:rsid w:val="00DA1E5F"/>
    <w:rsid w:val="00DA1FFE"/>
    <w:rsid w:val="00DA20FF"/>
    <w:rsid w:val="00DA2501"/>
    <w:rsid w:val="00DA25A4"/>
    <w:rsid w:val="00DA2644"/>
    <w:rsid w:val="00DA28D1"/>
    <w:rsid w:val="00DA2DE0"/>
    <w:rsid w:val="00DA2E59"/>
    <w:rsid w:val="00DA2F48"/>
    <w:rsid w:val="00DA2FB6"/>
    <w:rsid w:val="00DA3051"/>
    <w:rsid w:val="00DA3143"/>
    <w:rsid w:val="00DA32E0"/>
    <w:rsid w:val="00DA32E9"/>
    <w:rsid w:val="00DA337B"/>
    <w:rsid w:val="00DA33E7"/>
    <w:rsid w:val="00DA3490"/>
    <w:rsid w:val="00DA3809"/>
    <w:rsid w:val="00DA380B"/>
    <w:rsid w:val="00DA38A8"/>
    <w:rsid w:val="00DA38E1"/>
    <w:rsid w:val="00DA3BFF"/>
    <w:rsid w:val="00DA3C1D"/>
    <w:rsid w:val="00DA3E6E"/>
    <w:rsid w:val="00DA420F"/>
    <w:rsid w:val="00DA4268"/>
    <w:rsid w:val="00DA42C3"/>
    <w:rsid w:val="00DA430E"/>
    <w:rsid w:val="00DA439D"/>
    <w:rsid w:val="00DA49AD"/>
    <w:rsid w:val="00DA4B46"/>
    <w:rsid w:val="00DA4B68"/>
    <w:rsid w:val="00DA4C49"/>
    <w:rsid w:val="00DA4D46"/>
    <w:rsid w:val="00DA4FA5"/>
    <w:rsid w:val="00DA502A"/>
    <w:rsid w:val="00DA50BD"/>
    <w:rsid w:val="00DA5312"/>
    <w:rsid w:val="00DA5313"/>
    <w:rsid w:val="00DA535B"/>
    <w:rsid w:val="00DA566E"/>
    <w:rsid w:val="00DA5779"/>
    <w:rsid w:val="00DA5A94"/>
    <w:rsid w:val="00DA5B45"/>
    <w:rsid w:val="00DA5C13"/>
    <w:rsid w:val="00DA5E33"/>
    <w:rsid w:val="00DA5E34"/>
    <w:rsid w:val="00DA5F21"/>
    <w:rsid w:val="00DA609D"/>
    <w:rsid w:val="00DA60F2"/>
    <w:rsid w:val="00DA621A"/>
    <w:rsid w:val="00DA632B"/>
    <w:rsid w:val="00DA63A7"/>
    <w:rsid w:val="00DA63B0"/>
    <w:rsid w:val="00DA65DC"/>
    <w:rsid w:val="00DA675A"/>
    <w:rsid w:val="00DA6889"/>
    <w:rsid w:val="00DA6A72"/>
    <w:rsid w:val="00DA6B0D"/>
    <w:rsid w:val="00DA6B36"/>
    <w:rsid w:val="00DA6B9E"/>
    <w:rsid w:val="00DA6FBC"/>
    <w:rsid w:val="00DA71EC"/>
    <w:rsid w:val="00DA7347"/>
    <w:rsid w:val="00DA74BB"/>
    <w:rsid w:val="00DA7572"/>
    <w:rsid w:val="00DA75CA"/>
    <w:rsid w:val="00DA77CB"/>
    <w:rsid w:val="00DA7A12"/>
    <w:rsid w:val="00DA7A90"/>
    <w:rsid w:val="00DA7B77"/>
    <w:rsid w:val="00DA7C81"/>
    <w:rsid w:val="00DA7D69"/>
    <w:rsid w:val="00DA7EA1"/>
    <w:rsid w:val="00DA7F0E"/>
    <w:rsid w:val="00DA7F6F"/>
    <w:rsid w:val="00DB01C1"/>
    <w:rsid w:val="00DB0209"/>
    <w:rsid w:val="00DB050A"/>
    <w:rsid w:val="00DB0782"/>
    <w:rsid w:val="00DB07D6"/>
    <w:rsid w:val="00DB09A5"/>
    <w:rsid w:val="00DB0B15"/>
    <w:rsid w:val="00DB0B36"/>
    <w:rsid w:val="00DB0C11"/>
    <w:rsid w:val="00DB0CFE"/>
    <w:rsid w:val="00DB0EA3"/>
    <w:rsid w:val="00DB0ECA"/>
    <w:rsid w:val="00DB0F75"/>
    <w:rsid w:val="00DB1569"/>
    <w:rsid w:val="00DB1653"/>
    <w:rsid w:val="00DB1707"/>
    <w:rsid w:val="00DB1756"/>
    <w:rsid w:val="00DB1780"/>
    <w:rsid w:val="00DB17FC"/>
    <w:rsid w:val="00DB1847"/>
    <w:rsid w:val="00DB184C"/>
    <w:rsid w:val="00DB1ABF"/>
    <w:rsid w:val="00DB1BE9"/>
    <w:rsid w:val="00DB1CAE"/>
    <w:rsid w:val="00DB1DE2"/>
    <w:rsid w:val="00DB2033"/>
    <w:rsid w:val="00DB216A"/>
    <w:rsid w:val="00DB23DC"/>
    <w:rsid w:val="00DB2A3D"/>
    <w:rsid w:val="00DB2BC7"/>
    <w:rsid w:val="00DB2C0B"/>
    <w:rsid w:val="00DB3169"/>
    <w:rsid w:val="00DB3229"/>
    <w:rsid w:val="00DB32C6"/>
    <w:rsid w:val="00DB339E"/>
    <w:rsid w:val="00DB3411"/>
    <w:rsid w:val="00DB35E6"/>
    <w:rsid w:val="00DB3749"/>
    <w:rsid w:val="00DB375B"/>
    <w:rsid w:val="00DB3A17"/>
    <w:rsid w:val="00DB3A36"/>
    <w:rsid w:val="00DB3C79"/>
    <w:rsid w:val="00DB3D97"/>
    <w:rsid w:val="00DB3F93"/>
    <w:rsid w:val="00DB40DB"/>
    <w:rsid w:val="00DB42C4"/>
    <w:rsid w:val="00DB43BD"/>
    <w:rsid w:val="00DB4482"/>
    <w:rsid w:val="00DB44A1"/>
    <w:rsid w:val="00DB4512"/>
    <w:rsid w:val="00DB47C0"/>
    <w:rsid w:val="00DB4A54"/>
    <w:rsid w:val="00DB4E6A"/>
    <w:rsid w:val="00DB4E6C"/>
    <w:rsid w:val="00DB52DE"/>
    <w:rsid w:val="00DB554A"/>
    <w:rsid w:val="00DB5569"/>
    <w:rsid w:val="00DB5745"/>
    <w:rsid w:val="00DB57DB"/>
    <w:rsid w:val="00DB5CF1"/>
    <w:rsid w:val="00DB5D36"/>
    <w:rsid w:val="00DB5D58"/>
    <w:rsid w:val="00DB5DB5"/>
    <w:rsid w:val="00DB5E48"/>
    <w:rsid w:val="00DB5E4D"/>
    <w:rsid w:val="00DB5F1D"/>
    <w:rsid w:val="00DB5F29"/>
    <w:rsid w:val="00DB5F8A"/>
    <w:rsid w:val="00DB62BE"/>
    <w:rsid w:val="00DB693D"/>
    <w:rsid w:val="00DB6969"/>
    <w:rsid w:val="00DB69A2"/>
    <w:rsid w:val="00DB69B5"/>
    <w:rsid w:val="00DB6A3A"/>
    <w:rsid w:val="00DB6A5A"/>
    <w:rsid w:val="00DB6AE7"/>
    <w:rsid w:val="00DB6B4D"/>
    <w:rsid w:val="00DB6BE0"/>
    <w:rsid w:val="00DB6CCB"/>
    <w:rsid w:val="00DB6E6F"/>
    <w:rsid w:val="00DB702F"/>
    <w:rsid w:val="00DB7284"/>
    <w:rsid w:val="00DB72FD"/>
    <w:rsid w:val="00DB730C"/>
    <w:rsid w:val="00DB7454"/>
    <w:rsid w:val="00DB7475"/>
    <w:rsid w:val="00DB777B"/>
    <w:rsid w:val="00DB78E2"/>
    <w:rsid w:val="00DB7B27"/>
    <w:rsid w:val="00DB7B85"/>
    <w:rsid w:val="00DB7C87"/>
    <w:rsid w:val="00DB7E10"/>
    <w:rsid w:val="00DB7F51"/>
    <w:rsid w:val="00DC00B6"/>
    <w:rsid w:val="00DC01B8"/>
    <w:rsid w:val="00DC025A"/>
    <w:rsid w:val="00DC0383"/>
    <w:rsid w:val="00DC03C0"/>
    <w:rsid w:val="00DC044E"/>
    <w:rsid w:val="00DC0572"/>
    <w:rsid w:val="00DC05A2"/>
    <w:rsid w:val="00DC09F9"/>
    <w:rsid w:val="00DC0B76"/>
    <w:rsid w:val="00DC0D24"/>
    <w:rsid w:val="00DC0D3C"/>
    <w:rsid w:val="00DC0DF3"/>
    <w:rsid w:val="00DC0E04"/>
    <w:rsid w:val="00DC0E65"/>
    <w:rsid w:val="00DC11B1"/>
    <w:rsid w:val="00DC1290"/>
    <w:rsid w:val="00DC14C0"/>
    <w:rsid w:val="00DC1517"/>
    <w:rsid w:val="00DC17EA"/>
    <w:rsid w:val="00DC1B18"/>
    <w:rsid w:val="00DC1B39"/>
    <w:rsid w:val="00DC1B65"/>
    <w:rsid w:val="00DC1D07"/>
    <w:rsid w:val="00DC1DBA"/>
    <w:rsid w:val="00DC22A0"/>
    <w:rsid w:val="00DC24B3"/>
    <w:rsid w:val="00DC25BE"/>
    <w:rsid w:val="00DC2B37"/>
    <w:rsid w:val="00DC2B61"/>
    <w:rsid w:val="00DC2B6E"/>
    <w:rsid w:val="00DC2CC4"/>
    <w:rsid w:val="00DC3016"/>
    <w:rsid w:val="00DC32BE"/>
    <w:rsid w:val="00DC3562"/>
    <w:rsid w:val="00DC3769"/>
    <w:rsid w:val="00DC37EC"/>
    <w:rsid w:val="00DC3A6C"/>
    <w:rsid w:val="00DC3ABD"/>
    <w:rsid w:val="00DC3B5C"/>
    <w:rsid w:val="00DC3B6C"/>
    <w:rsid w:val="00DC3C1D"/>
    <w:rsid w:val="00DC3C3A"/>
    <w:rsid w:val="00DC3D7D"/>
    <w:rsid w:val="00DC3EB9"/>
    <w:rsid w:val="00DC4137"/>
    <w:rsid w:val="00DC491B"/>
    <w:rsid w:val="00DC4932"/>
    <w:rsid w:val="00DC4D3D"/>
    <w:rsid w:val="00DC4D5B"/>
    <w:rsid w:val="00DC4DD2"/>
    <w:rsid w:val="00DC53AF"/>
    <w:rsid w:val="00DC5560"/>
    <w:rsid w:val="00DC5571"/>
    <w:rsid w:val="00DC5765"/>
    <w:rsid w:val="00DC57A7"/>
    <w:rsid w:val="00DC5856"/>
    <w:rsid w:val="00DC58D9"/>
    <w:rsid w:val="00DC602B"/>
    <w:rsid w:val="00DC602C"/>
    <w:rsid w:val="00DC615F"/>
    <w:rsid w:val="00DC6316"/>
    <w:rsid w:val="00DC642F"/>
    <w:rsid w:val="00DC66D2"/>
    <w:rsid w:val="00DC6727"/>
    <w:rsid w:val="00DC68CA"/>
    <w:rsid w:val="00DC6A69"/>
    <w:rsid w:val="00DC6C1F"/>
    <w:rsid w:val="00DC6D8D"/>
    <w:rsid w:val="00DC6E33"/>
    <w:rsid w:val="00DC71E5"/>
    <w:rsid w:val="00DC738B"/>
    <w:rsid w:val="00DC73E8"/>
    <w:rsid w:val="00DC7499"/>
    <w:rsid w:val="00DC7522"/>
    <w:rsid w:val="00DC75B6"/>
    <w:rsid w:val="00DC76D4"/>
    <w:rsid w:val="00DC77E9"/>
    <w:rsid w:val="00DC7AD3"/>
    <w:rsid w:val="00DC7D63"/>
    <w:rsid w:val="00DD00DF"/>
    <w:rsid w:val="00DD047C"/>
    <w:rsid w:val="00DD0730"/>
    <w:rsid w:val="00DD0777"/>
    <w:rsid w:val="00DD082F"/>
    <w:rsid w:val="00DD0B8F"/>
    <w:rsid w:val="00DD0C35"/>
    <w:rsid w:val="00DD0D6C"/>
    <w:rsid w:val="00DD0E01"/>
    <w:rsid w:val="00DD12CB"/>
    <w:rsid w:val="00DD1397"/>
    <w:rsid w:val="00DD1416"/>
    <w:rsid w:val="00DD14A7"/>
    <w:rsid w:val="00DD189C"/>
    <w:rsid w:val="00DD19AE"/>
    <w:rsid w:val="00DD1C2B"/>
    <w:rsid w:val="00DD1D6D"/>
    <w:rsid w:val="00DD2208"/>
    <w:rsid w:val="00DD22CE"/>
    <w:rsid w:val="00DD2381"/>
    <w:rsid w:val="00DD23F1"/>
    <w:rsid w:val="00DD2431"/>
    <w:rsid w:val="00DD259C"/>
    <w:rsid w:val="00DD2616"/>
    <w:rsid w:val="00DD2618"/>
    <w:rsid w:val="00DD26C5"/>
    <w:rsid w:val="00DD27BA"/>
    <w:rsid w:val="00DD28DC"/>
    <w:rsid w:val="00DD2B72"/>
    <w:rsid w:val="00DD2BD7"/>
    <w:rsid w:val="00DD2E2D"/>
    <w:rsid w:val="00DD2FCE"/>
    <w:rsid w:val="00DD30E8"/>
    <w:rsid w:val="00DD31B5"/>
    <w:rsid w:val="00DD3376"/>
    <w:rsid w:val="00DD34F2"/>
    <w:rsid w:val="00DD3651"/>
    <w:rsid w:val="00DD372C"/>
    <w:rsid w:val="00DD37E2"/>
    <w:rsid w:val="00DD3B78"/>
    <w:rsid w:val="00DD3E8C"/>
    <w:rsid w:val="00DD3F56"/>
    <w:rsid w:val="00DD4281"/>
    <w:rsid w:val="00DD443F"/>
    <w:rsid w:val="00DD4507"/>
    <w:rsid w:val="00DD4906"/>
    <w:rsid w:val="00DD4B09"/>
    <w:rsid w:val="00DD4DC1"/>
    <w:rsid w:val="00DD4DF7"/>
    <w:rsid w:val="00DD551E"/>
    <w:rsid w:val="00DD5534"/>
    <w:rsid w:val="00DD578C"/>
    <w:rsid w:val="00DD57B7"/>
    <w:rsid w:val="00DD5878"/>
    <w:rsid w:val="00DD59D8"/>
    <w:rsid w:val="00DD5B87"/>
    <w:rsid w:val="00DD5BF3"/>
    <w:rsid w:val="00DD5E0C"/>
    <w:rsid w:val="00DD625F"/>
    <w:rsid w:val="00DD65A0"/>
    <w:rsid w:val="00DD6662"/>
    <w:rsid w:val="00DD66E1"/>
    <w:rsid w:val="00DD6B07"/>
    <w:rsid w:val="00DD6BFF"/>
    <w:rsid w:val="00DD6E1C"/>
    <w:rsid w:val="00DD6FCE"/>
    <w:rsid w:val="00DD70EC"/>
    <w:rsid w:val="00DD72BD"/>
    <w:rsid w:val="00DD72ED"/>
    <w:rsid w:val="00DD7411"/>
    <w:rsid w:val="00DD76A0"/>
    <w:rsid w:val="00DD7731"/>
    <w:rsid w:val="00DD777D"/>
    <w:rsid w:val="00DD778E"/>
    <w:rsid w:val="00DD7810"/>
    <w:rsid w:val="00DD7A46"/>
    <w:rsid w:val="00DD7D39"/>
    <w:rsid w:val="00DD7E73"/>
    <w:rsid w:val="00DD7E89"/>
    <w:rsid w:val="00DD7F26"/>
    <w:rsid w:val="00DD7F7A"/>
    <w:rsid w:val="00DE0021"/>
    <w:rsid w:val="00DE0082"/>
    <w:rsid w:val="00DE0118"/>
    <w:rsid w:val="00DE021A"/>
    <w:rsid w:val="00DE0226"/>
    <w:rsid w:val="00DE0A2C"/>
    <w:rsid w:val="00DE0AB2"/>
    <w:rsid w:val="00DE0D11"/>
    <w:rsid w:val="00DE0DF4"/>
    <w:rsid w:val="00DE0FD1"/>
    <w:rsid w:val="00DE142B"/>
    <w:rsid w:val="00DE16B6"/>
    <w:rsid w:val="00DE176D"/>
    <w:rsid w:val="00DE1B9D"/>
    <w:rsid w:val="00DE1CDB"/>
    <w:rsid w:val="00DE2028"/>
    <w:rsid w:val="00DE206C"/>
    <w:rsid w:val="00DE2206"/>
    <w:rsid w:val="00DE251B"/>
    <w:rsid w:val="00DE2ABD"/>
    <w:rsid w:val="00DE2B3A"/>
    <w:rsid w:val="00DE2C11"/>
    <w:rsid w:val="00DE2D2D"/>
    <w:rsid w:val="00DE2DFD"/>
    <w:rsid w:val="00DE2E50"/>
    <w:rsid w:val="00DE315C"/>
    <w:rsid w:val="00DE330F"/>
    <w:rsid w:val="00DE3419"/>
    <w:rsid w:val="00DE36A3"/>
    <w:rsid w:val="00DE36A6"/>
    <w:rsid w:val="00DE373E"/>
    <w:rsid w:val="00DE3A86"/>
    <w:rsid w:val="00DE3BFB"/>
    <w:rsid w:val="00DE3ED4"/>
    <w:rsid w:val="00DE3FF3"/>
    <w:rsid w:val="00DE40E4"/>
    <w:rsid w:val="00DE41B3"/>
    <w:rsid w:val="00DE4301"/>
    <w:rsid w:val="00DE4339"/>
    <w:rsid w:val="00DE4675"/>
    <w:rsid w:val="00DE471F"/>
    <w:rsid w:val="00DE4ACA"/>
    <w:rsid w:val="00DE4BA5"/>
    <w:rsid w:val="00DE4F75"/>
    <w:rsid w:val="00DE5075"/>
    <w:rsid w:val="00DE5227"/>
    <w:rsid w:val="00DE52C5"/>
    <w:rsid w:val="00DE533D"/>
    <w:rsid w:val="00DE5532"/>
    <w:rsid w:val="00DE56CE"/>
    <w:rsid w:val="00DE597A"/>
    <w:rsid w:val="00DE5B6F"/>
    <w:rsid w:val="00DE5DA7"/>
    <w:rsid w:val="00DE6203"/>
    <w:rsid w:val="00DE6283"/>
    <w:rsid w:val="00DE6388"/>
    <w:rsid w:val="00DE6579"/>
    <w:rsid w:val="00DE65D8"/>
    <w:rsid w:val="00DE6714"/>
    <w:rsid w:val="00DE6731"/>
    <w:rsid w:val="00DE6933"/>
    <w:rsid w:val="00DE6BFD"/>
    <w:rsid w:val="00DE6E01"/>
    <w:rsid w:val="00DE71F9"/>
    <w:rsid w:val="00DE7290"/>
    <w:rsid w:val="00DE7396"/>
    <w:rsid w:val="00DE7511"/>
    <w:rsid w:val="00DE7841"/>
    <w:rsid w:val="00DE7959"/>
    <w:rsid w:val="00DE7971"/>
    <w:rsid w:val="00DE7A41"/>
    <w:rsid w:val="00DE7C8A"/>
    <w:rsid w:val="00DE7D2C"/>
    <w:rsid w:val="00DE7DAF"/>
    <w:rsid w:val="00DE7FBA"/>
    <w:rsid w:val="00DF0255"/>
    <w:rsid w:val="00DF02D6"/>
    <w:rsid w:val="00DF0364"/>
    <w:rsid w:val="00DF0499"/>
    <w:rsid w:val="00DF062B"/>
    <w:rsid w:val="00DF06EF"/>
    <w:rsid w:val="00DF0908"/>
    <w:rsid w:val="00DF0B15"/>
    <w:rsid w:val="00DF0C1E"/>
    <w:rsid w:val="00DF0DEC"/>
    <w:rsid w:val="00DF0E99"/>
    <w:rsid w:val="00DF0EE1"/>
    <w:rsid w:val="00DF105E"/>
    <w:rsid w:val="00DF11D7"/>
    <w:rsid w:val="00DF11F1"/>
    <w:rsid w:val="00DF1341"/>
    <w:rsid w:val="00DF15CC"/>
    <w:rsid w:val="00DF18D4"/>
    <w:rsid w:val="00DF1A8C"/>
    <w:rsid w:val="00DF1C27"/>
    <w:rsid w:val="00DF1C86"/>
    <w:rsid w:val="00DF1F59"/>
    <w:rsid w:val="00DF1FAF"/>
    <w:rsid w:val="00DF20F9"/>
    <w:rsid w:val="00DF2167"/>
    <w:rsid w:val="00DF21D8"/>
    <w:rsid w:val="00DF22CA"/>
    <w:rsid w:val="00DF2690"/>
    <w:rsid w:val="00DF2A4A"/>
    <w:rsid w:val="00DF2BC0"/>
    <w:rsid w:val="00DF2BDC"/>
    <w:rsid w:val="00DF2C75"/>
    <w:rsid w:val="00DF303A"/>
    <w:rsid w:val="00DF3178"/>
    <w:rsid w:val="00DF31B6"/>
    <w:rsid w:val="00DF31E4"/>
    <w:rsid w:val="00DF355A"/>
    <w:rsid w:val="00DF3564"/>
    <w:rsid w:val="00DF35D4"/>
    <w:rsid w:val="00DF378A"/>
    <w:rsid w:val="00DF37DA"/>
    <w:rsid w:val="00DF3BD6"/>
    <w:rsid w:val="00DF3E56"/>
    <w:rsid w:val="00DF3EA0"/>
    <w:rsid w:val="00DF4093"/>
    <w:rsid w:val="00DF42CD"/>
    <w:rsid w:val="00DF4488"/>
    <w:rsid w:val="00DF452F"/>
    <w:rsid w:val="00DF454D"/>
    <w:rsid w:val="00DF4558"/>
    <w:rsid w:val="00DF45FE"/>
    <w:rsid w:val="00DF48D2"/>
    <w:rsid w:val="00DF4E10"/>
    <w:rsid w:val="00DF50B6"/>
    <w:rsid w:val="00DF5237"/>
    <w:rsid w:val="00DF5494"/>
    <w:rsid w:val="00DF5572"/>
    <w:rsid w:val="00DF55EF"/>
    <w:rsid w:val="00DF5713"/>
    <w:rsid w:val="00DF572E"/>
    <w:rsid w:val="00DF59BB"/>
    <w:rsid w:val="00DF59FD"/>
    <w:rsid w:val="00DF5E6B"/>
    <w:rsid w:val="00DF5F86"/>
    <w:rsid w:val="00DF6032"/>
    <w:rsid w:val="00DF6087"/>
    <w:rsid w:val="00DF60FA"/>
    <w:rsid w:val="00DF6179"/>
    <w:rsid w:val="00DF61F4"/>
    <w:rsid w:val="00DF62FB"/>
    <w:rsid w:val="00DF65AE"/>
    <w:rsid w:val="00DF6762"/>
    <w:rsid w:val="00DF68F4"/>
    <w:rsid w:val="00DF6A8A"/>
    <w:rsid w:val="00DF6ABF"/>
    <w:rsid w:val="00DF6B6E"/>
    <w:rsid w:val="00DF6BC5"/>
    <w:rsid w:val="00DF6CCE"/>
    <w:rsid w:val="00DF6D4F"/>
    <w:rsid w:val="00DF6D76"/>
    <w:rsid w:val="00DF6DA5"/>
    <w:rsid w:val="00DF724F"/>
    <w:rsid w:val="00DF72BF"/>
    <w:rsid w:val="00DF7344"/>
    <w:rsid w:val="00DF7A07"/>
    <w:rsid w:val="00DF7B08"/>
    <w:rsid w:val="00DF7C80"/>
    <w:rsid w:val="00DF7DEC"/>
    <w:rsid w:val="00DF7E31"/>
    <w:rsid w:val="00E00020"/>
    <w:rsid w:val="00E003C8"/>
    <w:rsid w:val="00E0057F"/>
    <w:rsid w:val="00E00748"/>
    <w:rsid w:val="00E008D3"/>
    <w:rsid w:val="00E00ADF"/>
    <w:rsid w:val="00E00B12"/>
    <w:rsid w:val="00E00CAF"/>
    <w:rsid w:val="00E00CE2"/>
    <w:rsid w:val="00E00CEE"/>
    <w:rsid w:val="00E00CF3"/>
    <w:rsid w:val="00E00D92"/>
    <w:rsid w:val="00E00F10"/>
    <w:rsid w:val="00E00FBA"/>
    <w:rsid w:val="00E012BB"/>
    <w:rsid w:val="00E0155F"/>
    <w:rsid w:val="00E01C46"/>
    <w:rsid w:val="00E01DA0"/>
    <w:rsid w:val="00E01EA8"/>
    <w:rsid w:val="00E01EEE"/>
    <w:rsid w:val="00E020FE"/>
    <w:rsid w:val="00E0212E"/>
    <w:rsid w:val="00E0250E"/>
    <w:rsid w:val="00E02633"/>
    <w:rsid w:val="00E02A8D"/>
    <w:rsid w:val="00E02BEB"/>
    <w:rsid w:val="00E02C47"/>
    <w:rsid w:val="00E0301C"/>
    <w:rsid w:val="00E030D0"/>
    <w:rsid w:val="00E03179"/>
    <w:rsid w:val="00E03244"/>
    <w:rsid w:val="00E034BA"/>
    <w:rsid w:val="00E03555"/>
    <w:rsid w:val="00E03726"/>
    <w:rsid w:val="00E039A0"/>
    <w:rsid w:val="00E03A80"/>
    <w:rsid w:val="00E03AF9"/>
    <w:rsid w:val="00E03BDB"/>
    <w:rsid w:val="00E03DF1"/>
    <w:rsid w:val="00E03EB9"/>
    <w:rsid w:val="00E03FDC"/>
    <w:rsid w:val="00E041F8"/>
    <w:rsid w:val="00E04507"/>
    <w:rsid w:val="00E0455D"/>
    <w:rsid w:val="00E04565"/>
    <w:rsid w:val="00E04B1E"/>
    <w:rsid w:val="00E04C4E"/>
    <w:rsid w:val="00E04DBD"/>
    <w:rsid w:val="00E04E49"/>
    <w:rsid w:val="00E05271"/>
    <w:rsid w:val="00E0580A"/>
    <w:rsid w:val="00E05DB7"/>
    <w:rsid w:val="00E05E27"/>
    <w:rsid w:val="00E06501"/>
    <w:rsid w:val="00E065CC"/>
    <w:rsid w:val="00E065F0"/>
    <w:rsid w:val="00E06659"/>
    <w:rsid w:val="00E06675"/>
    <w:rsid w:val="00E06ABC"/>
    <w:rsid w:val="00E06BCD"/>
    <w:rsid w:val="00E06E75"/>
    <w:rsid w:val="00E06E80"/>
    <w:rsid w:val="00E071D2"/>
    <w:rsid w:val="00E07315"/>
    <w:rsid w:val="00E07328"/>
    <w:rsid w:val="00E07433"/>
    <w:rsid w:val="00E0765A"/>
    <w:rsid w:val="00E0775A"/>
    <w:rsid w:val="00E07955"/>
    <w:rsid w:val="00E07AEC"/>
    <w:rsid w:val="00E07AF1"/>
    <w:rsid w:val="00E07C1B"/>
    <w:rsid w:val="00E07D40"/>
    <w:rsid w:val="00E07D7B"/>
    <w:rsid w:val="00E1010F"/>
    <w:rsid w:val="00E10137"/>
    <w:rsid w:val="00E10211"/>
    <w:rsid w:val="00E10214"/>
    <w:rsid w:val="00E103EA"/>
    <w:rsid w:val="00E10426"/>
    <w:rsid w:val="00E10503"/>
    <w:rsid w:val="00E105BC"/>
    <w:rsid w:val="00E10657"/>
    <w:rsid w:val="00E10683"/>
    <w:rsid w:val="00E10731"/>
    <w:rsid w:val="00E1081D"/>
    <w:rsid w:val="00E10952"/>
    <w:rsid w:val="00E10A05"/>
    <w:rsid w:val="00E10ABE"/>
    <w:rsid w:val="00E10BC7"/>
    <w:rsid w:val="00E10F99"/>
    <w:rsid w:val="00E11473"/>
    <w:rsid w:val="00E11502"/>
    <w:rsid w:val="00E11A25"/>
    <w:rsid w:val="00E11BB1"/>
    <w:rsid w:val="00E11E0C"/>
    <w:rsid w:val="00E11E75"/>
    <w:rsid w:val="00E1208E"/>
    <w:rsid w:val="00E126D6"/>
    <w:rsid w:val="00E1275E"/>
    <w:rsid w:val="00E127DC"/>
    <w:rsid w:val="00E12C94"/>
    <w:rsid w:val="00E12CA0"/>
    <w:rsid w:val="00E12CC5"/>
    <w:rsid w:val="00E12F0A"/>
    <w:rsid w:val="00E12F69"/>
    <w:rsid w:val="00E13098"/>
    <w:rsid w:val="00E13425"/>
    <w:rsid w:val="00E13876"/>
    <w:rsid w:val="00E13934"/>
    <w:rsid w:val="00E13A6F"/>
    <w:rsid w:val="00E13B01"/>
    <w:rsid w:val="00E13B9C"/>
    <w:rsid w:val="00E13C85"/>
    <w:rsid w:val="00E13DB3"/>
    <w:rsid w:val="00E13E04"/>
    <w:rsid w:val="00E13ED7"/>
    <w:rsid w:val="00E13EDB"/>
    <w:rsid w:val="00E13F1C"/>
    <w:rsid w:val="00E1411D"/>
    <w:rsid w:val="00E14172"/>
    <w:rsid w:val="00E14340"/>
    <w:rsid w:val="00E143B4"/>
    <w:rsid w:val="00E144CC"/>
    <w:rsid w:val="00E14503"/>
    <w:rsid w:val="00E1460D"/>
    <w:rsid w:val="00E146EC"/>
    <w:rsid w:val="00E14769"/>
    <w:rsid w:val="00E14E13"/>
    <w:rsid w:val="00E14E1C"/>
    <w:rsid w:val="00E15043"/>
    <w:rsid w:val="00E151A1"/>
    <w:rsid w:val="00E15276"/>
    <w:rsid w:val="00E153B6"/>
    <w:rsid w:val="00E15577"/>
    <w:rsid w:val="00E15661"/>
    <w:rsid w:val="00E15930"/>
    <w:rsid w:val="00E15B10"/>
    <w:rsid w:val="00E15E10"/>
    <w:rsid w:val="00E15F86"/>
    <w:rsid w:val="00E15F9D"/>
    <w:rsid w:val="00E15FB9"/>
    <w:rsid w:val="00E16178"/>
    <w:rsid w:val="00E1632C"/>
    <w:rsid w:val="00E166B9"/>
    <w:rsid w:val="00E16764"/>
    <w:rsid w:val="00E1694D"/>
    <w:rsid w:val="00E16AC3"/>
    <w:rsid w:val="00E16B29"/>
    <w:rsid w:val="00E16D30"/>
    <w:rsid w:val="00E16E4E"/>
    <w:rsid w:val="00E16E6D"/>
    <w:rsid w:val="00E16EAC"/>
    <w:rsid w:val="00E16EBB"/>
    <w:rsid w:val="00E16F11"/>
    <w:rsid w:val="00E17047"/>
    <w:rsid w:val="00E170C9"/>
    <w:rsid w:val="00E17182"/>
    <w:rsid w:val="00E1726B"/>
    <w:rsid w:val="00E174B4"/>
    <w:rsid w:val="00E17646"/>
    <w:rsid w:val="00E1779E"/>
    <w:rsid w:val="00E1781C"/>
    <w:rsid w:val="00E179AB"/>
    <w:rsid w:val="00E17A96"/>
    <w:rsid w:val="00E17D38"/>
    <w:rsid w:val="00E17E6F"/>
    <w:rsid w:val="00E203CC"/>
    <w:rsid w:val="00E20524"/>
    <w:rsid w:val="00E2058A"/>
    <w:rsid w:val="00E20616"/>
    <w:rsid w:val="00E20887"/>
    <w:rsid w:val="00E20952"/>
    <w:rsid w:val="00E20A51"/>
    <w:rsid w:val="00E20CCD"/>
    <w:rsid w:val="00E20D6B"/>
    <w:rsid w:val="00E2116B"/>
    <w:rsid w:val="00E2143E"/>
    <w:rsid w:val="00E21486"/>
    <w:rsid w:val="00E2156A"/>
    <w:rsid w:val="00E21571"/>
    <w:rsid w:val="00E21777"/>
    <w:rsid w:val="00E21989"/>
    <w:rsid w:val="00E21A4B"/>
    <w:rsid w:val="00E21A8D"/>
    <w:rsid w:val="00E21EB1"/>
    <w:rsid w:val="00E22025"/>
    <w:rsid w:val="00E220B9"/>
    <w:rsid w:val="00E220FF"/>
    <w:rsid w:val="00E22292"/>
    <w:rsid w:val="00E222CB"/>
    <w:rsid w:val="00E2236D"/>
    <w:rsid w:val="00E223B3"/>
    <w:rsid w:val="00E224A5"/>
    <w:rsid w:val="00E2254D"/>
    <w:rsid w:val="00E22621"/>
    <w:rsid w:val="00E22626"/>
    <w:rsid w:val="00E22782"/>
    <w:rsid w:val="00E22831"/>
    <w:rsid w:val="00E2283E"/>
    <w:rsid w:val="00E22A3F"/>
    <w:rsid w:val="00E22ABF"/>
    <w:rsid w:val="00E22BCD"/>
    <w:rsid w:val="00E22D82"/>
    <w:rsid w:val="00E22D89"/>
    <w:rsid w:val="00E22F00"/>
    <w:rsid w:val="00E22F2B"/>
    <w:rsid w:val="00E23156"/>
    <w:rsid w:val="00E231A9"/>
    <w:rsid w:val="00E234D5"/>
    <w:rsid w:val="00E23715"/>
    <w:rsid w:val="00E23818"/>
    <w:rsid w:val="00E239CB"/>
    <w:rsid w:val="00E23F6D"/>
    <w:rsid w:val="00E23FCC"/>
    <w:rsid w:val="00E23FD7"/>
    <w:rsid w:val="00E24192"/>
    <w:rsid w:val="00E241D8"/>
    <w:rsid w:val="00E24257"/>
    <w:rsid w:val="00E247F5"/>
    <w:rsid w:val="00E248FF"/>
    <w:rsid w:val="00E249B9"/>
    <w:rsid w:val="00E24B49"/>
    <w:rsid w:val="00E24CF2"/>
    <w:rsid w:val="00E24D87"/>
    <w:rsid w:val="00E24D90"/>
    <w:rsid w:val="00E252A4"/>
    <w:rsid w:val="00E257DC"/>
    <w:rsid w:val="00E258F6"/>
    <w:rsid w:val="00E2594D"/>
    <w:rsid w:val="00E259C6"/>
    <w:rsid w:val="00E25A0C"/>
    <w:rsid w:val="00E25AD7"/>
    <w:rsid w:val="00E25AF5"/>
    <w:rsid w:val="00E25BC9"/>
    <w:rsid w:val="00E25D6B"/>
    <w:rsid w:val="00E25DBB"/>
    <w:rsid w:val="00E25DCA"/>
    <w:rsid w:val="00E25E66"/>
    <w:rsid w:val="00E26145"/>
    <w:rsid w:val="00E261A6"/>
    <w:rsid w:val="00E2637F"/>
    <w:rsid w:val="00E26384"/>
    <w:rsid w:val="00E263E2"/>
    <w:rsid w:val="00E2642B"/>
    <w:rsid w:val="00E26873"/>
    <w:rsid w:val="00E26874"/>
    <w:rsid w:val="00E268FE"/>
    <w:rsid w:val="00E26D25"/>
    <w:rsid w:val="00E27150"/>
    <w:rsid w:val="00E27645"/>
    <w:rsid w:val="00E27735"/>
    <w:rsid w:val="00E27860"/>
    <w:rsid w:val="00E27B53"/>
    <w:rsid w:val="00E27B68"/>
    <w:rsid w:val="00E27B9D"/>
    <w:rsid w:val="00E27BC6"/>
    <w:rsid w:val="00E27C54"/>
    <w:rsid w:val="00E27CB1"/>
    <w:rsid w:val="00E27E2A"/>
    <w:rsid w:val="00E27E73"/>
    <w:rsid w:val="00E3008E"/>
    <w:rsid w:val="00E3053E"/>
    <w:rsid w:val="00E30660"/>
    <w:rsid w:val="00E307F4"/>
    <w:rsid w:val="00E30A67"/>
    <w:rsid w:val="00E30AEA"/>
    <w:rsid w:val="00E30C14"/>
    <w:rsid w:val="00E30E5B"/>
    <w:rsid w:val="00E30E6E"/>
    <w:rsid w:val="00E30F0C"/>
    <w:rsid w:val="00E30FBE"/>
    <w:rsid w:val="00E310D5"/>
    <w:rsid w:val="00E31137"/>
    <w:rsid w:val="00E3113C"/>
    <w:rsid w:val="00E311AF"/>
    <w:rsid w:val="00E311CF"/>
    <w:rsid w:val="00E31267"/>
    <w:rsid w:val="00E3137A"/>
    <w:rsid w:val="00E31420"/>
    <w:rsid w:val="00E316BA"/>
    <w:rsid w:val="00E317C7"/>
    <w:rsid w:val="00E31892"/>
    <w:rsid w:val="00E3198F"/>
    <w:rsid w:val="00E319AC"/>
    <w:rsid w:val="00E319D7"/>
    <w:rsid w:val="00E31AA0"/>
    <w:rsid w:val="00E31BE4"/>
    <w:rsid w:val="00E31E48"/>
    <w:rsid w:val="00E31EAD"/>
    <w:rsid w:val="00E3202E"/>
    <w:rsid w:val="00E3205A"/>
    <w:rsid w:val="00E32161"/>
    <w:rsid w:val="00E321EB"/>
    <w:rsid w:val="00E3226B"/>
    <w:rsid w:val="00E3231C"/>
    <w:rsid w:val="00E323F7"/>
    <w:rsid w:val="00E32527"/>
    <w:rsid w:val="00E32646"/>
    <w:rsid w:val="00E32690"/>
    <w:rsid w:val="00E3274D"/>
    <w:rsid w:val="00E32A78"/>
    <w:rsid w:val="00E32D81"/>
    <w:rsid w:val="00E32DE5"/>
    <w:rsid w:val="00E32DE8"/>
    <w:rsid w:val="00E32E75"/>
    <w:rsid w:val="00E33194"/>
    <w:rsid w:val="00E33275"/>
    <w:rsid w:val="00E332FC"/>
    <w:rsid w:val="00E333CC"/>
    <w:rsid w:val="00E33473"/>
    <w:rsid w:val="00E33489"/>
    <w:rsid w:val="00E334B0"/>
    <w:rsid w:val="00E33785"/>
    <w:rsid w:val="00E3385F"/>
    <w:rsid w:val="00E33903"/>
    <w:rsid w:val="00E33D3F"/>
    <w:rsid w:val="00E33D46"/>
    <w:rsid w:val="00E33DC0"/>
    <w:rsid w:val="00E33EFE"/>
    <w:rsid w:val="00E33FB5"/>
    <w:rsid w:val="00E34085"/>
    <w:rsid w:val="00E3413B"/>
    <w:rsid w:val="00E344AA"/>
    <w:rsid w:val="00E344D8"/>
    <w:rsid w:val="00E345E5"/>
    <w:rsid w:val="00E3461B"/>
    <w:rsid w:val="00E347E2"/>
    <w:rsid w:val="00E34DD7"/>
    <w:rsid w:val="00E34DD9"/>
    <w:rsid w:val="00E34E9E"/>
    <w:rsid w:val="00E3507F"/>
    <w:rsid w:val="00E35131"/>
    <w:rsid w:val="00E351F5"/>
    <w:rsid w:val="00E3561C"/>
    <w:rsid w:val="00E356B7"/>
    <w:rsid w:val="00E35960"/>
    <w:rsid w:val="00E35ADE"/>
    <w:rsid w:val="00E35FA3"/>
    <w:rsid w:val="00E36031"/>
    <w:rsid w:val="00E361DC"/>
    <w:rsid w:val="00E36411"/>
    <w:rsid w:val="00E36429"/>
    <w:rsid w:val="00E36433"/>
    <w:rsid w:val="00E36829"/>
    <w:rsid w:val="00E36B27"/>
    <w:rsid w:val="00E36D4B"/>
    <w:rsid w:val="00E36E16"/>
    <w:rsid w:val="00E36EBD"/>
    <w:rsid w:val="00E36FC9"/>
    <w:rsid w:val="00E36FF4"/>
    <w:rsid w:val="00E37180"/>
    <w:rsid w:val="00E373DD"/>
    <w:rsid w:val="00E37666"/>
    <w:rsid w:val="00E3767D"/>
    <w:rsid w:val="00E376F8"/>
    <w:rsid w:val="00E37834"/>
    <w:rsid w:val="00E37C43"/>
    <w:rsid w:val="00E37D19"/>
    <w:rsid w:val="00E37DAD"/>
    <w:rsid w:val="00E37EDB"/>
    <w:rsid w:val="00E37FDE"/>
    <w:rsid w:val="00E400B2"/>
    <w:rsid w:val="00E40224"/>
    <w:rsid w:val="00E4029D"/>
    <w:rsid w:val="00E4060E"/>
    <w:rsid w:val="00E40789"/>
    <w:rsid w:val="00E408F8"/>
    <w:rsid w:val="00E40A27"/>
    <w:rsid w:val="00E40B15"/>
    <w:rsid w:val="00E40BAD"/>
    <w:rsid w:val="00E40F92"/>
    <w:rsid w:val="00E40F94"/>
    <w:rsid w:val="00E40FB9"/>
    <w:rsid w:val="00E411FD"/>
    <w:rsid w:val="00E41283"/>
    <w:rsid w:val="00E4131C"/>
    <w:rsid w:val="00E41668"/>
    <w:rsid w:val="00E4179E"/>
    <w:rsid w:val="00E417FB"/>
    <w:rsid w:val="00E41C35"/>
    <w:rsid w:val="00E41E57"/>
    <w:rsid w:val="00E41ECC"/>
    <w:rsid w:val="00E41F96"/>
    <w:rsid w:val="00E420B5"/>
    <w:rsid w:val="00E4210D"/>
    <w:rsid w:val="00E42537"/>
    <w:rsid w:val="00E42743"/>
    <w:rsid w:val="00E42774"/>
    <w:rsid w:val="00E427B4"/>
    <w:rsid w:val="00E42B07"/>
    <w:rsid w:val="00E42C18"/>
    <w:rsid w:val="00E43067"/>
    <w:rsid w:val="00E430F9"/>
    <w:rsid w:val="00E43110"/>
    <w:rsid w:val="00E43336"/>
    <w:rsid w:val="00E43398"/>
    <w:rsid w:val="00E43619"/>
    <w:rsid w:val="00E43631"/>
    <w:rsid w:val="00E439C2"/>
    <w:rsid w:val="00E43B82"/>
    <w:rsid w:val="00E43D9A"/>
    <w:rsid w:val="00E43E76"/>
    <w:rsid w:val="00E43F7B"/>
    <w:rsid w:val="00E44112"/>
    <w:rsid w:val="00E4445B"/>
    <w:rsid w:val="00E44461"/>
    <w:rsid w:val="00E44674"/>
    <w:rsid w:val="00E447D7"/>
    <w:rsid w:val="00E44D90"/>
    <w:rsid w:val="00E44E83"/>
    <w:rsid w:val="00E4500D"/>
    <w:rsid w:val="00E45066"/>
    <w:rsid w:val="00E45077"/>
    <w:rsid w:val="00E45150"/>
    <w:rsid w:val="00E4529C"/>
    <w:rsid w:val="00E452C1"/>
    <w:rsid w:val="00E4595E"/>
    <w:rsid w:val="00E45989"/>
    <w:rsid w:val="00E45B5F"/>
    <w:rsid w:val="00E45BDC"/>
    <w:rsid w:val="00E4602E"/>
    <w:rsid w:val="00E46623"/>
    <w:rsid w:val="00E46658"/>
    <w:rsid w:val="00E46696"/>
    <w:rsid w:val="00E4669C"/>
    <w:rsid w:val="00E467E6"/>
    <w:rsid w:val="00E468FB"/>
    <w:rsid w:val="00E46B8F"/>
    <w:rsid w:val="00E46C32"/>
    <w:rsid w:val="00E46C70"/>
    <w:rsid w:val="00E46DFC"/>
    <w:rsid w:val="00E46FC1"/>
    <w:rsid w:val="00E4724B"/>
    <w:rsid w:val="00E47760"/>
    <w:rsid w:val="00E47829"/>
    <w:rsid w:val="00E478AD"/>
    <w:rsid w:val="00E47A64"/>
    <w:rsid w:val="00E47C19"/>
    <w:rsid w:val="00E47CF7"/>
    <w:rsid w:val="00E47D07"/>
    <w:rsid w:val="00E47D3E"/>
    <w:rsid w:val="00E50104"/>
    <w:rsid w:val="00E50148"/>
    <w:rsid w:val="00E503B3"/>
    <w:rsid w:val="00E504CD"/>
    <w:rsid w:val="00E504F2"/>
    <w:rsid w:val="00E50719"/>
    <w:rsid w:val="00E50786"/>
    <w:rsid w:val="00E507E6"/>
    <w:rsid w:val="00E5083D"/>
    <w:rsid w:val="00E50CBF"/>
    <w:rsid w:val="00E5115C"/>
    <w:rsid w:val="00E511BF"/>
    <w:rsid w:val="00E5132D"/>
    <w:rsid w:val="00E5136F"/>
    <w:rsid w:val="00E513F9"/>
    <w:rsid w:val="00E5179F"/>
    <w:rsid w:val="00E5185B"/>
    <w:rsid w:val="00E518A8"/>
    <w:rsid w:val="00E518E4"/>
    <w:rsid w:val="00E51979"/>
    <w:rsid w:val="00E51A84"/>
    <w:rsid w:val="00E51B6E"/>
    <w:rsid w:val="00E51C93"/>
    <w:rsid w:val="00E51FCB"/>
    <w:rsid w:val="00E521E7"/>
    <w:rsid w:val="00E523E3"/>
    <w:rsid w:val="00E523E4"/>
    <w:rsid w:val="00E5269C"/>
    <w:rsid w:val="00E52948"/>
    <w:rsid w:val="00E52B77"/>
    <w:rsid w:val="00E52DAE"/>
    <w:rsid w:val="00E53112"/>
    <w:rsid w:val="00E53114"/>
    <w:rsid w:val="00E5313A"/>
    <w:rsid w:val="00E5315A"/>
    <w:rsid w:val="00E532D4"/>
    <w:rsid w:val="00E53368"/>
    <w:rsid w:val="00E53752"/>
    <w:rsid w:val="00E538A9"/>
    <w:rsid w:val="00E53925"/>
    <w:rsid w:val="00E53B72"/>
    <w:rsid w:val="00E53C1B"/>
    <w:rsid w:val="00E53C8E"/>
    <w:rsid w:val="00E53C90"/>
    <w:rsid w:val="00E53F07"/>
    <w:rsid w:val="00E53F20"/>
    <w:rsid w:val="00E53F91"/>
    <w:rsid w:val="00E5413B"/>
    <w:rsid w:val="00E54358"/>
    <w:rsid w:val="00E545D0"/>
    <w:rsid w:val="00E54674"/>
    <w:rsid w:val="00E5475E"/>
    <w:rsid w:val="00E54876"/>
    <w:rsid w:val="00E549BB"/>
    <w:rsid w:val="00E54AA6"/>
    <w:rsid w:val="00E54AB2"/>
    <w:rsid w:val="00E54ADE"/>
    <w:rsid w:val="00E54C5A"/>
    <w:rsid w:val="00E55092"/>
    <w:rsid w:val="00E55708"/>
    <w:rsid w:val="00E55CA7"/>
    <w:rsid w:val="00E55EA0"/>
    <w:rsid w:val="00E55F30"/>
    <w:rsid w:val="00E55F65"/>
    <w:rsid w:val="00E55F73"/>
    <w:rsid w:val="00E55F8A"/>
    <w:rsid w:val="00E55FED"/>
    <w:rsid w:val="00E561A2"/>
    <w:rsid w:val="00E56421"/>
    <w:rsid w:val="00E564A4"/>
    <w:rsid w:val="00E56600"/>
    <w:rsid w:val="00E566B8"/>
    <w:rsid w:val="00E566B9"/>
    <w:rsid w:val="00E56701"/>
    <w:rsid w:val="00E567A9"/>
    <w:rsid w:val="00E56DE9"/>
    <w:rsid w:val="00E56F40"/>
    <w:rsid w:val="00E56FEB"/>
    <w:rsid w:val="00E5720D"/>
    <w:rsid w:val="00E57414"/>
    <w:rsid w:val="00E5750B"/>
    <w:rsid w:val="00E575BC"/>
    <w:rsid w:val="00E577E2"/>
    <w:rsid w:val="00E57C9A"/>
    <w:rsid w:val="00E57DA5"/>
    <w:rsid w:val="00E57DDC"/>
    <w:rsid w:val="00E57EBA"/>
    <w:rsid w:val="00E57EEB"/>
    <w:rsid w:val="00E6003D"/>
    <w:rsid w:val="00E60048"/>
    <w:rsid w:val="00E60221"/>
    <w:rsid w:val="00E604AF"/>
    <w:rsid w:val="00E606BF"/>
    <w:rsid w:val="00E60743"/>
    <w:rsid w:val="00E60758"/>
    <w:rsid w:val="00E607DC"/>
    <w:rsid w:val="00E60829"/>
    <w:rsid w:val="00E608B3"/>
    <w:rsid w:val="00E609ED"/>
    <w:rsid w:val="00E60CAB"/>
    <w:rsid w:val="00E60DA6"/>
    <w:rsid w:val="00E60DE9"/>
    <w:rsid w:val="00E60E1B"/>
    <w:rsid w:val="00E6103E"/>
    <w:rsid w:val="00E61359"/>
    <w:rsid w:val="00E6153E"/>
    <w:rsid w:val="00E61632"/>
    <w:rsid w:val="00E61657"/>
    <w:rsid w:val="00E6199F"/>
    <w:rsid w:val="00E61AB8"/>
    <w:rsid w:val="00E61C07"/>
    <w:rsid w:val="00E62026"/>
    <w:rsid w:val="00E62053"/>
    <w:rsid w:val="00E62110"/>
    <w:rsid w:val="00E62157"/>
    <w:rsid w:val="00E622D8"/>
    <w:rsid w:val="00E6232D"/>
    <w:rsid w:val="00E62550"/>
    <w:rsid w:val="00E6261C"/>
    <w:rsid w:val="00E627AC"/>
    <w:rsid w:val="00E627BD"/>
    <w:rsid w:val="00E628D4"/>
    <w:rsid w:val="00E62AA7"/>
    <w:rsid w:val="00E62ACD"/>
    <w:rsid w:val="00E62BE1"/>
    <w:rsid w:val="00E62C8E"/>
    <w:rsid w:val="00E62E63"/>
    <w:rsid w:val="00E62F42"/>
    <w:rsid w:val="00E62F51"/>
    <w:rsid w:val="00E6302B"/>
    <w:rsid w:val="00E632D1"/>
    <w:rsid w:val="00E6332B"/>
    <w:rsid w:val="00E638CE"/>
    <w:rsid w:val="00E6398F"/>
    <w:rsid w:val="00E63C20"/>
    <w:rsid w:val="00E63F35"/>
    <w:rsid w:val="00E64213"/>
    <w:rsid w:val="00E64228"/>
    <w:rsid w:val="00E64537"/>
    <w:rsid w:val="00E645B6"/>
    <w:rsid w:val="00E64645"/>
    <w:rsid w:val="00E646D7"/>
    <w:rsid w:val="00E649CD"/>
    <w:rsid w:val="00E64A45"/>
    <w:rsid w:val="00E64B1D"/>
    <w:rsid w:val="00E64BB6"/>
    <w:rsid w:val="00E64BBC"/>
    <w:rsid w:val="00E64DF5"/>
    <w:rsid w:val="00E64EFD"/>
    <w:rsid w:val="00E64FFD"/>
    <w:rsid w:val="00E6513F"/>
    <w:rsid w:val="00E651F1"/>
    <w:rsid w:val="00E653D9"/>
    <w:rsid w:val="00E653E4"/>
    <w:rsid w:val="00E6546B"/>
    <w:rsid w:val="00E655FC"/>
    <w:rsid w:val="00E65B7F"/>
    <w:rsid w:val="00E65C0E"/>
    <w:rsid w:val="00E65C82"/>
    <w:rsid w:val="00E65CD5"/>
    <w:rsid w:val="00E65FD5"/>
    <w:rsid w:val="00E660E3"/>
    <w:rsid w:val="00E6619A"/>
    <w:rsid w:val="00E6623E"/>
    <w:rsid w:val="00E66399"/>
    <w:rsid w:val="00E663A3"/>
    <w:rsid w:val="00E663C4"/>
    <w:rsid w:val="00E66502"/>
    <w:rsid w:val="00E6655F"/>
    <w:rsid w:val="00E66A6C"/>
    <w:rsid w:val="00E66C97"/>
    <w:rsid w:val="00E66D00"/>
    <w:rsid w:val="00E66D09"/>
    <w:rsid w:val="00E66DF5"/>
    <w:rsid w:val="00E66F87"/>
    <w:rsid w:val="00E6704C"/>
    <w:rsid w:val="00E6708B"/>
    <w:rsid w:val="00E67299"/>
    <w:rsid w:val="00E67375"/>
    <w:rsid w:val="00E67484"/>
    <w:rsid w:val="00E67500"/>
    <w:rsid w:val="00E676DB"/>
    <w:rsid w:val="00E678E7"/>
    <w:rsid w:val="00E6798D"/>
    <w:rsid w:val="00E67B90"/>
    <w:rsid w:val="00E67E61"/>
    <w:rsid w:val="00E67F3C"/>
    <w:rsid w:val="00E700FF"/>
    <w:rsid w:val="00E70296"/>
    <w:rsid w:val="00E7062E"/>
    <w:rsid w:val="00E70C77"/>
    <w:rsid w:val="00E70DDC"/>
    <w:rsid w:val="00E70FC1"/>
    <w:rsid w:val="00E714A8"/>
    <w:rsid w:val="00E714BB"/>
    <w:rsid w:val="00E715F3"/>
    <w:rsid w:val="00E71871"/>
    <w:rsid w:val="00E719B7"/>
    <w:rsid w:val="00E71AE7"/>
    <w:rsid w:val="00E71BFD"/>
    <w:rsid w:val="00E71C08"/>
    <w:rsid w:val="00E71E26"/>
    <w:rsid w:val="00E7209B"/>
    <w:rsid w:val="00E722CF"/>
    <w:rsid w:val="00E725B4"/>
    <w:rsid w:val="00E725F3"/>
    <w:rsid w:val="00E726FE"/>
    <w:rsid w:val="00E72751"/>
    <w:rsid w:val="00E7275E"/>
    <w:rsid w:val="00E729F5"/>
    <w:rsid w:val="00E72A29"/>
    <w:rsid w:val="00E72AA7"/>
    <w:rsid w:val="00E72C76"/>
    <w:rsid w:val="00E72DB9"/>
    <w:rsid w:val="00E72E30"/>
    <w:rsid w:val="00E73010"/>
    <w:rsid w:val="00E730B7"/>
    <w:rsid w:val="00E730D0"/>
    <w:rsid w:val="00E732FE"/>
    <w:rsid w:val="00E7345C"/>
    <w:rsid w:val="00E734BE"/>
    <w:rsid w:val="00E73609"/>
    <w:rsid w:val="00E73673"/>
    <w:rsid w:val="00E73930"/>
    <w:rsid w:val="00E73AA6"/>
    <w:rsid w:val="00E73C9D"/>
    <w:rsid w:val="00E73CC8"/>
    <w:rsid w:val="00E73CD6"/>
    <w:rsid w:val="00E73D3E"/>
    <w:rsid w:val="00E73D79"/>
    <w:rsid w:val="00E73F7E"/>
    <w:rsid w:val="00E73FF3"/>
    <w:rsid w:val="00E74011"/>
    <w:rsid w:val="00E74108"/>
    <w:rsid w:val="00E74294"/>
    <w:rsid w:val="00E746CC"/>
    <w:rsid w:val="00E74729"/>
    <w:rsid w:val="00E74786"/>
    <w:rsid w:val="00E7484A"/>
    <w:rsid w:val="00E74CE4"/>
    <w:rsid w:val="00E74D0D"/>
    <w:rsid w:val="00E751D4"/>
    <w:rsid w:val="00E7538F"/>
    <w:rsid w:val="00E75523"/>
    <w:rsid w:val="00E757F7"/>
    <w:rsid w:val="00E75887"/>
    <w:rsid w:val="00E75956"/>
    <w:rsid w:val="00E75BCD"/>
    <w:rsid w:val="00E75EB0"/>
    <w:rsid w:val="00E7621A"/>
    <w:rsid w:val="00E765F5"/>
    <w:rsid w:val="00E76AAA"/>
    <w:rsid w:val="00E76E20"/>
    <w:rsid w:val="00E76F82"/>
    <w:rsid w:val="00E770AD"/>
    <w:rsid w:val="00E771D0"/>
    <w:rsid w:val="00E771ED"/>
    <w:rsid w:val="00E7734C"/>
    <w:rsid w:val="00E777DE"/>
    <w:rsid w:val="00E77A36"/>
    <w:rsid w:val="00E77B13"/>
    <w:rsid w:val="00E77B82"/>
    <w:rsid w:val="00E77ECD"/>
    <w:rsid w:val="00E80186"/>
    <w:rsid w:val="00E801E0"/>
    <w:rsid w:val="00E802CA"/>
    <w:rsid w:val="00E80312"/>
    <w:rsid w:val="00E80385"/>
    <w:rsid w:val="00E805FE"/>
    <w:rsid w:val="00E80779"/>
    <w:rsid w:val="00E80B23"/>
    <w:rsid w:val="00E80C2D"/>
    <w:rsid w:val="00E80C45"/>
    <w:rsid w:val="00E80D5F"/>
    <w:rsid w:val="00E80E4D"/>
    <w:rsid w:val="00E8123C"/>
    <w:rsid w:val="00E81256"/>
    <w:rsid w:val="00E812AE"/>
    <w:rsid w:val="00E8168E"/>
    <w:rsid w:val="00E8180C"/>
    <w:rsid w:val="00E819B7"/>
    <w:rsid w:val="00E81BF2"/>
    <w:rsid w:val="00E81D25"/>
    <w:rsid w:val="00E81E5C"/>
    <w:rsid w:val="00E81EEB"/>
    <w:rsid w:val="00E81FA8"/>
    <w:rsid w:val="00E8207E"/>
    <w:rsid w:val="00E82115"/>
    <w:rsid w:val="00E822C9"/>
    <w:rsid w:val="00E82493"/>
    <w:rsid w:val="00E8256B"/>
    <w:rsid w:val="00E8288D"/>
    <w:rsid w:val="00E8297F"/>
    <w:rsid w:val="00E82A15"/>
    <w:rsid w:val="00E82C34"/>
    <w:rsid w:val="00E82D11"/>
    <w:rsid w:val="00E82E04"/>
    <w:rsid w:val="00E82E44"/>
    <w:rsid w:val="00E8304B"/>
    <w:rsid w:val="00E8307A"/>
    <w:rsid w:val="00E830AC"/>
    <w:rsid w:val="00E83114"/>
    <w:rsid w:val="00E83243"/>
    <w:rsid w:val="00E83782"/>
    <w:rsid w:val="00E83787"/>
    <w:rsid w:val="00E838AD"/>
    <w:rsid w:val="00E83A39"/>
    <w:rsid w:val="00E83ACD"/>
    <w:rsid w:val="00E83B29"/>
    <w:rsid w:val="00E83BB7"/>
    <w:rsid w:val="00E83C18"/>
    <w:rsid w:val="00E83DFC"/>
    <w:rsid w:val="00E83E9B"/>
    <w:rsid w:val="00E83F8D"/>
    <w:rsid w:val="00E84040"/>
    <w:rsid w:val="00E840CC"/>
    <w:rsid w:val="00E84306"/>
    <w:rsid w:val="00E847CF"/>
    <w:rsid w:val="00E84811"/>
    <w:rsid w:val="00E84889"/>
    <w:rsid w:val="00E84966"/>
    <w:rsid w:val="00E84987"/>
    <w:rsid w:val="00E84AF5"/>
    <w:rsid w:val="00E84C6D"/>
    <w:rsid w:val="00E84C7C"/>
    <w:rsid w:val="00E84D87"/>
    <w:rsid w:val="00E84DB5"/>
    <w:rsid w:val="00E854F1"/>
    <w:rsid w:val="00E8551F"/>
    <w:rsid w:val="00E8576F"/>
    <w:rsid w:val="00E8582E"/>
    <w:rsid w:val="00E85C73"/>
    <w:rsid w:val="00E85D92"/>
    <w:rsid w:val="00E85E64"/>
    <w:rsid w:val="00E85F1B"/>
    <w:rsid w:val="00E85FA8"/>
    <w:rsid w:val="00E86762"/>
    <w:rsid w:val="00E86C27"/>
    <w:rsid w:val="00E86C7B"/>
    <w:rsid w:val="00E86D52"/>
    <w:rsid w:val="00E86F77"/>
    <w:rsid w:val="00E86FB3"/>
    <w:rsid w:val="00E86FB5"/>
    <w:rsid w:val="00E870F4"/>
    <w:rsid w:val="00E8735D"/>
    <w:rsid w:val="00E8764D"/>
    <w:rsid w:val="00E87765"/>
    <w:rsid w:val="00E87983"/>
    <w:rsid w:val="00E87AC2"/>
    <w:rsid w:val="00E87BF3"/>
    <w:rsid w:val="00E87EBB"/>
    <w:rsid w:val="00E90069"/>
    <w:rsid w:val="00E901A3"/>
    <w:rsid w:val="00E90325"/>
    <w:rsid w:val="00E904EF"/>
    <w:rsid w:val="00E9051D"/>
    <w:rsid w:val="00E90890"/>
    <w:rsid w:val="00E90BFD"/>
    <w:rsid w:val="00E90D55"/>
    <w:rsid w:val="00E90EE4"/>
    <w:rsid w:val="00E90F25"/>
    <w:rsid w:val="00E9107D"/>
    <w:rsid w:val="00E91237"/>
    <w:rsid w:val="00E91271"/>
    <w:rsid w:val="00E9137E"/>
    <w:rsid w:val="00E91440"/>
    <w:rsid w:val="00E91482"/>
    <w:rsid w:val="00E91905"/>
    <w:rsid w:val="00E91A65"/>
    <w:rsid w:val="00E91B82"/>
    <w:rsid w:val="00E91B96"/>
    <w:rsid w:val="00E91BE6"/>
    <w:rsid w:val="00E91CAC"/>
    <w:rsid w:val="00E91D84"/>
    <w:rsid w:val="00E91F9C"/>
    <w:rsid w:val="00E92011"/>
    <w:rsid w:val="00E92081"/>
    <w:rsid w:val="00E9229B"/>
    <w:rsid w:val="00E92893"/>
    <w:rsid w:val="00E928D4"/>
    <w:rsid w:val="00E9296F"/>
    <w:rsid w:val="00E929FB"/>
    <w:rsid w:val="00E92A8F"/>
    <w:rsid w:val="00E92B37"/>
    <w:rsid w:val="00E92CA5"/>
    <w:rsid w:val="00E92DB2"/>
    <w:rsid w:val="00E92DF3"/>
    <w:rsid w:val="00E92F1B"/>
    <w:rsid w:val="00E93052"/>
    <w:rsid w:val="00E93166"/>
    <w:rsid w:val="00E933FF"/>
    <w:rsid w:val="00E93489"/>
    <w:rsid w:val="00E9351D"/>
    <w:rsid w:val="00E937B1"/>
    <w:rsid w:val="00E93986"/>
    <w:rsid w:val="00E93BFA"/>
    <w:rsid w:val="00E93C3A"/>
    <w:rsid w:val="00E93CE4"/>
    <w:rsid w:val="00E93F5D"/>
    <w:rsid w:val="00E940E3"/>
    <w:rsid w:val="00E941BD"/>
    <w:rsid w:val="00E94483"/>
    <w:rsid w:val="00E94543"/>
    <w:rsid w:val="00E94559"/>
    <w:rsid w:val="00E948A8"/>
    <w:rsid w:val="00E94967"/>
    <w:rsid w:val="00E94B6B"/>
    <w:rsid w:val="00E94C79"/>
    <w:rsid w:val="00E95330"/>
    <w:rsid w:val="00E9537B"/>
    <w:rsid w:val="00E954AD"/>
    <w:rsid w:val="00E956B5"/>
    <w:rsid w:val="00E957B4"/>
    <w:rsid w:val="00E9589D"/>
    <w:rsid w:val="00E95B3E"/>
    <w:rsid w:val="00E95BEF"/>
    <w:rsid w:val="00E95C3E"/>
    <w:rsid w:val="00E95C45"/>
    <w:rsid w:val="00E95ECC"/>
    <w:rsid w:val="00E95EE8"/>
    <w:rsid w:val="00E95EED"/>
    <w:rsid w:val="00E963F3"/>
    <w:rsid w:val="00E965B6"/>
    <w:rsid w:val="00E96681"/>
    <w:rsid w:val="00E9674E"/>
    <w:rsid w:val="00E96944"/>
    <w:rsid w:val="00E969A3"/>
    <w:rsid w:val="00E969F9"/>
    <w:rsid w:val="00E96B30"/>
    <w:rsid w:val="00E96DCD"/>
    <w:rsid w:val="00E9720C"/>
    <w:rsid w:val="00E9732E"/>
    <w:rsid w:val="00E975A9"/>
    <w:rsid w:val="00E975B9"/>
    <w:rsid w:val="00E97761"/>
    <w:rsid w:val="00E97A71"/>
    <w:rsid w:val="00E97C15"/>
    <w:rsid w:val="00E97CD7"/>
    <w:rsid w:val="00EA03B1"/>
    <w:rsid w:val="00EA04FB"/>
    <w:rsid w:val="00EA05CC"/>
    <w:rsid w:val="00EA06D2"/>
    <w:rsid w:val="00EA06D9"/>
    <w:rsid w:val="00EA0837"/>
    <w:rsid w:val="00EA0954"/>
    <w:rsid w:val="00EA0A21"/>
    <w:rsid w:val="00EA0A61"/>
    <w:rsid w:val="00EA0A86"/>
    <w:rsid w:val="00EA0B29"/>
    <w:rsid w:val="00EA0BAF"/>
    <w:rsid w:val="00EA0C29"/>
    <w:rsid w:val="00EA1000"/>
    <w:rsid w:val="00EA1061"/>
    <w:rsid w:val="00EA106C"/>
    <w:rsid w:val="00EA119D"/>
    <w:rsid w:val="00EA11B7"/>
    <w:rsid w:val="00EA120B"/>
    <w:rsid w:val="00EA13BC"/>
    <w:rsid w:val="00EA148B"/>
    <w:rsid w:val="00EA1536"/>
    <w:rsid w:val="00EA179D"/>
    <w:rsid w:val="00EA18FA"/>
    <w:rsid w:val="00EA1AC3"/>
    <w:rsid w:val="00EA1B0A"/>
    <w:rsid w:val="00EA1BC4"/>
    <w:rsid w:val="00EA1C4A"/>
    <w:rsid w:val="00EA1D35"/>
    <w:rsid w:val="00EA1E4E"/>
    <w:rsid w:val="00EA1F84"/>
    <w:rsid w:val="00EA1F98"/>
    <w:rsid w:val="00EA1FF7"/>
    <w:rsid w:val="00EA224E"/>
    <w:rsid w:val="00EA23AC"/>
    <w:rsid w:val="00EA254D"/>
    <w:rsid w:val="00EA2BB4"/>
    <w:rsid w:val="00EA2BDE"/>
    <w:rsid w:val="00EA2C95"/>
    <w:rsid w:val="00EA2DCF"/>
    <w:rsid w:val="00EA2FFD"/>
    <w:rsid w:val="00EA32D9"/>
    <w:rsid w:val="00EA3358"/>
    <w:rsid w:val="00EA380E"/>
    <w:rsid w:val="00EA3979"/>
    <w:rsid w:val="00EA3C02"/>
    <w:rsid w:val="00EA3C03"/>
    <w:rsid w:val="00EA3C6B"/>
    <w:rsid w:val="00EA3CAF"/>
    <w:rsid w:val="00EA3D0C"/>
    <w:rsid w:val="00EA3DAB"/>
    <w:rsid w:val="00EA400E"/>
    <w:rsid w:val="00EA4047"/>
    <w:rsid w:val="00EA40AB"/>
    <w:rsid w:val="00EA4197"/>
    <w:rsid w:val="00EA41F4"/>
    <w:rsid w:val="00EA43BC"/>
    <w:rsid w:val="00EA44F5"/>
    <w:rsid w:val="00EA46FF"/>
    <w:rsid w:val="00EA4757"/>
    <w:rsid w:val="00EA47BE"/>
    <w:rsid w:val="00EA48C9"/>
    <w:rsid w:val="00EA4960"/>
    <w:rsid w:val="00EA4AC8"/>
    <w:rsid w:val="00EA4B2C"/>
    <w:rsid w:val="00EA518B"/>
    <w:rsid w:val="00EA52F3"/>
    <w:rsid w:val="00EA537F"/>
    <w:rsid w:val="00EA553A"/>
    <w:rsid w:val="00EA563F"/>
    <w:rsid w:val="00EA58CC"/>
    <w:rsid w:val="00EA58F7"/>
    <w:rsid w:val="00EA598C"/>
    <w:rsid w:val="00EA5DA6"/>
    <w:rsid w:val="00EA600E"/>
    <w:rsid w:val="00EA630E"/>
    <w:rsid w:val="00EA6440"/>
    <w:rsid w:val="00EA6457"/>
    <w:rsid w:val="00EA6545"/>
    <w:rsid w:val="00EA670F"/>
    <w:rsid w:val="00EA6804"/>
    <w:rsid w:val="00EA689D"/>
    <w:rsid w:val="00EA68A5"/>
    <w:rsid w:val="00EA6993"/>
    <w:rsid w:val="00EA6ADC"/>
    <w:rsid w:val="00EA6CF9"/>
    <w:rsid w:val="00EA6F7F"/>
    <w:rsid w:val="00EA7547"/>
    <w:rsid w:val="00EA7745"/>
    <w:rsid w:val="00EA7816"/>
    <w:rsid w:val="00EA7896"/>
    <w:rsid w:val="00EA7CD8"/>
    <w:rsid w:val="00EA7FD9"/>
    <w:rsid w:val="00EB0192"/>
    <w:rsid w:val="00EB057F"/>
    <w:rsid w:val="00EB08D7"/>
    <w:rsid w:val="00EB0A7F"/>
    <w:rsid w:val="00EB0AF0"/>
    <w:rsid w:val="00EB0C66"/>
    <w:rsid w:val="00EB0D28"/>
    <w:rsid w:val="00EB14F9"/>
    <w:rsid w:val="00EB15AB"/>
    <w:rsid w:val="00EB15EB"/>
    <w:rsid w:val="00EB17A8"/>
    <w:rsid w:val="00EB195A"/>
    <w:rsid w:val="00EB1A83"/>
    <w:rsid w:val="00EB1C17"/>
    <w:rsid w:val="00EB1C3A"/>
    <w:rsid w:val="00EB1D10"/>
    <w:rsid w:val="00EB1DC7"/>
    <w:rsid w:val="00EB1EBB"/>
    <w:rsid w:val="00EB20D3"/>
    <w:rsid w:val="00EB21F4"/>
    <w:rsid w:val="00EB22D4"/>
    <w:rsid w:val="00EB23FE"/>
    <w:rsid w:val="00EB2467"/>
    <w:rsid w:val="00EB247F"/>
    <w:rsid w:val="00EB2578"/>
    <w:rsid w:val="00EB2642"/>
    <w:rsid w:val="00EB26F9"/>
    <w:rsid w:val="00EB2736"/>
    <w:rsid w:val="00EB27E3"/>
    <w:rsid w:val="00EB27E6"/>
    <w:rsid w:val="00EB283C"/>
    <w:rsid w:val="00EB28A7"/>
    <w:rsid w:val="00EB2B74"/>
    <w:rsid w:val="00EB2D0B"/>
    <w:rsid w:val="00EB2F93"/>
    <w:rsid w:val="00EB3064"/>
    <w:rsid w:val="00EB3184"/>
    <w:rsid w:val="00EB3192"/>
    <w:rsid w:val="00EB31DA"/>
    <w:rsid w:val="00EB321A"/>
    <w:rsid w:val="00EB3283"/>
    <w:rsid w:val="00EB32E4"/>
    <w:rsid w:val="00EB3457"/>
    <w:rsid w:val="00EB349E"/>
    <w:rsid w:val="00EB34BA"/>
    <w:rsid w:val="00EB3A05"/>
    <w:rsid w:val="00EB415F"/>
    <w:rsid w:val="00EB439E"/>
    <w:rsid w:val="00EB4472"/>
    <w:rsid w:val="00EB44BE"/>
    <w:rsid w:val="00EB44C5"/>
    <w:rsid w:val="00EB455C"/>
    <w:rsid w:val="00EB4758"/>
    <w:rsid w:val="00EB482D"/>
    <w:rsid w:val="00EB4877"/>
    <w:rsid w:val="00EB48FF"/>
    <w:rsid w:val="00EB4D02"/>
    <w:rsid w:val="00EB4E2E"/>
    <w:rsid w:val="00EB4E91"/>
    <w:rsid w:val="00EB52A0"/>
    <w:rsid w:val="00EB542B"/>
    <w:rsid w:val="00EB5536"/>
    <w:rsid w:val="00EB573B"/>
    <w:rsid w:val="00EB5998"/>
    <w:rsid w:val="00EB5B12"/>
    <w:rsid w:val="00EB5B7A"/>
    <w:rsid w:val="00EB5BA6"/>
    <w:rsid w:val="00EB5DB5"/>
    <w:rsid w:val="00EB5E0F"/>
    <w:rsid w:val="00EB5E76"/>
    <w:rsid w:val="00EB5F7F"/>
    <w:rsid w:val="00EB5FE0"/>
    <w:rsid w:val="00EB6030"/>
    <w:rsid w:val="00EB604C"/>
    <w:rsid w:val="00EB63A5"/>
    <w:rsid w:val="00EB6418"/>
    <w:rsid w:val="00EB6746"/>
    <w:rsid w:val="00EB67A6"/>
    <w:rsid w:val="00EB6A9D"/>
    <w:rsid w:val="00EB6ADB"/>
    <w:rsid w:val="00EB6B0A"/>
    <w:rsid w:val="00EB6B91"/>
    <w:rsid w:val="00EB6DA5"/>
    <w:rsid w:val="00EB6DD7"/>
    <w:rsid w:val="00EB7128"/>
    <w:rsid w:val="00EB737C"/>
    <w:rsid w:val="00EB7609"/>
    <w:rsid w:val="00EB76ED"/>
    <w:rsid w:val="00EB775F"/>
    <w:rsid w:val="00EB77D9"/>
    <w:rsid w:val="00EB78BA"/>
    <w:rsid w:val="00EB7D4E"/>
    <w:rsid w:val="00EB7F8F"/>
    <w:rsid w:val="00EB7FB5"/>
    <w:rsid w:val="00EC002E"/>
    <w:rsid w:val="00EC0071"/>
    <w:rsid w:val="00EC0113"/>
    <w:rsid w:val="00EC02B5"/>
    <w:rsid w:val="00EC0423"/>
    <w:rsid w:val="00EC0434"/>
    <w:rsid w:val="00EC074C"/>
    <w:rsid w:val="00EC07A3"/>
    <w:rsid w:val="00EC08A5"/>
    <w:rsid w:val="00EC0A70"/>
    <w:rsid w:val="00EC0AAA"/>
    <w:rsid w:val="00EC0AC6"/>
    <w:rsid w:val="00EC0D1F"/>
    <w:rsid w:val="00EC0D81"/>
    <w:rsid w:val="00EC0E85"/>
    <w:rsid w:val="00EC111D"/>
    <w:rsid w:val="00EC1428"/>
    <w:rsid w:val="00EC16F2"/>
    <w:rsid w:val="00EC1C52"/>
    <w:rsid w:val="00EC1FB1"/>
    <w:rsid w:val="00EC225B"/>
    <w:rsid w:val="00EC22C9"/>
    <w:rsid w:val="00EC2313"/>
    <w:rsid w:val="00EC2333"/>
    <w:rsid w:val="00EC23AC"/>
    <w:rsid w:val="00EC23C3"/>
    <w:rsid w:val="00EC25DF"/>
    <w:rsid w:val="00EC2718"/>
    <w:rsid w:val="00EC2826"/>
    <w:rsid w:val="00EC2865"/>
    <w:rsid w:val="00EC28B9"/>
    <w:rsid w:val="00EC2AE4"/>
    <w:rsid w:val="00EC2C25"/>
    <w:rsid w:val="00EC2C3A"/>
    <w:rsid w:val="00EC2FCC"/>
    <w:rsid w:val="00EC3099"/>
    <w:rsid w:val="00EC3122"/>
    <w:rsid w:val="00EC35D6"/>
    <w:rsid w:val="00EC368A"/>
    <w:rsid w:val="00EC36CD"/>
    <w:rsid w:val="00EC3858"/>
    <w:rsid w:val="00EC399E"/>
    <w:rsid w:val="00EC3AC9"/>
    <w:rsid w:val="00EC3CC7"/>
    <w:rsid w:val="00EC3CF8"/>
    <w:rsid w:val="00EC3DAD"/>
    <w:rsid w:val="00EC3E41"/>
    <w:rsid w:val="00EC3FF1"/>
    <w:rsid w:val="00EC4181"/>
    <w:rsid w:val="00EC4385"/>
    <w:rsid w:val="00EC47BC"/>
    <w:rsid w:val="00EC4815"/>
    <w:rsid w:val="00EC491A"/>
    <w:rsid w:val="00EC493D"/>
    <w:rsid w:val="00EC4E43"/>
    <w:rsid w:val="00EC4E95"/>
    <w:rsid w:val="00EC4F00"/>
    <w:rsid w:val="00EC55AF"/>
    <w:rsid w:val="00EC5629"/>
    <w:rsid w:val="00EC56C1"/>
    <w:rsid w:val="00EC57DE"/>
    <w:rsid w:val="00EC59A0"/>
    <w:rsid w:val="00EC59FD"/>
    <w:rsid w:val="00EC5A44"/>
    <w:rsid w:val="00EC5ACA"/>
    <w:rsid w:val="00EC5FD0"/>
    <w:rsid w:val="00EC6098"/>
    <w:rsid w:val="00EC61B7"/>
    <w:rsid w:val="00EC61E1"/>
    <w:rsid w:val="00EC61FD"/>
    <w:rsid w:val="00EC6240"/>
    <w:rsid w:val="00EC6260"/>
    <w:rsid w:val="00EC6283"/>
    <w:rsid w:val="00EC62DA"/>
    <w:rsid w:val="00EC63F5"/>
    <w:rsid w:val="00EC6470"/>
    <w:rsid w:val="00EC663F"/>
    <w:rsid w:val="00EC664C"/>
    <w:rsid w:val="00EC6736"/>
    <w:rsid w:val="00EC678C"/>
    <w:rsid w:val="00EC68D1"/>
    <w:rsid w:val="00EC6903"/>
    <w:rsid w:val="00EC6926"/>
    <w:rsid w:val="00EC6A80"/>
    <w:rsid w:val="00EC6D1B"/>
    <w:rsid w:val="00EC6DF2"/>
    <w:rsid w:val="00EC7036"/>
    <w:rsid w:val="00EC7864"/>
    <w:rsid w:val="00EC7D3E"/>
    <w:rsid w:val="00EC7D78"/>
    <w:rsid w:val="00ED02E4"/>
    <w:rsid w:val="00ED031E"/>
    <w:rsid w:val="00ED04C8"/>
    <w:rsid w:val="00ED059D"/>
    <w:rsid w:val="00ED0689"/>
    <w:rsid w:val="00ED0812"/>
    <w:rsid w:val="00ED0A27"/>
    <w:rsid w:val="00ED0A9F"/>
    <w:rsid w:val="00ED0C81"/>
    <w:rsid w:val="00ED0F00"/>
    <w:rsid w:val="00ED1090"/>
    <w:rsid w:val="00ED1247"/>
    <w:rsid w:val="00ED1573"/>
    <w:rsid w:val="00ED1875"/>
    <w:rsid w:val="00ED196F"/>
    <w:rsid w:val="00ED19E4"/>
    <w:rsid w:val="00ED1E04"/>
    <w:rsid w:val="00ED1F4D"/>
    <w:rsid w:val="00ED21F2"/>
    <w:rsid w:val="00ED220E"/>
    <w:rsid w:val="00ED24FC"/>
    <w:rsid w:val="00ED25CD"/>
    <w:rsid w:val="00ED2850"/>
    <w:rsid w:val="00ED29AE"/>
    <w:rsid w:val="00ED2A1E"/>
    <w:rsid w:val="00ED2A79"/>
    <w:rsid w:val="00ED2AB9"/>
    <w:rsid w:val="00ED2ABE"/>
    <w:rsid w:val="00ED2ED7"/>
    <w:rsid w:val="00ED32CE"/>
    <w:rsid w:val="00ED33B0"/>
    <w:rsid w:val="00ED3551"/>
    <w:rsid w:val="00ED3636"/>
    <w:rsid w:val="00ED3EA1"/>
    <w:rsid w:val="00ED3F63"/>
    <w:rsid w:val="00ED40BD"/>
    <w:rsid w:val="00ED424C"/>
    <w:rsid w:val="00ED4365"/>
    <w:rsid w:val="00ED4467"/>
    <w:rsid w:val="00ED4654"/>
    <w:rsid w:val="00ED4678"/>
    <w:rsid w:val="00ED46B8"/>
    <w:rsid w:val="00ED47A9"/>
    <w:rsid w:val="00ED47B4"/>
    <w:rsid w:val="00ED47C5"/>
    <w:rsid w:val="00ED47D2"/>
    <w:rsid w:val="00ED4A1B"/>
    <w:rsid w:val="00ED4A8C"/>
    <w:rsid w:val="00ED4C00"/>
    <w:rsid w:val="00ED4D5F"/>
    <w:rsid w:val="00ED5132"/>
    <w:rsid w:val="00ED51DF"/>
    <w:rsid w:val="00ED51E4"/>
    <w:rsid w:val="00ED54C0"/>
    <w:rsid w:val="00ED550C"/>
    <w:rsid w:val="00ED5582"/>
    <w:rsid w:val="00ED5636"/>
    <w:rsid w:val="00ED579F"/>
    <w:rsid w:val="00ED590B"/>
    <w:rsid w:val="00ED592F"/>
    <w:rsid w:val="00ED5B6D"/>
    <w:rsid w:val="00ED5BB8"/>
    <w:rsid w:val="00ED61D8"/>
    <w:rsid w:val="00ED6314"/>
    <w:rsid w:val="00ED6495"/>
    <w:rsid w:val="00ED66AC"/>
    <w:rsid w:val="00ED6AB2"/>
    <w:rsid w:val="00ED6B55"/>
    <w:rsid w:val="00ED6BAA"/>
    <w:rsid w:val="00ED6BB7"/>
    <w:rsid w:val="00ED6CB5"/>
    <w:rsid w:val="00ED6F85"/>
    <w:rsid w:val="00ED6FFC"/>
    <w:rsid w:val="00ED7056"/>
    <w:rsid w:val="00ED71F8"/>
    <w:rsid w:val="00ED72F5"/>
    <w:rsid w:val="00ED730A"/>
    <w:rsid w:val="00ED7508"/>
    <w:rsid w:val="00ED7696"/>
    <w:rsid w:val="00ED773E"/>
    <w:rsid w:val="00ED776A"/>
    <w:rsid w:val="00ED77F2"/>
    <w:rsid w:val="00ED7AAD"/>
    <w:rsid w:val="00ED7ABA"/>
    <w:rsid w:val="00EE00C2"/>
    <w:rsid w:val="00EE00E4"/>
    <w:rsid w:val="00EE01C4"/>
    <w:rsid w:val="00EE03E1"/>
    <w:rsid w:val="00EE0475"/>
    <w:rsid w:val="00EE04B3"/>
    <w:rsid w:val="00EE06E6"/>
    <w:rsid w:val="00EE0754"/>
    <w:rsid w:val="00EE0909"/>
    <w:rsid w:val="00EE0996"/>
    <w:rsid w:val="00EE09F3"/>
    <w:rsid w:val="00EE0C9A"/>
    <w:rsid w:val="00EE0E6D"/>
    <w:rsid w:val="00EE111D"/>
    <w:rsid w:val="00EE15DE"/>
    <w:rsid w:val="00EE1774"/>
    <w:rsid w:val="00EE1855"/>
    <w:rsid w:val="00EE1A33"/>
    <w:rsid w:val="00EE1AEC"/>
    <w:rsid w:val="00EE1B1A"/>
    <w:rsid w:val="00EE1CCE"/>
    <w:rsid w:val="00EE1D01"/>
    <w:rsid w:val="00EE1D13"/>
    <w:rsid w:val="00EE1DBD"/>
    <w:rsid w:val="00EE1DF1"/>
    <w:rsid w:val="00EE2268"/>
    <w:rsid w:val="00EE237B"/>
    <w:rsid w:val="00EE238E"/>
    <w:rsid w:val="00EE2552"/>
    <w:rsid w:val="00EE25C2"/>
    <w:rsid w:val="00EE273E"/>
    <w:rsid w:val="00EE274D"/>
    <w:rsid w:val="00EE2A42"/>
    <w:rsid w:val="00EE2CB6"/>
    <w:rsid w:val="00EE2E45"/>
    <w:rsid w:val="00EE2EDB"/>
    <w:rsid w:val="00EE3060"/>
    <w:rsid w:val="00EE307E"/>
    <w:rsid w:val="00EE31CB"/>
    <w:rsid w:val="00EE3410"/>
    <w:rsid w:val="00EE34BD"/>
    <w:rsid w:val="00EE3594"/>
    <w:rsid w:val="00EE389D"/>
    <w:rsid w:val="00EE3BDF"/>
    <w:rsid w:val="00EE3D26"/>
    <w:rsid w:val="00EE3DAC"/>
    <w:rsid w:val="00EE3EBA"/>
    <w:rsid w:val="00EE4281"/>
    <w:rsid w:val="00EE4389"/>
    <w:rsid w:val="00EE43F6"/>
    <w:rsid w:val="00EE47DA"/>
    <w:rsid w:val="00EE4871"/>
    <w:rsid w:val="00EE48A4"/>
    <w:rsid w:val="00EE49FF"/>
    <w:rsid w:val="00EE4A31"/>
    <w:rsid w:val="00EE4C1E"/>
    <w:rsid w:val="00EE4F0E"/>
    <w:rsid w:val="00EE50FA"/>
    <w:rsid w:val="00EE53DE"/>
    <w:rsid w:val="00EE5A54"/>
    <w:rsid w:val="00EE5AD8"/>
    <w:rsid w:val="00EE607C"/>
    <w:rsid w:val="00EE62FF"/>
    <w:rsid w:val="00EE6369"/>
    <w:rsid w:val="00EE66EC"/>
    <w:rsid w:val="00EE68A2"/>
    <w:rsid w:val="00EE69A9"/>
    <w:rsid w:val="00EE6A81"/>
    <w:rsid w:val="00EE6D9E"/>
    <w:rsid w:val="00EE6EBA"/>
    <w:rsid w:val="00EE6ED3"/>
    <w:rsid w:val="00EE6F68"/>
    <w:rsid w:val="00EE71C2"/>
    <w:rsid w:val="00EE737D"/>
    <w:rsid w:val="00EE754E"/>
    <w:rsid w:val="00EE7938"/>
    <w:rsid w:val="00EE79A1"/>
    <w:rsid w:val="00EE7C5C"/>
    <w:rsid w:val="00EE7DD9"/>
    <w:rsid w:val="00EE7F8F"/>
    <w:rsid w:val="00EF0660"/>
    <w:rsid w:val="00EF068B"/>
    <w:rsid w:val="00EF0819"/>
    <w:rsid w:val="00EF08F5"/>
    <w:rsid w:val="00EF0C93"/>
    <w:rsid w:val="00EF0ED5"/>
    <w:rsid w:val="00EF125A"/>
    <w:rsid w:val="00EF1657"/>
    <w:rsid w:val="00EF16C6"/>
    <w:rsid w:val="00EF18BD"/>
    <w:rsid w:val="00EF195C"/>
    <w:rsid w:val="00EF19A2"/>
    <w:rsid w:val="00EF19E8"/>
    <w:rsid w:val="00EF1BE6"/>
    <w:rsid w:val="00EF1D04"/>
    <w:rsid w:val="00EF1DE8"/>
    <w:rsid w:val="00EF1F45"/>
    <w:rsid w:val="00EF2155"/>
    <w:rsid w:val="00EF23A9"/>
    <w:rsid w:val="00EF2672"/>
    <w:rsid w:val="00EF2905"/>
    <w:rsid w:val="00EF2CF8"/>
    <w:rsid w:val="00EF2E8B"/>
    <w:rsid w:val="00EF2FEB"/>
    <w:rsid w:val="00EF320E"/>
    <w:rsid w:val="00EF3327"/>
    <w:rsid w:val="00EF3340"/>
    <w:rsid w:val="00EF3380"/>
    <w:rsid w:val="00EF36F2"/>
    <w:rsid w:val="00EF3894"/>
    <w:rsid w:val="00EF3A42"/>
    <w:rsid w:val="00EF3C70"/>
    <w:rsid w:val="00EF3E9A"/>
    <w:rsid w:val="00EF3F7E"/>
    <w:rsid w:val="00EF3FAF"/>
    <w:rsid w:val="00EF412E"/>
    <w:rsid w:val="00EF45AA"/>
    <w:rsid w:val="00EF46F6"/>
    <w:rsid w:val="00EF4A0C"/>
    <w:rsid w:val="00EF4A69"/>
    <w:rsid w:val="00EF4CD2"/>
    <w:rsid w:val="00EF5094"/>
    <w:rsid w:val="00EF542C"/>
    <w:rsid w:val="00EF5479"/>
    <w:rsid w:val="00EF5650"/>
    <w:rsid w:val="00EF56DC"/>
    <w:rsid w:val="00EF574C"/>
    <w:rsid w:val="00EF592E"/>
    <w:rsid w:val="00EF5A5A"/>
    <w:rsid w:val="00EF5AA9"/>
    <w:rsid w:val="00EF5ACD"/>
    <w:rsid w:val="00EF5DAB"/>
    <w:rsid w:val="00EF5E3C"/>
    <w:rsid w:val="00EF5F0E"/>
    <w:rsid w:val="00EF6024"/>
    <w:rsid w:val="00EF6048"/>
    <w:rsid w:val="00EF6117"/>
    <w:rsid w:val="00EF61B5"/>
    <w:rsid w:val="00EF63F9"/>
    <w:rsid w:val="00EF6402"/>
    <w:rsid w:val="00EF6484"/>
    <w:rsid w:val="00EF66AA"/>
    <w:rsid w:val="00EF677E"/>
    <w:rsid w:val="00EF67B1"/>
    <w:rsid w:val="00EF691D"/>
    <w:rsid w:val="00EF6A33"/>
    <w:rsid w:val="00EF6C54"/>
    <w:rsid w:val="00EF6EA0"/>
    <w:rsid w:val="00EF6EFB"/>
    <w:rsid w:val="00EF6F89"/>
    <w:rsid w:val="00EF72D1"/>
    <w:rsid w:val="00EF742E"/>
    <w:rsid w:val="00EF7464"/>
    <w:rsid w:val="00EF751B"/>
    <w:rsid w:val="00EF75DB"/>
    <w:rsid w:val="00EF763C"/>
    <w:rsid w:val="00EF7C51"/>
    <w:rsid w:val="00EF7D36"/>
    <w:rsid w:val="00EF7E03"/>
    <w:rsid w:val="00F0006E"/>
    <w:rsid w:val="00F0042C"/>
    <w:rsid w:val="00F0046F"/>
    <w:rsid w:val="00F0049B"/>
    <w:rsid w:val="00F006C1"/>
    <w:rsid w:val="00F0074B"/>
    <w:rsid w:val="00F00A7C"/>
    <w:rsid w:val="00F00B3F"/>
    <w:rsid w:val="00F00FDA"/>
    <w:rsid w:val="00F01015"/>
    <w:rsid w:val="00F01073"/>
    <w:rsid w:val="00F013EA"/>
    <w:rsid w:val="00F01496"/>
    <w:rsid w:val="00F01567"/>
    <w:rsid w:val="00F01702"/>
    <w:rsid w:val="00F01909"/>
    <w:rsid w:val="00F0196A"/>
    <w:rsid w:val="00F019CA"/>
    <w:rsid w:val="00F01CA4"/>
    <w:rsid w:val="00F01CB5"/>
    <w:rsid w:val="00F01FFA"/>
    <w:rsid w:val="00F02273"/>
    <w:rsid w:val="00F02368"/>
    <w:rsid w:val="00F02524"/>
    <w:rsid w:val="00F02807"/>
    <w:rsid w:val="00F0285C"/>
    <w:rsid w:val="00F02956"/>
    <w:rsid w:val="00F02A8F"/>
    <w:rsid w:val="00F02DB7"/>
    <w:rsid w:val="00F02DDD"/>
    <w:rsid w:val="00F02EDD"/>
    <w:rsid w:val="00F030E3"/>
    <w:rsid w:val="00F0349E"/>
    <w:rsid w:val="00F036AF"/>
    <w:rsid w:val="00F03856"/>
    <w:rsid w:val="00F0396D"/>
    <w:rsid w:val="00F039C1"/>
    <w:rsid w:val="00F03CD7"/>
    <w:rsid w:val="00F03D64"/>
    <w:rsid w:val="00F03E5C"/>
    <w:rsid w:val="00F03F13"/>
    <w:rsid w:val="00F03F89"/>
    <w:rsid w:val="00F04040"/>
    <w:rsid w:val="00F04053"/>
    <w:rsid w:val="00F040B9"/>
    <w:rsid w:val="00F0415A"/>
    <w:rsid w:val="00F0436F"/>
    <w:rsid w:val="00F043DE"/>
    <w:rsid w:val="00F04419"/>
    <w:rsid w:val="00F045EA"/>
    <w:rsid w:val="00F04802"/>
    <w:rsid w:val="00F04861"/>
    <w:rsid w:val="00F04878"/>
    <w:rsid w:val="00F04967"/>
    <w:rsid w:val="00F04CF4"/>
    <w:rsid w:val="00F04F35"/>
    <w:rsid w:val="00F05162"/>
    <w:rsid w:val="00F053BF"/>
    <w:rsid w:val="00F05448"/>
    <w:rsid w:val="00F05832"/>
    <w:rsid w:val="00F05985"/>
    <w:rsid w:val="00F05EF6"/>
    <w:rsid w:val="00F05F79"/>
    <w:rsid w:val="00F06019"/>
    <w:rsid w:val="00F060B3"/>
    <w:rsid w:val="00F0625B"/>
    <w:rsid w:val="00F06403"/>
    <w:rsid w:val="00F0642F"/>
    <w:rsid w:val="00F06812"/>
    <w:rsid w:val="00F06D66"/>
    <w:rsid w:val="00F06DBD"/>
    <w:rsid w:val="00F06E22"/>
    <w:rsid w:val="00F07063"/>
    <w:rsid w:val="00F072C3"/>
    <w:rsid w:val="00F073A6"/>
    <w:rsid w:val="00F07406"/>
    <w:rsid w:val="00F0763D"/>
    <w:rsid w:val="00F0766E"/>
    <w:rsid w:val="00F076DC"/>
    <w:rsid w:val="00F07744"/>
    <w:rsid w:val="00F07A43"/>
    <w:rsid w:val="00F07AA1"/>
    <w:rsid w:val="00F07C2A"/>
    <w:rsid w:val="00F07D13"/>
    <w:rsid w:val="00F07DDE"/>
    <w:rsid w:val="00F07DE2"/>
    <w:rsid w:val="00F07DF8"/>
    <w:rsid w:val="00F07E45"/>
    <w:rsid w:val="00F07E4D"/>
    <w:rsid w:val="00F07F60"/>
    <w:rsid w:val="00F07F8A"/>
    <w:rsid w:val="00F07FE1"/>
    <w:rsid w:val="00F10096"/>
    <w:rsid w:val="00F10239"/>
    <w:rsid w:val="00F102F6"/>
    <w:rsid w:val="00F106DD"/>
    <w:rsid w:val="00F10741"/>
    <w:rsid w:val="00F10843"/>
    <w:rsid w:val="00F108AE"/>
    <w:rsid w:val="00F1092F"/>
    <w:rsid w:val="00F10B97"/>
    <w:rsid w:val="00F10BB0"/>
    <w:rsid w:val="00F10CBE"/>
    <w:rsid w:val="00F10CD3"/>
    <w:rsid w:val="00F113DE"/>
    <w:rsid w:val="00F116D9"/>
    <w:rsid w:val="00F116F1"/>
    <w:rsid w:val="00F116FA"/>
    <w:rsid w:val="00F118F0"/>
    <w:rsid w:val="00F11A19"/>
    <w:rsid w:val="00F11DB6"/>
    <w:rsid w:val="00F11EF4"/>
    <w:rsid w:val="00F11FD6"/>
    <w:rsid w:val="00F12051"/>
    <w:rsid w:val="00F12583"/>
    <w:rsid w:val="00F12795"/>
    <w:rsid w:val="00F128F7"/>
    <w:rsid w:val="00F12936"/>
    <w:rsid w:val="00F12992"/>
    <w:rsid w:val="00F12BC9"/>
    <w:rsid w:val="00F12F4D"/>
    <w:rsid w:val="00F12FBF"/>
    <w:rsid w:val="00F130BF"/>
    <w:rsid w:val="00F13215"/>
    <w:rsid w:val="00F1324B"/>
    <w:rsid w:val="00F136E7"/>
    <w:rsid w:val="00F13A35"/>
    <w:rsid w:val="00F13AD9"/>
    <w:rsid w:val="00F1431E"/>
    <w:rsid w:val="00F143F3"/>
    <w:rsid w:val="00F1454C"/>
    <w:rsid w:val="00F14790"/>
    <w:rsid w:val="00F14B1F"/>
    <w:rsid w:val="00F14E94"/>
    <w:rsid w:val="00F14E97"/>
    <w:rsid w:val="00F14F03"/>
    <w:rsid w:val="00F15399"/>
    <w:rsid w:val="00F15471"/>
    <w:rsid w:val="00F159B3"/>
    <w:rsid w:val="00F15A61"/>
    <w:rsid w:val="00F15A8E"/>
    <w:rsid w:val="00F15C12"/>
    <w:rsid w:val="00F15D37"/>
    <w:rsid w:val="00F15FBA"/>
    <w:rsid w:val="00F160A7"/>
    <w:rsid w:val="00F162F6"/>
    <w:rsid w:val="00F162F7"/>
    <w:rsid w:val="00F16558"/>
    <w:rsid w:val="00F16663"/>
    <w:rsid w:val="00F16797"/>
    <w:rsid w:val="00F16904"/>
    <w:rsid w:val="00F16AD5"/>
    <w:rsid w:val="00F16AED"/>
    <w:rsid w:val="00F16B17"/>
    <w:rsid w:val="00F16B5F"/>
    <w:rsid w:val="00F16BA7"/>
    <w:rsid w:val="00F16CE3"/>
    <w:rsid w:val="00F16E4E"/>
    <w:rsid w:val="00F170CA"/>
    <w:rsid w:val="00F17181"/>
    <w:rsid w:val="00F171FA"/>
    <w:rsid w:val="00F173CB"/>
    <w:rsid w:val="00F1768D"/>
    <w:rsid w:val="00F17761"/>
    <w:rsid w:val="00F17772"/>
    <w:rsid w:val="00F1780A"/>
    <w:rsid w:val="00F178D3"/>
    <w:rsid w:val="00F17D8F"/>
    <w:rsid w:val="00F17DD3"/>
    <w:rsid w:val="00F17FB1"/>
    <w:rsid w:val="00F20000"/>
    <w:rsid w:val="00F200DC"/>
    <w:rsid w:val="00F2034D"/>
    <w:rsid w:val="00F20362"/>
    <w:rsid w:val="00F20433"/>
    <w:rsid w:val="00F2064A"/>
    <w:rsid w:val="00F20679"/>
    <w:rsid w:val="00F207D1"/>
    <w:rsid w:val="00F20BA2"/>
    <w:rsid w:val="00F20CD8"/>
    <w:rsid w:val="00F20D24"/>
    <w:rsid w:val="00F20D27"/>
    <w:rsid w:val="00F20F03"/>
    <w:rsid w:val="00F20F7B"/>
    <w:rsid w:val="00F210CD"/>
    <w:rsid w:val="00F211BC"/>
    <w:rsid w:val="00F21577"/>
    <w:rsid w:val="00F21A58"/>
    <w:rsid w:val="00F21C70"/>
    <w:rsid w:val="00F22062"/>
    <w:rsid w:val="00F22096"/>
    <w:rsid w:val="00F223C3"/>
    <w:rsid w:val="00F22404"/>
    <w:rsid w:val="00F2243F"/>
    <w:rsid w:val="00F22602"/>
    <w:rsid w:val="00F22671"/>
    <w:rsid w:val="00F22869"/>
    <w:rsid w:val="00F22A3B"/>
    <w:rsid w:val="00F22EB5"/>
    <w:rsid w:val="00F23039"/>
    <w:rsid w:val="00F2313F"/>
    <w:rsid w:val="00F231F8"/>
    <w:rsid w:val="00F23323"/>
    <w:rsid w:val="00F23331"/>
    <w:rsid w:val="00F236EE"/>
    <w:rsid w:val="00F23769"/>
    <w:rsid w:val="00F237BD"/>
    <w:rsid w:val="00F2392C"/>
    <w:rsid w:val="00F23A9B"/>
    <w:rsid w:val="00F23AC3"/>
    <w:rsid w:val="00F23BFA"/>
    <w:rsid w:val="00F23C22"/>
    <w:rsid w:val="00F23C30"/>
    <w:rsid w:val="00F2400E"/>
    <w:rsid w:val="00F241DA"/>
    <w:rsid w:val="00F245A6"/>
    <w:rsid w:val="00F24819"/>
    <w:rsid w:val="00F249D2"/>
    <w:rsid w:val="00F24CC7"/>
    <w:rsid w:val="00F24CEE"/>
    <w:rsid w:val="00F24CFB"/>
    <w:rsid w:val="00F24DDF"/>
    <w:rsid w:val="00F24DE6"/>
    <w:rsid w:val="00F24E13"/>
    <w:rsid w:val="00F2525E"/>
    <w:rsid w:val="00F25337"/>
    <w:rsid w:val="00F253C5"/>
    <w:rsid w:val="00F254A3"/>
    <w:rsid w:val="00F2559C"/>
    <w:rsid w:val="00F255B9"/>
    <w:rsid w:val="00F256C2"/>
    <w:rsid w:val="00F25A0C"/>
    <w:rsid w:val="00F25A9D"/>
    <w:rsid w:val="00F25B0B"/>
    <w:rsid w:val="00F25C1F"/>
    <w:rsid w:val="00F25CF6"/>
    <w:rsid w:val="00F25E66"/>
    <w:rsid w:val="00F25F68"/>
    <w:rsid w:val="00F2630E"/>
    <w:rsid w:val="00F26577"/>
    <w:rsid w:val="00F265AA"/>
    <w:rsid w:val="00F2689D"/>
    <w:rsid w:val="00F26B81"/>
    <w:rsid w:val="00F2701A"/>
    <w:rsid w:val="00F27190"/>
    <w:rsid w:val="00F271FF"/>
    <w:rsid w:val="00F27352"/>
    <w:rsid w:val="00F2737A"/>
    <w:rsid w:val="00F27705"/>
    <w:rsid w:val="00F2771F"/>
    <w:rsid w:val="00F27A3E"/>
    <w:rsid w:val="00F27C81"/>
    <w:rsid w:val="00F27C92"/>
    <w:rsid w:val="00F27CF7"/>
    <w:rsid w:val="00F3013A"/>
    <w:rsid w:val="00F30272"/>
    <w:rsid w:val="00F3034E"/>
    <w:rsid w:val="00F30357"/>
    <w:rsid w:val="00F303CD"/>
    <w:rsid w:val="00F3063E"/>
    <w:rsid w:val="00F306F4"/>
    <w:rsid w:val="00F30AFD"/>
    <w:rsid w:val="00F30FEF"/>
    <w:rsid w:val="00F3117B"/>
    <w:rsid w:val="00F313C5"/>
    <w:rsid w:val="00F31408"/>
    <w:rsid w:val="00F3148D"/>
    <w:rsid w:val="00F314A2"/>
    <w:rsid w:val="00F31A98"/>
    <w:rsid w:val="00F31C4D"/>
    <w:rsid w:val="00F31C9C"/>
    <w:rsid w:val="00F31D6D"/>
    <w:rsid w:val="00F31DC8"/>
    <w:rsid w:val="00F3209F"/>
    <w:rsid w:val="00F32107"/>
    <w:rsid w:val="00F325A7"/>
    <w:rsid w:val="00F326F9"/>
    <w:rsid w:val="00F3299E"/>
    <w:rsid w:val="00F329C9"/>
    <w:rsid w:val="00F329D8"/>
    <w:rsid w:val="00F32B33"/>
    <w:rsid w:val="00F32B4E"/>
    <w:rsid w:val="00F32B84"/>
    <w:rsid w:val="00F32C8A"/>
    <w:rsid w:val="00F3334C"/>
    <w:rsid w:val="00F33855"/>
    <w:rsid w:val="00F338F4"/>
    <w:rsid w:val="00F33D2D"/>
    <w:rsid w:val="00F33E5C"/>
    <w:rsid w:val="00F33E72"/>
    <w:rsid w:val="00F33F56"/>
    <w:rsid w:val="00F3405C"/>
    <w:rsid w:val="00F3407A"/>
    <w:rsid w:val="00F34104"/>
    <w:rsid w:val="00F3420D"/>
    <w:rsid w:val="00F34296"/>
    <w:rsid w:val="00F342DE"/>
    <w:rsid w:val="00F3446C"/>
    <w:rsid w:val="00F344ED"/>
    <w:rsid w:val="00F345B0"/>
    <w:rsid w:val="00F346C5"/>
    <w:rsid w:val="00F34BDD"/>
    <w:rsid w:val="00F34CCB"/>
    <w:rsid w:val="00F34D01"/>
    <w:rsid w:val="00F34DC3"/>
    <w:rsid w:val="00F34DDB"/>
    <w:rsid w:val="00F34E29"/>
    <w:rsid w:val="00F34E60"/>
    <w:rsid w:val="00F34EEF"/>
    <w:rsid w:val="00F35229"/>
    <w:rsid w:val="00F3528F"/>
    <w:rsid w:val="00F35444"/>
    <w:rsid w:val="00F35467"/>
    <w:rsid w:val="00F35500"/>
    <w:rsid w:val="00F3557D"/>
    <w:rsid w:val="00F358A9"/>
    <w:rsid w:val="00F35A9A"/>
    <w:rsid w:val="00F35B3D"/>
    <w:rsid w:val="00F35D9B"/>
    <w:rsid w:val="00F3611B"/>
    <w:rsid w:val="00F3643D"/>
    <w:rsid w:val="00F365EC"/>
    <w:rsid w:val="00F36637"/>
    <w:rsid w:val="00F367BE"/>
    <w:rsid w:val="00F36A5D"/>
    <w:rsid w:val="00F36AEE"/>
    <w:rsid w:val="00F36B96"/>
    <w:rsid w:val="00F36BDC"/>
    <w:rsid w:val="00F36C54"/>
    <w:rsid w:val="00F36CF5"/>
    <w:rsid w:val="00F36D21"/>
    <w:rsid w:val="00F36DFA"/>
    <w:rsid w:val="00F36EE2"/>
    <w:rsid w:val="00F37019"/>
    <w:rsid w:val="00F3712E"/>
    <w:rsid w:val="00F37252"/>
    <w:rsid w:val="00F374F5"/>
    <w:rsid w:val="00F3751D"/>
    <w:rsid w:val="00F37973"/>
    <w:rsid w:val="00F37D5E"/>
    <w:rsid w:val="00F37D61"/>
    <w:rsid w:val="00F40081"/>
    <w:rsid w:val="00F4012E"/>
    <w:rsid w:val="00F401CB"/>
    <w:rsid w:val="00F404D6"/>
    <w:rsid w:val="00F4054D"/>
    <w:rsid w:val="00F40612"/>
    <w:rsid w:val="00F406A2"/>
    <w:rsid w:val="00F40731"/>
    <w:rsid w:val="00F40A48"/>
    <w:rsid w:val="00F40A60"/>
    <w:rsid w:val="00F40BEE"/>
    <w:rsid w:val="00F40D2E"/>
    <w:rsid w:val="00F410D7"/>
    <w:rsid w:val="00F41210"/>
    <w:rsid w:val="00F41314"/>
    <w:rsid w:val="00F414AF"/>
    <w:rsid w:val="00F41566"/>
    <w:rsid w:val="00F417EA"/>
    <w:rsid w:val="00F419A6"/>
    <w:rsid w:val="00F41B26"/>
    <w:rsid w:val="00F420D9"/>
    <w:rsid w:val="00F42343"/>
    <w:rsid w:val="00F4243A"/>
    <w:rsid w:val="00F424C1"/>
    <w:rsid w:val="00F42A75"/>
    <w:rsid w:val="00F42CE1"/>
    <w:rsid w:val="00F42E34"/>
    <w:rsid w:val="00F42FC3"/>
    <w:rsid w:val="00F4328B"/>
    <w:rsid w:val="00F43363"/>
    <w:rsid w:val="00F4348A"/>
    <w:rsid w:val="00F43621"/>
    <w:rsid w:val="00F4377F"/>
    <w:rsid w:val="00F43817"/>
    <w:rsid w:val="00F43822"/>
    <w:rsid w:val="00F43903"/>
    <w:rsid w:val="00F439E7"/>
    <w:rsid w:val="00F43AEB"/>
    <w:rsid w:val="00F43BFE"/>
    <w:rsid w:val="00F43C8C"/>
    <w:rsid w:val="00F43CDC"/>
    <w:rsid w:val="00F43EDD"/>
    <w:rsid w:val="00F43F66"/>
    <w:rsid w:val="00F4420F"/>
    <w:rsid w:val="00F44322"/>
    <w:rsid w:val="00F44441"/>
    <w:rsid w:val="00F449CB"/>
    <w:rsid w:val="00F44A9F"/>
    <w:rsid w:val="00F44AE1"/>
    <w:rsid w:val="00F44C65"/>
    <w:rsid w:val="00F44E15"/>
    <w:rsid w:val="00F44EB8"/>
    <w:rsid w:val="00F450B4"/>
    <w:rsid w:val="00F45136"/>
    <w:rsid w:val="00F45155"/>
    <w:rsid w:val="00F45411"/>
    <w:rsid w:val="00F455A3"/>
    <w:rsid w:val="00F45694"/>
    <w:rsid w:val="00F45957"/>
    <w:rsid w:val="00F45ABB"/>
    <w:rsid w:val="00F45C72"/>
    <w:rsid w:val="00F45F4E"/>
    <w:rsid w:val="00F46220"/>
    <w:rsid w:val="00F462B5"/>
    <w:rsid w:val="00F46340"/>
    <w:rsid w:val="00F466B7"/>
    <w:rsid w:val="00F46854"/>
    <w:rsid w:val="00F4686F"/>
    <w:rsid w:val="00F46909"/>
    <w:rsid w:val="00F46C0E"/>
    <w:rsid w:val="00F46F27"/>
    <w:rsid w:val="00F46F5E"/>
    <w:rsid w:val="00F4742B"/>
    <w:rsid w:val="00F474EF"/>
    <w:rsid w:val="00F47614"/>
    <w:rsid w:val="00F476DE"/>
    <w:rsid w:val="00F477FA"/>
    <w:rsid w:val="00F478D5"/>
    <w:rsid w:val="00F4798A"/>
    <w:rsid w:val="00F47A2C"/>
    <w:rsid w:val="00F47ADE"/>
    <w:rsid w:val="00F47CBF"/>
    <w:rsid w:val="00F47FBC"/>
    <w:rsid w:val="00F50080"/>
    <w:rsid w:val="00F50089"/>
    <w:rsid w:val="00F501B2"/>
    <w:rsid w:val="00F5025B"/>
    <w:rsid w:val="00F50631"/>
    <w:rsid w:val="00F508CF"/>
    <w:rsid w:val="00F508DE"/>
    <w:rsid w:val="00F5094A"/>
    <w:rsid w:val="00F50A95"/>
    <w:rsid w:val="00F50B8B"/>
    <w:rsid w:val="00F50CC3"/>
    <w:rsid w:val="00F50E46"/>
    <w:rsid w:val="00F5127D"/>
    <w:rsid w:val="00F5149B"/>
    <w:rsid w:val="00F514E0"/>
    <w:rsid w:val="00F51572"/>
    <w:rsid w:val="00F5157B"/>
    <w:rsid w:val="00F517C1"/>
    <w:rsid w:val="00F51873"/>
    <w:rsid w:val="00F518C8"/>
    <w:rsid w:val="00F51A0F"/>
    <w:rsid w:val="00F51BB1"/>
    <w:rsid w:val="00F51BDA"/>
    <w:rsid w:val="00F51E4F"/>
    <w:rsid w:val="00F51E72"/>
    <w:rsid w:val="00F52003"/>
    <w:rsid w:val="00F5204D"/>
    <w:rsid w:val="00F5207E"/>
    <w:rsid w:val="00F522B3"/>
    <w:rsid w:val="00F528CF"/>
    <w:rsid w:val="00F5293D"/>
    <w:rsid w:val="00F52A46"/>
    <w:rsid w:val="00F52FC7"/>
    <w:rsid w:val="00F5304A"/>
    <w:rsid w:val="00F53100"/>
    <w:rsid w:val="00F53682"/>
    <w:rsid w:val="00F53692"/>
    <w:rsid w:val="00F536B8"/>
    <w:rsid w:val="00F5373A"/>
    <w:rsid w:val="00F5377A"/>
    <w:rsid w:val="00F537A5"/>
    <w:rsid w:val="00F53A4D"/>
    <w:rsid w:val="00F53AEE"/>
    <w:rsid w:val="00F53BF6"/>
    <w:rsid w:val="00F53C4C"/>
    <w:rsid w:val="00F53D72"/>
    <w:rsid w:val="00F53E35"/>
    <w:rsid w:val="00F53E96"/>
    <w:rsid w:val="00F53FA2"/>
    <w:rsid w:val="00F543F3"/>
    <w:rsid w:val="00F54499"/>
    <w:rsid w:val="00F54797"/>
    <w:rsid w:val="00F547E7"/>
    <w:rsid w:val="00F54999"/>
    <w:rsid w:val="00F549E1"/>
    <w:rsid w:val="00F54B03"/>
    <w:rsid w:val="00F54B0D"/>
    <w:rsid w:val="00F54CCE"/>
    <w:rsid w:val="00F54EB8"/>
    <w:rsid w:val="00F551BB"/>
    <w:rsid w:val="00F553D7"/>
    <w:rsid w:val="00F554E9"/>
    <w:rsid w:val="00F5559C"/>
    <w:rsid w:val="00F5584B"/>
    <w:rsid w:val="00F559E2"/>
    <w:rsid w:val="00F55C2C"/>
    <w:rsid w:val="00F55C60"/>
    <w:rsid w:val="00F55CC1"/>
    <w:rsid w:val="00F55CD5"/>
    <w:rsid w:val="00F56243"/>
    <w:rsid w:val="00F565A4"/>
    <w:rsid w:val="00F5660E"/>
    <w:rsid w:val="00F56750"/>
    <w:rsid w:val="00F56771"/>
    <w:rsid w:val="00F56827"/>
    <w:rsid w:val="00F56868"/>
    <w:rsid w:val="00F5687B"/>
    <w:rsid w:val="00F56BDD"/>
    <w:rsid w:val="00F56E02"/>
    <w:rsid w:val="00F576AA"/>
    <w:rsid w:val="00F578B1"/>
    <w:rsid w:val="00F57A71"/>
    <w:rsid w:val="00F57C1D"/>
    <w:rsid w:val="00F57E3E"/>
    <w:rsid w:val="00F57E41"/>
    <w:rsid w:val="00F57E7C"/>
    <w:rsid w:val="00F604A8"/>
    <w:rsid w:val="00F604B8"/>
    <w:rsid w:val="00F608C8"/>
    <w:rsid w:val="00F60A5F"/>
    <w:rsid w:val="00F60AD2"/>
    <w:rsid w:val="00F60E68"/>
    <w:rsid w:val="00F60E6E"/>
    <w:rsid w:val="00F612EA"/>
    <w:rsid w:val="00F612F7"/>
    <w:rsid w:val="00F6147F"/>
    <w:rsid w:val="00F616A1"/>
    <w:rsid w:val="00F617C0"/>
    <w:rsid w:val="00F61AC1"/>
    <w:rsid w:val="00F61B27"/>
    <w:rsid w:val="00F61C4E"/>
    <w:rsid w:val="00F61DED"/>
    <w:rsid w:val="00F61E02"/>
    <w:rsid w:val="00F61E98"/>
    <w:rsid w:val="00F61EF1"/>
    <w:rsid w:val="00F6205E"/>
    <w:rsid w:val="00F6236E"/>
    <w:rsid w:val="00F6252B"/>
    <w:rsid w:val="00F6259A"/>
    <w:rsid w:val="00F626FC"/>
    <w:rsid w:val="00F62875"/>
    <w:rsid w:val="00F62CA6"/>
    <w:rsid w:val="00F62D46"/>
    <w:rsid w:val="00F6314E"/>
    <w:rsid w:val="00F63208"/>
    <w:rsid w:val="00F63261"/>
    <w:rsid w:val="00F633B8"/>
    <w:rsid w:val="00F633DA"/>
    <w:rsid w:val="00F6353E"/>
    <w:rsid w:val="00F63892"/>
    <w:rsid w:val="00F6396A"/>
    <w:rsid w:val="00F63A4C"/>
    <w:rsid w:val="00F63C10"/>
    <w:rsid w:val="00F63CDA"/>
    <w:rsid w:val="00F63F68"/>
    <w:rsid w:val="00F642C4"/>
    <w:rsid w:val="00F64413"/>
    <w:rsid w:val="00F6446F"/>
    <w:rsid w:val="00F64750"/>
    <w:rsid w:val="00F6484E"/>
    <w:rsid w:val="00F649A7"/>
    <w:rsid w:val="00F64C46"/>
    <w:rsid w:val="00F64EA9"/>
    <w:rsid w:val="00F64EC5"/>
    <w:rsid w:val="00F651CB"/>
    <w:rsid w:val="00F65203"/>
    <w:rsid w:val="00F65216"/>
    <w:rsid w:val="00F654E4"/>
    <w:rsid w:val="00F656B7"/>
    <w:rsid w:val="00F658E0"/>
    <w:rsid w:val="00F658E7"/>
    <w:rsid w:val="00F65A90"/>
    <w:rsid w:val="00F65A9A"/>
    <w:rsid w:val="00F65D5D"/>
    <w:rsid w:val="00F65DF6"/>
    <w:rsid w:val="00F66207"/>
    <w:rsid w:val="00F6632D"/>
    <w:rsid w:val="00F66375"/>
    <w:rsid w:val="00F665CB"/>
    <w:rsid w:val="00F6668C"/>
    <w:rsid w:val="00F667AD"/>
    <w:rsid w:val="00F66861"/>
    <w:rsid w:val="00F6695A"/>
    <w:rsid w:val="00F66AD3"/>
    <w:rsid w:val="00F66D79"/>
    <w:rsid w:val="00F66EE8"/>
    <w:rsid w:val="00F67057"/>
    <w:rsid w:val="00F6706E"/>
    <w:rsid w:val="00F67109"/>
    <w:rsid w:val="00F674D1"/>
    <w:rsid w:val="00F67593"/>
    <w:rsid w:val="00F67631"/>
    <w:rsid w:val="00F6763D"/>
    <w:rsid w:val="00F6778D"/>
    <w:rsid w:val="00F67955"/>
    <w:rsid w:val="00F67C8D"/>
    <w:rsid w:val="00F67CF9"/>
    <w:rsid w:val="00F67D94"/>
    <w:rsid w:val="00F67E08"/>
    <w:rsid w:val="00F70190"/>
    <w:rsid w:val="00F702F4"/>
    <w:rsid w:val="00F7063E"/>
    <w:rsid w:val="00F7072D"/>
    <w:rsid w:val="00F707F1"/>
    <w:rsid w:val="00F7088E"/>
    <w:rsid w:val="00F70AF1"/>
    <w:rsid w:val="00F70C7D"/>
    <w:rsid w:val="00F70D76"/>
    <w:rsid w:val="00F70E44"/>
    <w:rsid w:val="00F70FE5"/>
    <w:rsid w:val="00F70FF4"/>
    <w:rsid w:val="00F7106D"/>
    <w:rsid w:val="00F710ED"/>
    <w:rsid w:val="00F7141C"/>
    <w:rsid w:val="00F71453"/>
    <w:rsid w:val="00F71477"/>
    <w:rsid w:val="00F71596"/>
    <w:rsid w:val="00F7178D"/>
    <w:rsid w:val="00F71835"/>
    <w:rsid w:val="00F71B29"/>
    <w:rsid w:val="00F71E9C"/>
    <w:rsid w:val="00F71F72"/>
    <w:rsid w:val="00F720C3"/>
    <w:rsid w:val="00F7231B"/>
    <w:rsid w:val="00F723CE"/>
    <w:rsid w:val="00F724BC"/>
    <w:rsid w:val="00F72696"/>
    <w:rsid w:val="00F7273D"/>
    <w:rsid w:val="00F72AE0"/>
    <w:rsid w:val="00F72B02"/>
    <w:rsid w:val="00F72BA9"/>
    <w:rsid w:val="00F72CE0"/>
    <w:rsid w:val="00F72D60"/>
    <w:rsid w:val="00F72FF3"/>
    <w:rsid w:val="00F7317B"/>
    <w:rsid w:val="00F731C7"/>
    <w:rsid w:val="00F733F2"/>
    <w:rsid w:val="00F734FF"/>
    <w:rsid w:val="00F736A9"/>
    <w:rsid w:val="00F737D3"/>
    <w:rsid w:val="00F739A4"/>
    <w:rsid w:val="00F73D61"/>
    <w:rsid w:val="00F73E6B"/>
    <w:rsid w:val="00F7417B"/>
    <w:rsid w:val="00F7425C"/>
    <w:rsid w:val="00F7427D"/>
    <w:rsid w:val="00F74517"/>
    <w:rsid w:val="00F7460B"/>
    <w:rsid w:val="00F74631"/>
    <w:rsid w:val="00F746CE"/>
    <w:rsid w:val="00F74785"/>
    <w:rsid w:val="00F74C05"/>
    <w:rsid w:val="00F74C5F"/>
    <w:rsid w:val="00F74CE0"/>
    <w:rsid w:val="00F74D28"/>
    <w:rsid w:val="00F75112"/>
    <w:rsid w:val="00F75238"/>
    <w:rsid w:val="00F7524E"/>
    <w:rsid w:val="00F75304"/>
    <w:rsid w:val="00F7546A"/>
    <w:rsid w:val="00F754D2"/>
    <w:rsid w:val="00F75530"/>
    <w:rsid w:val="00F755A8"/>
    <w:rsid w:val="00F757C9"/>
    <w:rsid w:val="00F759E1"/>
    <w:rsid w:val="00F75E04"/>
    <w:rsid w:val="00F75E31"/>
    <w:rsid w:val="00F75F3A"/>
    <w:rsid w:val="00F76041"/>
    <w:rsid w:val="00F7612A"/>
    <w:rsid w:val="00F7614F"/>
    <w:rsid w:val="00F76241"/>
    <w:rsid w:val="00F76332"/>
    <w:rsid w:val="00F764C2"/>
    <w:rsid w:val="00F76518"/>
    <w:rsid w:val="00F7675E"/>
    <w:rsid w:val="00F76ED6"/>
    <w:rsid w:val="00F76EE1"/>
    <w:rsid w:val="00F76FCD"/>
    <w:rsid w:val="00F7700D"/>
    <w:rsid w:val="00F77027"/>
    <w:rsid w:val="00F770BE"/>
    <w:rsid w:val="00F7729D"/>
    <w:rsid w:val="00F772C1"/>
    <w:rsid w:val="00F774BB"/>
    <w:rsid w:val="00F77563"/>
    <w:rsid w:val="00F775B9"/>
    <w:rsid w:val="00F7765C"/>
    <w:rsid w:val="00F776BA"/>
    <w:rsid w:val="00F77723"/>
    <w:rsid w:val="00F77749"/>
    <w:rsid w:val="00F77762"/>
    <w:rsid w:val="00F778A2"/>
    <w:rsid w:val="00F77B7D"/>
    <w:rsid w:val="00F77DAC"/>
    <w:rsid w:val="00F77E21"/>
    <w:rsid w:val="00F77E89"/>
    <w:rsid w:val="00F80011"/>
    <w:rsid w:val="00F80264"/>
    <w:rsid w:val="00F80317"/>
    <w:rsid w:val="00F8037F"/>
    <w:rsid w:val="00F804EE"/>
    <w:rsid w:val="00F80819"/>
    <w:rsid w:val="00F80B35"/>
    <w:rsid w:val="00F80B3D"/>
    <w:rsid w:val="00F80C96"/>
    <w:rsid w:val="00F80E0D"/>
    <w:rsid w:val="00F81224"/>
    <w:rsid w:val="00F81571"/>
    <w:rsid w:val="00F8192C"/>
    <w:rsid w:val="00F81C83"/>
    <w:rsid w:val="00F81F3F"/>
    <w:rsid w:val="00F820D9"/>
    <w:rsid w:val="00F821E1"/>
    <w:rsid w:val="00F82370"/>
    <w:rsid w:val="00F823EF"/>
    <w:rsid w:val="00F824B1"/>
    <w:rsid w:val="00F826C8"/>
    <w:rsid w:val="00F82ADF"/>
    <w:rsid w:val="00F82B48"/>
    <w:rsid w:val="00F82C30"/>
    <w:rsid w:val="00F82DC4"/>
    <w:rsid w:val="00F82DD4"/>
    <w:rsid w:val="00F82DEA"/>
    <w:rsid w:val="00F82F23"/>
    <w:rsid w:val="00F8304A"/>
    <w:rsid w:val="00F83377"/>
    <w:rsid w:val="00F83420"/>
    <w:rsid w:val="00F83464"/>
    <w:rsid w:val="00F8349D"/>
    <w:rsid w:val="00F83569"/>
    <w:rsid w:val="00F8357B"/>
    <w:rsid w:val="00F836DD"/>
    <w:rsid w:val="00F8370C"/>
    <w:rsid w:val="00F83A41"/>
    <w:rsid w:val="00F83B22"/>
    <w:rsid w:val="00F83C4C"/>
    <w:rsid w:val="00F83DE3"/>
    <w:rsid w:val="00F83E18"/>
    <w:rsid w:val="00F83E91"/>
    <w:rsid w:val="00F83F3E"/>
    <w:rsid w:val="00F83F5E"/>
    <w:rsid w:val="00F84227"/>
    <w:rsid w:val="00F84512"/>
    <w:rsid w:val="00F846D4"/>
    <w:rsid w:val="00F84875"/>
    <w:rsid w:val="00F84A8A"/>
    <w:rsid w:val="00F84AE4"/>
    <w:rsid w:val="00F84BF7"/>
    <w:rsid w:val="00F84D60"/>
    <w:rsid w:val="00F84DD1"/>
    <w:rsid w:val="00F84DE5"/>
    <w:rsid w:val="00F850A7"/>
    <w:rsid w:val="00F85629"/>
    <w:rsid w:val="00F8568E"/>
    <w:rsid w:val="00F85D89"/>
    <w:rsid w:val="00F85F56"/>
    <w:rsid w:val="00F85FEE"/>
    <w:rsid w:val="00F861FC"/>
    <w:rsid w:val="00F865D0"/>
    <w:rsid w:val="00F865E8"/>
    <w:rsid w:val="00F86661"/>
    <w:rsid w:val="00F86823"/>
    <w:rsid w:val="00F868D1"/>
    <w:rsid w:val="00F86E26"/>
    <w:rsid w:val="00F86E71"/>
    <w:rsid w:val="00F87157"/>
    <w:rsid w:val="00F8719B"/>
    <w:rsid w:val="00F8738C"/>
    <w:rsid w:val="00F8739D"/>
    <w:rsid w:val="00F87559"/>
    <w:rsid w:val="00F8757E"/>
    <w:rsid w:val="00F87611"/>
    <w:rsid w:val="00F87697"/>
    <w:rsid w:val="00F878AD"/>
    <w:rsid w:val="00F878EF"/>
    <w:rsid w:val="00F87A69"/>
    <w:rsid w:val="00F87B62"/>
    <w:rsid w:val="00F87BE5"/>
    <w:rsid w:val="00F87C1D"/>
    <w:rsid w:val="00F87E0A"/>
    <w:rsid w:val="00F87E0B"/>
    <w:rsid w:val="00F87E2A"/>
    <w:rsid w:val="00F87E2B"/>
    <w:rsid w:val="00F87E41"/>
    <w:rsid w:val="00F87F8C"/>
    <w:rsid w:val="00F9008E"/>
    <w:rsid w:val="00F900ED"/>
    <w:rsid w:val="00F90278"/>
    <w:rsid w:val="00F90349"/>
    <w:rsid w:val="00F9034B"/>
    <w:rsid w:val="00F9035D"/>
    <w:rsid w:val="00F903EC"/>
    <w:rsid w:val="00F9057B"/>
    <w:rsid w:val="00F9057E"/>
    <w:rsid w:val="00F9063C"/>
    <w:rsid w:val="00F90721"/>
    <w:rsid w:val="00F90752"/>
    <w:rsid w:val="00F907E0"/>
    <w:rsid w:val="00F90980"/>
    <w:rsid w:val="00F90A85"/>
    <w:rsid w:val="00F90B08"/>
    <w:rsid w:val="00F90C89"/>
    <w:rsid w:val="00F911ED"/>
    <w:rsid w:val="00F9123C"/>
    <w:rsid w:val="00F913D1"/>
    <w:rsid w:val="00F915DA"/>
    <w:rsid w:val="00F9161A"/>
    <w:rsid w:val="00F91774"/>
    <w:rsid w:val="00F917BB"/>
    <w:rsid w:val="00F917FE"/>
    <w:rsid w:val="00F91874"/>
    <w:rsid w:val="00F91C0C"/>
    <w:rsid w:val="00F91E74"/>
    <w:rsid w:val="00F9209D"/>
    <w:rsid w:val="00F9236F"/>
    <w:rsid w:val="00F924A9"/>
    <w:rsid w:val="00F927EC"/>
    <w:rsid w:val="00F92930"/>
    <w:rsid w:val="00F92D13"/>
    <w:rsid w:val="00F92E17"/>
    <w:rsid w:val="00F92E92"/>
    <w:rsid w:val="00F930C4"/>
    <w:rsid w:val="00F93385"/>
    <w:rsid w:val="00F937B1"/>
    <w:rsid w:val="00F9392B"/>
    <w:rsid w:val="00F93AD8"/>
    <w:rsid w:val="00F93D01"/>
    <w:rsid w:val="00F93E01"/>
    <w:rsid w:val="00F93E17"/>
    <w:rsid w:val="00F93EB5"/>
    <w:rsid w:val="00F93F01"/>
    <w:rsid w:val="00F93F42"/>
    <w:rsid w:val="00F93F93"/>
    <w:rsid w:val="00F93FB8"/>
    <w:rsid w:val="00F9420F"/>
    <w:rsid w:val="00F94263"/>
    <w:rsid w:val="00F942D3"/>
    <w:rsid w:val="00F943AB"/>
    <w:rsid w:val="00F943F0"/>
    <w:rsid w:val="00F94441"/>
    <w:rsid w:val="00F94445"/>
    <w:rsid w:val="00F944D6"/>
    <w:rsid w:val="00F945AF"/>
    <w:rsid w:val="00F94609"/>
    <w:rsid w:val="00F94698"/>
    <w:rsid w:val="00F946F0"/>
    <w:rsid w:val="00F94796"/>
    <w:rsid w:val="00F948A4"/>
    <w:rsid w:val="00F948AE"/>
    <w:rsid w:val="00F949CF"/>
    <w:rsid w:val="00F94C6A"/>
    <w:rsid w:val="00F94D13"/>
    <w:rsid w:val="00F94EB6"/>
    <w:rsid w:val="00F94F89"/>
    <w:rsid w:val="00F95151"/>
    <w:rsid w:val="00F95267"/>
    <w:rsid w:val="00F952A7"/>
    <w:rsid w:val="00F9581B"/>
    <w:rsid w:val="00F9598D"/>
    <w:rsid w:val="00F95C7F"/>
    <w:rsid w:val="00F95CF1"/>
    <w:rsid w:val="00F95ED8"/>
    <w:rsid w:val="00F95F1C"/>
    <w:rsid w:val="00F9615D"/>
    <w:rsid w:val="00F961C4"/>
    <w:rsid w:val="00F96378"/>
    <w:rsid w:val="00F963A9"/>
    <w:rsid w:val="00F963B9"/>
    <w:rsid w:val="00F96607"/>
    <w:rsid w:val="00F9680D"/>
    <w:rsid w:val="00F9682E"/>
    <w:rsid w:val="00F969D2"/>
    <w:rsid w:val="00F96C92"/>
    <w:rsid w:val="00F96CF8"/>
    <w:rsid w:val="00F96D26"/>
    <w:rsid w:val="00F96D46"/>
    <w:rsid w:val="00F96E39"/>
    <w:rsid w:val="00F96F78"/>
    <w:rsid w:val="00F96FB7"/>
    <w:rsid w:val="00F971B9"/>
    <w:rsid w:val="00F975CA"/>
    <w:rsid w:val="00F976BE"/>
    <w:rsid w:val="00F97878"/>
    <w:rsid w:val="00F978B2"/>
    <w:rsid w:val="00F97981"/>
    <w:rsid w:val="00F97996"/>
    <w:rsid w:val="00F97F29"/>
    <w:rsid w:val="00FA002F"/>
    <w:rsid w:val="00FA0480"/>
    <w:rsid w:val="00FA04B9"/>
    <w:rsid w:val="00FA053D"/>
    <w:rsid w:val="00FA0585"/>
    <w:rsid w:val="00FA0709"/>
    <w:rsid w:val="00FA07D8"/>
    <w:rsid w:val="00FA0941"/>
    <w:rsid w:val="00FA0BB4"/>
    <w:rsid w:val="00FA0C0D"/>
    <w:rsid w:val="00FA0F00"/>
    <w:rsid w:val="00FA1076"/>
    <w:rsid w:val="00FA1194"/>
    <w:rsid w:val="00FA1574"/>
    <w:rsid w:val="00FA15AC"/>
    <w:rsid w:val="00FA176A"/>
    <w:rsid w:val="00FA17E1"/>
    <w:rsid w:val="00FA19DB"/>
    <w:rsid w:val="00FA1DEB"/>
    <w:rsid w:val="00FA1EA6"/>
    <w:rsid w:val="00FA1EC4"/>
    <w:rsid w:val="00FA2098"/>
    <w:rsid w:val="00FA20F8"/>
    <w:rsid w:val="00FA2154"/>
    <w:rsid w:val="00FA2170"/>
    <w:rsid w:val="00FA2197"/>
    <w:rsid w:val="00FA2248"/>
    <w:rsid w:val="00FA224B"/>
    <w:rsid w:val="00FA2498"/>
    <w:rsid w:val="00FA249C"/>
    <w:rsid w:val="00FA24E1"/>
    <w:rsid w:val="00FA2579"/>
    <w:rsid w:val="00FA2581"/>
    <w:rsid w:val="00FA26F3"/>
    <w:rsid w:val="00FA272A"/>
    <w:rsid w:val="00FA27B9"/>
    <w:rsid w:val="00FA2868"/>
    <w:rsid w:val="00FA29D4"/>
    <w:rsid w:val="00FA2C67"/>
    <w:rsid w:val="00FA2D33"/>
    <w:rsid w:val="00FA323E"/>
    <w:rsid w:val="00FA3330"/>
    <w:rsid w:val="00FA3496"/>
    <w:rsid w:val="00FA34D5"/>
    <w:rsid w:val="00FA3565"/>
    <w:rsid w:val="00FA35F8"/>
    <w:rsid w:val="00FA3783"/>
    <w:rsid w:val="00FA3880"/>
    <w:rsid w:val="00FA3B5F"/>
    <w:rsid w:val="00FA3DDE"/>
    <w:rsid w:val="00FA3E4E"/>
    <w:rsid w:val="00FA3F4F"/>
    <w:rsid w:val="00FA4013"/>
    <w:rsid w:val="00FA4181"/>
    <w:rsid w:val="00FA4193"/>
    <w:rsid w:val="00FA4285"/>
    <w:rsid w:val="00FA42D1"/>
    <w:rsid w:val="00FA42DD"/>
    <w:rsid w:val="00FA4360"/>
    <w:rsid w:val="00FA4444"/>
    <w:rsid w:val="00FA487E"/>
    <w:rsid w:val="00FA4B3B"/>
    <w:rsid w:val="00FA4BD4"/>
    <w:rsid w:val="00FA4C5A"/>
    <w:rsid w:val="00FA4C99"/>
    <w:rsid w:val="00FA4CBC"/>
    <w:rsid w:val="00FA4D21"/>
    <w:rsid w:val="00FA4E83"/>
    <w:rsid w:val="00FA5153"/>
    <w:rsid w:val="00FA51A8"/>
    <w:rsid w:val="00FA5468"/>
    <w:rsid w:val="00FA54AD"/>
    <w:rsid w:val="00FA580E"/>
    <w:rsid w:val="00FA5923"/>
    <w:rsid w:val="00FA5AFE"/>
    <w:rsid w:val="00FA5BAC"/>
    <w:rsid w:val="00FA5CEE"/>
    <w:rsid w:val="00FA5F93"/>
    <w:rsid w:val="00FA6218"/>
    <w:rsid w:val="00FA6469"/>
    <w:rsid w:val="00FA64A8"/>
    <w:rsid w:val="00FA6508"/>
    <w:rsid w:val="00FA6592"/>
    <w:rsid w:val="00FA67B0"/>
    <w:rsid w:val="00FA67E7"/>
    <w:rsid w:val="00FA6AAF"/>
    <w:rsid w:val="00FA6B71"/>
    <w:rsid w:val="00FA6CA4"/>
    <w:rsid w:val="00FA6CB3"/>
    <w:rsid w:val="00FA6DC9"/>
    <w:rsid w:val="00FA6DFE"/>
    <w:rsid w:val="00FA7007"/>
    <w:rsid w:val="00FA7312"/>
    <w:rsid w:val="00FA76BA"/>
    <w:rsid w:val="00FA7846"/>
    <w:rsid w:val="00FA785F"/>
    <w:rsid w:val="00FA7A7D"/>
    <w:rsid w:val="00FA7AE6"/>
    <w:rsid w:val="00FA7B38"/>
    <w:rsid w:val="00FA7C92"/>
    <w:rsid w:val="00FA7FD9"/>
    <w:rsid w:val="00FB044A"/>
    <w:rsid w:val="00FB0885"/>
    <w:rsid w:val="00FB0BE8"/>
    <w:rsid w:val="00FB0C40"/>
    <w:rsid w:val="00FB100B"/>
    <w:rsid w:val="00FB11A5"/>
    <w:rsid w:val="00FB11D5"/>
    <w:rsid w:val="00FB1320"/>
    <w:rsid w:val="00FB1453"/>
    <w:rsid w:val="00FB1500"/>
    <w:rsid w:val="00FB159D"/>
    <w:rsid w:val="00FB17FA"/>
    <w:rsid w:val="00FB18BE"/>
    <w:rsid w:val="00FB1904"/>
    <w:rsid w:val="00FB194F"/>
    <w:rsid w:val="00FB1B28"/>
    <w:rsid w:val="00FB1BA6"/>
    <w:rsid w:val="00FB1C1D"/>
    <w:rsid w:val="00FB1EA9"/>
    <w:rsid w:val="00FB1ED1"/>
    <w:rsid w:val="00FB2112"/>
    <w:rsid w:val="00FB220F"/>
    <w:rsid w:val="00FB231A"/>
    <w:rsid w:val="00FB2433"/>
    <w:rsid w:val="00FB246E"/>
    <w:rsid w:val="00FB248B"/>
    <w:rsid w:val="00FB25E2"/>
    <w:rsid w:val="00FB2A69"/>
    <w:rsid w:val="00FB2E5B"/>
    <w:rsid w:val="00FB307E"/>
    <w:rsid w:val="00FB33A3"/>
    <w:rsid w:val="00FB352A"/>
    <w:rsid w:val="00FB3653"/>
    <w:rsid w:val="00FB3D0F"/>
    <w:rsid w:val="00FB3DA2"/>
    <w:rsid w:val="00FB4118"/>
    <w:rsid w:val="00FB42DB"/>
    <w:rsid w:val="00FB4445"/>
    <w:rsid w:val="00FB4469"/>
    <w:rsid w:val="00FB44E7"/>
    <w:rsid w:val="00FB4530"/>
    <w:rsid w:val="00FB4CB4"/>
    <w:rsid w:val="00FB4EEC"/>
    <w:rsid w:val="00FB4FAC"/>
    <w:rsid w:val="00FB4FB2"/>
    <w:rsid w:val="00FB50F6"/>
    <w:rsid w:val="00FB518A"/>
    <w:rsid w:val="00FB5368"/>
    <w:rsid w:val="00FB53B9"/>
    <w:rsid w:val="00FB5517"/>
    <w:rsid w:val="00FB56C4"/>
    <w:rsid w:val="00FB5830"/>
    <w:rsid w:val="00FB5838"/>
    <w:rsid w:val="00FB5908"/>
    <w:rsid w:val="00FB5A70"/>
    <w:rsid w:val="00FB5CA2"/>
    <w:rsid w:val="00FB5D39"/>
    <w:rsid w:val="00FB5DD3"/>
    <w:rsid w:val="00FB5E32"/>
    <w:rsid w:val="00FB5FBA"/>
    <w:rsid w:val="00FB63E0"/>
    <w:rsid w:val="00FB64BA"/>
    <w:rsid w:val="00FB6799"/>
    <w:rsid w:val="00FB68E2"/>
    <w:rsid w:val="00FB6965"/>
    <w:rsid w:val="00FB6A74"/>
    <w:rsid w:val="00FB6A84"/>
    <w:rsid w:val="00FB6C7C"/>
    <w:rsid w:val="00FB6E0A"/>
    <w:rsid w:val="00FB6F58"/>
    <w:rsid w:val="00FB70F5"/>
    <w:rsid w:val="00FB719A"/>
    <w:rsid w:val="00FB71B3"/>
    <w:rsid w:val="00FB726F"/>
    <w:rsid w:val="00FB72C3"/>
    <w:rsid w:val="00FB7703"/>
    <w:rsid w:val="00FB777C"/>
    <w:rsid w:val="00FB7C12"/>
    <w:rsid w:val="00FB7D2A"/>
    <w:rsid w:val="00FC00E4"/>
    <w:rsid w:val="00FC024C"/>
    <w:rsid w:val="00FC0347"/>
    <w:rsid w:val="00FC0377"/>
    <w:rsid w:val="00FC04C3"/>
    <w:rsid w:val="00FC04F5"/>
    <w:rsid w:val="00FC0914"/>
    <w:rsid w:val="00FC0965"/>
    <w:rsid w:val="00FC0A2E"/>
    <w:rsid w:val="00FC0A3C"/>
    <w:rsid w:val="00FC0A54"/>
    <w:rsid w:val="00FC0A78"/>
    <w:rsid w:val="00FC0D41"/>
    <w:rsid w:val="00FC0D7D"/>
    <w:rsid w:val="00FC0DFE"/>
    <w:rsid w:val="00FC0F95"/>
    <w:rsid w:val="00FC105F"/>
    <w:rsid w:val="00FC10F2"/>
    <w:rsid w:val="00FC10F6"/>
    <w:rsid w:val="00FC11F6"/>
    <w:rsid w:val="00FC148D"/>
    <w:rsid w:val="00FC1490"/>
    <w:rsid w:val="00FC149D"/>
    <w:rsid w:val="00FC181B"/>
    <w:rsid w:val="00FC18C1"/>
    <w:rsid w:val="00FC1C92"/>
    <w:rsid w:val="00FC1CC9"/>
    <w:rsid w:val="00FC1D8B"/>
    <w:rsid w:val="00FC1DD5"/>
    <w:rsid w:val="00FC1DDA"/>
    <w:rsid w:val="00FC1EEE"/>
    <w:rsid w:val="00FC219F"/>
    <w:rsid w:val="00FC236D"/>
    <w:rsid w:val="00FC2699"/>
    <w:rsid w:val="00FC2761"/>
    <w:rsid w:val="00FC2841"/>
    <w:rsid w:val="00FC2D05"/>
    <w:rsid w:val="00FC3050"/>
    <w:rsid w:val="00FC3072"/>
    <w:rsid w:val="00FC3089"/>
    <w:rsid w:val="00FC3674"/>
    <w:rsid w:val="00FC36D5"/>
    <w:rsid w:val="00FC3C8B"/>
    <w:rsid w:val="00FC3D2E"/>
    <w:rsid w:val="00FC4073"/>
    <w:rsid w:val="00FC413B"/>
    <w:rsid w:val="00FC42D6"/>
    <w:rsid w:val="00FC4345"/>
    <w:rsid w:val="00FC44EE"/>
    <w:rsid w:val="00FC4622"/>
    <w:rsid w:val="00FC46AE"/>
    <w:rsid w:val="00FC46E3"/>
    <w:rsid w:val="00FC477C"/>
    <w:rsid w:val="00FC49B8"/>
    <w:rsid w:val="00FC4A12"/>
    <w:rsid w:val="00FC4CB6"/>
    <w:rsid w:val="00FC4CBE"/>
    <w:rsid w:val="00FC4D37"/>
    <w:rsid w:val="00FC4E94"/>
    <w:rsid w:val="00FC4EF8"/>
    <w:rsid w:val="00FC5043"/>
    <w:rsid w:val="00FC52EB"/>
    <w:rsid w:val="00FC55B3"/>
    <w:rsid w:val="00FC57E1"/>
    <w:rsid w:val="00FC587C"/>
    <w:rsid w:val="00FC5934"/>
    <w:rsid w:val="00FC5AE5"/>
    <w:rsid w:val="00FC5EC2"/>
    <w:rsid w:val="00FC5F0F"/>
    <w:rsid w:val="00FC60A5"/>
    <w:rsid w:val="00FC650B"/>
    <w:rsid w:val="00FC671E"/>
    <w:rsid w:val="00FC6971"/>
    <w:rsid w:val="00FC6CA1"/>
    <w:rsid w:val="00FC6DA2"/>
    <w:rsid w:val="00FC6F96"/>
    <w:rsid w:val="00FC7058"/>
    <w:rsid w:val="00FC7082"/>
    <w:rsid w:val="00FC70E8"/>
    <w:rsid w:val="00FC711C"/>
    <w:rsid w:val="00FC7216"/>
    <w:rsid w:val="00FC722F"/>
    <w:rsid w:val="00FC74A9"/>
    <w:rsid w:val="00FC7516"/>
    <w:rsid w:val="00FC761F"/>
    <w:rsid w:val="00FC769F"/>
    <w:rsid w:val="00FC7852"/>
    <w:rsid w:val="00FC78A8"/>
    <w:rsid w:val="00FC79BB"/>
    <w:rsid w:val="00FC7C06"/>
    <w:rsid w:val="00FC7C3E"/>
    <w:rsid w:val="00FC7D3E"/>
    <w:rsid w:val="00FC7F8A"/>
    <w:rsid w:val="00FC7FF3"/>
    <w:rsid w:val="00FD0010"/>
    <w:rsid w:val="00FD00F6"/>
    <w:rsid w:val="00FD021B"/>
    <w:rsid w:val="00FD030C"/>
    <w:rsid w:val="00FD0326"/>
    <w:rsid w:val="00FD0361"/>
    <w:rsid w:val="00FD0849"/>
    <w:rsid w:val="00FD097E"/>
    <w:rsid w:val="00FD0B8A"/>
    <w:rsid w:val="00FD0DEF"/>
    <w:rsid w:val="00FD0E0E"/>
    <w:rsid w:val="00FD0E4B"/>
    <w:rsid w:val="00FD0FA3"/>
    <w:rsid w:val="00FD10C2"/>
    <w:rsid w:val="00FD126D"/>
    <w:rsid w:val="00FD13A6"/>
    <w:rsid w:val="00FD151C"/>
    <w:rsid w:val="00FD15DE"/>
    <w:rsid w:val="00FD17F5"/>
    <w:rsid w:val="00FD183E"/>
    <w:rsid w:val="00FD1981"/>
    <w:rsid w:val="00FD198B"/>
    <w:rsid w:val="00FD1A15"/>
    <w:rsid w:val="00FD1C10"/>
    <w:rsid w:val="00FD1E8A"/>
    <w:rsid w:val="00FD1F11"/>
    <w:rsid w:val="00FD1F45"/>
    <w:rsid w:val="00FD22D3"/>
    <w:rsid w:val="00FD25B2"/>
    <w:rsid w:val="00FD26CA"/>
    <w:rsid w:val="00FD26EA"/>
    <w:rsid w:val="00FD299A"/>
    <w:rsid w:val="00FD2A1B"/>
    <w:rsid w:val="00FD2B6D"/>
    <w:rsid w:val="00FD2B7B"/>
    <w:rsid w:val="00FD2BD7"/>
    <w:rsid w:val="00FD2D2A"/>
    <w:rsid w:val="00FD2DE3"/>
    <w:rsid w:val="00FD3620"/>
    <w:rsid w:val="00FD374A"/>
    <w:rsid w:val="00FD39B9"/>
    <w:rsid w:val="00FD3A18"/>
    <w:rsid w:val="00FD3A75"/>
    <w:rsid w:val="00FD3B98"/>
    <w:rsid w:val="00FD3C3B"/>
    <w:rsid w:val="00FD4018"/>
    <w:rsid w:val="00FD421F"/>
    <w:rsid w:val="00FD4355"/>
    <w:rsid w:val="00FD44C9"/>
    <w:rsid w:val="00FD49C7"/>
    <w:rsid w:val="00FD4ABE"/>
    <w:rsid w:val="00FD4BAB"/>
    <w:rsid w:val="00FD4EA9"/>
    <w:rsid w:val="00FD4F43"/>
    <w:rsid w:val="00FD5002"/>
    <w:rsid w:val="00FD5521"/>
    <w:rsid w:val="00FD5529"/>
    <w:rsid w:val="00FD56C4"/>
    <w:rsid w:val="00FD57F1"/>
    <w:rsid w:val="00FD58E7"/>
    <w:rsid w:val="00FD5935"/>
    <w:rsid w:val="00FD595B"/>
    <w:rsid w:val="00FD5A76"/>
    <w:rsid w:val="00FD5AAA"/>
    <w:rsid w:val="00FD5B74"/>
    <w:rsid w:val="00FD5BA3"/>
    <w:rsid w:val="00FD5CEE"/>
    <w:rsid w:val="00FD5E30"/>
    <w:rsid w:val="00FD5FC7"/>
    <w:rsid w:val="00FD5FE4"/>
    <w:rsid w:val="00FD5FFB"/>
    <w:rsid w:val="00FD61EB"/>
    <w:rsid w:val="00FD623C"/>
    <w:rsid w:val="00FD64E0"/>
    <w:rsid w:val="00FD650C"/>
    <w:rsid w:val="00FD6526"/>
    <w:rsid w:val="00FD65AC"/>
    <w:rsid w:val="00FD67F7"/>
    <w:rsid w:val="00FD6896"/>
    <w:rsid w:val="00FD6C1A"/>
    <w:rsid w:val="00FD6E9E"/>
    <w:rsid w:val="00FD72F1"/>
    <w:rsid w:val="00FD73DA"/>
    <w:rsid w:val="00FD7424"/>
    <w:rsid w:val="00FD746C"/>
    <w:rsid w:val="00FD74EB"/>
    <w:rsid w:val="00FD750A"/>
    <w:rsid w:val="00FD79D2"/>
    <w:rsid w:val="00FD7A07"/>
    <w:rsid w:val="00FD7B42"/>
    <w:rsid w:val="00FD7C11"/>
    <w:rsid w:val="00FD7D63"/>
    <w:rsid w:val="00FD7DE1"/>
    <w:rsid w:val="00FE0061"/>
    <w:rsid w:val="00FE00EA"/>
    <w:rsid w:val="00FE0140"/>
    <w:rsid w:val="00FE014E"/>
    <w:rsid w:val="00FE018C"/>
    <w:rsid w:val="00FE05CD"/>
    <w:rsid w:val="00FE06EC"/>
    <w:rsid w:val="00FE0844"/>
    <w:rsid w:val="00FE0855"/>
    <w:rsid w:val="00FE08FD"/>
    <w:rsid w:val="00FE0905"/>
    <w:rsid w:val="00FE09D5"/>
    <w:rsid w:val="00FE0A66"/>
    <w:rsid w:val="00FE0BDD"/>
    <w:rsid w:val="00FE0E63"/>
    <w:rsid w:val="00FE0F1F"/>
    <w:rsid w:val="00FE0F3F"/>
    <w:rsid w:val="00FE10F8"/>
    <w:rsid w:val="00FE11E1"/>
    <w:rsid w:val="00FE1312"/>
    <w:rsid w:val="00FE142A"/>
    <w:rsid w:val="00FE16F0"/>
    <w:rsid w:val="00FE1819"/>
    <w:rsid w:val="00FE18F8"/>
    <w:rsid w:val="00FE1927"/>
    <w:rsid w:val="00FE1ABE"/>
    <w:rsid w:val="00FE1B27"/>
    <w:rsid w:val="00FE2009"/>
    <w:rsid w:val="00FE22D2"/>
    <w:rsid w:val="00FE2432"/>
    <w:rsid w:val="00FE2440"/>
    <w:rsid w:val="00FE257D"/>
    <w:rsid w:val="00FE268D"/>
    <w:rsid w:val="00FE271E"/>
    <w:rsid w:val="00FE274C"/>
    <w:rsid w:val="00FE29D6"/>
    <w:rsid w:val="00FE2A05"/>
    <w:rsid w:val="00FE2B82"/>
    <w:rsid w:val="00FE2BAA"/>
    <w:rsid w:val="00FE302A"/>
    <w:rsid w:val="00FE3470"/>
    <w:rsid w:val="00FE349C"/>
    <w:rsid w:val="00FE35F8"/>
    <w:rsid w:val="00FE375B"/>
    <w:rsid w:val="00FE385B"/>
    <w:rsid w:val="00FE38F5"/>
    <w:rsid w:val="00FE3AE1"/>
    <w:rsid w:val="00FE3B12"/>
    <w:rsid w:val="00FE3C0E"/>
    <w:rsid w:val="00FE4170"/>
    <w:rsid w:val="00FE42C7"/>
    <w:rsid w:val="00FE4304"/>
    <w:rsid w:val="00FE432E"/>
    <w:rsid w:val="00FE4488"/>
    <w:rsid w:val="00FE4568"/>
    <w:rsid w:val="00FE4653"/>
    <w:rsid w:val="00FE4848"/>
    <w:rsid w:val="00FE4D72"/>
    <w:rsid w:val="00FE504E"/>
    <w:rsid w:val="00FE53FF"/>
    <w:rsid w:val="00FE5547"/>
    <w:rsid w:val="00FE5634"/>
    <w:rsid w:val="00FE56D1"/>
    <w:rsid w:val="00FE59E8"/>
    <w:rsid w:val="00FE5BDA"/>
    <w:rsid w:val="00FE5DDA"/>
    <w:rsid w:val="00FE60C6"/>
    <w:rsid w:val="00FE622F"/>
    <w:rsid w:val="00FE649D"/>
    <w:rsid w:val="00FE6607"/>
    <w:rsid w:val="00FE6678"/>
    <w:rsid w:val="00FE667D"/>
    <w:rsid w:val="00FE66B9"/>
    <w:rsid w:val="00FE682B"/>
    <w:rsid w:val="00FE683A"/>
    <w:rsid w:val="00FE6ABE"/>
    <w:rsid w:val="00FE6AD7"/>
    <w:rsid w:val="00FE6C2C"/>
    <w:rsid w:val="00FE7228"/>
    <w:rsid w:val="00FE73B5"/>
    <w:rsid w:val="00FE74A4"/>
    <w:rsid w:val="00FE759E"/>
    <w:rsid w:val="00FE7A89"/>
    <w:rsid w:val="00FE7B12"/>
    <w:rsid w:val="00FE7B4F"/>
    <w:rsid w:val="00FE7B5A"/>
    <w:rsid w:val="00FE7BC9"/>
    <w:rsid w:val="00FF0268"/>
    <w:rsid w:val="00FF0318"/>
    <w:rsid w:val="00FF039B"/>
    <w:rsid w:val="00FF04AE"/>
    <w:rsid w:val="00FF070E"/>
    <w:rsid w:val="00FF072C"/>
    <w:rsid w:val="00FF0AF5"/>
    <w:rsid w:val="00FF0C9E"/>
    <w:rsid w:val="00FF0F65"/>
    <w:rsid w:val="00FF1076"/>
    <w:rsid w:val="00FF1192"/>
    <w:rsid w:val="00FF138E"/>
    <w:rsid w:val="00FF13E9"/>
    <w:rsid w:val="00FF14D5"/>
    <w:rsid w:val="00FF210B"/>
    <w:rsid w:val="00FF23FA"/>
    <w:rsid w:val="00FF262B"/>
    <w:rsid w:val="00FF292D"/>
    <w:rsid w:val="00FF29AC"/>
    <w:rsid w:val="00FF29CD"/>
    <w:rsid w:val="00FF2A5E"/>
    <w:rsid w:val="00FF2E73"/>
    <w:rsid w:val="00FF2E84"/>
    <w:rsid w:val="00FF2F6C"/>
    <w:rsid w:val="00FF2F8D"/>
    <w:rsid w:val="00FF30DA"/>
    <w:rsid w:val="00FF312B"/>
    <w:rsid w:val="00FF315F"/>
    <w:rsid w:val="00FF3310"/>
    <w:rsid w:val="00FF3504"/>
    <w:rsid w:val="00FF352B"/>
    <w:rsid w:val="00FF3701"/>
    <w:rsid w:val="00FF3724"/>
    <w:rsid w:val="00FF378E"/>
    <w:rsid w:val="00FF39D6"/>
    <w:rsid w:val="00FF3C4E"/>
    <w:rsid w:val="00FF3D29"/>
    <w:rsid w:val="00FF3E2A"/>
    <w:rsid w:val="00FF3F35"/>
    <w:rsid w:val="00FF3F6E"/>
    <w:rsid w:val="00FF4066"/>
    <w:rsid w:val="00FF4246"/>
    <w:rsid w:val="00FF4325"/>
    <w:rsid w:val="00FF43CF"/>
    <w:rsid w:val="00FF4438"/>
    <w:rsid w:val="00FF448F"/>
    <w:rsid w:val="00FF475E"/>
    <w:rsid w:val="00FF4811"/>
    <w:rsid w:val="00FF496E"/>
    <w:rsid w:val="00FF49A3"/>
    <w:rsid w:val="00FF4C7C"/>
    <w:rsid w:val="00FF4CEB"/>
    <w:rsid w:val="00FF5052"/>
    <w:rsid w:val="00FF5091"/>
    <w:rsid w:val="00FF517D"/>
    <w:rsid w:val="00FF51C7"/>
    <w:rsid w:val="00FF5339"/>
    <w:rsid w:val="00FF5350"/>
    <w:rsid w:val="00FF5435"/>
    <w:rsid w:val="00FF5446"/>
    <w:rsid w:val="00FF5515"/>
    <w:rsid w:val="00FF5582"/>
    <w:rsid w:val="00FF59A1"/>
    <w:rsid w:val="00FF59F6"/>
    <w:rsid w:val="00FF5AFE"/>
    <w:rsid w:val="00FF5B8A"/>
    <w:rsid w:val="00FF5C02"/>
    <w:rsid w:val="00FF5C2F"/>
    <w:rsid w:val="00FF5C33"/>
    <w:rsid w:val="00FF5C97"/>
    <w:rsid w:val="00FF5CA3"/>
    <w:rsid w:val="00FF6002"/>
    <w:rsid w:val="00FF60A3"/>
    <w:rsid w:val="00FF627A"/>
    <w:rsid w:val="00FF682C"/>
    <w:rsid w:val="00FF68AA"/>
    <w:rsid w:val="00FF69F3"/>
    <w:rsid w:val="00FF6A1E"/>
    <w:rsid w:val="00FF6CB6"/>
    <w:rsid w:val="00FF6D9A"/>
    <w:rsid w:val="00FF6DF7"/>
    <w:rsid w:val="00FF6EB0"/>
    <w:rsid w:val="00FF707B"/>
    <w:rsid w:val="00FF7713"/>
    <w:rsid w:val="00FF774E"/>
    <w:rsid w:val="00FF77DF"/>
    <w:rsid w:val="00FF78B6"/>
    <w:rsid w:val="00FF7C10"/>
    <w:rsid w:val="00FF7EC5"/>
    <w:rsid w:val="00FF7F43"/>
    <w:rsid w:val="00FF7F68"/>
    <w:rsid w:val="01005C2B"/>
    <w:rsid w:val="01050456"/>
    <w:rsid w:val="01127B36"/>
    <w:rsid w:val="012833B0"/>
    <w:rsid w:val="012F263A"/>
    <w:rsid w:val="01491CA8"/>
    <w:rsid w:val="015545D3"/>
    <w:rsid w:val="017057F0"/>
    <w:rsid w:val="017A4128"/>
    <w:rsid w:val="017A4DC5"/>
    <w:rsid w:val="01801FA5"/>
    <w:rsid w:val="01F63E18"/>
    <w:rsid w:val="02200003"/>
    <w:rsid w:val="02374600"/>
    <w:rsid w:val="023F0A82"/>
    <w:rsid w:val="02442023"/>
    <w:rsid w:val="02580BB3"/>
    <w:rsid w:val="02614324"/>
    <w:rsid w:val="02A97690"/>
    <w:rsid w:val="02B22148"/>
    <w:rsid w:val="02B223AD"/>
    <w:rsid w:val="02D44732"/>
    <w:rsid w:val="02DE2047"/>
    <w:rsid w:val="02EF06F0"/>
    <w:rsid w:val="02F22104"/>
    <w:rsid w:val="02F35343"/>
    <w:rsid w:val="02FF1CF6"/>
    <w:rsid w:val="03241091"/>
    <w:rsid w:val="032B46B2"/>
    <w:rsid w:val="033348E4"/>
    <w:rsid w:val="036A016D"/>
    <w:rsid w:val="037B5098"/>
    <w:rsid w:val="038976DD"/>
    <w:rsid w:val="03921207"/>
    <w:rsid w:val="03A7013E"/>
    <w:rsid w:val="03B40135"/>
    <w:rsid w:val="03BB6B8D"/>
    <w:rsid w:val="03C67F54"/>
    <w:rsid w:val="03D97595"/>
    <w:rsid w:val="03F834F8"/>
    <w:rsid w:val="042601C1"/>
    <w:rsid w:val="043A2002"/>
    <w:rsid w:val="044D09E1"/>
    <w:rsid w:val="04641F7D"/>
    <w:rsid w:val="046C0EDD"/>
    <w:rsid w:val="04A53271"/>
    <w:rsid w:val="04AE210F"/>
    <w:rsid w:val="04BF16A2"/>
    <w:rsid w:val="04C56CCB"/>
    <w:rsid w:val="05434C70"/>
    <w:rsid w:val="0557618A"/>
    <w:rsid w:val="056945B3"/>
    <w:rsid w:val="056E5FDC"/>
    <w:rsid w:val="0578001C"/>
    <w:rsid w:val="057B4C26"/>
    <w:rsid w:val="05BC1D02"/>
    <w:rsid w:val="05E26179"/>
    <w:rsid w:val="0620283E"/>
    <w:rsid w:val="06231BC5"/>
    <w:rsid w:val="06347586"/>
    <w:rsid w:val="06417FB8"/>
    <w:rsid w:val="06544B20"/>
    <w:rsid w:val="066A29A9"/>
    <w:rsid w:val="06710B29"/>
    <w:rsid w:val="0671476E"/>
    <w:rsid w:val="06982B13"/>
    <w:rsid w:val="06BB2F44"/>
    <w:rsid w:val="06BE5D04"/>
    <w:rsid w:val="06FC6B59"/>
    <w:rsid w:val="070B3945"/>
    <w:rsid w:val="071D44E1"/>
    <w:rsid w:val="071F061B"/>
    <w:rsid w:val="07381A80"/>
    <w:rsid w:val="074025BC"/>
    <w:rsid w:val="076B3E17"/>
    <w:rsid w:val="077B405B"/>
    <w:rsid w:val="07876382"/>
    <w:rsid w:val="07884696"/>
    <w:rsid w:val="07C546D6"/>
    <w:rsid w:val="07DD3962"/>
    <w:rsid w:val="07FA4022"/>
    <w:rsid w:val="081571C9"/>
    <w:rsid w:val="084768D1"/>
    <w:rsid w:val="08775A19"/>
    <w:rsid w:val="0886791A"/>
    <w:rsid w:val="08B756F5"/>
    <w:rsid w:val="08C12A5C"/>
    <w:rsid w:val="08E765E7"/>
    <w:rsid w:val="08FE395C"/>
    <w:rsid w:val="09000282"/>
    <w:rsid w:val="090B73DF"/>
    <w:rsid w:val="09346D8E"/>
    <w:rsid w:val="09382866"/>
    <w:rsid w:val="094630E5"/>
    <w:rsid w:val="094E4E48"/>
    <w:rsid w:val="095B5BBC"/>
    <w:rsid w:val="097C7BAC"/>
    <w:rsid w:val="09D12ECD"/>
    <w:rsid w:val="09F511DD"/>
    <w:rsid w:val="0A4C5486"/>
    <w:rsid w:val="0A567BF8"/>
    <w:rsid w:val="0A6528D4"/>
    <w:rsid w:val="0A69625D"/>
    <w:rsid w:val="0A7A14F3"/>
    <w:rsid w:val="0A9E43F5"/>
    <w:rsid w:val="0AF63A4D"/>
    <w:rsid w:val="0B183B2D"/>
    <w:rsid w:val="0B1E3C0F"/>
    <w:rsid w:val="0B3B483A"/>
    <w:rsid w:val="0B710BA0"/>
    <w:rsid w:val="0B776DBC"/>
    <w:rsid w:val="0B7D3C18"/>
    <w:rsid w:val="0BB40ECC"/>
    <w:rsid w:val="0BC06FCD"/>
    <w:rsid w:val="0BC15584"/>
    <w:rsid w:val="0C3800D8"/>
    <w:rsid w:val="0C4B3DA6"/>
    <w:rsid w:val="0C5C5CF4"/>
    <w:rsid w:val="0C7F2681"/>
    <w:rsid w:val="0C831DDD"/>
    <w:rsid w:val="0C8E371C"/>
    <w:rsid w:val="0CBF2F59"/>
    <w:rsid w:val="0CD24B57"/>
    <w:rsid w:val="0CE85286"/>
    <w:rsid w:val="0CF32AC7"/>
    <w:rsid w:val="0CF438E9"/>
    <w:rsid w:val="0D0209E1"/>
    <w:rsid w:val="0D2C0F7E"/>
    <w:rsid w:val="0D6E2C5B"/>
    <w:rsid w:val="0D7916B0"/>
    <w:rsid w:val="0D8B2A38"/>
    <w:rsid w:val="0D9D24CC"/>
    <w:rsid w:val="0DBA7C85"/>
    <w:rsid w:val="0DD8721B"/>
    <w:rsid w:val="0E11551A"/>
    <w:rsid w:val="0E601B87"/>
    <w:rsid w:val="0E82603D"/>
    <w:rsid w:val="0E9D7298"/>
    <w:rsid w:val="0EBE1287"/>
    <w:rsid w:val="0EE919A7"/>
    <w:rsid w:val="0EF0439E"/>
    <w:rsid w:val="0F0E3D22"/>
    <w:rsid w:val="0F1E1499"/>
    <w:rsid w:val="0F2F22F9"/>
    <w:rsid w:val="0F3E0C0F"/>
    <w:rsid w:val="0F556324"/>
    <w:rsid w:val="0F936D51"/>
    <w:rsid w:val="0FD02014"/>
    <w:rsid w:val="0FF90EF0"/>
    <w:rsid w:val="101120C6"/>
    <w:rsid w:val="10290AB7"/>
    <w:rsid w:val="102B0929"/>
    <w:rsid w:val="1074444B"/>
    <w:rsid w:val="10880666"/>
    <w:rsid w:val="10AA7194"/>
    <w:rsid w:val="10D26909"/>
    <w:rsid w:val="10D533D0"/>
    <w:rsid w:val="10DE34CF"/>
    <w:rsid w:val="11483D66"/>
    <w:rsid w:val="1162548B"/>
    <w:rsid w:val="117B2109"/>
    <w:rsid w:val="11860FB9"/>
    <w:rsid w:val="11B94661"/>
    <w:rsid w:val="11E90F0F"/>
    <w:rsid w:val="11F93B66"/>
    <w:rsid w:val="12176B5E"/>
    <w:rsid w:val="12495707"/>
    <w:rsid w:val="124B684D"/>
    <w:rsid w:val="12542C7E"/>
    <w:rsid w:val="12545193"/>
    <w:rsid w:val="12BC41CE"/>
    <w:rsid w:val="13266E00"/>
    <w:rsid w:val="13390ECF"/>
    <w:rsid w:val="13572EC4"/>
    <w:rsid w:val="136E6B78"/>
    <w:rsid w:val="138E2627"/>
    <w:rsid w:val="13901AFD"/>
    <w:rsid w:val="13964C95"/>
    <w:rsid w:val="13C65479"/>
    <w:rsid w:val="13D05F3A"/>
    <w:rsid w:val="14314163"/>
    <w:rsid w:val="14376683"/>
    <w:rsid w:val="14541A78"/>
    <w:rsid w:val="14560667"/>
    <w:rsid w:val="148A7940"/>
    <w:rsid w:val="14B25394"/>
    <w:rsid w:val="14BC6B21"/>
    <w:rsid w:val="14C44C4A"/>
    <w:rsid w:val="14D968F0"/>
    <w:rsid w:val="14E4238F"/>
    <w:rsid w:val="15183601"/>
    <w:rsid w:val="15513A88"/>
    <w:rsid w:val="15661E97"/>
    <w:rsid w:val="156F119E"/>
    <w:rsid w:val="156F1D52"/>
    <w:rsid w:val="15822093"/>
    <w:rsid w:val="158B1895"/>
    <w:rsid w:val="15B533A4"/>
    <w:rsid w:val="15CA73FC"/>
    <w:rsid w:val="15DD7FB4"/>
    <w:rsid w:val="15E86F71"/>
    <w:rsid w:val="15FF547B"/>
    <w:rsid w:val="16045AE6"/>
    <w:rsid w:val="16340292"/>
    <w:rsid w:val="16360447"/>
    <w:rsid w:val="16554961"/>
    <w:rsid w:val="165C2A95"/>
    <w:rsid w:val="167B6496"/>
    <w:rsid w:val="16811DA0"/>
    <w:rsid w:val="168B0F32"/>
    <w:rsid w:val="169778D0"/>
    <w:rsid w:val="16A52832"/>
    <w:rsid w:val="16F672B5"/>
    <w:rsid w:val="17352377"/>
    <w:rsid w:val="17830160"/>
    <w:rsid w:val="179B312C"/>
    <w:rsid w:val="179D3BEC"/>
    <w:rsid w:val="17A55BBF"/>
    <w:rsid w:val="17B31A28"/>
    <w:rsid w:val="17B6631F"/>
    <w:rsid w:val="17D35AB2"/>
    <w:rsid w:val="17E87484"/>
    <w:rsid w:val="1806326B"/>
    <w:rsid w:val="181D0C35"/>
    <w:rsid w:val="18247C29"/>
    <w:rsid w:val="1828169B"/>
    <w:rsid w:val="18692055"/>
    <w:rsid w:val="18B3414E"/>
    <w:rsid w:val="18BD06D4"/>
    <w:rsid w:val="191E5406"/>
    <w:rsid w:val="194B52C7"/>
    <w:rsid w:val="198B1E4F"/>
    <w:rsid w:val="19965560"/>
    <w:rsid w:val="19B142F2"/>
    <w:rsid w:val="19BF3896"/>
    <w:rsid w:val="19C40377"/>
    <w:rsid w:val="19E454A9"/>
    <w:rsid w:val="1A2806F8"/>
    <w:rsid w:val="1A59596F"/>
    <w:rsid w:val="1A5C01DE"/>
    <w:rsid w:val="1A795261"/>
    <w:rsid w:val="1A945C33"/>
    <w:rsid w:val="1AA0514F"/>
    <w:rsid w:val="1AA944F7"/>
    <w:rsid w:val="1ADA2DD2"/>
    <w:rsid w:val="1B0672DA"/>
    <w:rsid w:val="1B1309AD"/>
    <w:rsid w:val="1B143E9C"/>
    <w:rsid w:val="1B2066BE"/>
    <w:rsid w:val="1B404BF6"/>
    <w:rsid w:val="1BB926FC"/>
    <w:rsid w:val="1BF71133"/>
    <w:rsid w:val="1C2C6FCD"/>
    <w:rsid w:val="1C395FA8"/>
    <w:rsid w:val="1C437694"/>
    <w:rsid w:val="1C4E3D09"/>
    <w:rsid w:val="1C5C517D"/>
    <w:rsid w:val="1C76631E"/>
    <w:rsid w:val="1C9E56AD"/>
    <w:rsid w:val="1CFA10D4"/>
    <w:rsid w:val="1D08039B"/>
    <w:rsid w:val="1D50234F"/>
    <w:rsid w:val="1D921E0E"/>
    <w:rsid w:val="1DC61CB2"/>
    <w:rsid w:val="1E0E79A9"/>
    <w:rsid w:val="1E38608E"/>
    <w:rsid w:val="1E3D4C84"/>
    <w:rsid w:val="1E664EBE"/>
    <w:rsid w:val="1EA74498"/>
    <w:rsid w:val="1EAC665E"/>
    <w:rsid w:val="1EAD0342"/>
    <w:rsid w:val="1EC20F2C"/>
    <w:rsid w:val="1ED83572"/>
    <w:rsid w:val="1ED95760"/>
    <w:rsid w:val="1ED96F66"/>
    <w:rsid w:val="1EDA6C4A"/>
    <w:rsid w:val="1F142E33"/>
    <w:rsid w:val="1F2D5D44"/>
    <w:rsid w:val="1F597622"/>
    <w:rsid w:val="1F737368"/>
    <w:rsid w:val="1F784C8E"/>
    <w:rsid w:val="1F8119B6"/>
    <w:rsid w:val="1F9951B1"/>
    <w:rsid w:val="1FD1302B"/>
    <w:rsid w:val="1FF20385"/>
    <w:rsid w:val="203979C5"/>
    <w:rsid w:val="20765EA8"/>
    <w:rsid w:val="20855CBC"/>
    <w:rsid w:val="209B42D3"/>
    <w:rsid w:val="20A71223"/>
    <w:rsid w:val="20AA510E"/>
    <w:rsid w:val="20D02299"/>
    <w:rsid w:val="21017A90"/>
    <w:rsid w:val="21111D51"/>
    <w:rsid w:val="212F7FFB"/>
    <w:rsid w:val="219B5D64"/>
    <w:rsid w:val="21A71200"/>
    <w:rsid w:val="21AB7823"/>
    <w:rsid w:val="21C127CF"/>
    <w:rsid w:val="21C2580D"/>
    <w:rsid w:val="21EB6438"/>
    <w:rsid w:val="21EF4865"/>
    <w:rsid w:val="21F82DAC"/>
    <w:rsid w:val="220E2A64"/>
    <w:rsid w:val="2231444E"/>
    <w:rsid w:val="223F1402"/>
    <w:rsid w:val="22475259"/>
    <w:rsid w:val="224F0049"/>
    <w:rsid w:val="22573F55"/>
    <w:rsid w:val="225F2AA9"/>
    <w:rsid w:val="2261673A"/>
    <w:rsid w:val="226260DD"/>
    <w:rsid w:val="229D132F"/>
    <w:rsid w:val="22A0368A"/>
    <w:rsid w:val="22A374FE"/>
    <w:rsid w:val="22AB08D3"/>
    <w:rsid w:val="22BE1EAC"/>
    <w:rsid w:val="22C20F88"/>
    <w:rsid w:val="22D31E42"/>
    <w:rsid w:val="22E811D6"/>
    <w:rsid w:val="22E84FB1"/>
    <w:rsid w:val="23117F4B"/>
    <w:rsid w:val="23450DAD"/>
    <w:rsid w:val="236311D1"/>
    <w:rsid w:val="237C4DAE"/>
    <w:rsid w:val="23851D1B"/>
    <w:rsid w:val="238C5374"/>
    <w:rsid w:val="23CD18FD"/>
    <w:rsid w:val="23FD40B5"/>
    <w:rsid w:val="24087F76"/>
    <w:rsid w:val="243A48C7"/>
    <w:rsid w:val="245346EF"/>
    <w:rsid w:val="24775A97"/>
    <w:rsid w:val="24830FFA"/>
    <w:rsid w:val="24850C46"/>
    <w:rsid w:val="24864462"/>
    <w:rsid w:val="249676BD"/>
    <w:rsid w:val="24A3272C"/>
    <w:rsid w:val="24BD2C04"/>
    <w:rsid w:val="24FD3233"/>
    <w:rsid w:val="25273AF2"/>
    <w:rsid w:val="25657E10"/>
    <w:rsid w:val="25A02607"/>
    <w:rsid w:val="25B37ADB"/>
    <w:rsid w:val="25CC687A"/>
    <w:rsid w:val="25DC3B0A"/>
    <w:rsid w:val="25E87591"/>
    <w:rsid w:val="260B4747"/>
    <w:rsid w:val="2610105C"/>
    <w:rsid w:val="26215D9F"/>
    <w:rsid w:val="263E3488"/>
    <w:rsid w:val="263F2739"/>
    <w:rsid w:val="265249F9"/>
    <w:rsid w:val="265F7635"/>
    <w:rsid w:val="267B70D0"/>
    <w:rsid w:val="26B121E0"/>
    <w:rsid w:val="26C36773"/>
    <w:rsid w:val="26E02B20"/>
    <w:rsid w:val="26F72E93"/>
    <w:rsid w:val="26FA7E70"/>
    <w:rsid w:val="27151DDE"/>
    <w:rsid w:val="272951E1"/>
    <w:rsid w:val="272F2FFA"/>
    <w:rsid w:val="275D26C8"/>
    <w:rsid w:val="27661378"/>
    <w:rsid w:val="2795392F"/>
    <w:rsid w:val="27AC47EE"/>
    <w:rsid w:val="27B539B5"/>
    <w:rsid w:val="27B950DD"/>
    <w:rsid w:val="27BD7614"/>
    <w:rsid w:val="27D067BF"/>
    <w:rsid w:val="27F23ED1"/>
    <w:rsid w:val="282F0A10"/>
    <w:rsid w:val="28320CE4"/>
    <w:rsid w:val="28425937"/>
    <w:rsid w:val="286447F2"/>
    <w:rsid w:val="28792AF1"/>
    <w:rsid w:val="288D743C"/>
    <w:rsid w:val="28A75D9A"/>
    <w:rsid w:val="28B45B17"/>
    <w:rsid w:val="28E259FD"/>
    <w:rsid w:val="29002250"/>
    <w:rsid w:val="29010D73"/>
    <w:rsid w:val="2904321E"/>
    <w:rsid w:val="29151EB8"/>
    <w:rsid w:val="291A4355"/>
    <w:rsid w:val="2920197E"/>
    <w:rsid w:val="29317257"/>
    <w:rsid w:val="29565E64"/>
    <w:rsid w:val="2960479E"/>
    <w:rsid w:val="297B5297"/>
    <w:rsid w:val="29A70D83"/>
    <w:rsid w:val="29E318EE"/>
    <w:rsid w:val="29E81B97"/>
    <w:rsid w:val="29E94332"/>
    <w:rsid w:val="29EB25C1"/>
    <w:rsid w:val="2A1421AB"/>
    <w:rsid w:val="2A320FBA"/>
    <w:rsid w:val="2A3A0F9D"/>
    <w:rsid w:val="2A560C97"/>
    <w:rsid w:val="2A97441A"/>
    <w:rsid w:val="2A9A16FB"/>
    <w:rsid w:val="2AA20F81"/>
    <w:rsid w:val="2AA93848"/>
    <w:rsid w:val="2AAA55F3"/>
    <w:rsid w:val="2AB6415B"/>
    <w:rsid w:val="2B1A73B3"/>
    <w:rsid w:val="2B1B5A95"/>
    <w:rsid w:val="2B59192C"/>
    <w:rsid w:val="2B7A6E02"/>
    <w:rsid w:val="2B7E47B2"/>
    <w:rsid w:val="2B8047A8"/>
    <w:rsid w:val="2BAC636F"/>
    <w:rsid w:val="2BC33E08"/>
    <w:rsid w:val="2BE772F2"/>
    <w:rsid w:val="2C1648E9"/>
    <w:rsid w:val="2C1C0A9C"/>
    <w:rsid w:val="2C3A18C3"/>
    <w:rsid w:val="2C6A742B"/>
    <w:rsid w:val="2C6C57D4"/>
    <w:rsid w:val="2C776B8B"/>
    <w:rsid w:val="2CB52263"/>
    <w:rsid w:val="2CC24F31"/>
    <w:rsid w:val="2CF93411"/>
    <w:rsid w:val="2D132810"/>
    <w:rsid w:val="2D137076"/>
    <w:rsid w:val="2D1C2B7B"/>
    <w:rsid w:val="2D2B420A"/>
    <w:rsid w:val="2D432E52"/>
    <w:rsid w:val="2D731DA8"/>
    <w:rsid w:val="2DD225B0"/>
    <w:rsid w:val="2DF17626"/>
    <w:rsid w:val="2DF708E8"/>
    <w:rsid w:val="2E1A6923"/>
    <w:rsid w:val="2E370560"/>
    <w:rsid w:val="2E3F1E49"/>
    <w:rsid w:val="2E54477E"/>
    <w:rsid w:val="2EAD513C"/>
    <w:rsid w:val="2ECF03C1"/>
    <w:rsid w:val="2ED34B05"/>
    <w:rsid w:val="2EFC5D68"/>
    <w:rsid w:val="2F384D78"/>
    <w:rsid w:val="2F4F6667"/>
    <w:rsid w:val="2F545AF4"/>
    <w:rsid w:val="2F6E412A"/>
    <w:rsid w:val="2FCD3EF4"/>
    <w:rsid w:val="2FD35F38"/>
    <w:rsid w:val="301020BD"/>
    <w:rsid w:val="30265415"/>
    <w:rsid w:val="302717A8"/>
    <w:rsid w:val="30486D9E"/>
    <w:rsid w:val="308E7069"/>
    <w:rsid w:val="30F02B48"/>
    <w:rsid w:val="31254222"/>
    <w:rsid w:val="314916F0"/>
    <w:rsid w:val="314D6269"/>
    <w:rsid w:val="31581484"/>
    <w:rsid w:val="31593ED2"/>
    <w:rsid w:val="316302BE"/>
    <w:rsid w:val="31746C26"/>
    <w:rsid w:val="31936D97"/>
    <w:rsid w:val="31A57D7A"/>
    <w:rsid w:val="31C2219D"/>
    <w:rsid w:val="31D2282C"/>
    <w:rsid w:val="31D24E97"/>
    <w:rsid w:val="31D27910"/>
    <w:rsid w:val="320B4F43"/>
    <w:rsid w:val="3219217D"/>
    <w:rsid w:val="321F3013"/>
    <w:rsid w:val="328046F4"/>
    <w:rsid w:val="32AA38D6"/>
    <w:rsid w:val="32C03587"/>
    <w:rsid w:val="32E66795"/>
    <w:rsid w:val="33374A11"/>
    <w:rsid w:val="33FA63FA"/>
    <w:rsid w:val="33FF2CDD"/>
    <w:rsid w:val="34011B8C"/>
    <w:rsid w:val="34051094"/>
    <w:rsid w:val="34190D85"/>
    <w:rsid w:val="34291AAB"/>
    <w:rsid w:val="342D3675"/>
    <w:rsid w:val="344B5EA6"/>
    <w:rsid w:val="34692FA3"/>
    <w:rsid w:val="34826B8A"/>
    <w:rsid w:val="34995B8E"/>
    <w:rsid w:val="34BA0501"/>
    <w:rsid w:val="34D80F27"/>
    <w:rsid w:val="34FC1F93"/>
    <w:rsid w:val="34FD58DC"/>
    <w:rsid w:val="34FE3A6E"/>
    <w:rsid w:val="35166956"/>
    <w:rsid w:val="351C1228"/>
    <w:rsid w:val="35303BBF"/>
    <w:rsid w:val="35532671"/>
    <w:rsid w:val="357E5D9A"/>
    <w:rsid w:val="358422DC"/>
    <w:rsid w:val="359837EB"/>
    <w:rsid w:val="359B64A0"/>
    <w:rsid w:val="359F2A8E"/>
    <w:rsid w:val="35CD68A7"/>
    <w:rsid w:val="35D61DCB"/>
    <w:rsid w:val="35D645DA"/>
    <w:rsid w:val="35D665E7"/>
    <w:rsid w:val="35E12FFE"/>
    <w:rsid w:val="35E2389E"/>
    <w:rsid w:val="3623335B"/>
    <w:rsid w:val="366E6A6C"/>
    <w:rsid w:val="368827B1"/>
    <w:rsid w:val="36A632C6"/>
    <w:rsid w:val="36A77990"/>
    <w:rsid w:val="36C63657"/>
    <w:rsid w:val="36C90EC6"/>
    <w:rsid w:val="36CC7461"/>
    <w:rsid w:val="36D74DBC"/>
    <w:rsid w:val="36EF7988"/>
    <w:rsid w:val="36FB63EE"/>
    <w:rsid w:val="372064BB"/>
    <w:rsid w:val="3743316E"/>
    <w:rsid w:val="3743435D"/>
    <w:rsid w:val="375B0D0C"/>
    <w:rsid w:val="37645FBC"/>
    <w:rsid w:val="376812ED"/>
    <w:rsid w:val="3769709A"/>
    <w:rsid w:val="37740A4B"/>
    <w:rsid w:val="377851EA"/>
    <w:rsid w:val="378B6EED"/>
    <w:rsid w:val="37964C86"/>
    <w:rsid w:val="37AC284A"/>
    <w:rsid w:val="37CD31EE"/>
    <w:rsid w:val="37DF0C4A"/>
    <w:rsid w:val="3801752A"/>
    <w:rsid w:val="383243E5"/>
    <w:rsid w:val="38325055"/>
    <w:rsid w:val="385D435F"/>
    <w:rsid w:val="3866493A"/>
    <w:rsid w:val="38704BBA"/>
    <w:rsid w:val="389158D1"/>
    <w:rsid w:val="38BD6425"/>
    <w:rsid w:val="38C72BD3"/>
    <w:rsid w:val="38CB10FE"/>
    <w:rsid w:val="38CE57D6"/>
    <w:rsid w:val="38F0667B"/>
    <w:rsid w:val="38F9088D"/>
    <w:rsid w:val="3909704C"/>
    <w:rsid w:val="392A5F55"/>
    <w:rsid w:val="39347A88"/>
    <w:rsid w:val="3954643A"/>
    <w:rsid w:val="397D2964"/>
    <w:rsid w:val="39A0798F"/>
    <w:rsid w:val="39AB3DE1"/>
    <w:rsid w:val="39CC024F"/>
    <w:rsid w:val="39EA3658"/>
    <w:rsid w:val="39F33636"/>
    <w:rsid w:val="39F77540"/>
    <w:rsid w:val="39F83BCE"/>
    <w:rsid w:val="3A2F071E"/>
    <w:rsid w:val="3A361F9D"/>
    <w:rsid w:val="3A4726E5"/>
    <w:rsid w:val="3A473E1F"/>
    <w:rsid w:val="3A8256AE"/>
    <w:rsid w:val="3AC27BBB"/>
    <w:rsid w:val="3AD460E8"/>
    <w:rsid w:val="3AF60EA7"/>
    <w:rsid w:val="3B12162C"/>
    <w:rsid w:val="3B202694"/>
    <w:rsid w:val="3B5A5B02"/>
    <w:rsid w:val="3B676975"/>
    <w:rsid w:val="3B6E3D39"/>
    <w:rsid w:val="3B9056C9"/>
    <w:rsid w:val="3B9B389A"/>
    <w:rsid w:val="3BAE6D39"/>
    <w:rsid w:val="3BC45729"/>
    <w:rsid w:val="3BDE6598"/>
    <w:rsid w:val="3BEC44EB"/>
    <w:rsid w:val="3BFF7ED2"/>
    <w:rsid w:val="3C173DE6"/>
    <w:rsid w:val="3C1D41DA"/>
    <w:rsid w:val="3C2B05EC"/>
    <w:rsid w:val="3C3D05E9"/>
    <w:rsid w:val="3C403345"/>
    <w:rsid w:val="3C440EA9"/>
    <w:rsid w:val="3C4C7B40"/>
    <w:rsid w:val="3C683794"/>
    <w:rsid w:val="3C6F38E7"/>
    <w:rsid w:val="3C737D8A"/>
    <w:rsid w:val="3D0064EA"/>
    <w:rsid w:val="3D061189"/>
    <w:rsid w:val="3D086634"/>
    <w:rsid w:val="3D0A0E16"/>
    <w:rsid w:val="3D1764FE"/>
    <w:rsid w:val="3D2E2234"/>
    <w:rsid w:val="3D2F23CB"/>
    <w:rsid w:val="3D462021"/>
    <w:rsid w:val="3D81406F"/>
    <w:rsid w:val="3D867942"/>
    <w:rsid w:val="3DA9577F"/>
    <w:rsid w:val="3DCC29F9"/>
    <w:rsid w:val="3E0D58D2"/>
    <w:rsid w:val="3E26627D"/>
    <w:rsid w:val="3E5C1DBF"/>
    <w:rsid w:val="3E6D6723"/>
    <w:rsid w:val="3E871E3D"/>
    <w:rsid w:val="3E894480"/>
    <w:rsid w:val="3EDE1EA5"/>
    <w:rsid w:val="3EE060D2"/>
    <w:rsid w:val="3F095FDE"/>
    <w:rsid w:val="3F111E7B"/>
    <w:rsid w:val="3F571068"/>
    <w:rsid w:val="3F690BFA"/>
    <w:rsid w:val="3F6C09F2"/>
    <w:rsid w:val="3F8A0859"/>
    <w:rsid w:val="3FA66BFC"/>
    <w:rsid w:val="3FB35EEC"/>
    <w:rsid w:val="3FD4031B"/>
    <w:rsid w:val="3FDF2FDF"/>
    <w:rsid w:val="3FE80C32"/>
    <w:rsid w:val="3FEC5F85"/>
    <w:rsid w:val="40067165"/>
    <w:rsid w:val="405065B5"/>
    <w:rsid w:val="405634DF"/>
    <w:rsid w:val="408D72F6"/>
    <w:rsid w:val="40C9755B"/>
    <w:rsid w:val="40DB3361"/>
    <w:rsid w:val="40E57B3B"/>
    <w:rsid w:val="411D7A70"/>
    <w:rsid w:val="41313C26"/>
    <w:rsid w:val="41331B08"/>
    <w:rsid w:val="413326F7"/>
    <w:rsid w:val="413770C2"/>
    <w:rsid w:val="414678A5"/>
    <w:rsid w:val="414735C5"/>
    <w:rsid w:val="41476AEC"/>
    <w:rsid w:val="416C5BEB"/>
    <w:rsid w:val="418E4AD8"/>
    <w:rsid w:val="41B434DD"/>
    <w:rsid w:val="41BE57D7"/>
    <w:rsid w:val="41D76EBE"/>
    <w:rsid w:val="41F17E98"/>
    <w:rsid w:val="4222332E"/>
    <w:rsid w:val="423F522C"/>
    <w:rsid w:val="426B15E4"/>
    <w:rsid w:val="428A4ED0"/>
    <w:rsid w:val="429F0F4C"/>
    <w:rsid w:val="42B061B0"/>
    <w:rsid w:val="42F32A9D"/>
    <w:rsid w:val="42F80D1E"/>
    <w:rsid w:val="432F1BCE"/>
    <w:rsid w:val="43336892"/>
    <w:rsid w:val="435A07AB"/>
    <w:rsid w:val="436E3112"/>
    <w:rsid w:val="437324EF"/>
    <w:rsid w:val="437C14DB"/>
    <w:rsid w:val="4389397B"/>
    <w:rsid w:val="43B3068C"/>
    <w:rsid w:val="43C0162D"/>
    <w:rsid w:val="43C74BC6"/>
    <w:rsid w:val="43CA2A12"/>
    <w:rsid w:val="43D174D0"/>
    <w:rsid w:val="43DA7A2A"/>
    <w:rsid w:val="43E845A3"/>
    <w:rsid w:val="43EA6C93"/>
    <w:rsid w:val="43ED3099"/>
    <w:rsid w:val="43F86AC2"/>
    <w:rsid w:val="440A546C"/>
    <w:rsid w:val="443E6EA7"/>
    <w:rsid w:val="444004B3"/>
    <w:rsid w:val="44416FE5"/>
    <w:rsid w:val="44436D15"/>
    <w:rsid w:val="445F19FE"/>
    <w:rsid w:val="44855D15"/>
    <w:rsid w:val="44B47C83"/>
    <w:rsid w:val="44E41911"/>
    <w:rsid w:val="44F07765"/>
    <w:rsid w:val="450C58D2"/>
    <w:rsid w:val="45187C5F"/>
    <w:rsid w:val="45264251"/>
    <w:rsid w:val="45390F89"/>
    <w:rsid w:val="454D6039"/>
    <w:rsid w:val="455B2FC6"/>
    <w:rsid w:val="45652C25"/>
    <w:rsid w:val="456B5F59"/>
    <w:rsid w:val="4572796F"/>
    <w:rsid w:val="457817EF"/>
    <w:rsid w:val="462366D6"/>
    <w:rsid w:val="463F45BA"/>
    <w:rsid w:val="46A775B2"/>
    <w:rsid w:val="46A83D78"/>
    <w:rsid w:val="46B57894"/>
    <w:rsid w:val="46C73369"/>
    <w:rsid w:val="46D7274B"/>
    <w:rsid w:val="46E10E1C"/>
    <w:rsid w:val="46E46CA4"/>
    <w:rsid w:val="46E50C2D"/>
    <w:rsid w:val="47290F7D"/>
    <w:rsid w:val="472E0B04"/>
    <w:rsid w:val="47417646"/>
    <w:rsid w:val="47481733"/>
    <w:rsid w:val="478416E8"/>
    <w:rsid w:val="47890E77"/>
    <w:rsid w:val="478C2EDD"/>
    <w:rsid w:val="47AC0EA6"/>
    <w:rsid w:val="47AC42D8"/>
    <w:rsid w:val="47B553A6"/>
    <w:rsid w:val="47BB68CF"/>
    <w:rsid w:val="47C9229C"/>
    <w:rsid w:val="47EB2CE8"/>
    <w:rsid w:val="48456ECD"/>
    <w:rsid w:val="48546F43"/>
    <w:rsid w:val="485519B1"/>
    <w:rsid w:val="48595206"/>
    <w:rsid w:val="485C6944"/>
    <w:rsid w:val="486A01F2"/>
    <w:rsid w:val="486D4222"/>
    <w:rsid w:val="4872468E"/>
    <w:rsid w:val="489502B8"/>
    <w:rsid w:val="48C91EFC"/>
    <w:rsid w:val="48CD2100"/>
    <w:rsid w:val="48D949E7"/>
    <w:rsid w:val="48F7296C"/>
    <w:rsid w:val="48FC0314"/>
    <w:rsid w:val="490208D3"/>
    <w:rsid w:val="495E42D0"/>
    <w:rsid w:val="49617696"/>
    <w:rsid w:val="498169D8"/>
    <w:rsid w:val="498E2477"/>
    <w:rsid w:val="49A51DF8"/>
    <w:rsid w:val="49DF4FF5"/>
    <w:rsid w:val="49E37B4A"/>
    <w:rsid w:val="49F673B9"/>
    <w:rsid w:val="4A065533"/>
    <w:rsid w:val="4A206456"/>
    <w:rsid w:val="4A306749"/>
    <w:rsid w:val="4A3961C4"/>
    <w:rsid w:val="4A5226D6"/>
    <w:rsid w:val="4A9B0CCE"/>
    <w:rsid w:val="4AF25607"/>
    <w:rsid w:val="4B164A5D"/>
    <w:rsid w:val="4B2C5913"/>
    <w:rsid w:val="4B5A300C"/>
    <w:rsid w:val="4B5D6E0E"/>
    <w:rsid w:val="4B68198E"/>
    <w:rsid w:val="4BC6792F"/>
    <w:rsid w:val="4BC93689"/>
    <w:rsid w:val="4BCC3958"/>
    <w:rsid w:val="4BE534A5"/>
    <w:rsid w:val="4BEB6F85"/>
    <w:rsid w:val="4BEF29A3"/>
    <w:rsid w:val="4C35401A"/>
    <w:rsid w:val="4C4649FE"/>
    <w:rsid w:val="4C575BC8"/>
    <w:rsid w:val="4C5855C1"/>
    <w:rsid w:val="4C610DEE"/>
    <w:rsid w:val="4CB438B2"/>
    <w:rsid w:val="4CC31226"/>
    <w:rsid w:val="4CD40AA8"/>
    <w:rsid w:val="4CE0723A"/>
    <w:rsid w:val="4CF14503"/>
    <w:rsid w:val="4CF40764"/>
    <w:rsid w:val="4D270D4A"/>
    <w:rsid w:val="4D3A5D0F"/>
    <w:rsid w:val="4D484C3E"/>
    <w:rsid w:val="4D5918D0"/>
    <w:rsid w:val="4D5E0196"/>
    <w:rsid w:val="4D6931CC"/>
    <w:rsid w:val="4DC869D4"/>
    <w:rsid w:val="4DE06012"/>
    <w:rsid w:val="4DE11EEF"/>
    <w:rsid w:val="4DEB2DBC"/>
    <w:rsid w:val="4DF16817"/>
    <w:rsid w:val="4DF2323B"/>
    <w:rsid w:val="4DF36483"/>
    <w:rsid w:val="4DF70BD1"/>
    <w:rsid w:val="4DFB2447"/>
    <w:rsid w:val="4E064C43"/>
    <w:rsid w:val="4E0A6971"/>
    <w:rsid w:val="4E7376EB"/>
    <w:rsid w:val="4E795396"/>
    <w:rsid w:val="4E7B0477"/>
    <w:rsid w:val="4E8E1406"/>
    <w:rsid w:val="4EA371E7"/>
    <w:rsid w:val="4F090EB8"/>
    <w:rsid w:val="4F143544"/>
    <w:rsid w:val="4F2270E3"/>
    <w:rsid w:val="4F460734"/>
    <w:rsid w:val="4F5316E0"/>
    <w:rsid w:val="4F603013"/>
    <w:rsid w:val="4F844FD2"/>
    <w:rsid w:val="4FC27832"/>
    <w:rsid w:val="4FE70671"/>
    <w:rsid w:val="4FF8638F"/>
    <w:rsid w:val="500C2989"/>
    <w:rsid w:val="50233AE9"/>
    <w:rsid w:val="503B406E"/>
    <w:rsid w:val="50467911"/>
    <w:rsid w:val="505C2523"/>
    <w:rsid w:val="50745043"/>
    <w:rsid w:val="5096797F"/>
    <w:rsid w:val="50A04F29"/>
    <w:rsid w:val="50B94CAD"/>
    <w:rsid w:val="50B95819"/>
    <w:rsid w:val="50C06022"/>
    <w:rsid w:val="50D055DE"/>
    <w:rsid w:val="50FA2FE3"/>
    <w:rsid w:val="51017181"/>
    <w:rsid w:val="51134EB8"/>
    <w:rsid w:val="511A6543"/>
    <w:rsid w:val="51344005"/>
    <w:rsid w:val="513710D9"/>
    <w:rsid w:val="51500352"/>
    <w:rsid w:val="51563F56"/>
    <w:rsid w:val="51582E7D"/>
    <w:rsid w:val="516679A5"/>
    <w:rsid w:val="51A52A03"/>
    <w:rsid w:val="5209685A"/>
    <w:rsid w:val="521E7A16"/>
    <w:rsid w:val="522B53F7"/>
    <w:rsid w:val="524C47D7"/>
    <w:rsid w:val="525920A6"/>
    <w:rsid w:val="525E4BDD"/>
    <w:rsid w:val="525E67DC"/>
    <w:rsid w:val="529E1380"/>
    <w:rsid w:val="529E1C20"/>
    <w:rsid w:val="529F0FC9"/>
    <w:rsid w:val="53054ACD"/>
    <w:rsid w:val="53386FE9"/>
    <w:rsid w:val="53387F4D"/>
    <w:rsid w:val="534C43ED"/>
    <w:rsid w:val="534F351D"/>
    <w:rsid w:val="53854ACD"/>
    <w:rsid w:val="53872576"/>
    <w:rsid w:val="53887AAC"/>
    <w:rsid w:val="53B2044E"/>
    <w:rsid w:val="53DA7B1D"/>
    <w:rsid w:val="54263720"/>
    <w:rsid w:val="54440270"/>
    <w:rsid w:val="544F4877"/>
    <w:rsid w:val="547004F4"/>
    <w:rsid w:val="547C14DE"/>
    <w:rsid w:val="548E7963"/>
    <w:rsid w:val="549E2CAE"/>
    <w:rsid w:val="55213BDB"/>
    <w:rsid w:val="552E5545"/>
    <w:rsid w:val="553335F4"/>
    <w:rsid w:val="55655903"/>
    <w:rsid w:val="55776698"/>
    <w:rsid w:val="55B31AF5"/>
    <w:rsid w:val="55C409EF"/>
    <w:rsid w:val="55FA1DE8"/>
    <w:rsid w:val="563F793D"/>
    <w:rsid w:val="5655153C"/>
    <w:rsid w:val="566A0095"/>
    <w:rsid w:val="56D56B73"/>
    <w:rsid w:val="56FE5BA3"/>
    <w:rsid w:val="570A0817"/>
    <w:rsid w:val="57261854"/>
    <w:rsid w:val="57407D2D"/>
    <w:rsid w:val="57462878"/>
    <w:rsid w:val="57511E3F"/>
    <w:rsid w:val="575B7656"/>
    <w:rsid w:val="57B12818"/>
    <w:rsid w:val="57F133B6"/>
    <w:rsid w:val="580B5E70"/>
    <w:rsid w:val="58256934"/>
    <w:rsid w:val="583A7AE3"/>
    <w:rsid w:val="58412D28"/>
    <w:rsid w:val="58435C1C"/>
    <w:rsid w:val="5884501F"/>
    <w:rsid w:val="589F44CB"/>
    <w:rsid w:val="58A67E14"/>
    <w:rsid w:val="58AB763D"/>
    <w:rsid w:val="58AD4BB2"/>
    <w:rsid w:val="58B5120C"/>
    <w:rsid w:val="58DF0A3B"/>
    <w:rsid w:val="59436E0A"/>
    <w:rsid w:val="5952512E"/>
    <w:rsid w:val="59525C94"/>
    <w:rsid w:val="597F144F"/>
    <w:rsid w:val="59B1393F"/>
    <w:rsid w:val="59B357D4"/>
    <w:rsid w:val="59BD3201"/>
    <w:rsid w:val="59C20C95"/>
    <w:rsid w:val="5A0F3905"/>
    <w:rsid w:val="5A2D1796"/>
    <w:rsid w:val="5A3E6E37"/>
    <w:rsid w:val="5A5A1FB4"/>
    <w:rsid w:val="5A791D75"/>
    <w:rsid w:val="5A8B23E3"/>
    <w:rsid w:val="5A9C0693"/>
    <w:rsid w:val="5B0946C8"/>
    <w:rsid w:val="5B135505"/>
    <w:rsid w:val="5B361BBF"/>
    <w:rsid w:val="5B6568F2"/>
    <w:rsid w:val="5B6D0FE0"/>
    <w:rsid w:val="5B814E9C"/>
    <w:rsid w:val="5B850D0E"/>
    <w:rsid w:val="5B8B608D"/>
    <w:rsid w:val="5BAC2F63"/>
    <w:rsid w:val="5BB810E3"/>
    <w:rsid w:val="5BE25EAA"/>
    <w:rsid w:val="5C062F3B"/>
    <w:rsid w:val="5C1A1503"/>
    <w:rsid w:val="5C3D0F25"/>
    <w:rsid w:val="5C604C98"/>
    <w:rsid w:val="5CCE575F"/>
    <w:rsid w:val="5CCF1382"/>
    <w:rsid w:val="5D064988"/>
    <w:rsid w:val="5D0664B7"/>
    <w:rsid w:val="5D467A5F"/>
    <w:rsid w:val="5D5A251A"/>
    <w:rsid w:val="5D8805E5"/>
    <w:rsid w:val="5D8C27C4"/>
    <w:rsid w:val="5D8E52F0"/>
    <w:rsid w:val="5D9D6D8C"/>
    <w:rsid w:val="5DA11D14"/>
    <w:rsid w:val="5DB13D41"/>
    <w:rsid w:val="5DD9708C"/>
    <w:rsid w:val="5DF95F32"/>
    <w:rsid w:val="5E04252A"/>
    <w:rsid w:val="5E053CA0"/>
    <w:rsid w:val="5E106B19"/>
    <w:rsid w:val="5E12646A"/>
    <w:rsid w:val="5E2E77DB"/>
    <w:rsid w:val="5E303433"/>
    <w:rsid w:val="5E8A792F"/>
    <w:rsid w:val="5EA81B04"/>
    <w:rsid w:val="5ED91C5A"/>
    <w:rsid w:val="5F0E602C"/>
    <w:rsid w:val="5F2D3594"/>
    <w:rsid w:val="5F4435BE"/>
    <w:rsid w:val="5F5369F3"/>
    <w:rsid w:val="5F6C09B2"/>
    <w:rsid w:val="5F943695"/>
    <w:rsid w:val="5F9A1F89"/>
    <w:rsid w:val="5FA13A74"/>
    <w:rsid w:val="5FA61696"/>
    <w:rsid w:val="5FBD74D8"/>
    <w:rsid w:val="5FD306E1"/>
    <w:rsid w:val="5FD622E5"/>
    <w:rsid w:val="5FE00C78"/>
    <w:rsid w:val="5FEA6EA0"/>
    <w:rsid w:val="600643DD"/>
    <w:rsid w:val="60157A1F"/>
    <w:rsid w:val="60397211"/>
    <w:rsid w:val="60567478"/>
    <w:rsid w:val="605E52B1"/>
    <w:rsid w:val="6095138F"/>
    <w:rsid w:val="60953ABD"/>
    <w:rsid w:val="60A11872"/>
    <w:rsid w:val="60A66896"/>
    <w:rsid w:val="60CA6996"/>
    <w:rsid w:val="60F95A1D"/>
    <w:rsid w:val="61456581"/>
    <w:rsid w:val="617A26B7"/>
    <w:rsid w:val="6180584D"/>
    <w:rsid w:val="618D214D"/>
    <w:rsid w:val="619C3EC7"/>
    <w:rsid w:val="61A70547"/>
    <w:rsid w:val="61C775AC"/>
    <w:rsid w:val="62376CAF"/>
    <w:rsid w:val="623F1438"/>
    <w:rsid w:val="6244402E"/>
    <w:rsid w:val="62474EC8"/>
    <w:rsid w:val="62673649"/>
    <w:rsid w:val="62786CC9"/>
    <w:rsid w:val="62820E22"/>
    <w:rsid w:val="62F52785"/>
    <w:rsid w:val="63127A15"/>
    <w:rsid w:val="63144134"/>
    <w:rsid w:val="631B0378"/>
    <w:rsid w:val="63546426"/>
    <w:rsid w:val="635E2B77"/>
    <w:rsid w:val="636021E4"/>
    <w:rsid w:val="63700C45"/>
    <w:rsid w:val="639775DB"/>
    <w:rsid w:val="639F2AD4"/>
    <w:rsid w:val="63A61357"/>
    <w:rsid w:val="63B45CBA"/>
    <w:rsid w:val="63B94017"/>
    <w:rsid w:val="63BE538E"/>
    <w:rsid w:val="63D72E4D"/>
    <w:rsid w:val="63E14A88"/>
    <w:rsid w:val="64011391"/>
    <w:rsid w:val="640371CA"/>
    <w:rsid w:val="64364C68"/>
    <w:rsid w:val="643D51D2"/>
    <w:rsid w:val="64744158"/>
    <w:rsid w:val="64874B5C"/>
    <w:rsid w:val="64A44A45"/>
    <w:rsid w:val="64AA5081"/>
    <w:rsid w:val="64B332FF"/>
    <w:rsid w:val="64C5471D"/>
    <w:rsid w:val="64D153A1"/>
    <w:rsid w:val="64E07C88"/>
    <w:rsid w:val="65120096"/>
    <w:rsid w:val="65505624"/>
    <w:rsid w:val="6560615D"/>
    <w:rsid w:val="656568AC"/>
    <w:rsid w:val="65745316"/>
    <w:rsid w:val="6592039E"/>
    <w:rsid w:val="659429BD"/>
    <w:rsid w:val="659C2C53"/>
    <w:rsid w:val="65CA6265"/>
    <w:rsid w:val="65F96FF3"/>
    <w:rsid w:val="66363E60"/>
    <w:rsid w:val="66396F8E"/>
    <w:rsid w:val="66533B3B"/>
    <w:rsid w:val="667E70DF"/>
    <w:rsid w:val="66B319B4"/>
    <w:rsid w:val="66B32512"/>
    <w:rsid w:val="66CD78BD"/>
    <w:rsid w:val="671E5F38"/>
    <w:rsid w:val="672B0349"/>
    <w:rsid w:val="672D662F"/>
    <w:rsid w:val="67576863"/>
    <w:rsid w:val="675E43F8"/>
    <w:rsid w:val="67957187"/>
    <w:rsid w:val="67B40494"/>
    <w:rsid w:val="67BC7234"/>
    <w:rsid w:val="67C87A38"/>
    <w:rsid w:val="67CB6CD4"/>
    <w:rsid w:val="67CF4111"/>
    <w:rsid w:val="67D61C15"/>
    <w:rsid w:val="67E4315C"/>
    <w:rsid w:val="68072CE8"/>
    <w:rsid w:val="681E60D1"/>
    <w:rsid w:val="68221BB3"/>
    <w:rsid w:val="685E1CC2"/>
    <w:rsid w:val="686242EB"/>
    <w:rsid w:val="686B34BC"/>
    <w:rsid w:val="686C3F99"/>
    <w:rsid w:val="68923CE0"/>
    <w:rsid w:val="68A41A37"/>
    <w:rsid w:val="68A44B75"/>
    <w:rsid w:val="68CB1F9D"/>
    <w:rsid w:val="696B2E1C"/>
    <w:rsid w:val="69852AB9"/>
    <w:rsid w:val="69C353EA"/>
    <w:rsid w:val="69C62745"/>
    <w:rsid w:val="69D6445D"/>
    <w:rsid w:val="6A317D53"/>
    <w:rsid w:val="6A324507"/>
    <w:rsid w:val="6A7D44DB"/>
    <w:rsid w:val="6AA44FEB"/>
    <w:rsid w:val="6ACE5BF6"/>
    <w:rsid w:val="6AD96D6C"/>
    <w:rsid w:val="6AEB7A7C"/>
    <w:rsid w:val="6B26377D"/>
    <w:rsid w:val="6B4B324B"/>
    <w:rsid w:val="6B5B4FF9"/>
    <w:rsid w:val="6B5B51F3"/>
    <w:rsid w:val="6B940A17"/>
    <w:rsid w:val="6BAA5682"/>
    <w:rsid w:val="6BCA5004"/>
    <w:rsid w:val="6BFE3663"/>
    <w:rsid w:val="6C0D6FD6"/>
    <w:rsid w:val="6C2109F9"/>
    <w:rsid w:val="6C6A06D8"/>
    <w:rsid w:val="6C6D6AF4"/>
    <w:rsid w:val="6C763401"/>
    <w:rsid w:val="6C990B10"/>
    <w:rsid w:val="6CC05705"/>
    <w:rsid w:val="6CCB0DF1"/>
    <w:rsid w:val="6CDF3FAB"/>
    <w:rsid w:val="6CED6C5D"/>
    <w:rsid w:val="6CF83FA1"/>
    <w:rsid w:val="6CFD188E"/>
    <w:rsid w:val="6D1874B4"/>
    <w:rsid w:val="6D4768F3"/>
    <w:rsid w:val="6D5E0BD8"/>
    <w:rsid w:val="6D7E0B8D"/>
    <w:rsid w:val="6D8B2306"/>
    <w:rsid w:val="6D901DFA"/>
    <w:rsid w:val="6DD91733"/>
    <w:rsid w:val="6E0A7B6F"/>
    <w:rsid w:val="6E47633C"/>
    <w:rsid w:val="6E620A79"/>
    <w:rsid w:val="6EE27387"/>
    <w:rsid w:val="6F093331"/>
    <w:rsid w:val="6F1D7AC1"/>
    <w:rsid w:val="6F676AFF"/>
    <w:rsid w:val="6F6B3665"/>
    <w:rsid w:val="6F9872DB"/>
    <w:rsid w:val="6FEE7AE2"/>
    <w:rsid w:val="6FFD79A9"/>
    <w:rsid w:val="70277BBD"/>
    <w:rsid w:val="702C4773"/>
    <w:rsid w:val="70565F7D"/>
    <w:rsid w:val="705A6E34"/>
    <w:rsid w:val="70741ED2"/>
    <w:rsid w:val="70944D4F"/>
    <w:rsid w:val="70DD1AD4"/>
    <w:rsid w:val="713A23BF"/>
    <w:rsid w:val="713D15B9"/>
    <w:rsid w:val="717A3871"/>
    <w:rsid w:val="71AA1C3B"/>
    <w:rsid w:val="71B20F97"/>
    <w:rsid w:val="71BF610E"/>
    <w:rsid w:val="71CB0D4C"/>
    <w:rsid w:val="71E8574C"/>
    <w:rsid w:val="71F54790"/>
    <w:rsid w:val="71F65504"/>
    <w:rsid w:val="720D245C"/>
    <w:rsid w:val="720F2088"/>
    <w:rsid w:val="72501D68"/>
    <w:rsid w:val="728E2C58"/>
    <w:rsid w:val="72B10D89"/>
    <w:rsid w:val="7324586A"/>
    <w:rsid w:val="73490FEA"/>
    <w:rsid w:val="7351175F"/>
    <w:rsid w:val="735622FE"/>
    <w:rsid w:val="7387001B"/>
    <w:rsid w:val="73951615"/>
    <w:rsid w:val="73AE6309"/>
    <w:rsid w:val="73C37460"/>
    <w:rsid w:val="73C931EE"/>
    <w:rsid w:val="74094A5C"/>
    <w:rsid w:val="74682FC0"/>
    <w:rsid w:val="747711AA"/>
    <w:rsid w:val="748A7B7A"/>
    <w:rsid w:val="7491502A"/>
    <w:rsid w:val="749A23E6"/>
    <w:rsid w:val="74B20FEF"/>
    <w:rsid w:val="74B42E41"/>
    <w:rsid w:val="74D71D65"/>
    <w:rsid w:val="74DA3C23"/>
    <w:rsid w:val="751C3CDB"/>
    <w:rsid w:val="756766E0"/>
    <w:rsid w:val="75B17641"/>
    <w:rsid w:val="75CA3951"/>
    <w:rsid w:val="75E801C1"/>
    <w:rsid w:val="75F654EC"/>
    <w:rsid w:val="76115481"/>
    <w:rsid w:val="7639690B"/>
    <w:rsid w:val="765464EA"/>
    <w:rsid w:val="765D3EF1"/>
    <w:rsid w:val="766D30E7"/>
    <w:rsid w:val="769873B1"/>
    <w:rsid w:val="769B5233"/>
    <w:rsid w:val="76A4057F"/>
    <w:rsid w:val="76A43F9A"/>
    <w:rsid w:val="76B93E06"/>
    <w:rsid w:val="76C52E0B"/>
    <w:rsid w:val="76CA48E9"/>
    <w:rsid w:val="76FB3119"/>
    <w:rsid w:val="772B1797"/>
    <w:rsid w:val="772D3D5C"/>
    <w:rsid w:val="77303EB9"/>
    <w:rsid w:val="776322E9"/>
    <w:rsid w:val="777D5C51"/>
    <w:rsid w:val="77AA7A0D"/>
    <w:rsid w:val="77FD37A0"/>
    <w:rsid w:val="785B0DF6"/>
    <w:rsid w:val="786F7A21"/>
    <w:rsid w:val="78736290"/>
    <w:rsid w:val="78A204B3"/>
    <w:rsid w:val="78D4053C"/>
    <w:rsid w:val="79064FDA"/>
    <w:rsid w:val="79070DEB"/>
    <w:rsid w:val="790F711D"/>
    <w:rsid w:val="792D0292"/>
    <w:rsid w:val="7938706A"/>
    <w:rsid w:val="79481287"/>
    <w:rsid w:val="79513E0B"/>
    <w:rsid w:val="796203E5"/>
    <w:rsid w:val="7998129A"/>
    <w:rsid w:val="79C35D42"/>
    <w:rsid w:val="7A1C7CCA"/>
    <w:rsid w:val="7A7258A9"/>
    <w:rsid w:val="7A785EC0"/>
    <w:rsid w:val="7A84675C"/>
    <w:rsid w:val="7A915449"/>
    <w:rsid w:val="7AA05031"/>
    <w:rsid w:val="7AC31012"/>
    <w:rsid w:val="7AC92A3C"/>
    <w:rsid w:val="7AD63C68"/>
    <w:rsid w:val="7AE11F78"/>
    <w:rsid w:val="7AEA5552"/>
    <w:rsid w:val="7AF75865"/>
    <w:rsid w:val="7AFB52CC"/>
    <w:rsid w:val="7B015A3F"/>
    <w:rsid w:val="7B394281"/>
    <w:rsid w:val="7B696921"/>
    <w:rsid w:val="7B7C4F1B"/>
    <w:rsid w:val="7B885F26"/>
    <w:rsid w:val="7B9E253F"/>
    <w:rsid w:val="7BA833C5"/>
    <w:rsid w:val="7BC46A74"/>
    <w:rsid w:val="7BCE0902"/>
    <w:rsid w:val="7C4F3C74"/>
    <w:rsid w:val="7C5215D6"/>
    <w:rsid w:val="7C674DFA"/>
    <w:rsid w:val="7C8863CE"/>
    <w:rsid w:val="7C980520"/>
    <w:rsid w:val="7C9F07A6"/>
    <w:rsid w:val="7CA96073"/>
    <w:rsid w:val="7CB6735B"/>
    <w:rsid w:val="7CB809D6"/>
    <w:rsid w:val="7CCF7E86"/>
    <w:rsid w:val="7CD752AC"/>
    <w:rsid w:val="7CEF0A72"/>
    <w:rsid w:val="7D072745"/>
    <w:rsid w:val="7D123CD1"/>
    <w:rsid w:val="7D6E1FD0"/>
    <w:rsid w:val="7D9F3643"/>
    <w:rsid w:val="7D9F463E"/>
    <w:rsid w:val="7DC6461F"/>
    <w:rsid w:val="7DD62431"/>
    <w:rsid w:val="7DD9671C"/>
    <w:rsid w:val="7E2C1E69"/>
    <w:rsid w:val="7E323BB6"/>
    <w:rsid w:val="7E4E0631"/>
    <w:rsid w:val="7E6D5D70"/>
    <w:rsid w:val="7E6D7561"/>
    <w:rsid w:val="7E7C3B8D"/>
    <w:rsid w:val="7EA56DA1"/>
    <w:rsid w:val="7F1F13D8"/>
    <w:rsid w:val="7F9466C4"/>
    <w:rsid w:val="7FA80FE6"/>
    <w:rsid w:val="7FBA657A"/>
    <w:rsid w:val="7FC93EF5"/>
    <w:rsid w:val="7FD80E2B"/>
    <w:rsid w:val="7FE441B9"/>
    <w:rsid w:val="7FF009C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f">
      <v:fill on="t" focussize="0,0"/>
      <v:stroke on="f"/>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qFormat="1" w:uiPriority="0" w:semiHidden="0" w:name="footnote text"/>
    <w:lsdException w:qFormat="1" w:uiPriority="99" w:semiHidden="0" w:name="annotation text"/>
    <w:lsdException w:qFormat="1" w:uiPriority="99" w:semiHidden="0" w:name="header"/>
    <w:lsdException w:qFormat="1" w:uiPriority="99" w:semiHidden="0" w:name="footer"/>
    <w:lsdException w:qFormat="1" w:unhideWhenUsed="0" w:uiPriority="0" w:semiHidden="0" w:name="index heading"/>
    <w:lsdException w:qFormat="1" w:unhideWhenUsed="0" w:uiPriority="0" w:semiHidden="0" w:name="caption"/>
    <w:lsdException w:unhideWhenUsed="0" w:uiPriority="0" w:semiHidden="0" w:name="table of figures"/>
    <w:lsdException w:qFormat="1" w:uiPriority="0" w:semiHidden="0" w:name="envelope address"/>
    <w:lsdException w:qFormat="1" w:unhideWhenUsed="0" w:uiPriority="0" w:semiHidden="0" w:name="envelope return"/>
    <w:lsdException w:qFormat="1" w:uiPriority="0" w:semiHidden="0" w:name="footnote reference"/>
    <w:lsdException w:qFormat="1" w:unhideWhenUsed="0" w:uiPriority="99" w:semiHidden="0" w:name="annotation reference"/>
    <w:lsdException w:qFormat="1"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qFormat="1" w:uiPriority="0" w:semiHidden="0" w:name="table of authorities"/>
    <w:lsdException w:unhideWhenUsed="0" w:uiPriority="0" w:semiHidden="0" w:name="macro"/>
    <w:lsdException w:qFormat="1" w:unhideWhenUsed="0" w:uiPriority="0" w:semiHidden="0" w:name="toa heading"/>
    <w:lsdException w:qFormat="1" w:unhideWhenUsed="0" w:uiPriority="0" w:semiHidden="0" w:name="List"/>
    <w:lsdException w:qFormat="1" w:unhideWhenUsed="0" w:uiPriority="0" w:semiHidden="0" w:name="List Bullet"/>
    <w:lsdException w:qFormat="1" w:unhideWhenUsed="0" w:uiPriority="0" w:semiHidden="0" w:name="List Number"/>
    <w:lsdException w:qFormat="1" w:unhideWhenUsed="0" w:uiPriority="0" w:semiHidden="0" w:name="List 2"/>
    <w:lsdException w:qFormat="1" w:unhideWhenUsed="0" w:uiPriority="0" w:semiHidden="0" w:name="List 3"/>
    <w:lsdException w:qFormat="1" w:uiPriority="0" w:semiHidden="0" w:name="List 4"/>
    <w:lsdException w:qFormat="1" w:uiPriority="0" w:semiHidden="0" w:name="List 5"/>
    <w:lsdException w:qFormat="1" w:unhideWhenUsed="0" w:uiPriority="0" w:semiHidden="0" w:name="List Bullet 2"/>
    <w:lsdException w:qFormat="1" w:unhideWhenUsed="0" w:uiPriority="0" w:semiHidden="0" w:name="List Bullet 3"/>
    <w:lsdException w:qFormat="1" w:unhideWhenUsed="0" w:uiPriority="0" w:semiHidden="0" w:name="List Bullet 4"/>
    <w:lsdException w:qFormat="1" w:unhideWhenUsed="0" w:uiPriority="0" w:semiHidden="0" w:name="List Bullet 5"/>
    <w:lsdException w:qFormat="1" w:unhideWhenUsed="0" w:uiPriority="0" w:semiHidden="0" w:name="List Number 2"/>
    <w:lsdException w:qFormat="1" w:unhideWhenUsed="0" w:uiPriority="0" w:semiHidden="0" w:name="List Number 3"/>
    <w:lsdException w:qFormat="1" w:unhideWhenUsed="0" w:uiPriority="0" w:semiHidden="0" w:name="List Number 4"/>
    <w:lsdException w:qFormat="1" w:unhideWhenUsed="0" w:uiPriority="0" w:semiHidden="0" w:name="List Number 5"/>
    <w:lsdException w:qFormat="1" w:unhideWhenUsed="0" w:uiPriority="10" w:semiHidden="0" w:name="Title"/>
    <w:lsdException w:qFormat="1" w:uiPriority="0" w:semiHidden="0" w:name="Closing"/>
    <w:lsdException w:qFormat="1" w:uiPriority="0" w:semiHidden="0" w:name="Signature"/>
    <w:lsdException w:qFormat="1" w:uiPriority="1" w:name="Default Paragraph Font"/>
    <w:lsdException w:qFormat="1" w:uiPriority="0" w:semiHidden="0" w:name="Body Text"/>
    <w:lsdException w:qFormat="1" w:unhideWhenUsed="0" w:uiPriority="0" w:semiHidden="0" w:name="Body Text Indent"/>
    <w:lsdException w:qFormat="1" w:uiPriority="0" w:semiHidden="0" w:name="List Continue"/>
    <w:lsdException w:qFormat="1" w:uiPriority="0" w:semiHidden="0" w:name="List Continue 2"/>
    <w:lsdException w:qFormat="1" w:uiPriority="0" w:semiHidden="0" w:name="List Continue 3"/>
    <w:lsdException w:qFormat="1" w:uiPriority="0" w:semiHidden="0" w:name="List Continue 4"/>
    <w:lsdException w:qFormat="1" w:uiPriority="0" w:semiHidden="0" w:name="List Continue 5"/>
    <w:lsdException w:qFormat="1" w:uiPriority="0" w:semiHidden="0" w:name="Message Header"/>
    <w:lsdException w:qFormat="1" w:unhideWhenUsed="0" w:uiPriority="0" w:semiHidden="0" w:name="Subtitle"/>
    <w:lsdException w:qFormat="1" w:uiPriority="0" w:semiHidden="0" w:name="Salutation"/>
    <w:lsdException w:qFormat="1" w:unhideWhenUsed="0" w:uiPriority="0" w:semiHidden="0" w:name="Date"/>
    <w:lsdException w:qFormat="1" w:unhideWhenUsed="0" w:uiPriority="99" w:semiHidden="0" w:name="Body Text First Indent"/>
    <w:lsdException w:qFormat="1" w:unhideWhenUsed="0" w:uiPriority="0" w:semiHidden="0" w:name="Body Text First Indent 2"/>
    <w:lsdException w:qFormat="1" w:unhideWhenUsed="0" w:uiPriority="0" w:semiHidden="0" w:name="Note Heading"/>
    <w:lsdException w:qFormat="1" w:unhideWhenUsed="0" w:uiPriority="99" w:semiHidden="0" w:name="Body Text 2"/>
    <w:lsdException w:qFormat="1" w:unhideWhenUsed="0" w:uiPriority="0" w:semiHidden="0" w:name="Body Text 3"/>
    <w:lsdException w:qFormat="1" w:unhideWhenUsed="0" w:uiPriority="0" w:semiHidden="0" w:name="Body Text Indent 2"/>
    <w:lsdException w:qFormat="1" w:unhideWhenUsed="0" w:uiPriority="99" w:semiHidden="0" w:name="Body Text Indent 3"/>
    <w:lsdException w:qFormat="1"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qFormat="1" w:unhideWhenUsed="0" w:uiPriority="0" w:semiHidden="0" w:name="E-mail Signature"/>
    <w:lsdException w:qFormat="1" w:unhideWhenUsed="0" w:uiPriority="99" w:semiHidden="0" w:name="Normal (Web)"/>
    <w:lsdException w:qFormat="1" w:unhideWhenUsed="0" w:uiPriority="0" w:semiHidden="0" w:name="HTML Acronym"/>
    <w:lsdException w:qFormat="1" w:uiPriority="0" w:semiHidden="0" w:name="HTML Address"/>
    <w:lsdException w:qFormat="1" w:uiPriority="0" w:semiHidden="0" w:name="HTML Cite"/>
    <w:lsdException w:qFormat="1" w:unhideWhenUsed="0" w:uiPriority="0" w:semiHidden="0" w:name="HTML Code"/>
    <w:lsdException w:qFormat="1" w:uiPriority="0" w:semiHidden="0" w:name="HTML Definition"/>
    <w:lsdException w:qFormat="1" w:uiPriority="0" w:semiHidden="0" w:name="HTML Keyboard"/>
    <w:lsdException w:qFormat="1" w:unhideWhenUsed="0" w:uiPriority="0" w:semiHidden="0" w:name="HTML Preformatted"/>
    <w:lsdException w:qFormat="1" w:uiPriority="0" w:semiHidden="0" w:name="HTML Sample"/>
    <w:lsdException w:qFormat="1" w:uiPriority="0" w:semiHidden="0" w:name="HTML Typewriter"/>
    <w:lsdException w:qFormat="1" w:uiPriority="0" w:semiHidden="0" w:name="HTML Variable"/>
    <w:lsdException w:qFormat="1" w:uiPriority="99" w:name="Normal Table"/>
    <w:lsdException w:qFormat="1" w:uiPriority="99"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99" w:semiHidden="0" w:name="Balloon Text"/>
    <w:lsdException w:qFormat="1" w:unhideWhenUsed="0" w:uiPriority="99" w:semiHidden="0" w:name="Table Grid"/>
    <w:lsdException w:qFormat="1"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宋体" w:hAnsi="宋体" w:eastAsia="宋体" w:cs="Times New Roman"/>
      <w:sz w:val="21"/>
      <w:szCs w:val="21"/>
      <w:lang w:val="en-US" w:eastAsia="zh-CN" w:bidi="ar-SA"/>
    </w:rPr>
  </w:style>
  <w:style w:type="paragraph" w:styleId="2">
    <w:name w:val="heading 1"/>
    <w:basedOn w:val="1"/>
    <w:next w:val="1"/>
    <w:link w:val="97"/>
    <w:qFormat/>
    <w:uiPriority w:val="9"/>
    <w:pPr>
      <w:pageBreakBefore/>
      <w:numPr>
        <w:ilvl w:val="0"/>
        <w:numId w:val="1"/>
      </w:numPr>
      <w:spacing w:before="120" w:beforeLines="50" w:line="480" w:lineRule="exact"/>
      <w:jc w:val="center"/>
      <w:outlineLvl w:val="0"/>
    </w:pPr>
    <w:rPr>
      <w:rFonts w:ascii="Times New Roman" w:hAnsi="Times New Roman" w:eastAsia="黑体"/>
      <w:bCs/>
      <w:color w:val="000000"/>
      <w:kern w:val="44"/>
      <w:sz w:val="32"/>
      <w:szCs w:val="32"/>
    </w:rPr>
  </w:style>
  <w:style w:type="paragraph" w:styleId="3">
    <w:name w:val="heading 2"/>
    <w:basedOn w:val="1"/>
    <w:next w:val="1"/>
    <w:link w:val="98"/>
    <w:qFormat/>
    <w:uiPriority w:val="0"/>
    <w:pPr>
      <w:keepNext/>
      <w:keepLines/>
      <w:numPr>
        <w:ilvl w:val="1"/>
        <w:numId w:val="2"/>
      </w:numPr>
      <w:spacing w:line="360" w:lineRule="auto"/>
      <w:outlineLvl w:val="1"/>
    </w:pPr>
    <w:rPr>
      <w:szCs w:val="20"/>
    </w:rPr>
  </w:style>
  <w:style w:type="paragraph" w:styleId="4">
    <w:name w:val="heading 3"/>
    <w:basedOn w:val="1"/>
    <w:next w:val="1"/>
    <w:link w:val="99"/>
    <w:qFormat/>
    <w:uiPriority w:val="0"/>
    <w:pPr>
      <w:keepNext/>
      <w:keepLines/>
      <w:numPr>
        <w:ilvl w:val="2"/>
        <w:numId w:val="2"/>
      </w:numPr>
      <w:spacing w:line="360" w:lineRule="auto"/>
      <w:outlineLvl w:val="2"/>
    </w:pPr>
    <w:rPr>
      <w:rFonts w:hAnsi="Arial Black"/>
      <w:sz w:val="24"/>
    </w:rPr>
  </w:style>
  <w:style w:type="paragraph" w:styleId="5">
    <w:name w:val="heading 4"/>
    <w:basedOn w:val="1"/>
    <w:next w:val="1"/>
    <w:link w:val="100"/>
    <w:qFormat/>
    <w:uiPriority w:val="0"/>
    <w:pPr>
      <w:keepNext/>
      <w:keepLines/>
      <w:spacing w:line="360" w:lineRule="auto"/>
      <w:ind w:left="795"/>
      <w:outlineLvl w:val="3"/>
    </w:pPr>
    <w:rPr>
      <w:rFonts w:hAnsi="Arial"/>
      <w:szCs w:val="20"/>
    </w:rPr>
  </w:style>
  <w:style w:type="paragraph" w:styleId="6">
    <w:name w:val="heading 5"/>
    <w:basedOn w:val="1"/>
    <w:next w:val="1"/>
    <w:link w:val="101"/>
    <w:qFormat/>
    <w:uiPriority w:val="0"/>
    <w:pPr>
      <w:keepNext/>
      <w:keepLines/>
      <w:spacing w:line="360" w:lineRule="auto"/>
      <w:outlineLvl w:val="4"/>
    </w:pPr>
    <w:rPr>
      <w:rFonts w:hAnsi="Arial"/>
      <w:szCs w:val="20"/>
    </w:rPr>
  </w:style>
  <w:style w:type="paragraph" w:styleId="7">
    <w:name w:val="heading 6"/>
    <w:basedOn w:val="1"/>
    <w:next w:val="1"/>
    <w:link w:val="102"/>
    <w:qFormat/>
    <w:uiPriority w:val="0"/>
    <w:pPr>
      <w:keepNext/>
      <w:spacing w:line="280" w:lineRule="exact"/>
      <w:jc w:val="center"/>
      <w:outlineLvl w:val="5"/>
    </w:pPr>
    <w:rPr>
      <w:b/>
      <w:sz w:val="24"/>
    </w:rPr>
  </w:style>
  <w:style w:type="paragraph" w:styleId="8">
    <w:name w:val="heading 7"/>
    <w:basedOn w:val="1"/>
    <w:next w:val="1"/>
    <w:link w:val="103"/>
    <w:qFormat/>
    <w:uiPriority w:val="0"/>
    <w:pPr>
      <w:keepNext/>
      <w:keepLines/>
      <w:spacing w:before="240" w:after="64" w:line="319" w:lineRule="auto"/>
      <w:ind w:right="113"/>
      <w:outlineLvl w:val="6"/>
    </w:pPr>
    <w:rPr>
      <w:rFonts w:hAnsi="Times New Roman"/>
      <w:spacing w:val="10"/>
      <w:sz w:val="24"/>
      <w:szCs w:val="20"/>
    </w:rPr>
  </w:style>
  <w:style w:type="paragraph" w:styleId="9">
    <w:name w:val="heading 8"/>
    <w:basedOn w:val="1"/>
    <w:next w:val="1"/>
    <w:link w:val="104"/>
    <w:qFormat/>
    <w:uiPriority w:val="0"/>
    <w:pPr>
      <w:keepNext/>
      <w:keepLines/>
      <w:spacing w:before="240" w:after="64" w:line="319" w:lineRule="auto"/>
      <w:ind w:right="113"/>
      <w:outlineLvl w:val="7"/>
    </w:pPr>
    <w:rPr>
      <w:rFonts w:ascii="Arial" w:hAnsi="Arial" w:eastAsia="黑体"/>
      <w:spacing w:val="10"/>
      <w:sz w:val="24"/>
      <w:szCs w:val="20"/>
    </w:rPr>
  </w:style>
  <w:style w:type="paragraph" w:styleId="10">
    <w:name w:val="heading 9"/>
    <w:basedOn w:val="1"/>
    <w:next w:val="1"/>
    <w:link w:val="105"/>
    <w:qFormat/>
    <w:uiPriority w:val="0"/>
    <w:pPr>
      <w:keepNext/>
      <w:keepLines/>
      <w:spacing w:before="240" w:after="64" w:line="319" w:lineRule="auto"/>
      <w:ind w:right="113"/>
      <w:outlineLvl w:val="8"/>
    </w:pPr>
    <w:rPr>
      <w:rFonts w:ascii="Arial" w:hAnsi="Arial" w:eastAsia="黑体"/>
      <w:spacing w:val="10"/>
      <w:szCs w:val="20"/>
    </w:rPr>
  </w:style>
  <w:style w:type="character" w:default="1" w:styleId="80">
    <w:name w:val="Default Paragraph Font"/>
    <w:semiHidden/>
    <w:unhideWhenUsed/>
    <w:qFormat/>
    <w:uiPriority w:val="1"/>
  </w:style>
  <w:style w:type="table" w:default="1" w:styleId="77">
    <w:name w:val="Normal Table"/>
    <w:semiHidden/>
    <w:unhideWhenUsed/>
    <w:qFormat/>
    <w:uiPriority w:val="99"/>
    <w:tblPr>
      <w:tblCellMar>
        <w:top w:w="0" w:type="dxa"/>
        <w:left w:w="108" w:type="dxa"/>
        <w:bottom w:w="0" w:type="dxa"/>
        <w:right w:w="108" w:type="dxa"/>
      </w:tblCellMar>
    </w:tblPr>
  </w:style>
  <w:style w:type="paragraph" w:styleId="11">
    <w:name w:val="List 3"/>
    <w:basedOn w:val="1"/>
    <w:qFormat/>
    <w:uiPriority w:val="0"/>
    <w:pPr>
      <w:ind w:left="100" w:leftChars="400" w:hanging="200" w:hangingChars="200"/>
    </w:pPr>
  </w:style>
  <w:style w:type="paragraph" w:styleId="12">
    <w:name w:val="toc 7"/>
    <w:basedOn w:val="1"/>
    <w:next w:val="1"/>
    <w:qFormat/>
    <w:uiPriority w:val="39"/>
    <w:pPr>
      <w:ind w:left="1260"/>
      <w:jc w:val="left"/>
    </w:pPr>
    <w:rPr>
      <w:rFonts w:ascii="Times New Roman" w:hAnsi="Times New Roman"/>
      <w:sz w:val="18"/>
      <w:szCs w:val="18"/>
    </w:rPr>
  </w:style>
  <w:style w:type="paragraph" w:styleId="13">
    <w:name w:val="List Number 2"/>
    <w:basedOn w:val="1"/>
    <w:qFormat/>
    <w:uiPriority w:val="0"/>
    <w:pPr>
      <w:tabs>
        <w:tab w:val="left" w:pos="780"/>
      </w:tabs>
      <w:ind w:left="780" w:hanging="360"/>
    </w:pPr>
    <w:rPr>
      <w:rFonts w:ascii="Times New Roman" w:hAnsi="Times New Roman"/>
    </w:rPr>
  </w:style>
  <w:style w:type="paragraph" w:styleId="14">
    <w:name w:val="table of authorities"/>
    <w:basedOn w:val="1"/>
    <w:next w:val="1"/>
    <w:unhideWhenUsed/>
    <w:qFormat/>
    <w:uiPriority w:val="0"/>
    <w:pPr>
      <w:ind w:left="420" w:leftChars="200"/>
    </w:pPr>
    <w:rPr>
      <w:rFonts w:ascii="Times New Roman" w:hAnsi="Times New Roman"/>
      <w:kern w:val="2"/>
      <w:szCs w:val="24"/>
    </w:rPr>
  </w:style>
  <w:style w:type="paragraph" w:styleId="15">
    <w:name w:val="Note Heading"/>
    <w:basedOn w:val="1"/>
    <w:next w:val="1"/>
    <w:link w:val="106"/>
    <w:qFormat/>
    <w:uiPriority w:val="0"/>
    <w:pPr>
      <w:jc w:val="center"/>
    </w:pPr>
    <w:rPr>
      <w:rFonts w:ascii="Times New Roman" w:hAnsi="Times New Roman"/>
    </w:rPr>
  </w:style>
  <w:style w:type="paragraph" w:styleId="16">
    <w:name w:val="List Bullet 4"/>
    <w:basedOn w:val="1"/>
    <w:qFormat/>
    <w:uiPriority w:val="0"/>
    <w:pPr>
      <w:tabs>
        <w:tab w:val="left" w:pos="1620"/>
      </w:tabs>
      <w:ind w:left="1620" w:hanging="360"/>
    </w:pPr>
    <w:rPr>
      <w:rFonts w:ascii="Times New Roman" w:hAnsi="Times New Roman"/>
    </w:rPr>
  </w:style>
  <w:style w:type="paragraph" w:styleId="17">
    <w:name w:val="E-mail Signature"/>
    <w:basedOn w:val="1"/>
    <w:link w:val="107"/>
    <w:qFormat/>
    <w:uiPriority w:val="0"/>
    <w:rPr>
      <w:rFonts w:ascii="Times New Roman" w:hAnsi="Times New Roman"/>
    </w:rPr>
  </w:style>
  <w:style w:type="paragraph" w:styleId="18">
    <w:name w:val="List Number"/>
    <w:basedOn w:val="1"/>
    <w:qFormat/>
    <w:uiPriority w:val="0"/>
    <w:pPr>
      <w:tabs>
        <w:tab w:val="left" w:pos="360"/>
      </w:tabs>
      <w:ind w:left="360" w:hanging="360"/>
    </w:pPr>
    <w:rPr>
      <w:rFonts w:ascii="Times New Roman" w:hAnsi="Times New Roman"/>
    </w:rPr>
  </w:style>
  <w:style w:type="paragraph" w:styleId="19">
    <w:name w:val="Normal Indent"/>
    <w:basedOn w:val="1"/>
    <w:link w:val="108"/>
    <w:qFormat/>
    <w:uiPriority w:val="0"/>
    <w:pPr>
      <w:ind w:firstLine="420"/>
    </w:pPr>
    <w:rPr>
      <w:rFonts w:hAnsi="Arial Black"/>
      <w:sz w:val="20"/>
    </w:rPr>
  </w:style>
  <w:style w:type="paragraph" w:styleId="20">
    <w:name w:val="caption"/>
    <w:basedOn w:val="1"/>
    <w:next w:val="21"/>
    <w:link w:val="109"/>
    <w:qFormat/>
    <w:uiPriority w:val="0"/>
    <w:pPr>
      <w:spacing w:before="152" w:after="160"/>
    </w:pPr>
    <w:rPr>
      <w:rFonts w:ascii="Arial" w:hAnsi="Arial" w:eastAsia="黑体"/>
      <w:kern w:val="2"/>
      <w:sz w:val="20"/>
      <w:szCs w:val="20"/>
    </w:rPr>
  </w:style>
  <w:style w:type="paragraph" w:styleId="21">
    <w:name w:val="Body Text First Indent"/>
    <w:basedOn w:val="22"/>
    <w:next w:val="1"/>
    <w:link w:val="111"/>
    <w:qFormat/>
    <w:uiPriority w:val="99"/>
    <w:pPr>
      <w:overflowPunct w:val="0"/>
      <w:snapToGrid w:val="0"/>
      <w:spacing w:line="480" w:lineRule="exact"/>
      <w:ind w:firstLine="420"/>
    </w:pPr>
    <w:rPr>
      <w:rFonts w:ascii="Arial" w:hAnsi="Arial" w:eastAsia="仿宋_GB2312"/>
      <w:kern w:val="2"/>
      <w:sz w:val="28"/>
    </w:rPr>
  </w:style>
  <w:style w:type="paragraph" w:styleId="22">
    <w:name w:val="Body Text"/>
    <w:basedOn w:val="1"/>
    <w:next w:val="1"/>
    <w:link w:val="110"/>
    <w:unhideWhenUsed/>
    <w:qFormat/>
    <w:uiPriority w:val="0"/>
    <w:pPr>
      <w:spacing w:after="120"/>
    </w:pPr>
  </w:style>
  <w:style w:type="paragraph" w:styleId="23">
    <w:name w:val="List Bullet"/>
    <w:basedOn w:val="1"/>
    <w:qFormat/>
    <w:uiPriority w:val="0"/>
    <w:pPr>
      <w:tabs>
        <w:tab w:val="left" w:pos="360"/>
      </w:tabs>
      <w:ind w:left="360" w:hanging="360"/>
    </w:pPr>
    <w:rPr>
      <w:rFonts w:ascii="Times New Roman" w:hAnsi="Times New Roman"/>
    </w:rPr>
  </w:style>
  <w:style w:type="paragraph" w:styleId="24">
    <w:name w:val="envelope address"/>
    <w:basedOn w:val="1"/>
    <w:unhideWhenUsed/>
    <w:qFormat/>
    <w:uiPriority w:val="0"/>
    <w:pPr>
      <w:framePr w:w="7920" w:h="1980" w:hSpace="180" w:wrap="around" w:vAnchor="margin" w:hAnchor="page" w:xAlign="center" w:yAlign="bottom"/>
      <w:snapToGrid w:val="0"/>
      <w:ind w:left="100" w:leftChars="1400"/>
    </w:pPr>
    <w:rPr>
      <w:rFonts w:ascii="Arial" w:hAnsi="Arial" w:cs="Arial"/>
      <w:kern w:val="2"/>
      <w:sz w:val="24"/>
      <w:szCs w:val="24"/>
    </w:rPr>
  </w:style>
  <w:style w:type="paragraph" w:styleId="25">
    <w:name w:val="Document Map"/>
    <w:basedOn w:val="1"/>
    <w:link w:val="112"/>
    <w:qFormat/>
    <w:uiPriority w:val="0"/>
    <w:pPr>
      <w:shd w:val="clear" w:color="auto" w:fill="000080"/>
    </w:pPr>
  </w:style>
  <w:style w:type="paragraph" w:styleId="26">
    <w:name w:val="toa heading"/>
    <w:basedOn w:val="1"/>
    <w:next w:val="1"/>
    <w:qFormat/>
    <w:uiPriority w:val="0"/>
    <w:pPr>
      <w:spacing w:before="120"/>
    </w:pPr>
    <w:rPr>
      <w:rFonts w:ascii="Arial" w:hAnsi="Arial" w:cs="Arial"/>
      <w:kern w:val="2"/>
      <w:sz w:val="24"/>
      <w:szCs w:val="24"/>
    </w:rPr>
  </w:style>
  <w:style w:type="paragraph" w:styleId="27">
    <w:name w:val="annotation text"/>
    <w:basedOn w:val="1"/>
    <w:link w:val="113"/>
    <w:unhideWhenUsed/>
    <w:qFormat/>
    <w:uiPriority w:val="99"/>
    <w:pPr>
      <w:jc w:val="left"/>
    </w:pPr>
  </w:style>
  <w:style w:type="paragraph" w:styleId="28">
    <w:name w:val="Salutation"/>
    <w:basedOn w:val="1"/>
    <w:next w:val="1"/>
    <w:link w:val="114"/>
    <w:unhideWhenUsed/>
    <w:qFormat/>
    <w:uiPriority w:val="0"/>
    <w:rPr>
      <w:rFonts w:ascii="Times New Roman" w:hAnsi="Times New Roman"/>
      <w:kern w:val="2"/>
      <w:szCs w:val="24"/>
    </w:rPr>
  </w:style>
  <w:style w:type="paragraph" w:styleId="29">
    <w:name w:val="Body Text 3"/>
    <w:basedOn w:val="1"/>
    <w:link w:val="115"/>
    <w:qFormat/>
    <w:uiPriority w:val="0"/>
  </w:style>
  <w:style w:type="paragraph" w:styleId="30">
    <w:name w:val="Closing"/>
    <w:basedOn w:val="1"/>
    <w:link w:val="116"/>
    <w:unhideWhenUsed/>
    <w:qFormat/>
    <w:uiPriority w:val="0"/>
    <w:pPr>
      <w:ind w:left="100" w:leftChars="2100"/>
    </w:pPr>
    <w:rPr>
      <w:rFonts w:ascii="Times New Roman" w:hAnsi="Times New Roman"/>
      <w:kern w:val="2"/>
      <w:szCs w:val="24"/>
    </w:rPr>
  </w:style>
  <w:style w:type="paragraph" w:styleId="31">
    <w:name w:val="List Bullet 3"/>
    <w:basedOn w:val="1"/>
    <w:qFormat/>
    <w:uiPriority w:val="0"/>
    <w:pPr>
      <w:tabs>
        <w:tab w:val="left" w:pos="1200"/>
      </w:tabs>
      <w:spacing w:before="50" w:line="500" w:lineRule="exact"/>
      <w:ind w:left="1200" w:hanging="360"/>
    </w:pPr>
    <w:rPr>
      <w:rFonts w:ascii="Times New Roman" w:hAnsi="Times New Roman"/>
      <w:spacing w:val="6"/>
      <w:sz w:val="28"/>
      <w:szCs w:val="20"/>
    </w:rPr>
  </w:style>
  <w:style w:type="paragraph" w:styleId="32">
    <w:name w:val="Body Text Indent"/>
    <w:basedOn w:val="1"/>
    <w:link w:val="117"/>
    <w:qFormat/>
    <w:uiPriority w:val="0"/>
    <w:pPr>
      <w:autoSpaceDE w:val="0"/>
      <w:autoSpaceDN w:val="0"/>
      <w:adjustRightInd w:val="0"/>
      <w:snapToGrid w:val="0"/>
      <w:spacing w:line="360" w:lineRule="auto"/>
      <w:ind w:firstLine="540"/>
      <w:jc w:val="left"/>
      <w:textAlignment w:val="baseline"/>
    </w:pPr>
    <w:rPr>
      <w:rFonts w:hAnsi="Times New Roman"/>
      <w:sz w:val="24"/>
    </w:rPr>
  </w:style>
  <w:style w:type="paragraph" w:styleId="33">
    <w:name w:val="List Number 3"/>
    <w:basedOn w:val="1"/>
    <w:qFormat/>
    <w:uiPriority w:val="0"/>
    <w:pPr>
      <w:tabs>
        <w:tab w:val="left" w:pos="1200"/>
      </w:tabs>
      <w:ind w:left="1200" w:hanging="360"/>
    </w:pPr>
    <w:rPr>
      <w:rFonts w:ascii="Times New Roman" w:hAnsi="Times New Roman"/>
    </w:rPr>
  </w:style>
  <w:style w:type="paragraph" w:styleId="34">
    <w:name w:val="List 2"/>
    <w:basedOn w:val="1"/>
    <w:link w:val="118"/>
    <w:qFormat/>
    <w:uiPriority w:val="0"/>
    <w:pPr>
      <w:ind w:left="100" w:leftChars="200" w:hanging="200" w:hangingChars="200"/>
    </w:pPr>
  </w:style>
  <w:style w:type="paragraph" w:styleId="35">
    <w:name w:val="List Continue"/>
    <w:basedOn w:val="1"/>
    <w:unhideWhenUsed/>
    <w:qFormat/>
    <w:uiPriority w:val="0"/>
    <w:pPr>
      <w:spacing w:after="120"/>
      <w:ind w:left="420" w:leftChars="200"/>
    </w:pPr>
    <w:rPr>
      <w:rFonts w:ascii="Times New Roman" w:hAnsi="Times New Roman"/>
      <w:kern w:val="2"/>
      <w:szCs w:val="24"/>
    </w:rPr>
  </w:style>
  <w:style w:type="paragraph" w:styleId="36">
    <w:name w:val="Block Text"/>
    <w:basedOn w:val="1"/>
    <w:qFormat/>
    <w:uiPriority w:val="0"/>
    <w:pPr>
      <w:spacing w:after="120"/>
      <w:ind w:left="1440" w:right="1440"/>
    </w:pPr>
    <w:rPr>
      <w:rFonts w:hAnsi="Arial Black"/>
      <w:kern w:val="44"/>
      <w:szCs w:val="20"/>
    </w:rPr>
  </w:style>
  <w:style w:type="paragraph" w:styleId="37">
    <w:name w:val="List Bullet 2"/>
    <w:basedOn w:val="1"/>
    <w:qFormat/>
    <w:uiPriority w:val="0"/>
    <w:pPr>
      <w:tabs>
        <w:tab w:val="left" w:pos="780"/>
      </w:tabs>
      <w:spacing w:before="50" w:line="500" w:lineRule="exact"/>
      <w:ind w:left="780" w:hanging="360"/>
    </w:pPr>
    <w:rPr>
      <w:rFonts w:ascii="Times New Roman" w:hAnsi="Times New Roman"/>
      <w:spacing w:val="6"/>
      <w:sz w:val="28"/>
      <w:szCs w:val="20"/>
    </w:rPr>
  </w:style>
  <w:style w:type="paragraph" w:styleId="38">
    <w:name w:val="HTML Address"/>
    <w:basedOn w:val="1"/>
    <w:link w:val="119"/>
    <w:unhideWhenUsed/>
    <w:qFormat/>
    <w:uiPriority w:val="0"/>
    <w:rPr>
      <w:rFonts w:ascii="Times New Roman" w:hAnsi="Times New Roman"/>
      <w:i/>
      <w:iCs/>
      <w:kern w:val="2"/>
      <w:szCs w:val="24"/>
    </w:rPr>
  </w:style>
  <w:style w:type="paragraph" w:styleId="39">
    <w:name w:val="toc 5"/>
    <w:basedOn w:val="1"/>
    <w:next w:val="1"/>
    <w:qFormat/>
    <w:uiPriority w:val="39"/>
    <w:pPr>
      <w:ind w:left="840"/>
      <w:jc w:val="left"/>
    </w:pPr>
    <w:rPr>
      <w:rFonts w:ascii="Times New Roman" w:hAnsi="Times New Roman"/>
      <w:sz w:val="18"/>
      <w:szCs w:val="18"/>
    </w:rPr>
  </w:style>
  <w:style w:type="paragraph" w:styleId="40">
    <w:name w:val="toc 3"/>
    <w:basedOn w:val="1"/>
    <w:next w:val="1"/>
    <w:qFormat/>
    <w:uiPriority w:val="39"/>
    <w:pPr>
      <w:tabs>
        <w:tab w:val="right" w:leader="dot" w:pos="8303"/>
      </w:tabs>
      <w:ind w:left="420"/>
      <w:jc w:val="left"/>
    </w:pPr>
    <w:rPr>
      <w:rFonts w:ascii="黑体" w:hAnsi="Times New Roman" w:eastAsia="黑体"/>
      <w:bCs/>
      <w:i/>
      <w:iCs/>
      <w:color w:val="000000"/>
      <w:kern w:val="24"/>
      <w:sz w:val="20"/>
      <w:szCs w:val="20"/>
    </w:rPr>
  </w:style>
  <w:style w:type="paragraph" w:styleId="41">
    <w:name w:val="Plain Text"/>
    <w:basedOn w:val="1"/>
    <w:link w:val="120"/>
    <w:qFormat/>
    <w:uiPriority w:val="0"/>
    <w:rPr>
      <w:rFonts w:hAnsi="Courier New"/>
      <w:sz w:val="20"/>
    </w:rPr>
  </w:style>
  <w:style w:type="paragraph" w:styleId="42">
    <w:name w:val="List Bullet 5"/>
    <w:basedOn w:val="1"/>
    <w:qFormat/>
    <w:uiPriority w:val="0"/>
    <w:pPr>
      <w:tabs>
        <w:tab w:val="left" w:pos="2040"/>
      </w:tabs>
      <w:ind w:left="2040" w:hanging="360"/>
    </w:pPr>
    <w:rPr>
      <w:rFonts w:ascii="Times New Roman" w:hAnsi="Times New Roman"/>
    </w:rPr>
  </w:style>
  <w:style w:type="paragraph" w:styleId="43">
    <w:name w:val="List Number 4"/>
    <w:basedOn w:val="1"/>
    <w:qFormat/>
    <w:uiPriority w:val="0"/>
    <w:pPr>
      <w:tabs>
        <w:tab w:val="left" w:pos="1620"/>
      </w:tabs>
      <w:ind w:left="1620" w:hanging="360"/>
    </w:pPr>
    <w:rPr>
      <w:rFonts w:ascii="Times New Roman" w:hAnsi="Times New Roman"/>
    </w:rPr>
  </w:style>
  <w:style w:type="paragraph" w:styleId="44">
    <w:name w:val="toc 8"/>
    <w:basedOn w:val="1"/>
    <w:next w:val="1"/>
    <w:qFormat/>
    <w:uiPriority w:val="39"/>
    <w:pPr>
      <w:ind w:left="1470"/>
      <w:jc w:val="left"/>
    </w:pPr>
    <w:rPr>
      <w:rFonts w:ascii="Times New Roman" w:hAnsi="Times New Roman"/>
      <w:sz w:val="18"/>
      <w:szCs w:val="18"/>
    </w:rPr>
  </w:style>
  <w:style w:type="paragraph" w:styleId="45">
    <w:name w:val="Date"/>
    <w:basedOn w:val="1"/>
    <w:next w:val="1"/>
    <w:link w:val="121"/>
    <w:qFormat/>
    <w:uiPriority w:val="0"/>
    <w:pPr>
      <w:ind w:left="100" w:leftChars="2500"/>
    </w:pPr>
  </w:style>
  <w:style w:type="paragraph" w:styleId="46">
    <w:name w:val="Body Text Indent 2"/>
    <w:basedOn w:val="1"/>
    <w:link w:val="122"/>
    <w:qFormat/>
    <w:uiPriority w:val="0"/>
    <w:pPr>
      <w:spacing w:line="360" w:lineRule="auto"/>
      <w:ind w:firstLine="645"/>
    </w:pPr>
    <w:rPr>
      <w:kern w:val="24"/>
    </w:rPr>
  </w:style>
  <w:style w:type="paragraph" w:styleId="47">
    <w:name w:val="List Continue 5"/>
    <w:basedOn w:val="1"/>
    <w:unhideWhenUsed/>
    <w:qFormat/>
    <w:uiPriority w:val="0"/>
    <w:pPr>
      <w:spacing w:after="120"/>
      <w:ind w:left="2100" w:leftChars="1000"/>
    </w:pPr>
    <w:rPr>
      <w:rFonts w:ascii="Times New Roman" w:hAnsi="Times New Roman"/>
      <w:kern w:val="2"/>
      <w:szCs w:val="24"/>
    </w:rPr>
  </w:style>
  <w:style w:type="paragraph" w:styleId="48">
    <w:name w:val="Balloon Text"/>
    <w:basedOn w:val="1"/>
    <w:link w:val="123"/>
    <w:qFormat/>
    <w:uiPriority w:val="99"/>
    <w:rPr>
      <w:rFonts w:ascii="Times New Roman" w:hAnsi="Times New Roman"/>
      <w:sz w:val="18"/>
      <w:szCs w:val="18"/>
    </w:rPr>
  </w:style>
  <w:style w:type="paragraph" w:styleId="49">
    <w:name w:val="footer"/>
    <w:basedOn w:val="1"/>
    <w:link w:val="124"/>
    <w:unhideWhenUsed/>
    <w:qFormat/>
    <w:uiPriority w:val="99"/>
    <w:pPr>
      <w:tabs>
        <w:tab w:val="center" w:pos="4153"/>
        <w:tab w:val="right" w:pos="8306"/>
      </w:tabs>
      <w:snapToGrid w:val="0"/>
      <w:jc w:val="left"/>
    </w:pPr>
    <w:rPr>
      <w:sz w:val="18"/>
      <w:szCs w:val="18"/>
    </w:rPr>
  </w:style>
  <w:style w:type="paragraph" w:styleId="50">
    <w:name w:val="envelope return"/>
    <w:basedOn w:val="1"/>
    <w:qFormat/>
    <w:uiPriority w:val="0"/>
    <w:pPr>
      <w:snapToGrid w:val="0"/>
    </w:pPr>
    <w:rPr>
      <w:rFonts w:ascii="Arial" w:hAnsi="Arial" w:cs="Arial"/>
    </w:rPr>
  </w:style>
  <w:style w:type="paragraph" w:styleId="51">
    <w:name w:val="header"/>
    <w:basedOn w:val="1"/>
    <w:link w:val="125"/>
    <w:unhideWhenUsed/>
    <w:qFormat/>
    <w:uiPriority w:val="99"/>
    <w:pPr>
      <w:pBdr>
        <w:bottom w:val="single" w:color="auto" w:sz="6" w:space="1"/>
      </w:pBdr>
      <w:tabs>
        <w:tab w:val="center" w:pos="4153"/>
        <w:tab w:val="right" w:pos="8306"/>
      </w:tabs>
      <w:snapToGrid w:val="0"/>
      <w:jc w:val="center"/>
    </w:pPr>
    <w:rPr>
      <w:sz w:val="18"/>
      <w:szCs w:val="18"/>
    </w:rPr>
  </w:style>
  <w:style w:type="paragraph" w:styleId="52">
    <w:name w:val="Signature"/>
    <w:basedOn w:val="1"/>
    <w:link w:val="126"/>
    <w:unhideWhenUsed/>
    <w:qFormat/>
    <w:uiPriority w:val="0"/>
    <w:pPr>
      <w:ind w:left="100" w:leftChars="2100"/>
    </w:pPr>
    <w:rPr>
      <w:rFonts w:ascii="Times New Roman" w:hAnsi="Times New Roman"/>
      <w:kern w:val="2"/>
      <w:szCs w:val="24"/>
    </w:rPr>
  </w:style>
  <w:style w:type="paragraph" w:styleId="53">
    <w:name w:val="toc 1"/>
    <w:basedOn w:val="1"/>
    <w:next w:val="1"/>
    <w:qFormat/>
    <w:uiPriority w:val="39"/>
    <w:pPr>
      <w:tabs>
        <w:tab w:val="right" w:leader="dot" w:pos="8303"/>
      </w:tabs>
      <w:spacing w:line="480" w:lineRule="exact"/>
      <w:jc w:val="left"/>
    </w:pPr>
    <w:rPr>
      <w:rFonts w:ascii="Times New Roman" w:hAnsi="Times New Roman"/>
      <w:b/>
      <w:bCs/>
      <w:caps/>
      <w:sz w:val="30"/>
      <w:szCs w:val="30"/>
    </w:rPr>
  </w:style>
  <w:style w:type="paragraph" w:styleId="54">
    <w:name w:val="List Continue 4"/>
    <w:basedOn w:val="1"/>
    <w:unhideWhenUsed/>
    <w:qFormat/>
    <w:uiPriority w:val="0"/>
    <w:pPr>
      <w:spacing w:after="120"/>
      <w:ind w:left="1680" w:leftChars="800"/>
    </w:pPr>
    <w:rPr>
      <w:rFonts w:ascii="Times New Roman" w:hAnsi="Times New Roman"/>
      <w:kern w:val="2"/>
      <w:szCs w:val="24"/>
    </w:rPr>
  </w:style>
  <w:style w:type="paragraph" w:styleId="55">
    <w:name w:val="toc 4"/>
    <w:basedOn w:val="1"/>
    <w:next w:val="1"/>
    <w:qFormat/>
    <w:uiPriority w:val="39"/>
    <w:pPr>
      <w:ind w:left="630"/>
      <w:jc w:val="left"/>
    </w:pPr>
    <w:rPr>
      <w:rFonts w:ascii="Times New Roman" w:hAnsi="Times New Roman"/>
      <w:sz w:val="18"/>
      <w:szCs w:val="18"/>
    </w:rPr>
  </w:style>
  <w:style w:type="paragraph" w:styleId="56">
    <w:name w:val="index heading"/>
    <w:basedOn w:val="1"/>
    <w:next w:val="57"/>
    <w:qFormat/>
    <w:uiPriority w:val="0"/>
    <w:rPr>
      <w:rFonts w:ascii="Arial" w:hAnsi="Arial" w:cs="Arial"/>
      <w:b/>
      <w:bCs/>
    </w:rPr>
  </w:style>
  <w:style w:type="paragraph" w:styleId="57">
    <w:name w:val="index 1"/>
    <w:basedOn w:val="1"/>
    <w:next w:val="1"/>
    <w:qFormat/>
    <w:uiPriority w:val="0"/>
  </w:style>
  <w:style w:type="paragraph" w:styleId="58">
    <w:name w:val="Subtitle"/>
    <w:basedOn w:val="1"/>
    <w:link w:val="127"/>
    <w:qFormat/>
    <w:uiPriority w:val="0"/>
    <w:pPr>
      <w:spacing w:before="240" w:after="60" w:line="312" w:lineRule="auto"/>
      <w:jc w:val="center"/>
      <w:outlineLvl w:val="1"/>
    </w:pPr>
    <w:rPr>
      <w:rFonts w:ascii="Arial" w:hAnsi="Arial"/>
      <w:b/>
      <w:bCs/>
      <w:kern w:val="28"/>
      <w:sz w:val="32"/>
      <w:szCs w:val="32"/>
    </w:rPr>
  </w:style>
  <w:style w:type="paragraph" w:styleId="59">
    <w:name w:val="List Number 5"/>
    <w:basedOn w:val="1"/>
    <w:qFormat/>
    <w:uiPriority w:val="0"/>
    <w:pPr>
      <w:tabs>
        <w:tab w:val="left" w:pos="2040"/>
      </w:tabs>
      <w:ind w:left="2040" w:hanging="360"/>
    </w:pPr>
    <w:rPr>
      <w:rFonts w:ascii="Times New Roman" w:hAnsi="Times New Roman"/>
      <w:szCs w:val="20"/>
    </w:rPr>
  </w:style>
  <w:style w:type="paragraph" w:styleId="60">
    <w:name w:val="List"/>
    <w:basedOn w:val="1"/>
    <w:qFormat/>
    <w:uiPriority w:val="0"/>
    <w:pPr>
      <w:ind w:left="200" w:hanging="200" w:hangingChars="200"/>
      <w:contextualSpacing/>
    </w:pPr>
  </w:style>
  <w:style w:type="paragraph" w:styleId="61">
    <w:name w:val="footnote text"/>
    <w:basedOn w:val="1"/>
    <w:link w:val="128"/>
    <w:unhideWhenUsed/>
    <w:qFormat/>
    <w:uiPriority w:val="0"/>
    <w:pPr>
      <w:adjustRightInd w:val="0"/>
      <w:snapToGrid w:val="0"/>
      <w:spacing w:line="360" w:lineRule="auto"/>
      <w:ind w:firstLine="200" w:firstLineChars="200"/>
      <w:jc w:val="left"/>
    </w:pPr>
    <w:rPr>
      <w:rFonts w:hAnsi="Times New Roman"/>
      <w:kern w:val="2"/>
      <w:sz w:val="18"/>
      <w:szCs w:val="20"/>
    </w:rPr>
  </w:style>
  <w:style w:type="paragraph" w:styleId="62">
    <w:name w:val="toc 6"/>
    <w:basedOn w:val="1"/>
    <w:next w:val="1"/>
    <w:qFormat/>
    <w:uiPriority w:val="39"/>
    <w:pPr>
      <w:ind w:left="1050"/>
      <w:jc w:val="left"/>
    </w:pPr>
    <w:rPr>
      <w:rFonts w:ascii="Times New Roman" w:hAnsi="Times New Roman"/>
      <w:sz w:val="18"/>
      <w:szCs w:val="18"/>
    </w:rPr>
  </w:style>
  <w:style w:type="paragraph" w:styleId="63">
    <w:name w:val="List 5"/>
    <w:basedOn w:val="1"/>
    <w:unhideWhenUsed/>
    <w:qFormat/>
    <w:uiPriority w:val="0"/>
    <w:pPr>
      <w:ind w:left="100" w:leftChars="800" w:hanging="200" w:hangingChars="200"/>
    </w:pPr>
    <w:rPr>
      <w:rFonts w:ascii="Times New Roman" w:hAnsi="Times New Roman"/>
      <w:kern w:val="2"/>
      <w:szCs w:val="24"/>
    </w:rPr>
  </w:style>
  <w:style w:type="paragraph" w:styleId="64">
    <w:name w:val="Body Text Indent 3"/>
    <w:basedOn w:val="1"/>
    <w:link w:val="129"/>
    <w:qFormat/>
    <w:uiPriority w:val="99"/>
    <w:pPr>
      <w:spacing w:line="360" w:lineRule="auto"/>
      <w:ind w:firstLine="560"/>
    </w:pPr>
  </w:style>
  <w:style w:type="paragraph" w:styleId="65">
    <w:name w:val="toc 2"/>
    <w:basedOn w:val="1"/>
    <w:next w:val="1"/>
    <w:qFormat/>
    <w:uiPriority w:val="39"/>
    <w:pPr>
      <w:ind w:left="210"/>
      <w:jc w:val="left"/>
    </w:pPr>
    <w:rPr>
      <w:rFonts w:ascii="Times New Roman" w:hAnsi="Times New Roman"/>
      <w:smallCaps/>
      <w:sz w:val="20"/>
      <w:szCs w:val="20"/>
    </w:rPr>
  </w:style>
  <w:style w:type="paragraph" w:styleId="66">
    <w:name w:val="toc 9"/>
    <w:basedOn w:val="1"/>
    <w:next w:val="1"/>
    <w:qFormat/>
    <w:uiPriority w:val="39"/>
    <w:pPr>
      <w:ind w:left="1680"/>
      <w:jc w:val="left"/>
    </w:pPr>
    <w:rPr>
      <w:rFonts w:ascii="Times New Roman" w:hAnsi="Times New Roman"/>
      <w:sz w:val="18"/>
      <w:szCs w:val="18"/>
    </w:rPr>
  </w:style>
  <w:style w:type="paragraph" w:styleId="67">
    <w:name w:val="Body Text 2"/>
    <w:basedOn w:val="1"/>
    <w:link w:val="130"/>
    <w:qFormat/>
    <w:uiPriority w:val="99"/>
    <w:pPr>
      <w:jc w:val="center"/>
    </w:pPr>
  </w:style>
  <w:style w:type="paragraph" w:styleId="68">
    <w:name w:val="List 4"/>
    <w:basedOn w:val="1"/>
    <w:unhideWhenUsed/>
    <w:qFormat/>
    <w:uiPriority w:val="0"/>
    <w:pPr>
      <w:ind w:left="100" w:leftChars="600" w:hanging="200" w:hangingChars="200"/>
    </w:pPr>
    <w:rPr>
      <w:rFonts w:ascii="Times New Roman" w:hAnsi="Times New Roman"/>
      <w:kern w:val="2"/>
      <w:szCs w:val="24"/>
    </w:rPr>
  </w:style>
  <w:style w:type="paragraph" w:styleId="69">
    <w:name w:val="List Continue 2"/>
    <w:basedOn w:val="1"/>
    <w:unhideWhenUsed/>
    <w:qFormat/>
    <w:uiPriority w:val="0"/>
    <w:pPr>
      <w:spacing w:after="120"/>
      <w:ind w:left="840" w:leftChars="400"/>
    </w:pPr>
    <w:rPr>
      <w:rFonts w:ascii="Times New Roman" w:hAnsi="Times New Roman"/>
      <w:kern w:val="2"/>
      <w:szCs w:val="24"/>
    </w:rPr>
  </w:style>
  <w:style w:type="paragraph" w:styleId="70">
    <w:name w:val="Message Header"/>
    <w:basedOn w:val="1"/>
    <w:link w:val="131"/>
    <w:unhideWhenUsed/>
    <w:qFormat/>
    <w:uiPriority w:val="0"/>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Arial" w:hAnsi="Arial"/>
      <w:kern w:val="2"/>
      <w:sz w:val="24"/>
      <w:szCs w:val="24"/>
    </w:rPr>
  </w:style>
  <w:style w:type="paragraph" w:styleId="71">
    <w:name w:val="HTML Preformatted"/>
    <w:basedOn w:val="1"/>
    <w:link w:val="132"/>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sz w:val="24"/>
      <w:szCs w:val="24"/>
    </w:rPr>
  </w:style>
  <w:style w:type="paragraph" w:styleId="72">
    <w:name w:val="Normal (Web)"/>
    <w:basedOn w:val="1"/>
    <w:qFormat/>
    <w:uiPriority w:val="99"/>
    <w:pPr>
      <w:widowControl/>
      <w:spacing w:before="100" w:beforeAutospacing="1" w:after="100" w:afterAutospacing="1"/>
      <w:jc w:val="left"/>
    </w:pPr>
    <w:rPr>
      <w:rFonts w:cs="宋体"/>
    </w:rPr>
  </w:style>
  <w:style w:type="paragraph" w:styleId="73">
    <w:name w:val="List Continue 3"/>
    <w:basedOn w:val="1"/>
    <w:unhideWhenUsed/>
    <w:qFormat/>
    <w:uiPriority w:val="0"/>
    <w:pPr>
      <w:spacing w:after="120"/>
      <w:ind w:left="1260" w:leftChars="600"/>
    </w:pPr>
    <w:rPr>
      <w:rFonts w:ascii="Times New Roman" w:hAnsi="Times New Roman"/>
      <w:kern w:val="2"/>
      <w:szCs w:val="24"/>
    </w:rPr>
  </w:style>
  <w:style w:type="paragraph" w:styleId="74">
    <w:name w:val="Title"/>
    <w:basedOn w:val="1"/>
    <w:next w:val="1"/>
    <w:link w:val="133"/>
    <w:qFormat/>
    <w:uiPriority w:val="10"/>
    <w:pPr>
      <w:spacing w:before="240" w:after="60"/>
      <w:jc w:val="center"/>
      <w:outlineLvl w:val="0"/>
    </w:pPr>
    <w:rPr>
      <w:rFonts w:ascii="Cambria" w:hAnsi="Cambria"/>
      <w:b/>
      <w:bCs/>
      <w:sz w:val="32"/>
      <w:szCs w:val="32"/>
    </w:rPr>
  </w:style>
  <w:style w:type="paragraph" w:styleId="75">
    <w:name w:val="annotation subject"/>
    <w:basedOn w:val="27"/>
    <w:next w:val="27"/>
    <w:link w:val="134"/>
    <w:unhideWhenUsed/>
    <w:qFormat/>
    <w:uiPriority w:val="99"/>
    <w:rPr>
      <w:b/>
      <w:bCs/>
    </w:rPr>
  </w:style>
  <w:style w:type="paragraph" w:styleId="76">
    <w:name w:val="Body Text First Indent 2"/>
    <w:basedOn w:val="32"/>
    <w:link w:val="135"/>
    <w:qFormat/>
    <w:uiPriority w:val="0"/>
    <w:pPr>
      <w:autoSpaceDE/>
      <w:autoSpaceDN/>
      <w:adjustRightInd/>
      <w:snapToGrid/>
      <w:spacing w:after="120" w:line="240" w:lineRule="auto"/>
      <w:ind w:left="420" w:leftChars="200" w:firstLine="420" w:firstLineChars="200"/>
      <w:jc w:val="both"/>
      <w:textAlignment w:val="auto"/>
    </w:pPr>
    <w:rPr>
      <w:rFonts w:hAnsi="宋体"/>
      <w:sz w:val="21"/>
    </w:rPr>
  </w:style>
  <w:style w:type="table" w:styleId="78">
    <w:name w:val="Table Grid"/>
    <w:basedOn w:val="77"/>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79">
    <w:name w:val="Table Theme"/>
    <w:basedOn w:val="7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81">
    <w:name w:val="Strong"/>
    <w:qFormat/>
    <w:uiPriority w:val="0"/>
    <w:rPr>
      <w:b/>
      <w:bCs/>
    </w:rPr>
  </w:style>
  <w:style w:type="character" w:styleId="82">
    <w:name w:val="page number"/>
    <w:qFormat/>
    <w:uiPriority w:val="0"/>
  </w:style>
  <w:style w:type="character" w:styleId="83">
    <w:name w:val="FollowedHyperlink"/>
    <w:qFormat/>
    <w:uiPriority w:val="0"/>
    <w:rPr>
      <w:rFonts w:hint="eastAsia" w:ascii="微软雅黑" w:hAnsi="微软雅黑" w:eastAsia="微软雅黑" w:cs="微软雅黑"/>
      <w:color w:val="000000"/>
      <w:sz w:val="22"/>
      <w:szCs w:val="22"/>
      <w:u w:val="none"/>
    </w:rPr>
  </w:style>
  <w:style w:type="character" w:styleId="84">
    <w:name w:val="Emphasis"/>
    <w:qFormat/>
    <w:uiPriority w:val="0"/>
    <w:rPr>
      <w:color w:val="CC0033"/>
    </w:rPr>
  </w:style>
  <w:style w:type="character" w:styleId="85">
    <w:name w:val="line number"/>
    <w:unhideWhenUsed/>
    <w:qFormat/>
    <w:uiPriority w:val="0"/>
    <w:rPr>
      <w:rFonts w:hint="eastAsia" w:ascii="宋体" w:hAnsi="宋体" w:eastAsia="宋体" w:cs="Courier New"/>
      <w:kern w:val="2"/>
      <w:sz w:val="32"/>
      <w:szCs w:val="32"/>
      <w:lang w:val="en-US" w:eastAsia="zh-CN" w:bidi="ar-SA"/>
    </w:rPr>
  </w:style>
  <w:style w:type="character" w:styleId="86">
    <w:name w:val="HTML Definition"/>
    <w:unhideWhenUsed/>
    <w:qFormat/>
    <w:uiPriority w:val="0"/>
    <w:rPr>
      <w:rFonts w:hint="eastAsia" w:ascii="宋体" w:hAnsi="宋体" w:eastAsia="宋体" w:cs="Courier New"/>
      <w:i/>
      <w:iCs/>
      <w:kern w:val="2"/>
      <w:sz w:val="32"/>
      <w:szCs w:val="32"/>
      <w:lang w:val="en-US" w:eastAsia="zh-CN" w:bidi="ar-SA"/>
    </w:rPr>
  </w:style>
  <w:style w:type="character" w:styleId="87">
    <w:name w:val="HTML Typewriter"/>
    <w:unhideWhenUsed/>
    <w:qFormat/>
    <w:uiPriority w:val="0"/>
    <w:rPr>
      <w:rFonts w:hint="default" w:ascii="Courier New" w:hAnsi="Courier New" w:eastAsia="宋体" w:cs="Courier New"/>
      <w:kern w:val="2"/>
      <w:sz w:val="24"/>
      <w:szCs w:val="24"/>
      <w:lang w:val="en-US" w:eastAsia="zh-CN" w:bidi="ar-SA"/>
    </w:rPr>
  </w:style>
  <w:style w:type="character" w:styleId="88">
    <w:name w:val="HTML Acronym"/>
    <w:qFormat/>
    <w:uiPriority w:val="0"/>
    <w:rPr>
      <w:rFonts w:ascii="宋体" w:hAnsi="宋体" w:eastAsia="宋体" w:cs="Courier New"/>
      <w:kern w:val="2"/>
      <w:sz w:val="32"/>
      <w:szCs w:val="32"/>
      <w:lang w:val="en-US" w:eastAsia="zh-CN" w:bidi="ar-SA"/>
    </w:rPr>
  </w:style>
  <w:style w:type="character" w:styleId="89">
    <w:name w:val="HTML Variable"/>
    <w:unhideWhenUsed/>
    <w:qFormat/>
    <w:uiPriority w:val="0"/>
    <w:rPr>
      <w:rFonts w:hint="eastAsia" w:ascii="宋体" w:hAnsi="宋体" w:eastAsia="宋体" w:cs="Courier New"/>
      <w:i/>
      <w:iCs/>
      <w:kern w:val="2"/>
      <w:sz w:val="32"/>
      <w:szCs w:val="32"/>
      <w:lang w:val="en-US" w:eastAsia="zh-CN" w:bidi="ar-SA"/>
    </w:rPr>
  </w:style>
  <w:style w:type="character" w:styleId="90">
    <w:name w:val="Hyperlink"/>
    <w:qFormat/>
    <w:uiPriority w:val="99"/>
    <w:rPr>
      <w:rFonts w:hint="eastAsia" w:ascii="微软雅黑" w:hAnsi="微软雅黑" w:eastAsia="微软雅黑" w:cs="微软雅黑"/>
      <w:color w:val="000000"/>
      <w:sz w:val="22"/>
      <w:szCs w:val="22"/>
      <w:u w:val="none"/>
    </w:rPr>
  </w:style>
  <w:style w:type="character" w:styleId="91">
    <w:name w:val="HTML Code"/>
    <w:qFormat/>
    <w:uiPriority w:val="0"/>
    <w:rPr>
      <w:rFonts w:ascii="Courier New" w:hAnsi="Courier New" w:eastAsia="宋体" w:cs="Courier New"/>
      <w:kern w:val="2"/>
      <w:sz w:val="20"/>
      <w:szCs w:val="20"/>
      <w:lang w:val="en-US" w:eastAsia="zh-CN" w:bidi="ar-SA"/>
    </w:rPr>
  </w:style>
  <w:style w:type="character" w:styleId="92">
    <w:name w:val="annotation reference"/>
    <w:qFormat/>
    <w:uiPriority w:val="99"/>
    <w:rPr>
      <w:sz w:val="21"/>
      <w:szCs w:val="21"/>
    </w:rPr>
  </w:style>
  <w:style w:type="character" w:styleId="93">
    <w:name w:val="HTML Cite"/>
    <w:unhideWhenUsed/>
    <w:qFormat/>
    <w:uiPriority w:val="0"/>
    <w:rPr>
      <w:rFonts w:hint="eastAsia" w:ascii="宋体" w:hAnsi="宋体" w:eastAsia="宋体" w:cs="Courier New"/>
      <w:i/>
      <w:iCs/>
      <w:kern w:val="2"/>
      <w:sz w:val="32"/>
      <w:szCs w:val="32"/>
      <w:lang w:val="en-US" w:eastAsia="zh-CN" w:bidi="ar-SA"/>
    </w:rPr>
  </w:style>
  <w:style w:type="character" w:styleId="94">
    <w:name w:val="footnote reference"/>
    <w:unhideWhenUsed/>
    <w:qFormat/>
    <w:uiPriority w:val="0"/>
    <w:rPr>
      <w:rFonts w:hint="eastAsia" w:ascii="宋体" w:hAnsi="宋体" w:eastAsia="宋体" w:cs="Courier New"/>
      <w:kern w:val="2"/>
      <w:sz w:val="32"/>
      <w:szCs w:val="32"/>
      <w:vertAlign w:val="superscript"/>
      <w:lang w:val="en-US" w:eastAsia="zh-CN" w:bidi="ar-SA"/>
    </w:rPr>
  </w:style>
  <w:style w:type="character" w:styleId="95">
    <w:name w:val="HTML Keyboard"/>
    <w:unhideWhenUsed/>
    <w:qFormat/>
    <w:uiPriority w:val="0"/>
    <w:rPr>
      <w:rFonts w:hint="default" w:ascii="Courier New" w:hAnsi="Courier New" w:eastAsia="宋体" w:cs="Courier New"/>
      <w:kern w:val="2"/>
      <w:sz w:val="24"/>
      <w:szCs w:val="24"/>
      <w:lang w:val="en-US" w:eastAsia="zh-CN" w:bidi="ar-SA"/>
    </w:rPr>
  </w:style>
  <w:style w:type="character" w:styleId="96">
    <w:name w:val="HTML Sample"/>
    <w:unhideWhenUsed/>
    <w:qFormat/>
    <w:uiPriority w:val="0"/>
    <w:rPr>
      <w:rFonts w:hint="default" w:ascii="Courier New" w:hAnsi="Courier New" w:eastAsia="宋体" w:cs="Courier New"/>
      <w:kern w:val="2"/>
      <w:sz w:val="32"/>
      <w:szCs w:val="32"/>
      <w:lang w:val="en-US" w:eastAsia="zh-CN" w:bidi="ar-SA"/>
    </w:rPr>
  </w:style>
  <w:style w:type="character" w:customStyle="1" w:styleId="97">
    <w:name w:val="标题 1 字符"/>
    <w:link w:val="2"/>
    <w:qFormat/>
    <w:uiPriority w:val="0"/>
    <w:rPr>
      <w:rFonts w:eastAsia="黑体"/>
      <w:bCs/>
      <w:color w:val="000000"/>
      <w:kern w:val="44"/>
      <w:sz w:val="32"/>
      <w:szCs w:val="32"/>
    </w:rPr>
  </w:style>
  <w:style w:type="character" w:customStyle="1" w:styleId="98">
    <w:name w:val="标题 2 字符"/>
    <w:link w:val="3"/>
    <w:qFormat/>
    <w:uiPriority w:val="0"/>
    <w:rPr>
      <w:rFonts w:ascii="宋体" w:hAnsi="宋体"/>
      <w:sz w:val="21"/>
    </w:rPr>
  </w:style>
  <w:style w:type="character" w:customStyle="1" w:styleId="99">
    <w:name w:val="标题 3 字符"/>
    <w:link w:val="4"/>
    <w:qFormat/>
    <w:uiPriority w:val="0"/>
    <w:rPr>
      <w:rFonts w:ascii="宋体" w:hAnsi="Arial Black"/>
      <w:sz w:val="24"/>
      <w:szCs w:val="21"/>
    </w:rPr>
  </w:style>
  <w:style w:type="character" w:customStyle="1" w:styleId="100">
    <w:name w:val="标题 4 字符"/>
    <w:link w:val="5"/>
    <w:qFormat/>
    <w:uiPriority w:val="0"/>
    <w:rPr>
      <w:rFonts w:ascii="宋体" w:hAnsi="Arial" w:eastAsia="宋体"/>
      <w:sz w:val="21"/>
      <w:lang w:val="en-US" w:eastAsia="zh-CN" w:bidi="ar-SA"/>
    </w:rPr>
  </w:style>
  <w:style w:type="character" w:customStyle="1" w:styleId="101">
    <w:name w:val="标题 5 字符"/>
    <w:link w:val="6"/>
    <w:qFormat/>
    <w:uiPriority w:val="0"/>
    <w:rPr>
      <w:rFonts w:ascii="宋体" w:hAnsi="Arial" w:eastAsia="宋体"/>
      <w:sz w:val="21"/>
      <w:lang w:val="en-US" w:eastAsia="zh-CN" w:bidi="ar-SA"/>
    </w:rPr>
  </w:style>
  <w:style w:type="character" w:customStyle="1" w:styleId="102">
    <w:name w:val="标题 6 字符"/>
    <w:link w:val="7"/>
    <w:qFormat/>
    <w:uiPriority w:val="0"/>
    <w:rPr>
      <w:rFonts w:ascii="宋体" w:hAnsi="宋体" w:eastAsia="宋体"/>
      <w:b/>
      <w:sz w:val="24"/>
      <w:szCs w:val="21"/>
      <w:lang w:val="en-US" w:eastAsia="zh-CN" w:bidi="ar-SA"/>
    </w:rPr>
  </w:style>
  <w:style w:type="character" w:customStyle="1" w:styleId="103">
    <w:name w:val="标题 7 字符"/>
    <w:link w:val="8"/>
    <w:qFormat/>
    <w:uiPriority w:val="0"/>
    <w:rPr>
      <w:rFonts w:ascii="宋体" w:eastAsia="宋体"/>
      <w:spacing w:val="10"/>
      <w:sz w:val="24"/>
      <w:lang w:val="en-US" w:eastAsia="zh-CN" w:bidi="ar-SA"/>
    </w:rPr>
  </w:style>
  <w:style w:type="character" w:customStyle="1" w:styleId="104">
    <w:name w:val="标题 8 字符"/>
    <w:link w:val="9"/>
    <w:qFormat/>
    <w:uiPriority w:val="0"/>
    <w:rPr>
      <w:rFonts w:ascii="Arial" w:hAnsi="Arial" w:eastAsia="黑体"/>
      <w:spacing w:val="10"/>
      <w:sz w:val="24"/>
      <w:lang w:val="en-US" w:eastAsia="zh-CN" w:bidi="ar-SA"/>
    </w:rPr>
  </w:style>
  <w:style w:type="character" w:customStyle="1" w:styleId="105">
    <w:name w:val="标题 9 字符"/>
    <w:link w:val="10"/>
    <w:qFormat/>
    <w:uiPriority w:val="0"/>
    <w:rPr>
      <w:rFonts w:ascii="Arial" w:hAnsi="Arial" w:eastAsia="黑体"/>
      <w:spacing w:val="10"/>
      <w:sz w:val="21"/>
      <w:lang w:val="en-US" w:eastAsia="zh-CN" w:bidi="ar-SA"/>
    </w:rPr>
  </w:style>
  <w:style w:type="character" w:customStyle="1" w:styleId="106">
    <w:name w:val="注释标题 字符"/>
    <w:link w:val="15"/>
    <w:qFormat/>
    <w:uiPriority w:val="0"/>
    <w:rPr>
      <w:rFonts w:eastAsia="宋体"/>
      <w:sz w:val="21"/>
      <w:szCs w:val="21"/>
      <w:lang w:val="en-US" w:eastAsia="zh-CN" w:bidi="ar-SA"/>
    </w:rPr>
  </w:style>
  <w:style w:type="character" w:customStyle="1" w:styleId="107">
    <w:name w:val="电子邮件签名 字符"/>
    <w:link w:val="17"/>
    <w:qFormat/>
    <w:uiPriority w:val="0"/>
    <w:rPr>
      <w:rFonts w:eastAsia="宋体"/>
      <w:sz w:val="21"/>
      <w:szCs w:val="21"/>
      <w:lang w:val="en-US" w:eastAsia="zh-CN" w:bidi="ar-SA"/>
    </w:rPr>
  </w:style>
  <w:style w:type="character" w:customStyle="1" w:styleId="108">
    <w:name w:val="正文缩进 字符"/>
    <w:link w:val="19"/>
    <w:qFormat/>
    <w:uiPriority w:val="0"/>
    <w:rPr>
      <w:rFonts w:ascii="宋体" w:hAnsi="Arial Black" w:eastAsia="宋体"/>
      <w:szCs w:val="21"/>
      <w:lang w:bidi="ar-SA"/>
    </w:rPr>
  </w:style>
  <w:style w:type="character" w:customStyle="1" w:styleId="109">
    <w:name w:val="题注 字符"/>
    <w:link w:val="20"/>
    <w:qFormat/>
    <w:uiPriority w:val="0"/>
    <w:rPr>
      <w:rFonts w:ascii="Arial" w:hAnsi="Arial" w:eastAsia="黑体" w:cs="Arial"/>
      <w:kern w:val="2"/>
    </w:rPr>
  </w:style>
  <w:style w:type="character" w:customStyle="1" w:styleId="110">
    <w:name w:val="正文文本 字符"/>
    <w:link w:val="22"/>
    <w:qFormat/>
    <w:uiPriority w:val="0"/>
    <w:rPr>
      <w:rFonts w:ascii="宋体" w:hAnsi="宋体" w:eastAsia="宋体"/>
      <w:sz w:val="21"/>
      <w:szCs w:val="21"/>
      <w:lang w:val="en-US" w:eastAsia="zh-CN" w:bidi="ar-SA"/>
    </w:rPr>
  </w:style>
  <w:style w:type="character" w:customStyle="1" w:styleId="111">
    <w:name w:val="正文文本首行缩进 字符"/>
    <w:link w:val="21"/>
    <w:qFormat/>
    <w:uiPriority w:val="99"/>
    <w:rPr>
      <w:rFonts w:ascii="Arial" w:hAnsi="Arial" w:eastAsia="仿宋_GB2312"/>
      <w:kern w:val="2"/>
      <w:sz w:val="28"/>
      <w:szCs w:val="21"/>
      <w:lang w:val="en-US" w:eastAsia="zh-CN" w:bidi="ar-SA"/>
    </w:rPr>
  </w:style>
  <w:style w:type="character" w:customStyle="1" w:styleId="112">
    <w:name w:val="文档结构图 字符"/>
    <w:link w:val="25"/>
    <w:qFormat/>
    <w:uiPriority w:val="0"/>
    <w:rPr>
      <w:rFonts w:ascii="宋体" w:hAnsi="宋体" w:eastAsia="宋体"/>
      <w:sz w:val="21"/>
      <w:szCs w:val="21"/>
      <w:lang w:val="en-US" w:eastAsia="zh-CN" w:bidi="ar-SA"/>
    </w:rPr>
  </w:style>
  <w:style w:type="character" w:customStyle="1" w:styleId="113">
    <w:name w:val="批注文字 字符"/>
    <w:link w:val="27"/>
    <w:semiHidden/>
    <w:qFormat/>
    <w:uiPriority w:val="99"/>
    <w:rPr>
      <w:rFonts w:ascii="宋体" w:hAnsi="宋体" w:eastAsia="宋体"/>
      <w:sz w:val="21"/>
      <w:szCs w:val="21"/>
      <w:lang w:val="en-US" w:eastAsia="zh-CN" w:bidi="ar-SA"/>
    </w:rPr>
  </w:style>
  <w:style w:type="character" w:customStyle="1" w:styleId="114">
    <w:name w:val="称呼 字符"/>
    <w:link w:val="28"/>
    <w:qFormat/>
    <w:uiPriority w:val="0"/>
    <w:rPr>
      <w:kern w:val="2"/>
      <w:sz w:val="21"/>
      <w:szCs w:val="24"/>
    </w:rPr>
  </w:style>
  <w:style w:type="character" w:customStyle="1" w:styleId="115">
    <w:name w:val="正文文本 3 字符"/>
    <w:link w:val="29"/>
    <w:qFormat/>
    <w:uiPriority w:val="0"/>
    <w:rPr>
      <w:rFonts w:ascii="宋体" w:hAnsi="宋体" w:eastAsia="宋体"/>
      <w:sz w:val="21"/>
      <w:szCs w:val="21"/>
      <w:lang w:val="en-US" w:eastAsia="zh-CN" w:bidi="ar-SA"/>
    </w:rPr>
  </w:style>
  <w:style w:type="character" w:customStyle="1" w:styleId="116">
    <w:name w:val="结束语 字符"/>
    <w:link w:val="30"/>
    <w:qFormat/>
    <w:uiPriority w:val="0"/>
    <w:rPr>
      <w:kern w:val="2"/>
      <w:sz w:val="21"/>
      <w:szCs w:val="24"/>
    </w:rPr>
  </w:style>
  <w:style w:type="character" w:customStyle="1" w:styleId="117">
    <w:name w:val="正文文本缩进 字符"/>
    <w:link w:val="32"/>
    <w:qFormat/>
    <w:uiPriority w:val="0"/>
    <w:rPr>
      <w:rFonts w:ascii="宋体" w:eastAsia="宋体"/>
      <w:sz w:val="24"/>
      <w:szCs w:val="21"/>
      <w:lang w:val="en-US" w:eastAsia="zh-CN" w:bidi="ar-SA"/>
    </w:rPr>
  </w:style>
  <w:style w:type="character" w:customStyle="1" w:styleId="118">
    <w:name w:val="列表 2 字符"/>
    <w:link w:val="34"/>
    <w:qFormat/>
    <w:uiPriority w:val="0"/>
    <w:rPr>
      <w:rFonts w:ascii="宋体" w:hAnsi="宋体"/>
      <w:sz w:val="21"/>
      <w:szCs w:val="21"/>
    </w:rPr>
  </w:style>
  <w:style w:type="character" w:customStyle="1" w:styleId="119">
    <w:name w:val="HTML 地址 字符"/>
    <w:link w:val="38"/>
    <w:qFormat/>
    <w:uiPriority w:val="0"/>
    <w:rPr>
      <w:i/>
      <w:iCs/>
      <w:kern w:val="2"/>
      <w:sz w:val="21"/>
      <w:szCs w:val="24"/>
    </w:rPr>
  </w:style>
  <w:style w:type="character" w:customStyle="1" w:styleId="120">
    <w:name w:val="纯文本 字符"/>
    <w:link w:val="41"/>
    <w:qFormat/>
    <w:uiPriority w:val="99"/>
    <w:rPr>
      <w:rFonts w:ascii="宋体" w:hAnsi="Courier New" w:eastAsia="宋体"/>
      <w:szCs w:val="21"/>
      <w:lang w:bidi="ar-SA"/>
    </w:rPr>
  </w:style>
  <w:style w:type="character" w:customStyle="1" w:styleId="121">
    <w:name w:val="日期 字符"/>
    <w:link w:val="45"/>
    <w:qFormat/>
    <w:uiPriority w:val="0"/>
    <w:rPr>
      <w:rFonts w:ascii="宋体" w:hAnsi="宋体" w:eastAsia="宋体"/>
      <w:sz w:val="21"/>
      <w:szCs w:val="21"/>
      <w:lang w:val="en-US" w:eastAsia="zh-CN" w:bidi="ar-SA"/>
    </w:rPr>
  </w:style>
  <w:style w:type="character" w:customStyle="1" w:styleId="122">
    <w:name w:val="正文文本缩进 2 字符"/>
    <w:link w:val="46"/>
    <w:qFormat/>
    <w:uiPriority w:val="0"/>
    <w:rPr>
      <w:rFonts w:ascii="宋体" w:hAnsi="宋体" w:eastAsia="宋体"/>
      <w:kern w:val="24"/>
      <w:sz w:val="21"/>
      <w:szCs w:val="21"/>
      <w:lang w:val="en-US" w:eastAsia="zh-CN" w:bidi="ar-SA"/>
    </w:rPr>
  </w:style>
  <w:style w:type="character" w:customStyle="1" w:styleId="123">
    <w:name w:val="批注框文本 字符"/>
    <w:link w:val="48"/>
    <w:qFormat/>
    <w:uiPriority w:val="99"/>
    <w:rPr>
      <w:rFonts w:eastAsia="宋体"/>
      <w:sz w:val="18"/>
      <w:szCs w:val="18"/>
      <w:lang w:val="en-US" w:eastAsia="zh-CN" w:bidi="ar-SA"/>
    </w:rPr>
  </w:style>
  <w:style w:type="character" w:customStyle="1" w:styleId="124">
    <w:name w:val="页脚 字符"/>
    <w:link w:val="49"/>
    <w:qFormat/>
    <w:uiPriority w:val="99"/>
    <w:rPr>
      <w:rFonts w:ascii="宋体" w:hAnsi="宋体" w:eastAsia="宋体"/>
      <w:sz w:val="18"/>
      <w:szCs w:val="18"/>
      <w:lang w:val="en-US" w:eastAsia="zh-CN" w:bidi="ar-SA"/>
    </w:rPr>
  </w:style>
  <w:style w:type="character" w:customStyle="1" w:styleId="125">
    <w:name w:val="页眉 字符"/>
    <w:link w:val="51"/>
    <w:qFormat/>
    <w:uiPriority w:val="99"/>
    <w:rPr>
      <w:rFonts w:ascii="宋体" w:hAnsi="宋体" w:eastAsia="宋体"/>
      <w:sz w:val="18"/>
      <w:szCs w:val="18"/>
      <w:lang w:val="en-US" w:eastAsia="zh-CN" w:bidi="ar-SA"/>
    </w:rPr>
  </w:style>
  <w:style w:type="character" w:customStyle="1" w:styleId="126">
    <w:name w:val="签名 字符"/>
    <w:link w:val="52"/>
    <w:qFormat/>
    <w:uiPriority w:val="0"/>
    <w:rPr>
      <w:kern w:val="2"/>
      <w:sz w:val="21"/>
      <w:szCs w:val="24"/>
    </w:rPr>
  </w:style>
  <w:style w:type="character" w:customStyle="1" w:styleId="127">
    <w:name w:val="副标题 字符"/>
    <w:link w:val="58"/>
    <w:qFormat/>
    <w:uiPriority w:val="0"/>
    <w:rPr>
      <w:rFonts w:ascii="Arial" w:hAnsi="Arial" w:cs="Arial"/>
      <w:b/>
      <w:bCs/>
      <w:kern w:val="28"/>
      <w:sz w:val="32"/>
      <w:szCs w:val="32"/>
    </w:rPr>
  </w:style>
  <w:style w:type="character" w:customStyle="1" w:styleId="128">
    <w:name w:val="脚注文本 字符"/>
    <w:link w:val="61"/>
    <w:qFormat/>
    <w:uiPriority w:val="0"/>
    <w:rPr>
      <w:rFonts w:ascii="宋体"/>
      <w:kern w:val="2"/>
      <w:sz w:val="18"/>
    </w:rPr>
  </w:style>
  <w:style w:type="character" w:customStyle="1" w:styleId="129">
    <w:name w:val="正文文本缩进 3 字符"/>
    <w:link w:val="64"/>
    <w:qFormat/>
    <w:uiPriority w:val="99"/>
    <w:rPr>
      <w:rFonts w:ascii="宋体" w:hAnsi="宋体" w:eastAsia="宋体"/>
      <w:sz w:val="21"/>
      <w:szCs w:val="21"/>
      <w:lang w:val="en-US" w:eastAsia="zh-CN" w:bidi="ar-SA"/>
    </w:rPr>
  </w:style>
  <w:style w:type="character" w:customStyle="1" w:styleId="130">
    <w:name w:val="正文文本 2 字符"/>
    <w:link w:val="67"/>
    <w:qFormat/>
    <w:uiPriority w:val="99"/>
    <w:rPr>
      <w:rFonts w:ascii="宋体" w:hAnsi="宋体" w:eastAsia="宋体"/>
      <w:sz w:val="21"/>
      <w:szCs w:val="21"/>
      <w:lang w:val="en-US" w:eastAsia="zh-CN" w:bidi="ar-SA"/>
    </w:rPr>
  </w:style>
  <w:style w:type="character" w:customStyle="1" w:styleId="131">
    <w:name w:val="信息标题 字符"/>
    <w:link w:val="70"/>
    <w:qFormat/>
    <w:uiPriority w:val="0"/>
    <w:rPr>
      <w:rFonts w:ascii="Arial" w:hAnsi="Arial" w:cs="Arial"/>
      <w:kern w:val="2"/>
      <w:sz w:val="24"/>
      <w:szCs w:val="24"/>
      <w:shd w:val="pct20" w:color="auto" w:fill="auto"/>
    </w:rPr>
  </w:style>
  <w:style w:type="character" w:customStyle="1" w:styleId="132">
    <w:name w:val="HTML 预设格式 字符"/>
    <w:link w:val="71"/>
    <w:qFormat/>
    <w:uiPriority w:val="0"/>
    <w:rPr>
      <w:rFonts w:ascii="Arial" w:hAnsi="Arial" w:cs="Arial"/>
      <w:sz w:val="24"/>
      <w:szCs w:val="24"/>
    </w:rPr>
  </w:style>
  <w:style w:type="character" w:customStyle="1" w:styleId="133">
    <w:name w:val="标题 字符"/>
    <w:link w:val="74"/>
    <w:qFormat/>
    <w:uiPriority w:val="10"/>
    <w:rPr>
      <w:rFonts w:ascii="Cambria" w:hAnsi="Cambria" w:eastAsia="宋体"/>
      <w:b/>
      <w:bCs/>
      <w:sz w:val="32"/>
      <w:szCs w:val="32"/>
      <w:lang w:val="en-US" w:eastAsia="zh-CN" w:bidi="ar-SA"/>
    </w:rPr>
  </w:style>
  <w:style w:type="character" w:customStyle="1" w:styleId="134">
    <w:name w:val="批注主题 字符"/>
    <w:link w:val="75"/>
    <w:qFormat/>
    <w:uiPriority w:val="99"/>
    <w:rPr>
      <w:rFonts w:ascii="宋体" w:hAnsi="宋体" w:eastAsia="宋体"/>
      <w:b/>
      <w:bCs/>
      <w:sz w:val="21"/>
      <w:szCs w:val="21"/>
      <w:lang w:val="en-US" w:eastAsia="zh-CN" w:bidi="ar-SA"/>
    </w:rPr>
  </w:style>
  <w:style w:type="character" w:customStyle="1" w:styleId="135">
    <w:name w:val="正文文本首行缩进 2 字符"/>
    <w:link w:val="76"/>
    <w:qFormat/>
    <w:uiPriority w:val="0"/>
    <w:rPr>
      <w:rFonts w:ascii="宋体" w:hAnsi="宋体" w:eastAsia="宋体"/>
      <w:sz w:val="21"/>
      <w:szCs w:val="21"/>
      <w:lang w:val="en-US" w:eastAsia="zh-CN" w:bidi="ar-SA"/>
    </w:rPr>
  </w:style>
  <w:style w:type="paragraph" w:customStyle="1" w:styleId="136">
    <w:name w:val="11111"/>
    <w:basedOn w:val="1"/>
    <w:next w:val="1"/>
    <w:qFormat/>
    <w:uiPriority w:val="0"/>
    <w:pPr>
      <w:spacing w:line="360" w:lineRule="auto"/>
      <w:ind w:firstLine="200" w:firstLineChars="200"/>
    </w:pPr>
    <w:rPr>
      <w:rFonts w:cs="宋体"/>
      <w:sz w:val="24"/>
    </w:rPr>
  </w:style>
  <w:style w:type="character" w:customStyle="1" w:styleId="137">
    <w:name w:val="正文文字缩进 3 Char Char"/>
    <w:qFormat/>
    <w:uiPriority w:val="0"/>
    <w:rPr>
      <w:rFonts w:ascii="宋体" w:hAnsi="宋体" w:eastAsia="宋体" w:cs="Times New Roman"/>
      <w:kern w:val="0"/>
      <w:szCs w:val="21"/>
    </w:rPr>
  </w:style>
  <w:style w:type="character" w:customStyle="1" w:styleId="138">
    <w:name w:val="Normal Char"/>
    <w:link w:val="139"/>
    <w:qFormat/>
    <w:uiPriority w:val="0"/>
    <w:rPr>
      <w:rFonts w:ascii="宋体"/>
      <w:sz w:val="24"/>
      <w:lang w:val="en-US" w:eastAsia="zh-CN" w:bidi="ar-SA"/>
    </w:rPr>
  </w:style>
  <w:style w:type="paragraph" w:customStyle="1" w:styleId="139">
    <w:name w:val="正文2"/>
    <w:basedOn w:val="140"/>
    <w:link w:val="138"/>
    <w:qFormat/>
    <w:uiPriority w:val="0"/>
    <w:pPr>
      <w:textAlignment w:val="baseline"/>
    </w:pPr>
    <w:rPr>
      <w:rFonts w:ascii="宋体"/>
    </w:rPr>
  </w:style>
  <w:style w:type="paragraph" w:customStyle="1" w:styleId="140">
    <w:name w:val="正文11"/>
    <w:link w:val="141"/>
    <w:qFormat/>
    <w:uiPriority w:val="0"/>
    <w:pPr>
      <w:widowControl w:val="0"/>
      <w:adjustRightInd w:val="0"/>
      <w:spacing w:line="360" w:lineRule="atLeast"/>
    </w:pPr>
    <w:rPr>
      <w:rFonts w:ascii="Times New Roman" w:hAnsi="Times New Roman" w:eastAsia="宋体" w:cs="Times New Roman"/>
      <w:snapToGrid w:val="0"/>
      <w:sz w:val="24"/>
      <w:szCs w:val="24"/>
      <w:lang w:val="en-US" w:eastAsia="zh-CN" w:bidi="ar-SA"/>
    </w:rPr>
  </w:style>
  <w:style w:type="character" w:customStyle="1" w:styleId="141">
    <w:name w:val="正文1 Char"/>
    <w:link w:val="140"/>
    <w:qFormat/>
    <w:uiPriority w:val="0"/>
    <w:rPr>
      <w:snapToGrid w:val="0"/>
      <w:sz w:val="24"/>
      <w:szCs w:val="24"/>
      <w:lang w:val="en-US" w:eastAsia="zh-CN" w:bidi="ar-SA"/>
    </w:rPr>
  </w:style>
  <w:style w:type="character" w:customStyle="1" w:styleId="142">
    <w:name w:val="样式 正文缩进正文（首行缩进两字）1s4正文（首行缩进两字） Char正文缩进 Char表正文正文非缩进ALT+Z... Char"/>
    <w:link w:val="143"/>
    <w:qFormat/>
    <w:uiPriority w:val="0"/>
    <w:rPr>
      <w:rFonts w:eastAsia="仿宋_GB2312"/>
      <w:color w:val="000000"/>
      <w:sz w:val="24"/>
      <w:szCs w:val="24"/>
      <w:lang w:val="zh-CN"/>
    </w:rPr>
  </w:style>
  <w:style w:type="paragraph" w:customStyle="1" w:styleId="143">
    <w:name w:val="样式 正文缩进正文（首行缩进两字）1s4正文（首行缩进两字） Char正文缩进 Char表正文正文非缩进ALT+Z..."/>
    <w:basedOn w:val="19"/>
    <w:link w:val="142"/>
    <w:qFormat/>
    <w:uiPriority w:val="0"/>
    <w:pPr>
      <w:widowControl/>
      <w:tabs>
        <w:tab w:val="left" w:pos="3600"/>
        <w:tab w:val="left" w:pos="6845"/>
      </w:tabs>
      <w:adjustRightInd w:val="0"/>
      <w:snapToGrid w:val="0"/>
      <w:spacing w:line="360" w:lineRule="auto"/>
      <w:ind w:firstLine="480" w:firstLineChars="200"/>
    </w:pPr>
    <w:rPr>
      <w:rFonts w:ascii="Times New Roman" w:hAnsi="Times New Roman" w:eastAsia="仿宋_GB2312"/>
      <w:color w:val="000000"/>
      <w:sz w:val="24"/>
      <w:szCs w:val="24"/>
      <w:lang w:val="zh-CN"/>
    </w:rPr>
  </w:style>
  <w:style w:type="character" w:customStyle="1" w:styleId="144">
    <w:name w:val="fontstyle31"/>
    <w:qFormat/>
    <w:uiPriority w:val="0"/>
    <w:rPr>
      <w:rFonts w:hint="default" w:ascii="Times New Roman" w:hAnsi="Times New Roman" w:cs="Times New Roman"/>
      <w:color w:val="000000"/>
      <w:sz w:val="24"/>
      <w:szCs w:val="24"/>
    </w:rPr>
  </w:style>
  <w:style w:type="character" w:customStyle="1" w:styleId="145">
    <w:name w:val="表标题 Char"/>
    <w:link w:val="146"/>
    <w:qFormat/>
    <w:uiPriority w:val="0"/>
    <w:rPr>
      <w:rFonts w:eastAsia="宋体"/>
      <w:b/>
      <w:lang w:bidi="ar-SA"/>
    </w:rPr>
  </w:style>
  <w:style w:type="paragraph" w:customStyle="1" w:styleId="146">
    <w:name w:val="表标题"/>
    <w:basedOn w:val="1"/>
    <w:link w:val="145"/>
    <w:qFormat/>
    <w:uiPriority w:val="0"/>
    <w:pPr>
      <w:tabs>
        <w:tab w:val="left" w:pos="0"/>
      </w:tabs>
      <w:spacing w:before="240" w:after="120" w:line="360" w:lineRule="auto"/>
      <w:jc w:val="center"/>
    </w:pPr>
    <w:rPr>
      <w:rFonts w:ascii="Times New Roman" w:hAnsi="Times New Roman"/>
      <w:b/>
      <w:sz w:val="20"/>
      <w:szCs w:val="20"/>
    </w:rPr>
  </w:style>
  <w:style w:type="character" w:customStyle="1" w:styleId="147">
    <w:name w:val="正文文本 (2) + Sylfaen9"/>
    <w:qFormat/>
    <w:uiPriority w:val="99"/>
    <w:rPr>
      <w:rFonts w:ascii="Sylfaen" w:hAnsi="Sylfaen" w:eastAsia="MingLiU" w:cs="Sylfaen"/>
      <w:spacing w:val="20"/>
      <w:w w:val="66"/>
      <w:sz w:val="21"/>
      <w:szCs w:val="21"/>
      <w:u w:val="none"/>
      <w:shd w:val="clear" w:color="auto" w:fill="FFFFFF"/>
    </w:rPr>
  </w:style>
  <w:style w:type="character" w:customStyle="1" w:styleId="148">
    <w:name w:val="content1"/>
    <w:qFormat/>
    <w:uiPriority w:val="0"/>
    <w:rPr>
      <w:spacing w:val="270"/>
      <w:sz w:val="21"/>
      <w:szCs w:val="21"/>
    </w:rPr>
  </w:style>
  <w:style w:type="character" w:customStyle="1" w:styleId="149">
    <w:name w:val="正文00 Char Char"/>
    <w:qFormat/>
    <w:uiPriority w:val="0"/>
    <w:rPr>
      <w:rFonts w:eastAsia="华文中宋"/>
      <w:sz w:val="28"/>
      <w:szCs w:val="28"/>
    </w:rPr>
  </w:style>
  <w:style w:type="character" w:customStyle="1" w:styleId="150">
    <w:name w:val="页眉1 Char"/>
    <w:qFormat/>
    <w:uiPriority w:val="0"/>
    <w:rPr>
      <w:sz w:val="18"/>
      <w:szCs w:val="18"/>
    </w:rPr>
  </w:style>
  <w:style w:type="character" w:customStyle="1" w:styleId="151">
    <w:name w:val="表格标题 Char Char"/>
    <w:qFormat/>
    <w:uiPriority w:val="0"/>
    <w:rPr>
      <w:rFonts w:eastAsia="宋体"/>
      <w:kern w:val="2"/>
      <w:sz w:val="21"/>
      <w:szCs w:val="21"/>
      <w:lang w:val="en-US" w:eastAsia="zh-CN" w:bidi="ar-SA"/>
    </w:rPr>
  </w:style>
  <w:style w:type="character" w:customStyle="1" w:styleId="152">
    <w:name w:val="正文文本 (2) + Sylfaen"/>
    <w:qFormat/>
    <w:uiPriority w:val="99"/>
    <w:rPr>
      <w:rFonts w:ascii="Sylfaen" w:hAnsi="Sylfaen" w:eastAsia="MingLiU" w:cs="Sylfaen"/>
      <w:spacing w:val="20"/>
      <w:sz w:val="20"/>
      <w:szCs w:val="20"/>
      <w:u w:val="none"/>
      <w:shd w:val="clear" w:color="auto" w:fill="FFFFFF"/>
      <w:lang w:val="en-US" w:eastAsia="en-US"/>
    </w:rPr>
  </w:style>
  <w:style w:type="character" w:customStyle="1" w:styleId="153">
    <w:name w:val="H7 Char"/>
    <w:qFormat/>
    <w:uiPriority w:val="0"/>
    <w:rPr>
      <w:rFonts w:ascii="宋体" w:hAnsi="Times New Roman" w:eastAsia="宋体" w:cs="Times New Roman"/>
      <w:spacing w:val="10"/>
      <w:kern w:val="0"/>
      <w:sz w:val="24"/>
      <w:szCs w:val="20"/>
    </w:rPr>
  </w:style>
  <w:style w:type="character" w:customStyle="1" w:styleId="154">
    <w:name w:val="【正文】 Char"/>
    <w:link w:val="155"/>
    <w:qFormat/>
    <w:uiPriority w:val="0"/>
    <w:rPr>
      <w:rFonts w:cs="宋体"/>
      <w:kern w:val="2"/>
      <w:sz w:val="24"/>
    </w:rPr>
  </w:style>
  <w:style w:type="paragraph" w:customStyle="1" w:styleId="155">
    <w:name w:val="【正文】"/>
    <w:basedOn w:val="1"/>
    <w:next w:val="70"/>
    <w:link w:val="154"/>
    <w:qFormat/>
    <w:uiPriority w:val="0"/>
    <w:pPr>
      <w:spacing w:line="440" w:lineRule="exact"/>
      <w:ind w:firstLine="544" w:firstLineChars="200"/>
    </w:pPr>
    <w:rPr>
      <w:rFonts w:ascii="Times New Roman" w:hAnsi="Times New Roman"/>
      <w:kern w:val="2"/>
      <w:sz w:val="24"/>
      <w:szCs w:val="20"/>
    </w:rPr>
  </w:style>
  <w:style w:type="character" w:customStyle="1" w:styleId="156">
    <w:name w:val="font61"/>
    <w:qFormat/>
    <w:uiPriority w:val="0"/>
    <w:rPr>
      <w:rFonts w:hint="eastAsia" w:ascii="宋体" w:hAnsi="宋体" w:eastAsia="宋体" w:cs="宋体"/>
      <w:color w:val="000000"/>
      <w:sz w:val="21"/>
      <w:szCs w:val="21"/>
      <w:u w:val="none"/>
    </w:rPr>
  </w:style>
  <w:style w:type="character" w:customStyle="1" w:styleId="157">
    <w:name w:val="fsize1"/>
    <w:qFormat/>
    <w:uiPriority w:val="0"/>
    <w:rPr>
      <w:sz w:val="21"/>
      <w:szCs w:val="21"/>
    </w:rPr>
  </w:style>
  <w:style w:type="character" w:customStyle="1" w:styleId="158">
    <w:name w:val="题注 Char1"/>
    <w:qFormat/>
    <w:uiPriority w:val="0"/>
    <w:rPr>
      <w:rFonts w:eastAsia="黑体"/>
      <w:color w:val="000000"/>
      <w:sz w:val="21"/>
      <w:szCs w:val="21"/>
      <w:lang w:val="zh-CN" w:eastAsia="zh-CN" w:bidi="ar-SA"/>
    </w:rPr>
  </w:style>
  <w:style w:type="character" w:customStyle="1" w:styleId="159">
    <w:name w:val="样式 Times New Roman 五号 居中 Char"/>
    <w:link w:val="160"/>
    <w:qFormat/>
    <w:uiPriority w:val="0"/>
    <w:rPr>
      <w:rFonts w:cs="宋体"/>
      <w:kern w:val="2"/>
      <w:sz w:val="21"/>
    </w:rPr>
  </w:style>
  <w:style w:type="paragraph" w:customStyle="1" w:styleId="160">
    <w:name w:val="样式 Times New Roman 五号 居中"/>
    <w:basedOn w:val="1"/>
    <w:link w:val="159"/>
    <w:qFormat/>
    <w:uiPriority w:val="0"/>
    <w:pPr>
      <w:jc w:val="center"/>
    </w:pPr>
    <w:rPr>
      <w:rFonts w:ascii="Times New Roman" w:hAnsi="Times New Roman" w:cs="宋体"/>
      <w:kern w:val="2"/>
      <w:szCs w:val="20"/>
    </w:rPr>
  </w:style>
  <w:style w:type="character" w:customStyle="1" w:styleId="161">
    <w:name w:val="纯文本 Char1"/>
    <w:qFormat/>
    <w:uiPriority w:val="0"/>
    <w:rPr>
      <w:rFonts w:ascii="宋体" w:hAnsi="Courier New" w:eastAsia="宋体" w:cs="Courier New"/>
      <w:kern w:val="0"/>
      <w:szCs w:val="21"/>
    </w:rPr>
  </w:style>
  <w:style w:type="character" w:customStyle="1" w:styleId="162">
    <w:name w:val="正文文字-1 Char Char"/>
    <w:link w:val="163"/>
    <w:qFormat/>
    <w:uiPriority w:val="0"/>
    <w:rPr>
      <w:kern w:val="2"/>
      <w:sz w:val="24"/>
      <w:szCs w:val="24"/>
      <w:lang w:val="en-US" w:eastAsia="zh-CN" w:bidi="ar-SA"/>
    </w:rPr>
  </w:style>
  <w:style w:type="paragraph" w:customStyle="1" w:styleId="163">
    <w:name w:val="正文文字-1 Char"/>
    <w:link w:val="162"/>
    <w:qFormat/>
    <w:uiPriority w:val="0"/>
    <w:pPr>
      <w:widowControl w:val="0"/>
      <w:spacing w:before="120" w:after="120" w:line="480" w:lineRule="exact"/>
      <w:ind w:firstLine="588" w:firstLineChars="210"/>
      <w:jc w:val="both"/>
    </w:pPr>
    <w:rPr>
      <w:rFonts w:ascii="Times New Roman" w:hAnsi="Times New Roman" w:eastAsia="宋体" w:cs="Times New Roman"/>
      <w:kern w:val="2"/>
      <w:sz w:val="24"/>
      <w:szCs w:val="24"/>
      <w:lang w:val="en-US" w:eastAsia="zh-CN" w:bidi="ar-SA"/>
    </w:rPr>
  </w:style>
  <w:style w:type="character" w:customStyle="1" w:styleId="164">
    <w:name w:val="段 Char"/>
    <w:link w:val="165"/>
    <w:qFormat/>
    <w:uiPriority w:val="0"/>
    <w:rPr>
      <w:rFonts w:ascii="宋体" w:eastAsia="宋体"/>
      <w:kern w:val="2"/>
      <w:sz w:val="24"/>
      <w:szCs w:val="24"/>
      <w:lang w:val="en-US" w:eastAsia="zh-CN" w:bidi="ar-SA"/>
    </w:rPr>
  </w:style>
  <w:style w:type="paragraph" w:customStyle="1" w:styleId="165">
    <w:name w:val="段"/>
    <w:basedOn w:val="1"/>
    <w:link w:val="164"/>
    <w:qFormat/>
    <w:uiPriority w:val="0"/>
    <w:pPr>
      <w:ind w:firstLine="200" w:firstLineChars="200"/>
      <w:jc w:val="left"/>
    </w:pPr>
    <w:rPr>
      <w:rFonts w:hAnsi="Times New Roman"/>
      <w:kern w:val="2"/>
      <w:sz w:val="24"/>
      <w:szCs w:val="24"/>
    </w:rPr>
  </w:style>
  <w:style w:type="character" w:customStyle="1" w:styleId="166">
    <w:name w:val="Char Char Char Char Char"/>
    <w:link w:val="167"/>
    <w:qFormat/>
    <w:uiPriority w:val="0"/>
    <w:rPr>
      <w:rFonts w:ascii="宋体" w:hAnsi="宋体"/>
      <w:sz w:val="21"/>
      <w:szCs w:val="21"/>
    </w:rPr>
  </w:style>
  <w:style w:type="paragraph" w:customStyle="1" w:styleId="167">
    <w:name w:val="Char Char Char Char2"/>
    <w:basedOn w:val="1"/>
    <w:link w:val="166"/>
    <w:qFormat/>
    <w:uiPriority w:val="0"/>
    <w:pPr>
      <w:snapToGrid w:val="0"/>
      <w:spacing w:line="360" w:lineRule="auto"/>
      <w:ind w:firstLine="200" w:firstLineChars="200"/>
    </w:pPr>
  </w:style>
  <w:style w:type="character" w:customStyle="1" w:styleId="168">
    <w:name w:val="正 Char1"/>
    <w:link w:val="169"/>
    <w:qFormat/>
    <w:uiPriority w:val="0"/>
    <w:rPr>
      <w:rFonts w:ascii="Calibri" w:hAnsi="Calibri" w:cs="宋体"/>
      <w:kern w:val="2"/>
      <w:sz w:val="24"/>
    </w:rPr>
  </w:style>
  <w:style w:type="paragraph" w:customStyle="1" w:styleId="169">
    <w:name w:val="正"/>
    <w:basedOn w:val="1"/>
    <w:link w:val="168"/>
    <w:qFormat/>
    <w:uiPriority w:val="0"/>
    <w:pPr>
      <w:spacing w:beforeLines="25" w:afterLines="25" w:line="440" w:lineRule="exact"/>
      <w:ind w:firstLine="200" w:firstLineChars="200"/>
    </w:pPr>
    <w:rPr>
      <w:rFonts w:ascii="Calibri" w:hAnsi="Calibri"/>
      <w:kern w:val="2"/>
      <w:sz w:val="24"/>
      <w:szCs w:val="20"/>
    </w:rPr>
  </w:style>
  <w:style w:type="character" w:customStyle="1" w:styleId="170">
    <w:name w:val="正文00 Char"/>
    <w:link w:val="171"/>
    <w:qFormat/>
    <w:uiPriority w:val="0"/>
    <w:rPr>
      <w:rFonts w:ascii="Calibri" w:hAnsi="Calibri" w:cs="宋体"/>
      <w:kern w:val="2"/>
      <w:sz w:val="24"/>
      <w:szCs w:val="24"/>
    </w:rPr>
  </w:style>
  <w:style w:type="paragraph" w:customStyle="1" w:styleId="171">
    <w:name w:val="正文00"/>
    <w:basedOn w:val="1"/>
    <w:link w:val="170"/>
    <w:qFormat/>
    <w:uiPriority w:val="0"/>
    <w:pPr>
      <w:spacing w:line="360" w:lineRule="auto"/>
      <w:ind w:firstLine="480" w:firstLineChars="200"/>
    </w:pPr>
    <w:rPr>
      <w:rFonts w:ascii="Calibri" w:hAnsi="Calibri"/>
      <w:kern w:val="2"/>
      <w:sz w:val="24"/>
      <w:szCs w:val="24"/>
    </w:rPr>
  </w:style>
  <w:style w:type="character" w:customStyle="1" w:styleId="172">
    <w:name w:val="radio-btn2"/>
    <w:qFormat/>
    <w:uiPriority w:val="0"/>
    <w:rPr>
      <w:sz w:val="24"/>
      <w:szCs w:val="24"/>
    </w:rPr>
  </w:style>
  <w:style w:type="character" w:customStyle="1" w:styleId="173">
    <w:name w:val="条标题1.1.1 Char Char"/>
    <w:qFormat/>
    <w:uiPriority w:val="0"/>
    <w:rPr>
      <w:rFonts w:ascii="宋体" w:hAnsi="Arial Black" w:eastAsia="宋体"/>
      <w:sz w:val="24"/>
      <w:lang w:val="en-US" w:eastAsia="zh-CN" w:bidi="ar-SA"/>
    </w:rPr>
  </w:style>
  <w:style w:type="character" w:customStyle="1" w:styleId="174">
    <w:name w:val="正文文本 (2) + 9.5 pt8"/>
    <w:qFormat/>
    <w:uiPriority w:val="99"/>
    <w:rPr>
      <w:rFonts w:ascii="黑体" w:hAnsi="MingLiU" w:eastAsia="黑体" w:cs="黑体"/>
      <w:spacing w:val="-10"/>
      <w:sz w:val="19"/>
      <w:szCs w:val="19"/>
      <w:u w:val="none"/>
      <w:shd w:val="clear" w:color="auto" w:fill="FFFFFF"/>
      <w:lang w:val="en-US" w:eastAsia="en-US"/>
    </w:rPr>
  </w:style>
  <w:style w:type="character" w:customStyle="1" w:styleId="175">
    <w:name w:val="postbody1"/>
    <w:qFormat/>
    <w:uiPriority w:val="0"/>
    <w:rPr>
      <w:sz w:val="21"/>
      <w:szCs w:val="21"/>
    </w:rPr>
  </w:style>
  <w:style w:type="character" w:customStyle="1" w:styleId="176">
    <w:name w:val="znspantitle"/>
    <w:qFormat/>
    <w:uiPriority w:val="0"/>
    <w:rPr>
      <w:b/>
      <w:color w:val="333333"/>
    </w:rPr>
  </w:style>
  <w:style w:type="character" w:customStyle="1" w:styleId="177">
    <w:name w:val="样式 宋体 四号"/>
    <w:qFormat/>
    <w:uiPriority w:val="0"/>
    <w:rPr>
      <w:rFonts w:ascii="宋体" w:hAnsi="宋体" w:eastAsia="宋体"/>
      <w:sz w:val="24"/>
      <w:szCs w:val="24"/>
    </w:rPr>
  </w:style>
  <w:style w:type="character" w:customStyle="1" w:styleId="178">
    <w:name w:val="正文文本 (2) + 10 pt12"/>
    <w:qFormat/>
    <w:uiPriority w:val="99"/>
    <w:rPr>
      <w:rFonts w:ascii="黑体" w:hAnsi="MingLiU" w:eastAsia="黑体" w:cs="黑体"/>
      <w:spacing w:val="10"/>
      <w:sz w:val="20"/>
      <w:szCs w:val="20"/>
      <w:u w:val="none"/>
      <w:shd w:val="clear" w:color="auto" w:fill="FFFFFF"/>
    </w:rPr>
  </w:style>
  <w:style w:type="character" w:customStyle="1" w:styleId="179">
    <w:name w:val="表题 Char"/>
    <w:link w:val="180"/>
    <w:qFormat/>
    <w:uiPriority w:val="0"/>
    <w:rPr>
      <w:rFonts w:ascii="黑体" w:eastAsia="黑体"/>
      <w:kern w:val="16"/>
      <w:sz w:val="21"/>
    </w:rPr>
  </w:style>
  <w:style w:type="paragraph" w:customStyle="1" w:styleId="180">
    <w:name w:val="表题"/>
    <w:basedOn w:val="1"/>
    <w:link w:val="179"/>
    <w:qFormat/>
    <w:uiPriority w:val="0"/>
    <w:pPr>
      <w:autoSpaceDE w:val="0"/>
      <w:autoSpaceDN w:val="0"/>
      <w:adjustRightInd w:val="0"/>
      <w:spacing w:line="480" w:lineRule="atLeast"/>
      <w:jc w:val="center"/>
      <w:textAlignment w:val="baseline"/>
    </w:pPr>
    <w:rPr>
      <w:rFonts w:ascii="黑体" w:hAnsi="Times New Roman" w:eastAsia="黑体"/>
      <w:kern w:val="16"/>
      <w:szCs w:val="20"/>
    </w:rPr>
  </w:style>
  <w:style w:type="character" w:customStyle="1" w:styleId="181">
    <w:name w:val="dxj正文 Char"/>
    <w:link w:val="182"/>
    <w:qFormat/>
    <w:locked/>
    <w:uiPriority w:val="0"/>
    <w:rPr>
      <w:rFonts w:eastAsia="宋体"/>
      <w:kern w:val="2"/>
      <w:sz w:val="24"/>
      <w:szCs w:val="24"/>
      <w:lang w:bidi="ar-SA"/>
    </w:rPr>
  </w:style>
  <w:style w:type="paragraph" w:customStyle="1" w:styleId="182">
    <w:name w:val="dxj正文"/>
    <w:basedOn w:val="1"/>
    <w:link w:val="181"/>
    <w:qFormat/>
    <w:uiPriority w:val="0"/>
    <w:pPr>
      <w:spacing w:line="360" w:lineRule="auto"/>
      <w:ind w:firstLine="200" w:firstLineChars="200"/>
    </w:pPr>
    <w:rPr>
      <w:rFonts w:ascii="Times New Roman" w:hAnsi="Times New Roman"/>
      <w:kern w:val="2"/>
      <w:sz w:val="24"/>
      <w:szCs w:val="24"/>
    </w:rPr>
  </w:style>
  <w:style w:type="character" w:customStyle="1" w:styleId="183">
    <w:name w:val="样式4 Char"/>
    <w:link w:val="184"/>
    <w:semiHidden/>
    <w:qFormat/>
    <w:uiPriority w:val="0"/>
    <w:rPr>
      <w:rFonts w:ascii="Arial" w:hAnsi="Arial" w:eastAsia="黑体"/>
      <w:b/>
      <w:bCs/>
      <w:sz w:val="24"/>
      <w:szCs w:val="24"/>
    </w:rPr>
  </w:style>
  <w:style w:type="paragraph" w:customStyle="1" w:styleId="184">
    <w:name w:val="样式4"/>
    <w:basedOn w:val="5"/>
    <w:link w:val="183"/>
    <w:semiHidden/>
    <w:qFormat/>
    <w:uiPriority w:val="0"/>
    <w:pPr>
      <w:keepNext w:val="0"/>
      <w:keepLines w:val="0"/>
      <w:adjustRightInd w:val="0"/>
      <w:snapToGrid w:val="0"/>
      <w:spacing w:line="500" w:lineRule="exact"/>
      <w:ind w:left="0"/>
      <w:jc w:val="left"/>
    </w:pPr>
    <w:rPr>
      <w:rFonts w:ascii="Arial" w:eastAsia="黑体"/>
      <w:b/>
      <w:bCs/>
      <w:sz w:val="24"/>
      <w:szCs w:val="24"/>
    </w:rPr>
  </w:style>
  <w:style w:type="character" w:customStyle="1" w:styleId="185">
    <w:name w:val="radio-btn"/>
    <w:qFormat/>
    <w:uiPriority w:val="0"/>
    <w:rPr>
      <w:sz w:val="21"/>
      <w:szCs w:val="21"/>
    </w:rPr>
  </w:style>
  <w:style w:type="character" w:customStyle="1" w:styleId="186">
    <w:name w:val="正文1"/>
    <w:qFormat/>
    <w:uiPriority w:val="0"/>
    <w:rPr>
      <w:rFonts w:hint="eastAsia" w:ascii="宋体" w:hAnsi="宋体" w:eastAsia="宋体"/>
      <w:sz w:val="24"/>
      <w:szCs w:val="24"/>
    </w:rPr>
  </w:style>
  <w:style w:type="character" w:customStyle="1" w:styleId="187">
    <w:name w:val="xfw Char"/>
    <w:link w:val="188"/>
    <w:qFormat/>
    <w:uiPriority w:val="0"/>
    <w:rPr>
      <w:rFonts w:eastAsia="宋体"/>
      <w:kern w:val="2"/>
      <w:sz w:val="24"/>
      <w:szCs w:val="28"/>
      <w:lang w:val="en-US" w:eastAsia="zh-CN" w:bidi="ar-SA"/>
    </w:rPr>
  </w:style>
  <w:style w:type="paragraph" w:customStyle="1" w:styleId="188">
    <w:name w:val="xfw"/>
    <w:basedOn w:val="1"/>
    <w:link w:val="187"/>
    <w:qFormat/>
    <w:uiPriority w:val="0"/>
    <w:pPr>
      <w:spacing w:afterLines="30" w:line="360" w:lineRule="auto"/>
      <w:ind w:firstLine="200" w:firstLineChars="200"/>
    </w:pPr>
    <w:rPr>
      <w:rFonts w:ascii="Times New Roman" w:hAnsi="Times New Roman"/>
      <w:kern w:val="2"/>
      <w:sz w:val="24"/>
      <w:szCs w:val="28"/>
    </w:rPr>
  </w:style>
  <w:style w:type="character" w:customStyle="1" w:styleId="189">
    <w:name w:val="g1"/>
    <w:qFormat/>
    <w:uiPriority w:val="0"/>
    <w:rPr>
      <w:sz w:val="24"/>
      <w:szCs w:val="24"/>
    </w:rPr>
  </w:style>
  <w:style w:type="character" w:customStyle="1" w:styleId="190">
    <w:name w:val="表格文字 Char Char1"/>
    <w:qFormat/>
    <w:uiPriority w:val="0"/>
    <w:rPr>
      <w:position w:val="-10"/>
      <w:szCs w:val="24"/>
    </w:rPr>
  </w:style>
  <w:style w:type="character" w:customStyle="1" w:styleId="191">
    <w:name w:val="正文小钾肥 Char"/>
    <w:link w:val="192"/>
    <w:qFormat/>
    <w:uiPriority w:val="0"/>
    <w:rPr>
      <w:rFonts w:eastAsia="仿宋_GB2312"/>
      <w:color w:val="000000"/>
      <w:kern w:val="44"/>
      <w:sz w:val="32"/>
      <w:szCs w:val="32"/>
    </w:rPr>
  </w:style>
  <w:style w:type="paragraph" w:customStyle="1" w:styleId="192">
    <w:name w:val="正文小钾肥"/>
    <w:basedOn w:val="2"/>
    <w:link w:val="191"/>
    <w:qFormat/>
    <w:uiPriority w:val="0"/>
    <w:pPr>
      <w:spacing w:line="500" w:lineRule="exact"/>
      <w:ind w:left="0" w:firstLine="200" w:firstLineChars="200"/>
      <w:outlineLvl w:val="9"/>
    </w:pPr>
    <w:rPr>
      <w:rFonts w:eastAsia="仿宋_GB2312"/>
      <w:bCs w:val="0"/>
    </w:rPr>
  </w:style>
  <w:style w:type="character" w:customStyle="1" w:styleId="193">
    <w:name w:val="表1 Char"/>
    <w:link w:val="194"/>
    <w:qFormat/>
    <w:uiPriority w:val="0"/>
    <w:rPr>
      <w:rFonts w:eastAsia="Times New Roman"/>
      <w:lang w:val="en-US" w:eastAsia="zh-CN" w:bidi="ar-SA"/>
    </w:rPr>
  </w:style>
  <w:style w:type="paragraph" w:customStyle="1" w:styleId="194">
    <w:name w:val="表1"/>
    <w:next w:val="1"/>
    <w:link w:val="193"/>
    <w:qFormat/>
    <w:uiPriority w:val="0"/>
    <w:pPr>
      <w:adjustRightInd w:val="0"/>
      <w:snapToGrid w:val="0"/>
      <w:jc w:val="center"/>
    </w:pPr>
    <w:rPr>
      <w:rFonts w:ascii="Times New Roman" w:hAnsi="Times New Roman" w:eastAsia="Times New Roman" w:cs="Times New Roman"/>
      <w:lang w:val="en-US" w:eastAsia="zh-CN" w:bidi="ar-SA"/>
    </w:rPr>
  </w:style>
  <w:style w:type="character" w:customStyle="1" w:styleId="195">
    <w:name w:val="正文文本 (12)_"/>
    <w:link w:val="196"/>
    <w:qFormat/>
    <w:uiPriority w:val="99"/>
    <w:rPr>
      <w:rFonts w:ascii="黑体" w:eastAsia="黑体" w:cs="黑体"/>
      <w:b/>
      <w:bCs/>
      <w:shd w:val="clear" w:color="auto" w:fill="FFFFFF"/>
    </w:rPr>
  </w:style>
  <w:style w:type="paragraph" w:customStyle="1" w:styleId="196">
    <w:name w:val="正文文本 (12)"/>
    <w:basedOn w:val="1"/>
    <w:link w:val="195"/>
    <w:qFormat/>
    <w:uiPriority w:val="99"/>
    <w:pPr>
      <w:shd w:val="clear" w:color="auto" w:fill="FFFFFF"/>
      <w:spacing w:line="418" w:lineRule="exact"/>
      <w:jc w:val="distribute"/>
    </w:pPr>
    <w:rPr>
      <w:rFonts w:ascii="黑体" w:hAnsi="Times New Roman" w:eastAsia="黑体"/>
      <w:b/>
      <w:bCs/>
      <w:sz w:val="20"/>
      <w:szCs w:val="20"/>
    </w:rPr>
  </w:style>
  <w:style w:type="character" w:customStyle="1" w:styleId="197">
    <w:name w:val="样式 首行缩进:  2 字符1 Char Char"/>
    <w:link w:val="198"/>
    <w:qFormat/>
    <w:uiPriority w:val="0"/>
    <w:rPr>
      <w:rFonts w:cs="宋体"/>
      <w:kern w:val="2"/>
      <w:sz w:val="24"/>
    </w:rPr>
  </w:style>
  <w:style w:type="paragraph" w:customStyle="1" w:styleId="198">
    <w:name w:val="样式 首行缩进:  2 字符1"/>
    <w:basedOn w:val="1"/>
    <w:link w:val="197"/>
    <w:qFormat/>
    <w:uiPriority w:val="0"/>
    <w:pPr>
      <w:adjustRightInd w:val="0"/>
      <w:snapToGrid w:val="0"/>
      <w:spacing w:line="360" w:lineRule="auto"/>
      <w:ind w:firstLine="480" w:firstLineChars="200"/>
    </w:pPr>
    <w:rPr>
      <w:rFonts w:ascii="Times New Roman" w:hAnsi="Times New Roman"/>
      <w:kern w:val="2"/>
      <w:sz w:val="24"/>
      <w:szCs w:val="20"/>
    </w:rPr>
  </w:style>
  <w:style w:type="character" w:customStyle="1" w:styleId="199">
    <w:name w:val="表头 Char"/>
    <w:link w:val="200"/>
    <w:qFormat/>
    <w:uiPriority w:val="0"/>
    <w:rPr>
      <w:rFonts w:eastAsia="宋体"/>
      <w:b/>
      <w:sz w:val="21"/>
      <w:lang w:val="en-US" w:eastAsia="zh-CN" w:bidi="ar-SA"/>
    </w:rPr>
  </w:style>
  <w:style w:type="paragraph" w:customStyle="1" w:styleId="200">
    <w:name w:val="表头"/>
    <w:basedOn w:val="1"/>
    <w:link w:val="199"/>
    <w:qFormat/>
    <w:uiPriority w:val="0"/>
    <w:pPr>
      <w:adjustRightInd w:val="0"/>
      <w:snapToGrid w:val="0"/>
      <w:spacing w:before="60" w:after="60"/>
      <w:jc w:val="center"/>
    </w:pPr>
    <w:rPr>
      <w:rFonts w:ascii="Times New Roman" w:hAnsi="Times New Roman"/>
      <w:b/>
      <w:szCs w:val="20"/>
    </w:rPr>
  </w:style>
  <w:style w:type="character" w:customStyle="1" w:styleId="201">
    <w:name w:val="表格文字 Char"/>
    <w:link w:val="202"/>
    <w:qFormat/>
    <w:uiPriority w:val="0"/>
    <w:rPr>
      <w:sz w:val="24"/>
    </w:rPr>
  </w:style>
  <w:style w:type="paragraph" w:customStyle="1" w:styleId="202">
    <w:name w:val="表格文字"/>
    <w:basedOn w:val="1"/>
    <w:link w:val="201"/>
    <w:qFormat/>
    <w:uiPriority w:val="0"/>
    <w:pPr>
      <w:spacing w:before="60" w:after="60"/>
      <w:ind w:left="1560" w:hanging="1080"/>
    </w:pPr>
    <w:rPr>
      <w:rFonts w:ascii="Times New Roman" w:hAnsi="Times New Roman"/>
      <w:sz w:val="24"/>
      <w:szCs w:val="20"/>
    </w:rPr>
  </w:style>
  <w:style w:type="character" w:customStyle="1" w:styleId="203">
    <w:name w:val="表格小五 Char"/>
    <w:link w:val="204"/>
    <w:qFormat/>
    <w:uiPriority w:val="0"/>
    <w:rPr>
      <w:rFonts w:ascii="宋体" w:hAnsi="宋体"/>
      <w:sz w:val="18"/>
    </w:rPr>
  </w:style>
  <w:style w:type="paragraph" w:customStyle="1" w:styleId="204">
    <w:name w:val="表格小五"/>
    <w:basedOn w:val="1"/>
    <w:link w:val="203"/>
    <w:qFormat/>
    <w:uiPriority w:val="0"/>
    <w:pPr>
      <w:widowControl/>
      <w:jc w:val="center"/>
    </w:pPr>
    <w:rPr>
      <w:sz w:val="18"/>
      <w:szCs w:val="20"/>
    </w:rPr>
  </w:style>
  <w:style w:type="character" w:customStyle="1" w:styleId="205">
    <w:name w:val="正文111 Char Char"/>
    <w:link w:val="206"/>
    <w:qFormat/>
    <w:uiPriority w:val="0"/>
    <w:rPr>
      <w:rFonts w:eastAsia="仿宋_GB2312"/>
      <w:sz w:val="24"/>
      <w:szCs w:val="24"/>
    </w:rPr>
  </w:style>
  <w:style w:type="paragraph" w:customStyle="1" w:styleId="206">
    <w:name w:val="正文111"/>
    <w:basedOn w:val="1"/>
    <w:next w:val="1"/>
    <w:link w:val="205"/>
    <w:qFormat/>
    <w:uiPriority w:val="0"/>
    <w:pPr>
      <w:spacing w:line="520" w:lineRule="exact"/>
      <w:ind w:firstLine="480" w:firstLineChars="200"/>
    </w:pPr>
    <w:rPr>
      <w:rFonts w:ascii="Times New Roman" w:hAnsi="Times New Roman" w:eastAsia="仿宋_GB2312"/>
      <w:sz w:val="24"/>
      <w:szCs w:val="24"/>
    </w:rPr>
  </w:style>
  <w:style w:type="character" w:customStyle="1" w:styleId="207">
    <w:name w:val="页码1"/>
    <w:qFormat/>
    <w:uiPriority w:val="0"/>
  </w:style>
  <w:style w:type="character" w:customStyle="1" w:styleId="208">
    <w:name w:val="表格内容 Char"/>
    <w:link w:val="209"/>
    <w:qFormat/>
    <w:uiPriority w:val="0"/>
    <w:rPr>
      <w:rFonts w:ascii="Arial" w:hAnsi="Arial" w:eastAsia="仿宋_GB2312"/>
      <w:sz w:val="24"/>
      <w:lang w:bidi="ar-SA"/>
    </w:rPr>
  </w:style>
  <w:style w:type="paragraph" w:customStyle="1" w:styleId="209">
    <w:name w:val="表格内容"/>
    <w:basedOn w:val="1"/>
    <w:link w:val="208"/>
    <w:qFormat/>
    <w:uiPriority w:val="0"/>
    <w:pPr>
      <w:overflowPunct w:val="0"/>
      <w:adjustRightInd w:val="0"/>
      <w:spacing w:before="40" w:after="60" w:line="200" w:lineRule="atLeast"/>
      <w:textAlignment w:val="baseline"/>
    </w:pPr>
    <w:rPr>
      <w:rFonts w:ascii="Arial" w:hAnsi="Arial" w:eastAsia="仿宋_GB2312"/>
      <w:sz w:val="24"/>
      <w:szCs w:val="20"/>
    </w:rPr>
  </w:style>
  <w:style w:type="character" w:customStyle="1" w:styleId="210">
    <w:name w:val="正文文本 (2)_"/>
    <w:link w:val="211"/>
    <w:qFormat/>
    <w:uiPriority w:val="99"/>
    <w:rPr>
      <w:rFonts w:ascii="MingLiU" w:hAnsi="MingLiU" w:eastAsia="MingLiU" w:cs="MingLiU"/>
      <w:spacing w:val="20"/>
      <w:sz w:val="26"/>
      <w:szCs w:val="26"/>
      <w:shd w:val="clear" w:color="auto" w:fill="FFFFFF"/>
    </w:rPr>
  </w:style>
  <w:style w:type="paragraph" w:customStyle="1" w:styleId="211">
    <w:name w:val="正文文本 (2)"/>
    <w:basedOn w:val="1"/>
    <w:link w:val="210"/>
    <w:qFormat/>
    <w:uiPriority w:val="99"/>
    <w:pPr>
      <w:shd w:val="clear" w:color="auto" w:fill="FFFFFF"/>
      <w:spacing w:before="780" w:after="7080" w:line="0" w:lineRule="atLeast"/>
      <w:jc w:val="center"/>
    </w:pPr>
    <w:rPr>
      <w:rFonts w:ascii="MingLiU" w:hAnsi="MingLiU" w:eastAsia="MingLiU"/>
      <w:spacing w:val="20"/>
      <w:sz w:val="26"/>
      <w:szCs w:val="26"/>
    </w:rPr>
  </w:style>
  <w:style w:type="character" w:customStyle="1" w:styleId="212">
    <w:name w:val="图表标题 Char"/>
    <w:link w:val="213"/>
    <w:qFormat/>
    <w:uiPriority w:val="0"/>
    <w:rPr>
      <w:rFonts w:eastAsia="黑体"/>
      <w:sz w:val="24"/>
      <w:szCs w:val="24"/>
    </w:rPr>
  </w:style>
  <w:style w:type="paragraph" w:customStyle="1" w:styleId="213">
    <w:name w:val="图表标题"/>
    <w:basedOn w:val="19"/>
    <w:link w:val="212"/>
    <w:qFormat/>
    <w:uiPriority w:val="0"/>
    <w:pPr>
      <w:spacing w:line="360" w:lineRule="auto"/>
      <w:ind w:firstLine="0"/>
      <w:jc w:val="center"/>
    </w:pPr>
    <w:rPr>
      <w:rFonts w:ascii="Times New Roman" w:hAnsi="Times New Roman" w:eastAsia="黑体"/>
      <w:sz w:val="24"/>
      <w:szCs w:val="24"/>
    </w:rPr>
  </w:style>
  <w:style w:type="character" w:customStyle="1" w:styleId="214">
    <w:name w:val="表中文字 Char"/>
    <w:link w:val="215"/>
    <w:qFormat/>
    <w:uiPriority w:val="0"/>
    <w:rPr>
      <w:kern w:val="2"/>
      <w:sz w:val="18"/>
      <w:szCs w:val="18"/>
    </w:rPr>
  </w:style>
  <w:style w:type="paragraph" w:customStyle="1" w:styleId="215">
    <w:name w:val="表中文字"/>
    <w:basedOn w:val="1"/>
    <w:link w:val="214"/>
    <w:qFormat/>
    <w:uiPriority w:val="0"/>
    <w:pPr>
      <w:snapToGrid w:val="0"/>
      <w:spacing w:line="300" w:lineRule="exact"/>
      <w:jc w:val="center"/>
    </w:pPr>
    <w:rPr>
      <w:rFonts w:ascii="Times New Roman" w:hAnsi="Times New Roman"/>
      <w:kern w:val="2"/>
      <w:sz w:val="18"/>
      <w:szCs w:val="18"/>
    </w:rPr>
  </w:style>
  <w:style w:type="character" w:customStyle="1" w:styleId="216">
    <w:name w:val="表头文字 Char"/>
    <w:link w:val="217"/>
    <w:qFormat/>
    <w:uiPriority w:val="0"/>
    <w:rPr>
      <w:rFonts w:ascii="Arial" w:hAnsi="Arial" w:eastAsia="宋体" w:cs="Arial"/>
      <w:b/>
      <w:bCs/>
      <w:sz w:val="21"/>
      <w:szCs w:val="24"/>
      <w:lang w:val="en-US" w:eastAsia="zh-CN" w:bidi="ar-SA"/>
    </w:rPr>
  </w:style>
  <w:style w:type="paragraph" w:customStyle="1" w:styleId="217">
    <w:name w:val="表头文字"/>
    <w:basedOn w:val="1"/>
    <w:link w:val="216"/>
    <w:qFormat/>
    <w:uiPriority w:val="0"/>
    <w:pPr>
      <w:snapToGrid w:val="0"/>
      <w:spacing w:line="0" w:lineRule="atLeast"/>
      <w:jc w:val="center"/>
    </w:pPr>
    <w:rPr>
      <w:rFonts w:ascii="Arial" w:hAnsi="Arial" w:cs="Arial"/>
      <w:b/>
      <w:bCs/>
      <w:szCs w:val="24"/>
    </w:rPr>
  </w:style>
  <w:style w:type="character" w:customStyle="1" w:styleId="218">
    <w:name w:val="表格 Char2"/>
    <w:qFormat/>
    <w:uiPriority w:val="0"/>
    <w:rPr>
      <w:b/>
      <w:sz w:val="24"/>
      <w:szCs w:val="28"/>
    </w:rPr>
  </w:style>
  <w:style w:type="character" w:customStyle="1" w:styleId="219">
    <w:name w:val="正文文本 (16)_"/>
    <w:link w:val="220"/>
    <w:qFormat/>
    <w:uiPriority w:val="99"/>
    <w:rPr>
      <w:rFonts w:ascii="黑体" w:eastAsia="黑体" w:cs="黑体"/>
      <w:b/>
      <w:bCs/>
      <w:spacing w:val="-10"/>
      <w:sz w:val="26"/>
      <w:szCs w:val="26"/>
      <w:shd w:val="clear" w:color="auto" w:fill="FFFFFF"/>
    </w:rPr>
  </w:style>
  <w:style w:type="paragraph" w:customStyle="1" w:styleId="220">
    <w:name w:val="正文文本 (16)"/>
    <w:basedOn w:val="1"/>
    <w:link w:val="219"/>
    <w:qFormat/>
    <w:uiPriority w:val="99"/>
    <w:pPr>
      <w:shd w:val="clear" w:color="auto" w:fill="FFFFFF"/>
      <w:spacing w:before="240" w:line="523" w:lineRule="exact"/>
      <w:jc w:val="left"/>
    </w:pPr>
    <w:rPr>
      <w:rFonts w:ascii="黑体" w:hAnsi="Times New Roman" w:eastAsia="黑体"/>
      <w:b/>
      <w:bCs/>
      <w:spacing w:val="-10"/>
      <w:sz w:val="26"/>
      <w:szCs w:val="26"/>
    </w:rPr>
  </w:style>
  <w:style w:type="character" w:customStyle="1" w:styleId="221">
    <w:name w:val="报告正文 Char"/>
    <w:link w:val="222"/>
    <w:qFormat/>
    <w:uiPriority w:val="0"/>
    <w:rPr>
      <w:sz w:val="28"/>
      <w:szCs w:val="24"/>
    </w:rPr>
  </w:style>
  <w:style w:type="paragraph" w:customStyle="1" w:styleId="222">
    <w:name w:val="报告正文"/>
    <w:basedOn w:val="223"/>
    <w:link w:val="221"/>
    <w:qFormat/>
    <w:uiPriority w:val="0"/>
    <w:rPr>
      <w:kern w:val="0"/>
      <w:szCs w:val="24"/>
    </w:rPr>
  </w:style>
  <w:style w:type="paragraph" w:customStyle="1" w:styleId="223">
    <w:name w:val="正文文本缩进1"/>
    <w:basedOn w:val="1"/>
    <w:qFormat/>
    <w:uiPriority w:val="0"/>
    <w:pPr>
      <w:ind w:firstLine="560" w:firstLineChars="200"/>
    </w:pPr>
    <w:rPr>
      <w:rFonts w:ascii="Times New Roman" w:hAnsi="Times New Roman"/>
      <w:kern w:val="2"/>
      <w:sz w:val="28"/>
      <w:szCs w:val="20"/>
    </w:rPr>
  </w:style>
  <w:style w:type="character" w:customStyle="1" w:styleId="224">
    <w:name w:val="表头 Char Char"/>
    <w:qFormat/>
    <w:uiPriority w:val="0"/>
    <w:rPr>
      <w:rFonts w:ascii="仿宋_GB2312" w:hAnsi="Times New Roman" w:eastAsia="仿宋_GB2312" w:cs="Times New Roman"/>
      <w:kern w:val="0"/>
      <w:sz w:val="24"/>
      <w:szCs w:val="20"/>
    </w:rPr>
  </w:style>
  <w:style w:type="character" w:customStyle="1" w:styleId="225">
    <w:name w:val="正文(首行缩进)宋旭峰 Char Char"/>
    <w:link w:val="226"/>
    <w:semiHidden/>
    <w:qFormat/>
    <w:uiPriority w:val="0"/>
    <w:rPr>
      <w:snapToGrid w:val="0"/>
      <w:sz w:val="24"/>
      <w:szCs w:val="24"/>
    </w:rPr>
  </w:style>
  <w:style w:type="paragraph" w:customStyle="1" w:styleId="226">
    <w:name w:val="正文(首行缩进)宋旭峰"/>
    <w:basedOn w:val="19"/>
    <w:link w:val="225"/>
    <w:semiHidden/>
    <w:qFormat/>
    <w:uiPriority w:val="0"/>
    <w:pPr>
      <w:spacing w:beforeLines="50" w:afterLines="50" w:line="360" w:lineRule="auto"/>
      <w:ind w:firstLine="440" w:firstLineChars="200"/>
      <w:contextualSpacing/>
    </w:pPr>
    <w:rPr>
      <w:rFonts w:ascii="Times New Roman" w:hAnsi="Times New Roman"/>
      <w:snapToGrid w:val="0"/>
      <w:sz w:val="24"/>
      <w:szCs w:val="24"/>
    </w:rPr>
  </w:style>
  <w:style w:type="character" w:customStyle="1" w:styleId="227">
    <w:name w:val="表头1 Char"/>
    <w:link w:val="228"/>
    <w:qFormat/>
    <w:uiPriority w:val="0"/>
    <w:rPr>
      <w:rFonts w:eastAsia="黑体"/>
      <w:szCs w:val="28"/>
    </w:rPr>
  </w:style>
  <w:style w:type="paragraph" w:customStyle="1" w:styleId="228">
    <w:name w:val="表头1"/>
    <w:basedOn w:val="1"/>
    <w:next w:val="1"/>
    <w:link w:val="227"/>
    <w:qFormat/>
    <w:uiPriority w:val="0"/>
    <w:pPr>
      <w:tabs>
        <w:tab w:val="left" w:pos="605"/>
      </w:tabs>
      <w:adjustRightInd w:val="0"/>
      <w:snapToGrid w:val="0"/>
      <w:jc w:val="center"/>
    </w:pPr>
    <w:rPr>
      <w:rFonts w:ascii="Times New Roman" w:hAnsi="Times New Roman" w:eastAsia="黑体"/>
      <w:sz w:val="20"/>
      <w:szCs w:val="28"/>
    </w:rPr>
  </w:style>
  <w:style w:type="character" w:customStyle="1" w:styleId="229">
    <w:name w:val="可研正文 Char"/>
    <w:link w:val="230"/>
    <w:qFormat/>
    <w:uiPriority w:val="0"/>
    <w:rPr>
      <w:rFonts w:ascii="宋体" w:hAnsi="宋体" w:eastAsia="宋体"/>
      <w:sz w:val="24"/>
      <w:szCs w:val="24"/>
      <w:lang w:val="zh-CN" w:eastAsia="zh-CN" w:bidi="ar-SA"/>
    </w:rPr>
  </w:style>
  <w:style w:type="paragraph" w:customStyle="1" w:styleId="230">
    <w:name w:val="可研正文"/>
    <w:basedOn w:val="1"/>
    <w:link w:val="229"/>
    <w:qFormat/>
    <w:uiPriority w:val="0"/>
    <w:pPr>
      <w:tabs>
        <w:tab w:val="left" w:pos="720"/>
      </w:tabs>
      <w:spacing w:line="480" w:lineRule="exact"/>
      <w:ind w:firstLine="480" w:firstLineChars="200"/>
    </w:pPr>
    <w:rPr>
      <w:sz w:val="24"/>
      <w:szCs w:val="24"/>
      <w:lang w:val="zh-CN"/>
    </w:rPr>
  </w:style>
  <w:style w:type="character" w:customStyle="1" w:styleId="231">
    <w:name w:val="正文文本 (2) + Sylfaen11"/>
    <w:qFormat/>
    <w:uiPriority w:val="99"/>
    <w:rPr>
      <w:rFonts w:ascii="Sylfaen" w:hAnsi="Sylfaen" w:eastAsia="MingLiU" w:cs="Sylfaen"/>
      <w:smallCaps/>
      <w:spacing w:val="20"/>
      <w:sz w:val="20"/>
      <w:szCs w:val="20"/>
      <w:u w:val="none"/>
      <w:shd w:val="clear" w:color="auto" w:fill="FFFFFF"/>
      <w:lang w:val="en-US" w:eastAsia="en-US"/>
    </w:rPr>
  </w:style>
  <w:style w:type="character" w:customStyle="1" w:styleId="232">
    <w:name w:val="radio-btn1"/>
    <w:qFormat/>
    <w:uiPriority w:val="0"/>
    <w:rPr>
      <w:sz w:val="24"/>
      <w:szCs w:val="24"/>
    </w:rPr>
  </w:style>
  <w:style w:type="character" w:customStyle="1" w:styleId="233">
    <w:name w:val="正文首行缩进 Char1"/>
    <w:qFormat/>
    <w:uiPriority w:val="0"/>
    <w:rPr>
      <w:rFonts w:eastAsia="宋体"/>
      <w:szCs w:val="24"/>
    </w:rPr>
  </w:style>
  <w:style w:type="character" w:customStyle="1" w:styleId="234">
    <w:name w:val="正文文本 (2) + 10 pt7"/>
    <w:qFormat/>
    <w:uiPriority w:val="99"/>
    <w:rPr>
      <w:rFonts w:ascii="黑体" w:hAnsi="MingLiU" w:eastAsia="黑体" w:cs="黑体"/>
      <w:spacing w:val="20"/>
      <w:sz w:val="20"/>
      <w:szCs w:val="20"/>
      <w:u w:val="none"/>
      <w:shd w:val="clear" w:color="auto" w:fill="FFFFFF"/>
    </w:rPr>
  </w:style>
  <w:style w:type="character" w:customStyle="1" w:styleId="235">
    <w:name w:val="disabled"/>
    <w:qFormat/>
    <w:uiPriority w:val="0"/>
    <w:rPr>
      <w:color w:val="DDDDDD"/>
      <w:bdr w:val="single" w:color="EEEEEE" w:sz="6" w:space="0"/>
    </w:rPr>
  </w:style>
  <w:style w:type="character" w:customStyle="1" w:styleId="236">
    <w:name w:val="正文首行缩进 2 Char1"/>
    <w:qFormat/>
    <w:locked/>
    <w:uiPriority w:val="0"/>
    <w:rPr>
      <w:rFonts w:eastAsia="宋体"/>
      <w:kern w:val="2"/>
      <w:sz w:val="24"/>
      <w:szCs w:val="24"/>
    </w:rPr>
  </w:style>
  <w:style w:type="character" w:customStyle="1" w:styleId="237">
    <w:name w:val="表蕊 Char"/>
    <w:link w:val="238"/>
    <w:qFormat/>
    <w:uiPriority w:val="0"/>
    <w:rPr>
      <w:szCs w:val="21"/>
    </w:rPr>
  </w:style>
  <w:style w:type="paragraph" w:customStyle="1" w:styleId="238">
    <w:name w:val="表蕊"/>
    <w:basedOn w:val="1"/>
    <w:next w:val="1"/>
    <w:link w:val="237"/>
    <w:qFormat/>
    <w:uiPriority w:val="0"/>
    <w:pPr>
      <w:jc w:val="center"/>
    </w:pPr>
    <w:rPr>
      <w:rFonts w:ascii="Times New Roman" w:hAnsi="Times New Roman"/>
      <w:sz w:val="20"/>
    </w:rPr>
  </w:style>
  <w:style w:type="character" w:customStyle="1" w:styleId="239">
    <w:name w:val="标题 3 Char1"/>
    <w:qFormat/>
    <w:uiPriority w:val="0"/>
    <w:rPr>
      <w:rFonts w:eastAsia="宋体"/>
      <w:b/>
      <w:bCs/>
      <w:kern w:val="2"/>
      <w:sz w:val="32"/>
      <w:szCs w:val="32"/>
      <w:lang w:val="en-US" w:eastAsia="zh-CN" w:bidi="ar-SA"/>
    </w:rPr>
  </w:style>
  <w:style w:type="character" w:customStyle="1" w:styleId="240">
    <w:name w:val="表文字居中 Char Char"/>
    <w:link w:val="241"/>
    <w:qFormat/>
    <w:uiPriority w:val="0"/>
    <w:rPr>
      <w:rFonts w:ascii="Calibri" w:hAnsi="Calibri"/>
      <w:kern w:val="2"/>
      <w:sz w:val="21"/>
      <w:szCs w:val="24"/>
      <w:lang w:val="en-US" w:eastAsia="zh-CN" w:bidi="ar-SA"/>
    </w:rPr>
  </w:style>
  <w:style w:type="paragraph" w:customStyle="1" w:styleId="241">
    <w:name w:val="表文字居中"/>
    <w:link w:val="240"/>
    <w:qFormat/>
    <w:uiPriority w:val="0"/>
    <w:pPr>
      <w:adjustRightInd w:val="0"/>
      <w:spacing w:line="360" w:lineRule="auto"/>
      <w:jc w:val="center"/>
    </w:pPr>
    <w:rPr>
      <w:rFonts w:ascii="Times New Roman" w:hAnsi="Times New Roman" w:eastAsia="宋体" w:cs="Times New Roman"/>
      <w:kern w:val="2"/>
      <w:sz w:val="21"/>
      <w:szCs w:val="24"/>
      <w:lang w:val="en-US" w:eastAsia="zh-CN" w:bidi="ar-SA"/>
    </w:rPr>
  </w:style>
  <w:style w:type="character" w:customStyle="1" w:styleId="242">
    <w:name w:val="正文文本 Char3"/>
    <w:qFormat/>
    <w:uiPriority w:val="0"/>
    <w:rPr>
      <w:rFonts w:eastAsia="宋体"/>
      <w:kern w:val="2"/>
      <w:sz w:val="21"/>
      <w:szCs w:val="24"/>
      <w:lang w:val="en-US" w:eastAsia="zh-CN" w:bidi="ar-SA"/>
    </w:rPr>
  </w:style>
  <w:style w:type="character" w:customStyle="1" w:styleId="243">
    <w:name w:val="国电正文 Char"/>
    <w:link w:val="244"/>
    <w:semiHidden/>
    <w:qFormat/>
    <w:uiPriority w:val="0"/>
    <w:rPr>
      <w:color w:val="000000"/>
      <w:kern w:val="2"/>
      <w:sz w:val="24"/>
    </w:rPr>
  </w:style>
  <w:style w:type="paragraph" w:customStyle="1" w:styleId="244">
    <w:name w:val="国电正文"/>
    <w:basedOn w:val="1"/>
    <w:link w:val="243"/>
    <w:semiHidden/>
    <w:qFormat/>
    <w:uiPriority w:val="0"/>
    <w:pPr>
      <w:spacing w:line="360" w:lineRule="auto"/>
      <w:ind w:firstLine="480" w:firstLineChars="200"/>
    </w:pPr>
    <w:rPr>
      <w:rFonts w:ascii="Times New Roman" w:hAnsi="Times New Roman"/>
      <w:color w:val="000000"/>
      <w:kern w:val="2"/>
      <w:sz w:val="24"/>
      <w:szCs w:val="20"/>
    </w:rPr>
  </w:style>
  <w:style w:type="character" w:customStyle="1" w:styleId="245">
    <w:name w:val="fontstyle01"/>
    <w:qFormat/>
    <w:uiPriority w:val="0"/>
    <w:rPr>
      <w:rFonts w:hint="default" w:ascii="Bold" w:hAnsi="Bold"/>
      <w:b/>
      <w:bCs/>
      <w:color w:val="000000"/>
      <w:sz w:val="30"/>
      <w:szCs w:val="30"/>
    </w:rPr>
  </w:style>
  <w:style w:type="character" w:customStyle="1" w:styleId="246">
    <w:name w:val="xl35 Char"/>
    <w:link w:val="247"/>
    <w:qFormat/>
    <w:uiPriority w:val="0"/>
    <w:rPr>
      <w:rFonts w:ascii="Arial Unicode MS" w:hAnsi="Arial Unicode MS" w:eastAsia="Arial Unicode MS" w:cs="仿宋_GB2312"/>
      <w:sz w:val="18"/>
      <w:szCs w:val="18"/>
    </w:rPr>
  </w:style>
  <w:style w:type="paragraph" w:customStyle="1" w:styleId="247">
    <w:name w:val="xl35"/>
    <w:basedOn w:val="1"/>
    <w:link w:val="246"/>
    <w:qFormat/>
    <w:uiPriority w:val="0"/>
    <w:pPr>
      <w:widowControl/>
      <w:pBdr>
        <w:left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仿宋_GB2312"/>
      <w:sz w:val="18"/>
      <w:szCs w:val="18"/>
    </w:rPr>
  </w:style>
  <w:style w:type="character" w:customStyle="1" w:styleId="248">
    <w:name w:val="fontstyle21"/>
    <w:qFormat/>
    <w:uiPriority w:val="0"/>
    <w:rPr>
      <w:rFonts w:hint="default" w:ascii="Times New Roman" w:hAnsi="Times New Roman" w:cs="Times New Roman"/>
      <w:color w:val="000000"/>
      <w:sz w:val="24"/>
      <w:szCs w:val="24"/>
    </w:rPr>
  </w:style>
  <w:style w:type="character" w:customStyle="1" w:styleId="249">
    <w:name w:val="正文文本 (2) + 10 pt13"/>
    <w:qFormat/>
    <w:uiPriority w:val="99"/>
    <w:rPr>
      <w:rFonts w:ascii="黑体" w:hAnsi="MingLiU" w:eastAsia="黑体" w:cs="黑体"/>
      <w:b/>
      <w:bCs/>
      <w:spacing w:val="20"/>
      <w:sz w:val="20"/>
      <w:szCs w:val="20"/>
      <w:u w:val="none"/>
      <w:shd w:val="clear" w:color="auto" w:fill="FFFFFF"/>
    </w:rPr>
  </w:style>
  <w:style w:type="character" w:customStyle="1" w:styleId="250">
    <w:name w:val="图表名说 Char"/>
    <w:link w:val="251"/>
    <w:qFormat/>
    <w:uiPriority w:val="0"/>
    <w:rPr>
      <w:rFonts w:eastAsia="黑体"/>
      <w:bCs/>
      <w:kern w:val="44"/>
      <w:sz w:val="24"/>
      <w:szCs w:val="24"/>
      <w:lang w:val="en-US" w:eastAsia="zh-CN" w:bidi="ar-SA"/>
    </w:rPr>
  </w:style>
  <w:style w:type="paragraph" w:customStyle="1" w:styleId="251">
    <w:name w:val="图表名说"/>
    <w:link w:val="250"/>
    <w:qFormat/>
    <w:uiPriority w:val="0"/>
    <w:pPr>
      <w:spacing w:beforeLines="25" w:afterLines="25"/>
      <w:jc w:val="center"/>
    </w:pPr>
    <w:rPr>
      <w:rFonts w:ascii="Times New Roman" w:hAnsi="Times New Roman" w:eastAsia="黑体" w:cs="Times New Roman"/>
      <w:bCs/>
      <w:kern w:val="44"/>
      <w:sz w:val="24"/>
      <w:szCs w:val="24"/>
      <w:lang w:val="en-US" w:eastAsia="zh-CN" w:bidi="ar-SA"/>
    </w:rPr>
  </w:style>
  <w:style w:type="character" w:customStyle="1" w:styleId="252">
    <w:name w:val="样式b Char"/>
    <w:link w:val="253"/>
    <w:qFormat/>
    <w:uiPriority w:val="0"/>
    <w:rPr>
      <w:rFonts w:ascii="宋体" w:hAnsi="宋体" w:eastAsia="宋体" w:cs="宋体"/>
      <w:b/>
      <w:bCs/>
      <w:kern w:val="2"/>
      <w:sz w:val="21"/>
      <w:lang w:val="en-US" w:eastAsia="zh-CN" w:bidi="ar-SA"/>
    </w:rPr>
  </w:style>
  <w:style w:type="paragraph" w:customStyle="1" w:styleId="253">
    <w:name w:val="样式b"/>
    <w:basedOn w:val="1"/>
    <w:link w:val="252"/>
    <w:qFormat/>
    <w:uiPriority w:val="0"/>
    <w:pPr>
      <w:spacing w:line="360" w:lineRule="auto"/>
      <w:jc w:val="center"/>
    </w:pPr>
    <w:rPr>
      <w:rFonts w:cs="宋体"/>
      <w:b/>
      <w:bCs/>
      <w:kern w:val="2"/>
      <w:szCs w:val="20"/>
    </w:rPr>
  </w:style>
  <w:style w:type="character" w:customStyle="1" w:styleId="254">
    <w:name w:val="热电厂正文 Char"/>
    <w:link w:val="255"/>
    <w:qFormat/>
    <w:locked/>
    <w:uiPriority w:val="0"/>
    <w:rPr>
      <w:sz w:val="24"/>
    </w:rPr>
  </w:style>
  <w:style w:type="paragraph" w:customStyle="1" w:styleId="255">
    <w:name w:val="热电厂正文"/>
    <w:basedOn w:val="1"/>
    <w:link w:val="254"/>
    <w:qFormat/>
    <w:uiPriority w:val="0"/>
    <w:pPr>
      <w:spacing w:line="440" w:lineRule="exact"/>
      <w:ind w:firstLine="480" w:firstLineChars="200"/>
    </w:pPr>
    <w:rPr>
      <w:rFonts w:ascii="Times New Roman" w:hAnsi="Times New Roman"/>
      <w:sz w:val="24"/>
      <w:szCs w:val="20"/>
    </w:rPr>
  </w:style>
  <w:style w:type="character" w:customStyle="1" w:styleId="256">
    <w:name w:val="html_tag1"/>
    <w:qFormat/>
    <w:uiPriority w:val="0"/>
    <w:rPr>
      <w:color w:val="0000FF"/>
    </w:rPr>
  </w:style>
  <w:style w:type="character" w:customStyle="1" w:styleId="257">
    <w:name w:val="正文文本 (2) + Sylfaen7"/>
    <w:qFormat/>
    <w:uiPriority w:val="99"/>
    <w:rPr>
      <w:rFonts w:ascii="Sylfaen" w:hAnsi="Sylfaen" w:eastAsia="MingLiU" w:cs="Sylfaen"/>
      <w:spacing w:val="20"/>
      <w:sz w:val="20"/>
      <w:szCs w:val="20"/>
      <w:u w:val="none"/>
      <w:shd w:val="clear" w:color="auto" w:fill="FFFFFF"/>
      <w:lang w:val="en-US" w:eastAsia="en-US"/>
    </w:rPr>
  </w:style>
  <w:style w:type="character" w:customStyle="1" w:styleId="258">
    <w:name w:val="表格内 Char"/>
    <w:link w:val="259"/>
    <w:qFormat/>
    <w:uiPriority w:val="0"/>
    <w:rPr>
      <w:rFonts w:ascii="宋体" w:hAnsi="宋体" w:eastAsia="宋体" w:cs="Courier New"/>
      <w:kern w:val="2"/>
      <w:sz w:val="21"/>
      <w:szCs w:val="21"/>
      <w:lang w:val="en-US" w:eastAsia="zh-CN" w:bidi="ar-SA"/>
    </w:rPr>
  </w:style>
  <w:style w:type="paragraph" w:customStyle="1" w:styleId="259">
    <w:name w:val="表格内"/>
    <w:basedOn w:val="41"/>
    <w:link w:val="258"/>
    <w:qFormat/>
    <w:uiPriority w:val="0"/>
    <w:pPr>
      <w:jc w:val="center"/>
    </w:pPr>
    <w:rPr>
      <w:rFonts w:hAnsi="宋体" w:cs="Courier New"/>
      <w:kern w:val="2"/>
      <w:sz w:val="21"/>
    </w:rPr>
  </w:style>
  <w:style w:type="character" w:customStyle="1" w:styleId="260">
    <w:name w:val="Char Char3"/>
    <w:qFormat/>
    <w:uiPriority w:val="0"/>
    <w:rPr>
      <w:rFonts w:ascii="宋体" w:hAnsi="Courier New" w:eastAsia="宋体"/>
      <w:kern w:val="2"/>
      <w:sz w:val="21"/>
      <w:lang w:val="en-US" w:eastAsia="zh-CN" w:bidi="ar-SA"/>
    </w:rPr>
  </w:style>
  <w:style w:type="character" w:customStyle="1" w:styleId="261">
    <w:name w:val="四号居中加粗 Char"/>
    <w:link w:val="262"/>
    <w:qFormat/>
    <w:uiPriority w:val="0"/>
    <w:rPr>
      <w:b/>
      <w:bCs/>
      <w:kern w:val="2"/>
      <w:sz w:val="28"/>
      <w:szCs w:val="28"/>
    </w:rPr>
  </w:style>
  <w:style w:type="paragraph" w:customStyle="1" w:styleId="262">
    <w:name w:val="四号居中加粗"/>
    <w:basedOn w:val="1"/>
    <w:link w:val="261"/>
    <w:qFormat/>
    <w:uiPriority w:val="0"/>
    <w:pPr>
      <w:spacing w:line="360" w:lineRule="auto"/>
      <w:ind w:firstLine="200" w:firstLineChars="200"/>
      <w:jc w:val="center"/>
    </w:pPr>
    <w:rPr>
      <w:rFonts w:ascii="Times New Roman" w:hAnsi="Times New Roman"/>
      <w:b/>
      <w:bCs/>
      <w:kern w:val="2"/>
      <w:sz w:val="28"/>
      <w:szCs w:val="28"/>
    </w:rPr>
  </w:style>
  <w:style w:type="character" w:customStyle="1" w:styleId="263">
    <w:name w:val="标题 Char1"/>
    <w:qFormat/>
    <w:uiPriority w:val="0"/>
    <w:rPr>
      <w:rFonts w:ascii="Cambria" w:hAnsi="Cambria" w:eastAsia="宋体" w:cs="Times New Roman"/>
      <w:b/>
      <w:bCs/>
      <w:sz w:val="32"/>
      <w:szCs w:val="32"/>
    </w:rPr>
  </w:style>
  <w:style w:type="character" w:customStyle="1" w:styleId="264">
    <w:name w:val="基本文字 Char"/>
    <w:link w:val="265"/>
    <w:qFormat/>
    <w:uiPriority w:val="0"/>
    <w:rPr>
      <w:rFonts w:cs="Angsana New"/>
      <w:color w:val="000000"/>
      <w:kern w:val="2"/>
      <w:sz w:val="28"/>
      <w:lang w:bidi="th-TH"/>
    </w:rPr>
  </w:style>
  <w:style w:type="paragraph" w:customStyle="1" w:styleId="265">
    <w:name w:val="基本文字"/>
    <w:basedOn w:val="1"/>
    <w:link w:val="264"/>
    <w:qFormat/>
    <w:uiPriority w:val="0"/>
    <w:pPr>
      <w:spacing w:line="360" w:lineRule="auto"/>
      <w:ind w:firstLine="561" w:firstLineChars="200"/>
    </w:pPr>
    <w:rPr>
      <w:rFonts w:ascii="Times New Roman" w:hAnsi="Times New Roman" w:cs="Angsana New"/>
      <w:color w:val="000000"/>
      <w:kern w:val="2"/>
      <w:sz w:val="28"/>
      <w:szCs w:val="20"/>
      <w:lang w:bidi="th-TH"/>
    </w:rPr>
  </w:style>
  <w:style w:type="character" w:customStyle="1" w:styleId="266">
    <w:name w:val="表表 Char"/>
    <w:link w:val="267"/>
    <w:qFormat/>
    <w:uiPriority w:val="0"/>
    <w:rPr>
      <w:rFonts w:eastAsia="仿宋_GB2312"/>
      <w:color w:val="000000"/>
      <w:kern w:val="44"/>
      <w:sz w:val="24"/>
      <w:szCs w:val="24"/>
    </w:rPr>
  </w:style>
  <w:style w:type="paragraph" w:customStyle="1" w:styleId="267">
    <w:name w:val="表表"/>
    <w:basedOn w:val="192"/>
    <w:link w:val="266"/>
    <w:qFormat/>
    <w:uiPriority w:val="0"/>
    <w:pPr>
      <w:autoSpaceDE w:val="0"/>
      <w:autoSpaceDN w:val="0"/>
      <w:adjustRightInd w:val="0"/>
      <w:spacing w:line="320" w:lineRule="exact"/>
      <w:ind w:firstLine="0" w:firstLineChars="0"/>
    </w:pPr>
    <w:rPr>
      <w:sz w:val="24"/>
      <w:szCs w:val="24"/>
    </w:rPr>
  </w:style>
  <w:style w:type="character" w:customStyle="1" w:styleId="268">
    <w:name w:val="style21"/>
    <w:qFormat/>
    <w:uiPriority w:val="0"/>
    <w:rPr>
      <w:color w:val="000000"/>
      <w:sz w:val="18"/>
      <w:szCs w:val="18"/>
    </w:rPr>
  </w:style>
  <w:style w:type="character" w:customStyle="1" w:styleId="269">
    <w:name w:val="H9 Char Char"/>
    <w:qFormat/>
    <w:uiPriority w:val="0"/>
    <w:rPr>
      <w:rFonts w:ascii="Arial" w:hAnsi="Arial" w:eastAsia="黑体" w:cs="Times New Roman"/>
      <w:spacing w:val="10"/>
      <w:kern w:val="0"/>
      <w:szCs w:val="20"/>
    </w:rPr>
  </w:style>
  <w:style w:type="character" w:customStyle="1" w:styleId="270">
    <w:name w:val="font31"/>
    <w:qFormat/>
    <w:uiPriority w:val="0"/>
    <w:rPr>
      <w:rFonts w:hint="default" w:ascii="Times New Roman" w:hAnsi="Times New Roman" w:cs="Times New Roman"/>
      <w:color w:val="FF0000"/>
      <w:sz w:val="21"/>
      <w:szCs w:val="21"/>
      <w:u w:val="none"/>
    </w:rPr>
  </w:style>
  <w:style w:type="character" w:customStyle="1" w:styleId="271">
    <w:name w:val="正文格式 Char"/>
    <w:link w:val="272"/>
    <w:qFormat/>
    <w:uiPriority w:val="0"/>
    <w:rPr>
      <w:sz w:val="24"/>
      <w:szCs w:val="24"/>
    </w:rPr>
  </w:style>
  <w:style w:type="paragraph" w:customStyle="1" w:styleId="272">
    <w:name w:val="正文格式"/>
    <w:basedOn w:val="1"/>
    <w:link w:val="271"/>
    <w:qFormat/>
    <w:uiPriority w:val="0"/>
    <w:pPr>
      <w:spacing w:line="360" w:lineRule="auto"/>
      <w:ind w:firstLine="544" w:firstLineChars="200"/>
    </w:pPr>
    <w:rPr>
      <w:rFonts w:ascii="Times New Roman" w:hAnsi="Times New Roman"/>
      <w:sz w:val="24"/>
      <w:szCs w:val="24"/>
    </w:rPr>
  </w:style>
  <w:style w:type="character" w:customStyle="1" w:styleId="273">
    <w:name w:val="样式7-0.4 Char Char"/>
    <w:link w:val="274"/>
    <w:qFormat/>
    <w:uiPriority w:val="0"/>
    <w:rPr>
      <w:rFonts w:eastAsia="宋体"/>
      <w:snapToGrid w:val="0"/>
      <w:color w:val="000000"/>
      <w:spacing w:val="-8"/>
      <w:sz w:val="30"/>
      <w:szCs w:val="30"/>
      <w:lang w:val="en-US" w:eastAsia="zh-CN" w:bidi="ar-SA"/>
    </w:rPr>
  </w:style>
  <w:style w:type="paragraph" w:customStyle="1" w:styleId="274">
    <w:name w:val="样式7-0.4 Char"/>
    <w:basedOn w:val="1"/>
    <w:link w:val="273"/>
    <w:qFormat/>
    <w:uiPriority w:val="0"/>
    <w:pPr>
      <w:adjustRightInd w:val="0"/>
      <w:snapToGrid w:val="0"/>
      <w:spacing w:line="600" w:lineRule="exact"/>
      <w:ind w:firstLine="601"/>
    </w:pPr>
    <w:rPr>
      <w:rFonts w:ascii="Times New Roman" w:hAnsi="Times New Roman"/>
      <w:snapToGrid w:val="0"/>
      <w:color w:val="000000"/>
      <w:spacing w:val="-8"/>
      <w:sz w:val="30"/>
      <w:szCs w:val="30"/>
    </w:rPr>
  </w:style>
  <w:style w:type="character" w:customStyle="1" w:styleId="275">
    <w:name w:val="2表中文字 Char"/>
    <w:link w:val="276"/>
    <w:qFormat/>
    <w:uiPriority w:val="0"/>
    <w:rPr>
      <w:szCs w:val="21"/>
      <w:lang w:val="en-US" w:eastAsia="zh-CN" w:bidi="ar-SA"/>
    </w:rPr>
  </w:style>
  <w:style w:type="paragraph" w:customStyle="1" w:styleId="276">
    <w:name w:val="2表中文字"/>
    <w:link w:val="275"/>
    <w:qFormat/>
    <w:uiPriority w:val="0"/>
    <w:pPr>
      <w:jc w:val="center"/>
    </w:pPr>
    <w:rPr>
      <w:rFonts w:ascii="Times New Roman" w:hAnsi="Times New Roman" w:eastAsia="宋体" w:cs="Times New Roman"/>
      <w:szCs w:val="21"/>
      <w:lang w:val="en-US" w:eastAsia="zh-CN" w:bidi="ar-SA"/>
    </w:rPr>
  </w:style>
  <w:style w:type="character" w:customStyle="1" w:styleId="277">
    <w:name w:val="正文文本 (2) + Sylfaen8"/>
    <w:qFormat/>
    <w:uiPriority w:val="99"/>
    <w:rPr>
      <w:rFonts w:ascii="Sylfaen" w:hAnsi="Sylfaen" w:eastAsia="MingLiU" w:cs="Sylfaen"/>
      <w:spacing w:val="20"/>
      <w:sz w:val="20"/>
      <w:szCs w:val="20"/>
      <w:u w:val="none"/>
      <w:shd w:val="clear" w:color="auto" w:fill="FFFFFF"/>
      <w:lang w:val="en-US" w:eastAsia="en-US"/>
    </w:rPr>
  </w:style>
  <w:style w:type="character" w:customStyle="1" w:styleId="278">
    <w:name w:val="R-表中文字 Char"/>
    <w:link w:val="279"/>
    <w:qFormat/>
    <w:uiPriority w:val="6"/>
    <w:rPr>
      <w:rFonts w:ascii="宋体" w:hAnsi="宋体"/>
      <w:kern w:val="2"/>
      <w:sz w:val="21"/>
      <w:szCs w:val="21"/>
    </w:rPr>
  </w:style>
  <w:style w:type="paragraph" w:customStyle="1" w:styleId="279">
    <w:name w:val="R-表中文字"/>
    <w:basedOn w:val="1"/>
    <w:link w:val="278"/>
    <w:qFormat/>
    <w:uiPriority w:val="6"/>
    <w:pPr>
      <w:widowControl/>
    </w:pPr>
    <w:rPr>
      <w:kern w:val="2"/>
    </w:rPr>
  </w:style>
  <w:style w:type="character" w:customStyle="1" w:styleId="280">
    <w:name w:val="报告书正文样式1 Char"/>
    <w:link w:val="281"/>
    <w:qFormat/>
    <w:uiPriority w:val="0"/>
    <w:rPr>
      <w:rFonts w:ascii="Arial" w:hAnsi="Arial" w:eastAsia="宋体" w:cs="Arial"/>
      <w:sz w:val="24"/>
      <w:szCs w:val="24"/>
      <w:lang w:val="en-US" w:eastAsia="zh-CN" w:bidi="ar-SA"/>
    </w:rPr>
  </w:style>
  <w:style w:type="paragraph" w:customStyle="1" w:styleId="281">
    <w:name w:val="报告书正文样式1"/>
    <w:basedOn w:val="282"/>
    <w:link w:val="280"/>
    <w:qFormat/>
    <w:uiPriority w:val="0"/>
    <w:pPr>
      <w:spacing w:line="360" w:lineRule="auto"/>
    </w:pPr>
    <w:rPr>
      <w:rFonts w:ascii="Arial" w:hAnsi="Arial" w:cs="Arial"/>
      <w:szCs w:val="24"/>
    </w:rPr>
  </w:style>
  <w:style w:type="paragraph" w:customStyle="1" w:styleId="282">
    <w:name w:val="报告书正文"/>
    <w:basedOn w:val="1"/>
    <w:link w:val="283"/>
    <w:qFormat/>
    <w:uiPriority w:val="0"/>
    <w:pPr>
      <w:adjustRightInd w:val="0"/>
      <w:snapToGrid w:val="0"/>
      <w:spacing w:line="360" w:lineRule="atLeast"/>
      <w:ind w:firstLine="425"/>
      <w:textAlignment w:val="baseline"/>
    </w:pPr>
    <w:rPr>
      <w:rFonts w:ascii="Times New Roman" w:hAnsi="Times New Roman"/>
      <w:sz w:val="24"/>
      <w:szCs w:val="20"/>
    </w:rPr>
  </w:style>
  <w:style w:type="character" w:customStyle="1" w:styleId="283">
    <w:name w:val="报告书正文 Char"/>
    <w:link w:val="282"/>
    <w:qFormat/>
    <w:uiPriority w:val="0"/>
    <w:rPr>
      <w:rFonts w:eastAsia="宋体"/>
      <w:sz w:val="24"/>
      <w:lang w:val="en-US" w:eastAsia="zh-CN" w:bidi="ar-SA"/>
    </w:rPr>
  </w:style>
  <w:style w:type="character" w:customStyle="1" w:styleId="284">
    <w:name w:val="文档结构图 Char1"/>
    <w:semiHidden/>
    <w:qFormat/>
    <w:uiPriority w:val="99"/>
    <w:rPr>
      <w:rFonts w:ascii="宋体"/>
      <w:kern w:val="2"/>
      <w:sz w:val="18"/>
      <w:szCs w:val="18"/>
    </w:rPr>
  </w:style>
  <w:style w:type="character" w:customStyle="1" w:styleId="285">
    <w:name w:val="keyword1"/>
    <w:qFormat/>
    <w:uiPriority w:val="0"/>
    <w:rPr>
      <w:color w:val="FF0000"/>
    </w:rPr>
  </w:style>
  <w:style w:type="character" w:customStyle="1" w:styleId="286">
    <w:name w:val="current"/>
    <w:qFormat/>
    <w:uiPriority w:val="0"/>
    <w:rPr>
      <w:b/>
      <w:color w:val="000000"/>
      <w:bdr w:val="single" w:color="FFFFFF" w:sz="6" w:space="0"/>
      <w:shd w:val="clear" w:color="auto" w:fill="FFFFFF"/>
    </w:rPr>
  </w:style>
  <w:style w:type="character" w:customStyle="1" w:styleId="287">
    <w:name w:val="apple-converted-space"/>
    <w:qFormat/>
    <w:uiPriority w:val="0"/>
  </w:style>
  <w:style w:type="character" w:customStyle="1" w:styleId="288">
    <w:name w:val="表、图名 Char"/>
    <w:link w:val="289"/>
    <w:qFormat/>
    <w:uiPriority w:val="0"/>
    <w:rPr>
      <w:rFonts w:eastAsia="黑体"/>
      <w:sz w:val="24"/>
      <w:szCs w:val="24"/>
    </w:rPr>
  </w:style>
  <w:style w:type="paragraph" w:customStyle="1" w:styleId="289">
    <w:name w:val="表、图名"/>
    <w:basedOn w:val="200"/>
    <w:link w:val="288"/>
    <w:qFormat/>
    <w:uiPriority w:val="0"/>
    <w:pPr>
      <w:spacing w:before="120" w:after="0"/>
    </w:pPr>
    <w:rPr>
      <w:rFonts w:eastAsia="黑体"/>
      <w:b w:val="0"/>
      <w:sz w:val="24"/>
      <w:szCs w:val="24"/>
    </w:rPr>
  </w:style>
  <w:style w:type="character" w:customStyle="1" w:styleId="290">
    <w:name w:val="font41"/>
    <w:qFormat/>
    <w:uiPriority w:val="0"/>
    <w:rPr>
      <w:rFonts w:hint="eastAsia" w:ascii="宋体" w:hAnsi="宋体" w:eastAsia="宋体" w:cs="宋体"/>
      <w:color w:val="000000"/>
      <w:sz w:val="20"/>
      <w:szCs w:val="20"/>
      <w:u w:val="none"/>
    </w:rPr>
  </w:style>
  <w:style w:type="character" w:customStyle="1" w:styleId="291">
    <w:name w:val="font01"/>
    <w:qFormat/>
    <w:uiPriority w:val="0"/>
    <w:rPr>
      <w:rFonts w:hint="default" w:ascii="Times New Roman" w:hAnsi="Times New Roman" w:cs="Times New Roman"/>
      <w:color w:val="000000"/>
      <w:sz w:val="20"/>
      <w:szCs w:val="20"/>
      <w:u w:val="none"/>
      <w:vertAlign w:val="superscript"/>
    </w:rPr>
  </w:style>
  <w:style w:type="character" w:customStyle="1" w:styleId="292">
    <w:name w:val="ul sep fc04 selected js-fcurrent fc05"/>
    <w:qFormat/>
    <w:uiPriority w:val="0"/>
  </w:style>
  <w:style w:type="character" w:customStyle="1" w:styleId="293">
    <w:name w:val="正文文本 (8)"/>
    <w:qFormat/>
    <w:uiPriority w:val="0"/>
    <w:rPr>
      <w:rFonts w:ascii="MingLiU" w:hAnsi="MingLiU" w:eastAsia="MingLiU" w:cs="MingLiU"/>
      <w:color w:val="000000"/>
      <w:spacing w:val="20"/>
      <w:w w:val="100"/>
      <w:position w:val="0"/>
      <w:sz w:val="20"/>
      <w:szCs w:val="20"/>
      <w:u w:val="none"/>
      <w:lang w:val="zh-TW" w:eastAsia="zh-TW" w:bidi="zh-TW"/>
    </w:rPr>
  </w:style>
  <w:style w:type="character" w:customStyle="1" w:styleId="294">
    <w:name w:val="Char Char2"/>
    <w:qFormat/>
    <w:uiPriority w:val="0"/>
    <w:rPr>
      <w:rFonts w:ascii="宋体" w:hAnsi="Courier New" w:eastAsia="宋体"/>
      <w:kern w:val="2"/>
      <w:sz w:val="21"/>
      <w:lang w:val="en-US" w:eastAsia="zh-CN" w:bidi="ar-SA"/>
    </w:rPr>
  </w:style>
  <w:style w:type="character" w:customStyle="1" w:styleId="295">
    <w:name w:val="正文文本 (2) + Sylfaen12"/>
    <w:qFormat/>
    <w:uiPriority w:val="99"/>
    <w:rPr>
      <w:rFonts w:ascii="Sylfaen" w:hAnsi="Sylfaen" w:eastAsia="MingLiU" w:cs="Sylfaen"/>
      <w:spacing w:val="20"/>
      <w:sz w:val="12"/>
      <w:szCs w:val="12"/>
      <w:u w:val="none"/>
      <w:shd w:val="clear" w:color="auto" w:fill="FFFFFF"/>
      <w:lang w:val="en-US" w:eastAsia="en-US"/>
    </w:rPr>
  </w:style>
  <w:style w:type="character" w:customStyle="1" w:styleId="296">
    <w:name w:val="1正文段落 Char"/>
    <w:link w:val="297"/>
    <w:qFormat/>
    <w:uiPriority w:val="0"/>
    <w:rPr>
      <w:snapToGrid w:val="0"/>
      <w:sz w:val="24"/>
      <w:szCs w:val="24"/>
    </w:rPr>
  </w:style>
  <w:style w:type="paragraph" w:customStyle="1" w:styleId="297">
    <w:name w:val="1正文段落"/>
    <w:basedOn w:val="1"/>
    <w:link w:val="296"/>
    <w:qFormat/>
    <w:uiPriority w:val="0"/>
    <w:pPr>
      <w:spacing w:line="360" w:lineRule="auto"/>
      <w:ind w:firstLine="480" w:firstLineChars="200"/>
    </w:pPr>
    <w:rPr>
      <w:rFonts w:ascii="Times New Roman" w:hAnsi="Times New Roman"/>
      <w:snapToGrid w:val="0"/>
      <w:sz w:val="24"/>
      <w:szCs w:val="24"/>
    </w:rPr>
  </w:style>
  <w:style w:type="character" w:customStyle="1" w:styleId="298">
    <w:name w:val="纯文本 Char"/>
    <w:link w:val="299"/>
    <w:qFormat/>
    <w:uiPriority w:val="0"/>
    <w:rPr>
      <w:rFonts w:ascii="宋体" w:hAnsi="Courier New" w:eastAsia="宋体"/>
      <w:kern w:val="2"/>
      <w:sz w:val="21"/>
      <w:lang w:val="en-US" w:eastAsia="zh-CN" w:bidi="ar-SA"/>
    </w:rPr>
  </w:style>
  <w:style w:type="paragraph" w:customStyle="1" w:styleId="299">
    <w:name w:val="纯文本2"/>
    <w:basedOn w:val="1"/>
    <w:link w:val="298"/>
    <w:qFormat/>
    <w:uiPriority w:val="0"/>
    <w:rPr>
      <w:rFonts w:hAnsi="Courier New"/>
      <w:kern w:val="2"/>
      <w:szCs w:val="20"/>
    </w:rPr>
  </w:style>
  <w:style w:type="character" w:customStyle="1" w:styleId="300">
    <w:name w:val="纯文本 Char2"/>
    <w:qFormat/>
    <w:uiPriority w:val="0"/>
    <w:rPr>
      <w:rFonts w:ascii="宋体" w:hAnsi="Courier New" w:eastAsia="宋体" w:cs="Courier New"/>
      <w:kern w:val="2"/>
      <w:sz w:val="21"/>
      <w:szCs w:val="21"/>
      <w:lang w:val="en-US" w:eastAsia="zh-CN" w:bidi="ar-SA"/>
    </w:rPr>
  </w:style>
  <w:style w:type="character" w:customStyle="1" w:styleId="301">
    <w:name w:val="style111"/>
    <w:qFormat/>
    <w:uiPriority w:val="0"/>
    <w:rPr>
      <w:sz w:val="21"/>
      <w:szCs w:val="21"/>
    </w:rPr>
  </w:style>
  <w:style w:type="character" w:customStyle="1" w:styleId="302">
    <w:name w:val="正文文本缩进 Char1"/>
    <w:qFormat/>
    <w:uiPriority w:val="0"/>
  </w:style>
  <w:style w:type="character" w:customStyle="1" w:styleId="303">
    <w:name w:val="表文 Char"/>
    <w:link w:val="304"/>
    <w:qFormat/>
    <w:locked/>
    <w:uiPriority w:val="0"/>
    <w:rPr>
      <w:rFonts w:ascii="宋体" w:hAnsi="宋体"/>
      <w:kern w:val="2"/>
      <w:sz w:val="24"/>
      <w:szCs w:val="24"/>
    </w:rPr>
  </w:style>
  <w:style w:type="paragraph" w:customStyle="1" w:styleId="304">
    <w:name w:val="表文"/>
    <w:basedOn w:val="1"/>
    <w:link w:val="303"/>
    <w:qFormat/>
    <w:uiPriority w:val="0"/>
    <w:pPr>
      <w:tabs>
        <w:tab w:val="left" w:pos="6480"/>
      </w:tabs>
      <w:spacing w:line="360" w:lineRule="exact"/>
    </w:pPr>
    <w:rPr>
      <w:kern w:val="2"/>
      <w:sz w:val="24"/>
      <w:szCs w:val="24"/>
    </w:rPr>
  </w:style>
  <w:style w:type="character" w:customStyle="1" w:styleId="305">
    <w:name w:val="正文【0】 Char"/>
    <w:link w:val="306"/>
    <w:qFormat/>
    <w:locked/>
    <w:uiPriority w:val="0"/>
    <w:rPr>
      <w:b/>
      <w:sz w:val="24"/>
      <w:szCs w:val="24"/>
    </w:rPr>
  </w:style>
  <w:style w:type="paragraph" w:customStyle="1" w:styleId="306">
    <w:name w:val="正文【0】"/>
    <w:basedOn w:val="1"/>
    <w:link w:val="305"/>
    <w:qFormat/>
    <w:uiPriority w:val="0"/>
    <w:pPr>
      <w:spacing w:line="360" w:lineRule="auto"/>
      <w:ind w:firstLine="482" w:firstLineChars="200"/>
    </w:pPr>
    <w:rPr>
      <w:rFonts w:ascii="Times New Roman" w:hAnsi="Times New Roman"/>
      <w:b/>
      <w:sz w:val="24"/>
      <w:szCs w:val="24"/>
    </w:rPr>
  </w:style>
  <w:style w:type="character" w:customStyle="1" w:styleId="307">
    <w:name w:val="编号正文 Char"/>
    <w:qFormat/>
    <w:uiPriority w:val="0"/>
    <w:rPr>
      <w:rFonts w:ascii="宋体" w:hAnsi="宋体" w:eastAsia="宋体" w:cs="Times New Roman"/>
      <w:b/>
      <w:kern w:val="0"/>
      <w:sz w:val="24"/>
      <w:szCs w:val="21"/>
    </w:rPr>
  </w:style>
  <w:style w:type="character" w:customStyle="1" w:styleId="308">
    <w:name w:val="表格 Char Char"/>
    <w:qFormat/>
    <w:uiPriority w:val="0"/>
    <w:rPr>
      <w:rFonts w:eastAsia="宋体"/>
      <w:b/>
      <w:kern w:val="2"/>
      <w:sz w:val="21"/>
      <w:szCs w:val="24"/>
      <w:lang w:val="en-US" w:eastAsia="zh-CN" w:bidi="ar-SA"/>
    </w:rPr>
  </w:style>
  <w:style w:type="character" w:customStyle="1" w:styleId="309">
    <w:name w:val="R-正文文本 Char"/>
    <w:link w:val="310"/>
    <w:qFormat/>
    <w:uiPriority w:val="4"/>
    <w:rPr>
      <w:sz w:val="24"/>
    </w:rPr>
  </w:style>
  <w:style w:type="paragraph" w:customStyle="1" w:styleId="310">
    <w:name w:val="R-正文文本"/>
    <w:basedOn w:val="1"/>
    <w:link w:val="309"/>
    <w:qFormat/>
    <w:uiPriority w:val="4"/>
    <w:pPr>
      <w:widowControl/>
      <w:spacing w:line="360" w:lineRule="auto"/>
      <w:ind w:firstLine="200" w:firstLineChars="200"/>
    </w:pPr>
    <w:rPr>
      <w:rFonts w:ascii="Times New Roman" w:hAnsi="Times New Roman"/>
      <w:sz w:val="24"/>
      <w:szCs w:val="20"/>
    </w:rPr>
  </w:style>
  <w:style w:type="character" w:customStyle="1" w:styleId="311">
    <w:name w:val="正文文本 (2) + Sylfaen14"/>
    <w:qFormat/>
    <w:uiPriority w:val="99"/>
    <w:rPr>
      <w:rFonts w:ascii="Sylfaen" w:hAnsi="Sylfaen" w:eastAsia="MingLiU" w:cs="Sylfaen"/>
      <w:spacing w:val="20"/>
      <w:sz w:val="20"/>
      <w:szCs w:val="20"/>
      <w:u w:val="none"/>
      <w:shd w:val="clear" w:color="auto" w:fill="FFFFFF"/>
      <w:lang w:val="en-US" w:eastAsia="en-US"/>
    </w:rPr>
  </w:style>
  <w:style w:type="character" w:customStyle="1" w:styleId="312">
    <w:name w:val="t_tag"/>
    <w:qFormat/>
    <w:uiPriority w:val="0"/>
  </w:style>
  <w:style w:type="character" w:customStyle="1" w:styleId="313">
    <w:name w:val="样式 纯文本普通文字普通文字 Char普通文字 Char Char Char普通文字 Char Char Char Ch... Char"/>
    <w:link w:val="314"/>
    <w:qFormat/>
    <w:uiPriority w:val="0"/>
    <w:rPr>
      <w:rFonts w:ascii="宋体" w:hAnsi="Courier New" w:eastAsia="宋体"/>
      <w:kern w:val="2"/>
      <w:sz w:val="28"/>
      <w:lang w:val="en-US" w:eastAsia="zh-CN" w:bidi="ar-SA"/>
    </w:rPr>
  </w:style>
  <w:style w:type="paragraph" w:customStyle="1" w:styleId="314">
    <w:name w:val="样式 纯文本普通文字普通文字 Char普通文字 Char Char Char普通文字 Char Char Char Ch..."/>
    <w:basedOn w:val="41"/>
    <w:link w:val="313"/>
    <w:qFormat/>
    <w:uiPriority w:val="0"/>
    <w:rPr>
      <w:kern w:val="2"/>
      <w:sz w:val="28"/>
      <w:szCs w:val="20"/>
    </w:rPr>
  </w:style>
  <w:style w:type="character" w:customStyle="1" w:styleId="315">
    <w:name w:val="正文文本 (2) + Constantia"/>
    <w:qFormat/>
    <w:uiPriority w:val="99"/>
    <w:rPr>
      <w:rFonts w:ascii="Constantia" w:hAnsi="Constantia" w:eastAsia="Constantia" w:cs="Constantia"/>
      <w:color w:val="000000"/>
      <w:spacing w:val="0"/>
      <w:w w:val="100"/>
      <w:position w:val="0"/>
      <w:sz w:val="26"/>
      <w:szCs w:val="26"/>
      <w:shd w:val="clear" w:color="auto" w:fill="FFFFFF"/>
      <w:lang w:val="en-US" w:eastAsia="en-US" w:bidi="en-US"/>
    </w:rPr>
  </w:style>
  <w:style w:type="character" w:customStyle="1" w:styleId="316">
    <w:name w:val="表内容 Char"/>
    <w:link w:val="317"/>
    <w:qFormat/>
    <w:uiPriority w:val="0"/>
    <w:rPr>
      <w:rFonts w:eastAsia="宋体"/>
      <w:snapToGrid w:val="0"/>
      <w:szCs w:val="21"/>
      <w:lang w:bidi="ar-SA"/>
    </w:rPr>
  </w:style>
  <w:style w:type="paragraph" w:customStyle="1" w:styleId="317">
    <w:name w:val="表内容"/>
    <w:basedOn w:val="1"/>
    <w:link w:val="316"/>
    <w:qFormat/>
    <w:uiPriority w:val="0"/>
    <w:pPr>
      <w:adjustRightInd w:val="0"/>
      <w:snapToGrid w:val="0"/>
      <w:jc w:val="center"/>
    </w:pPr>
    <w:rPr>
      <w:rFonts w:ascii="Times New Roman" w:hAnsi="Times New Roman"/>
      <w:snapToGrid w:val="0"/>
      <w:sz w:val="20"/>
    </w:rPr>
  </w:style>
  <w:style w:type="character" w:customStyle="1" w:styleId="318">
    <w:name w:val="fontstyle11"/>
    <w:qFormat/>
    <w:uiPriority w:val="0"/>
    <w:rPr>
      <w:rFonts w:hint="default" w:ascii="TT1Do01" w:hAnsi="TT1Do01"/>
      <w:color w:val="000000"/>
      <w:sz w:val="24"/>
      <w:szCs w:val="24"/>
    </w:rPr>
  </w:style>
  <w:style w:type="character" w:customStyle="1" w:styleId="319">
    <w:name w:val="p141"/>
    <w:qFormat/>
    <w:uiPriority w:val="0"/>
    <w:rPr>
      <w:color w:val="333333"/>
      <w:spacing w:val="330"/>
      <w:sz w:val="21"/>
      <w:szCs w:val="21"/>
    </w:rPr>
  </w:style>
  <w:style w:type="character" w:customStyle="1" w:styleId="320">
    <w:name w:val="H5 Char"/>
    <w:qFormat/>
    <w:uiPriority w:val="0"/>
    <w:rPr>
      <w:rFonts w:ascii="宋体" w:hAnsi="Arial" w:eastAsia="宋体" w:cs="Times New Roman"/>
      <w:kern w:val="0"/>
      <w:szCs w:val="20"/>
    </w:rPr>
  </w:style>
  <w:style w:type="character" w:customStyle="1" w:styleId="321">
    <w:name w:val="正文缩进 Char"/>
    <w:qFormat/>
    <w:uiPriority w:val="99"/>
    <w:rPr>
      <w:rFonts w:ascii="宋体" w:hAnsi="Arial Black" w:eastAsia="宋体"/>
      <w:sz w:val="21"/>
      <w:szCs w:val="21"/>
      <w:lang w:val="en-US" w:eastAsia="zh-CN" w:bidi="ar-SA"/>
    </w:rPr>
  </w:style>
  <w:style w:type="character" w:customStyle="1" w:styleId="322">
    <w:name w:val="Char Char Char Char Char Char Char Char"/>
    <w:link w:val="323"/>
    <w:qFormat/>
    <w:uiPriority w:val="0"/>
    <w:rPr>
      <w:kern w:val="2"/>
      <w:sz w:val="21"/>
      <w:szCs w:val="24"/>
    </w:rPr>
  </w:style>
  <w:style w:type="paragraph" w:customStyle="1" w:styleId="323">
    <w:name w:val="Char Char Char Char Char Char Char"/>
    <w:basedOn w:val="1"/>
    <w:link w:val="322"/>
    <w:qFormat/>
    <w:uiPriority w:val="0"/>
    <w:rPr>
      <w:rFonts w:ascii="Times New Roman" w:hAnsi="Times New Roman"/>
      <w:kern w:val="2"/>
      <w:szCs w:val="24"/>
    </w:rPr>
  </w:style>
  <w:style w:type="character" w:customStyle="1" w:styleId="324">
    <w:name w:val="H8 Char Char"/>
    <w:qFormat/>
    <w:uiPriority w:val="0"/>
    <w:rPr>
      <w:rFonts w:ascii="Arial" w:hAnsi="Arial" w:eastAsia="黑体" w:cs="Times New Roman"/>
      <w:spacing w:val="10"/>
      <w:kern w:val="0"/>
      <w:sz w:val="24"/>
      <w:szCs w:val="20"/>
    </w:rPr>
  </w:style>
  <w:style w:type="character" w:customStyle="1" w:styleId="325">
    <w:name w:val="apple-style-span"/>
    <w:qFormat/>
    <w:uiPriority w:val="0"/>
  </w:style>
  <w:style w:type="character" w:customStyle="1" w:styleId="326">
    <w:name w:val="正文文本11 Char"/>
    <w:link w:val="327"/>
    <w:qFormat/>
    <w:uiPriority w:val="0"/>
    <w:rPr>
      <w:rFonts w:cs="宋体"/>
      <w:sz w:val="24"/>
    </w:rPr>
  </w:style>
  <w:style w:type="paragraph" w:customStyle="1" w:styleId="327">
    <w:name w:val="正文文本11"/>
    <w:basedOn w:val="22"/>
    <w:link w:val="326"/>
    <w:qFormat/>
    <w:uiPriority w:val="0"/>
    <w:pPr>
      <w:spacing w:after="0" w:line="360" w:lineRule="auto"/>
      <w:ind w:firstLine="480" w:firstLineChars="200"/>
    </w:pPr>
    <w:rPr>
      <w:rFonts w:ascii="Times New Roman" w:hAnsi="Times New Roman"/>
      <w:sz w:val="24"/>
      <w:szCs w:val="20"/>
    </w:rPr>
  </w:style>
  <w:style w:type="character" w:customStyle="1" w:styleId="328">
    <w:name w:val="正文文本 (8) + 13 pt"/>
    <w:qFormat/>
    <w:uiPriority w:val="0"/>
    <w:rPr>
      <w:rFonts w:ascii="MingLiU" w:hAnsi="MingLiU" w:eastAsia="MingLiU" w:cs="MingLiU"/>
      <w:color w:val="000000"/>
      <w:spacing w:val="20"/>
      <w:w w:val="100"/>
      <w:position w:val="0"/>
      <w:sz w:val="26"/>
      <w:szCs w:val="26"/>
      <w:u w:val="none"/>
      <w:lang w:val="en-US" w:eastAsia="en-US" w:bidi="en-US"/>
    </w:rPr>
  </w:style>
  <w:style w:type="character" w:customStyle="1" w:styleId="329">
    <w:name w:val="正文文本缩进 Char2"/>
    <w:semiHidden/>
    <w:qFormat/>
    <w:locked/>
    <w:uiPriority w:val="0"/>
    <w:rPr>
      <w:kern w:val="2"/>
      <w:sz w:val="21"/>
      <w:szCs w:val="24"/>
    </w:rPr>
  </w:style>
  <w:style w:type="character" w:customStyle="1" w:styleId="330">
    <w:name w:val="large1"/>
    <w:qFormat/>
    <w:uiPriority w:val="0"/>
    <w:rPr>
      <w:rFonts w:hint="eastAsia" w:ascii="宋体" w:hAnsi="宋体" w:eastAsia="宋体"/>
      <w:sz w:val="22"/>
      <w:szCs w:val="22"/>
    </w:rPr>
  </w:style>
  <w:style w:type="character" w:customStyle="1" w:styleId="331">
    <w:name w:val="html_elm1"/>
    <w:qFormat/>
    <w:uiPriority w:val="0"/>
    <w:rPr>
      <w:color w:val="800000"/>
    </w:rPr>
  </w:style>
  <w:style w:type="character" w:customStyle="1" w:styleId="332">
    <w:name w:val="正文样式 Char"/>
    <w:link w:val="333"/>
    <w:semiHidden/>
    <w:qFormat/>
    <w:uiPriority w:val="0"/>
    <w:rPr>
      <w:rFonts w:ascii="宋体" w:hAnsi="宋体"/>
      <w:color w:val="000000"/>
      <w:sz w:val="24"/>
      <w:szCs w:val="24"/>
    </w:rPr>
  </w:style>
  <w:style w:type="paragraph" w:customStyle="1" w:styleId="333">
    <w:name w:val="正文样式"/>
    <w:basedOn w:val="1"/>
    <w:link w:val="332"/>
    <w:semiHidden/>
    <w:qFormat/>
    <w:uiPriority w:val="0"/>
    <w:pPr>
      <w:spacing w:line="360" w:lineRule="auto"/>
      <w:ind w:firstLine="480" w:firstLineChars="200"/>
    </w:pPr>
    <w:rPr>
      <w:color w:val="000000"/>
      <w:sz w:val="24"/>
      <w:szCs w:val="24"/>
    </w:rPr>
  </w:style>
  <w:style w:type="character" w:customStyle="1" w:styleId="334">
    <w:name w:val="px141"/>
    <w:qFormat/>
    <w:uiPriority w:val="0"/>
    <w:rPr>
      <w:rFonts w:hint="default" w:ascii="ˎ̥" w:hAnsi="ˎ̥"/>
      <w:sz w:val="21"/>
      <w:szCs w:val="21"/>
    </w:rPr>
  </w:style>
  <w:style w:type="character" w:customStyle="1" w:styleId="335">
    <w:name w:val="报告 Char"/>
    <w:link w:val="336"/>
    <w:qFormat/>
    <w:uiPriority w:val="0"/>
    <w:rPr>
      <w:rFonts w:ascii="TimesNewRoman" w:hAnsi="TimesNewRoman"/>
      <w:sz w:val="24"/>
    </w:rPr>
  </w:style>
  <w:style w:type="paragraph" w:customStyle="1" w:styleId="336">
    <w:name w:val="报告"/>
    <w:basedOn w:val="1"/>
    <w:link w:val="335"/>
    <w:qFormat/>
    <w:uiPriority w:val="0"/>
    <w:pPr>
      <w:adjustRightInd w:val="0"/>
      <w:spacing w:line="360" w:lineRule="auto"/>
      <w:ind w:firstLine="505"/>
      <w:textAlignment w:val="center"/>
    </w:pPr>
    <w:rPr>
      <w:rFonts w:ascii="TimesNewRoman" w:hAnsi="TimesNewRoman"/>
      <w:sz w:val="24"/>
      <w:szCs w:val="20"/>
    </w:rPr>
  </w:style>
  <w:style w:type="character" w:customStyle="1" w:styleId="337">
    <w:name w:val="正文段 Char"/>
    <w:link w:val="338"/>
    <w:qFormat/>
    <w:uiPriority w:val="0"/>
    <w:rPr>
      <w:rFonts w:eastAsia="宋体"/>
      <w:spacing w:val="4"/>
      <w:kern w:val="2"/>
      <w:sz w:val="24"/>
      <w:szCs w:val="24"/>
      <w:lang w:val="en-US" w:eastAsia="zh-CN" w:bidi="ar-SA"/>
    </w:rPr>
  </w:style>
  <w:style w:type="paragraph" w:customStyle="1" w:styleId="338">
    <w:name w:val="正文段"/>
    <w:basedOn w:val="1"/>
    <w:link w:val="337"/>
    <w:qFormat/>
    <w:uiPriority w:val="0"/>
    <w:pPr>
      <w:tabs>
        <w:tab w:val="left" w:pos="5574"/>
      </w:tabs>
      <w:adjustRightInd w:val="0"/>
      <w:snapToGrid w:val="0"/>
      <w:spacing w:line="480" w:lineRule="exact"/>
      <w:ind w:firstLine="496" w:firstLineChars="200"/>
    </w:pPr>
    <w:rPr>
      <w:rFonts w:ascii="Times New Roman" w:hAnsi="Times New Roman"/>
      <w:spacing w:val="4"/>
      <w:kern w:val="2"/>
      <w:sz w:val="24"/>
      <w:szCs w:val="24"/>
    </w:rPr>
  </w:style>
  <w:style w:type="character" w:customStyle="1" w:styleId="339">
    <w:name w:val="表格 Char"/>
    <w:link w:val="340"/>
    <w:qFormat/>
    <w:uiPriority w:val="0"/>
    <w:rPr>
      <w:color w:val="000000"/>
      <w:kern w:val="2"/>
      <w:sz w:val="21"/>
      <w:szCs w:val="24"/>
      <w:lang w:val="en-US" w:eastAsia="zh-CN" w:bidi="ar-SA"/>
    </w:rPr>
  </w:style>
  <w:style w:type="paragraph" w:customStyle="1" w:styleId="340">
    <w:name w:val="表格"/>
    <w:link w:val="339"/>
    <w:qFormat/>
    <w:uiPriority w:val="0"/>
    <w:pPr>
      <w:widowControl w:val="0"/>
      <w:adjustRightInd w:val="0"/>
      <w:snapToGrid w:val="0"/>
      <w:spacing w:line="360" w:lineRule="auto"/>
      <w:jc w:val="center"/>
    </w:pPr>
    <w:rPr>
      <w:rFonts w:ascii="Times New Roman" w:hAnsi="Times New Roman" w:eastAsia="宋体" w:cs="Times New Roman"/>
      <w:color w:val="000000"/>
      <w:kern w:val="2"/>
      <w:sz w:val="21"/>
      <w:szCs w:val="24"/>
      <w:lang w:val="en-US" w:eastAsia="zh-CN" w:bidi="ar-SA"/>
    </w:rPr>
  </w:style>
  <w:style w:type="character" w:customStyle="1" w:styleId="341">
    <w:name w:val="正文文本 (2) + 9.5 pt"/>
    <w:qFormat/>
    <w:uiPriority w:val="99"/>
    <w:rPr>
      <w:rFonts w:ascii="黑体" w:hAnsi="MingLiU" w:eastAsia="黑体" w:cs="黑体"/>
      <w:spacing w:val="20"/>
      <w:sz w:val="19"/>
      <w:szCs w:val="19"/>
      <w:u w:val="none"/>
      <w:shd w:val="clear" w:color="auto" w:fill="FFFFFF"/>
    </w:rPr>
  </w:style>
  <w:style w:type="character" w:customStyle="1" w:styleId="342">
    <w:name w:val="lishishuju"/>
    <w:qFormat/>
    <w:uiPriority w:val="0"/>
    <w:rPr>
      <w:b/>
      <w:color w:val="000052"/>
      <w:sz w:val="24"/>
      <w:szCs w:val="24"/>
      <w:bdr w:val="single" w:color="E3E3E3" w:sz="6" w:space="0"/>
    </w:rPr>
  </w:style>
  <w:style w:type="character" w:customStyle="1" w:styleId="343">
    <w:name w:val="正文文本 (8)_"/>
    <w:qFormat/>
    <w:uiPriority w:val="0"/>
    <w:rPr>
      <w:rFonts w:ascii="MingLiU" w:hAnsi="MingLiU" w:eastAsia="MingLiU" w:cs="MingLiU"/>
      <w:spacing w:val="20"/>
      <w:sz w:val="20"/>
      <w:szCs w:val="20"/>
      <w:u w:val="none"/>
    </w:rPr>
  </w:style>
  <w:style w:type="character" w:customStyle="1" w:styleId="344">
    <w:name w:val="px14"/>
    <w:qFormat/>
    <w:uiPriority w:val="0"/>
  </w:style>
  <w:style w:type="character" w:customStyle="1" w:styleId="345">
    <w:name w:val="content"/>
    <w:qFormat/>
    <w:uiPriority w:val="0"/>
  </w:style>
  <w:style w:type="character" w:customStyle="1" w:styleId="346">
    <w:name w:val="【正文】 Char1"/>
    <w:qFormat/>
    <w:locked/>
    <w:uiPriority w:val="0"/>
    <w:rPr>
      <w:rFonts w:ascii="Times New Roman" w:hAnsi="Times New Roman"/>
      <w:kern w:val="2"/>
      <w:sz w:val="24"/>
      <w:szCs w:val="24"/>
    </w:rPr>
  </w:style>
  <w:style w:type="character" w:customStyle="1" w:styleId="347">
    <w:name w:val="正文(首行缩进) Char"/>
    <w:link w:val="348"/>
    <w:qFormat/>
    <w:uiPriority w:val="0"/>
    <w:rPr>
      <w:rFonts w:eastAsia="宋体"/>
      <w:color w:val="000000"/>
      <w:sz w:val="24"/>
      <w:szCs w:val="24"/>
      <w:lang w:val="en-US" w:eastAsia="zh-CN" w:bidi="ar-SA"/>
    </w:rPr>
  </w:style>
  <w:style w:type="paragraph" w:customStyle="1" w:styleId="348">
    <w:name w:val="正文(首行缩进)"/>
    <w:basedOn w:val="1"/>
    <w:link w:val="347"/>
    <w:qFormat/>
    <w:uiPriority w:val="0"/>
    <w:pPr>
      <w:snapToGrid w:val="0"/>
      <w:spacing w:line="360" w:lineRule="auto"/>
      <w:ind w:firstLine="540" w:firstLineChars="225"/>
    </w:pPr>
    <w:rPr>
      <w:rFonts w:ascii="Times New Roman" w:hAnsi="Times New Roman"/>
      <w:color w:val="000000"/>
      <w:sz w:val="24"/>
      <w:szCs w:val="24"/>
    </w:rPr>
  </w:style>
  <w:style w:type="character" w:customStyle="1" w:styleId="349">
    <w:name w:val="正文文本 Char1"/>
    <w:semiHidden/>
    <w:qFormat/>
    <w:uiPriority w:val="99"/>
  </w:style>
  <w:style w:type="character" w:customStyle="1" w:styleId="350">
    <w:name w:val="lable"/>
    <w:qFormat/>
    <w:uiPriority w:val="0"/>
    <w:rPr>
      <w:sz w:val="24"/>
      <w:szCs w:val="24"/>
    </w:rPr>
  </w:style>
  <w:style w:type="character" w:customStyle="1" w:styleId="351">
    <w:name w:val="font21"/>
    <w:qFormat/>
    <w:uiPriority w:val="0"/>
    <w:rPr>
      <w:rFonts w:hint="default" w:ascii="Times New Roman" w:hAnsi="Times New Roman" w:cs="Times New Roman"/>
      <w:color w:val="000000"/>
      <w:sz w:val="21"/>
      <w:szCs w:val="21"/>
    </w:rPr>
  </w:style>
  <w:style w:type="character" w:customStyle="1" w:styleId="352">
    <w:name w:val="首行缩进两字 Char1"/>
    <w:qFormat/>
    <w:locked/>
    <w:uiPriority w:val="0"/>
    <w:rPr>
      <w:rFonts w:eastAsia="宋体"/>
      <w:kern w:val="2"/>
      <w:sz w:val="24"/>
      <w:lang w:val="en-US" w:eastAsia="zh-CN" w:bidi="ar-SA"/>
    </w:rPr>
  </w:style>
  <w:style w:type="character" w:customStyle="1" w:styleId="353">
    <w:name w:val="R-表头文字 Char"/>
    <w:link w:val="354"/>
    <w:qFormat/>
    <w:uiPriority w:val="5"/>
    <w:rPr>
      <w:color w:val="000000"/>
      <w:kern w:val="2"/>
      <w:sz w:val="24"/>
      <w:szCs w:val="21"/>
    </w:rPr>
  </w:style>
  <w:style w:type="paragraph" w:customStyle="1" w:styleId="354">
    <w:name w:val="R-表头文字"/>
    <w:basedOn w:val="1"/>
    <w:next w:val="279"/>
    <w:link w:val="353"/>
    <w:qFormat/>
    <w:uiPriority w:val="5"/>
    <w:pPr>
      <w:keepNext/>
      <w:widowControl/>
      <w:numPr>
        <w:ilvl w:val="4"/>
        <w:numId w:val="3"/>
      </w:numPr>
      <w:jc w:val="center"/>
    </w:pPr>
    <w:rPr>
      <w:rFonts w:ascii="Times New Roman" w:hAnsi="Times New Roman"/>
      <w:color w:val="000000"/>
      <w:kern w:val="2"/>
      <w:sz w:val="24"/>
    </w:rPr>
  </w:style>
  <w:style w:type="character" w:customStyle="1" w:styleId="355">
    <w:name w:val="样式 标题 2 + Times New Roman Char"/>
    <w:qFormat/>
    <w:uiPriority w:val="0"/>
    <w:rPr>
      <w:rFonts w:ascii="Times New Roman" w:hAnsi="Times New Roman" w:eastAsia="黑体"/>
      <w:color w:val="000000"/>
      <w:kern w:val="2"/>
      <w:sz w:val="28"/>
      <w:szCs w:val="30"/>
      <w:lang w:val="en-US" w:eastAsia="zh-CN" w:bidi="ar-SA"/>
    </w:rPr>
  </w:style>
  <w:style w:type="character" w:customStyle="1" w:styleId="356">
    <w:name w:val="正文文本 (2) + 9.5 pt9"/>
    <w:qFormat/>
    <w:uiPriority w:val="99"/>
    <w:rPr>
      <w:rFonts w:ascii="黑体" w:hAnsi="MingLiU" w:eastAsia="黑体" w:cs="黑体"/>
      <w:spacing w:val="20"/>
      <w:sz w:val="19"/>
      <w:szCs w:val="19"/>
      <w:u w:val="none"/>
      <w:shd w:val="clear" w:color="auto" w:fill="FFFFFF"/>
    </w:rPr>
  </w:style>
  <w:style w:type="character" w:customStyle="1" w:styleId="357">
    <w:name w:val="内容 Char"/>
    <w:link w:val="358"/>
    <w:qFormat/>
    <w:uiPriority w:val="0"/>
    <w:rPr>
      <w:rFonts w:ascii="Calibri" w:hAnsi="Calibri"/>
      <w:color w:val="000000"/>
      <w:kern w:val="2"/>
      <w:sz w:val="24"/>
    </w:rPr>
  </w:style>
  <w:style w:type="paragraph" w:customStyle="1" w:styleId="358">
    <w:name w:val="内容"/>
    <w:basedOn w:val="1"/>
    <w:link w:val="357"/>
    <w:qFormat/>
    <w:uiPriority w:val="0"/>
    <w:pPr>
      <w:spacing w:beforeLines="50" w:afterLines="50"/>
      <w:ind w:firstLine="200" w:firstLineChars="200"/>
    </w:pPr>
    <w:rPr>
      <w:rFonts w:ascii="Calibri" w:hAnsi="Calibri"/>
      <w:color w:val="000000"/>
      <w:kern w:val="2"/>
      <w:sz w:val="24"/>
      <w:szCs w:val="20"/>
    </w:rPr>
  </w:style>
  <w:style w:type="character" w:customStyle="1" w:styleId="359">
    <w:name w:val="启明正文 Char"/>
    <w:link w:val="360"/>
    <w:qFormat/>
    <w:uiPriority w:val="0"/>
    <w:rPr>
      <w:sz w:val="24"/>
    </w:rPr>
  </w:style>
  <w:style w:type="paragraph" w:customStyle="1" w:styleId="360">
    <w:name w:val="启明正文"/>
    <w:basedOn w:val="1"/>
    <w:link w:val="359"/>
    <w:qFormat/>
    <w:uiPriority w:val="0"/>
    <w:pPr>
      <w:spacing w:line="360" w:lineRule="auto"/>
      <w:ind w:firstLine="200" w:firstLineChars="200"/>
    </w:pPr>
    <w:rPr>
      <w:rFonts w:ascii="Times New Roman" w:hAnsi="Times New Roman"/>
      <w:sz w:val="24"/>
      <w:szCs w:val="20"/>
    </w:rPr>
  </w:style>
  <w:style w:type="character" w:customStyle="1" w:styleId="361">
    <w:name w:val="正文文本 (2) + Sylfaen13"/>
    <w:qFormat/>
    <w:uiPriority w:val="99"/>
    <w:rPr>
      <w:rFonts w:ascii="Sylfaen" w:hAnsi="Sylfaen" w:eastAsia="MingLiU" w:cs="Sylfaen"/>
      <w:spacing w:val="10"/>
      <w:sz w:val="11"/>
      <w:szCs w:val="11"/>
      <w:u w:val="none"/>
      <w:shd w:val="clear" w:color="auto" w:fill="FFFFFF"/>
      <w:lang w:val="en-US" w:eastAsia="en-US"/>
    </w:rPr>
  </w:style>
  <w:style w:type="character" w:customStyle="1" w:styleId="362">
    <w:name w:val="孙普文字 Char"/>
    <w:qFormat/>
    <w:uiPriority w:val="0"/>
    <w:rPr>
      <w:rFonts w:ascii="宋体" w:hAnsi="Courier New" w:eastAsia="宋体" w:cs="Courier New"/>
      <w:kern w:val="2"/>
      <w:sz w:val="21"/>
      <w:szCs w:val="21"/>
      <w:lang w:val="en-US" w:eastAsia="zh-CN" w:bidi="ar-SA"/>
    </w:rPr>
  </w:style>
  <w:style w:type="character" w:customStyle="1" w:styleId="363">
    <w:name w:val="fs"/>
    <w:qFormat/>
    <w:uiPriority w:val="0"/>
  </w:style>
  <w:style w:type="character" w:customStyle="1" w:styleId="364">
    <w:name w:val="正文样式1 Char"/>
    <w:qFormat/>
    <w:uiPriority w:val="0"/>
    <w:rPr>
      <w:rFonts w:ascii="宋体" w:eastAsia="宋体"/>
      <w:kern w:val="2"/>
      <w:sz w:val="24"/>
      <w:szCs w:val="24"/>
      <w:lang w:val="en-US" w:eastAsia="zh-CN" w:bidi="ar-SA"/>
    </w:rPr>
  </w:style>
  <w:style w:type="character" w:customStyle="1" w:styleId="365">
    <w:name w:val="cur"/>
    <w:qFormat/>
    <w:uiPriority w:val="0"/>
    <w:rPr>
      <w:color w:val="FFFFFF"/>
      <w:shd w:val="clear" w:color="auto" w:fill="2F6B98"/>
    </w:rPr>
  </w:style>
  <w:style w:type="character" w:customStyle="1" w:styleId="366">
    <w:name w:val="正文文本 (2) + 10 pt6"/>
    <w:qFormat/>
    <w:uiPriority w:val="99"/>
    <w:rPr>
      <w:rFonts w:ascii="黑体" w:hAnsi="MingLiU" w:eastAsia="黑体" w:cs="黑体"/>
      <w:spacing w:val="-10"/>
      <w:sz w:val="20"/>
      <w:szCs w:val="20"/>
      <w:u w:val="none"/>
      <w:shd w:val="clear" w:color="auto" w:fill="FFFFFF"/>
      <w:lang w:val="en-US" w:eastAsia="en-US"/>
    </w:rPr>
  </w:style>
  <w:style w:type="character" w:customStyle="1" w:styleId="367">
    <w:name w:val="【表中文字】 Char"/>
    <w:link w:val="368"/>
    <w:qFormat/>
    <w:uiPriority w:val="0"/>
    <w:rPr>
      <w:rFonts w:ascii="Calibri" w:hAnsi="Calibri" w:eastAsia="宋体" w:cs="Times New Roman"/>
      <w:kern w:val="2"/>
      <w:sz w:val="21"/>
      <w:szCs w:val="22"/>
    </w:rPr>
  </w:style>
  <w:style w:type="paragraph" w:customStyle="1" w:styleId="368">
    <w:name w:val="【表中文字】"/>
    <w:basedOn w:val="1"/>
    <w:link w:val="367"/>
    <w:qFormat/>
    <w:uiPriority w:val="0"/>
    <w:pPr>
      <w:jc w:val="center"/>
    </w:pPr>
    <w:rPr>
      <w:rFonts w:ascii="Calibri" w:hAnsi="Calibri"/>
      <w:kern w:val="2"/>
      <w:szCs w:val="22"/>
    </w:rPr>
  </w:style>
  <w:style w:type="character" w:customStyle="1" w:styleId="369">
    <w:name w:val="表格标题_"/>
    <w:link w:val="370"/>
    <w:qFormat/>
    <w:uiPriority w:val="99"/>
    <w:rPr>
      <w:rFonts w:ascii="黑体" w:eastAsia="黑体" w:cs="黑体"/>
      <w:shd w:val="clear" w:color="auto" w:fill="FFFFFF"/>
    </w:rPr>
  </w:style>
  <w:style w:type="paragraph" w:customStyle="1" w:styleId="370">
    <w:name w:val="表格标题"/>
    <w:basedOn w:val="1"/>
    <w:link w:val="369"/>
    <w:qFormat/>
    <w:uiPriority w:val="99"/>
    <w:pPr>
      <w:shd w:val="clear" w:color="auto" w:fill="FFFFFF"/>
      <w:spacing w:line="240" w:lineRule="atLeast"/>
      <w:jc w:val="left"/>
    </w:pPr>
    <w:rPr>
      <w:rFonts w:ascii="黑体" w:hAnsi="Times New Roman" w:eastAsia="黑体"/>
      <w:sz w:val="20"/>
      <w:szCs w:val="20"/>
    </w:rPr>
  </w:style>
  <w:style w:type="character" w:customStyle="1" w:styleId="371">
    <w:name w:val="我的样式（正文） Char Char"/>
    <w:qFormat/>
    <w:uiPriority w:val="0"/>
    <w:rPr>
      <w:rFonts w:ascii="宋体" w:hAnsi="华文楷体" w:eastAsia="宋体"/>
      <w:kern w:val="2"/>
      <w:sz w:val="24"/>
      <w:szCs w:val="24"/>
      <w:lang w:val="en-US" w:eastAsia="zh-CN"/>
    </w:rPr>
  </w:style>
  <w:style w:type="character" w:customStyle="1" w:styleId="372">
    <w:name w:val="首行缩进两字 Char Char Char"/>
    <w:link w:val="373"/>
    <w:qFormat/>
    <w:uiPriority w:val="0"/>
    <w:rPr>
      <w:rFonts w:ascii="宋体" w:hAnsi="宋体"/>
      <w:sz w:val="28"/>
      <w:szCs w:val="24"/>
    </w:rPr>
  </w:style>
  <w:style w:type="paragraph" w:customStyle="1" w:styleId="373">
    <w:name w:val="首行缩进两字 Char Char"/>
    <w:basedOn w:val="1"/>
    <w:link w:val="372"/>
    <w:qFormat/>
    <w:uiPriority w:val="0"/>
    <w:pPr>
      <w:ind w:firstLine="560" w:firstLineChars="200"/>
      <w:jc w:val="left"/>
    </w:pPr>
    <w:rPr>
      <w:sz w:val="28"/>
      <w:szCs w:val="24"/>
    </w:rPr>
  </w:style>
  <w:style w:type="character" w:customStyle="1" w:styleId="374">
    <w:name w:val="headline-content2"/>
    <w:qFormat/>
    <w:uiPriority w:val="0"/>
  </w:style>
  <w:style w:type="character" w:customStyle="1" w:styleId="375">
    <w:name w:val="正文文本 (2) + 间距 3 pt"/>
    <w:qFormat/>
    <w:uiPriority w:val="0"/>
    <w:rPr>
      <w:rFonts w:ascii="MingLiU" w:hAnsi="MingLiU" w:eastAsia="MingLiU" w:cs="MingLiU"/>
      <w:color w:val="000000"/>
      <w:spacing w:val="60"/>
      <w:w w:val="100"/>
      <w:position w:val="0"/>
      <w:sz w:val="26"/>
      <w:szCs w:val="26"/>
      <w:shd w:val="clear" w:color="auto" w:fill="FFFFFF"/>
      <w:lang w:val="zh-TW" w:eastAsia="zh-TW" w:bidi="zh-TW"/>
    </w:rPr>
  </w:style>
  <w:style w:type="character" w:customStyle="1" w:styleId="376">
    <w:name w:val="postkeywords"/>
    <w:qFormat/>
    <w:uiPriority w:val="0"/>
  </w:style>
  <w:style w:type="character" w:customStyle="1" w:styleId="377">
    <w:name w:val="环保表内字（五号） Char"/>
    <w:link w:val="378"/>
    <w:qFormat/>
    <w:uiPriority w:val="0"/>
    <w:rPr>
      <w:rFonts w:cs="宋体"/>
      <w:szCs w:val="21"/>
    </w:rPr>
  </w:style>
  <w:style w:type="paragraph" w:customStyle="1" w:styleId="378">
    <w:name w:val="环保表内字（五号）"/>
    <w:basedOn w:val="1"/>
    <w:link w:val="377"/>
    <w:qFormat/>
    <w:uiPriority w:val="0"/>
    <w:pPr>
      <w:adjustRightInd w:val="0"/>
      <w:snapToGrid w:val="0"/>
      <w:jc w:val="center"/>
    </w:pPr>
    <w:rPr>
      <w:rFonts w:ascii="Times New Roman" w:hAnsi="Times New Roman" w:cs="宋体"/>
      <w:sz w:val="20"/>
    </w:rPr>
  </w:style>
  <w:style w:type="character" w:customStyle="1" w:styleId="379">
    <w:name w:val="正文文本 (20)_"/>
    <w:link w:val="380"/>
    <w:qFormat/>
    <w:uiPriority w:val="99"/>
    <w:rPr>
      <w:rFonts w:ascii="黑体" w:eastAsia="黑体" w:cs="黑体"/>
      <w:spacing w:val="-10"/>
      <w:sz w:val="19"/>
      <w:szCs w:val="19"/>
      <w:shd w:val="clear" w:color="auto" w:fill="FFFFFF"/>
    </w:rPr>
  </w:style>
  <w:style w:type="paragraph" w:customStyle="1" w:styleId="380">
    <w:name w:val="正文文本 (20)"/>
    <w:basedOn w:val="1"/>
    <w:link w:val="379"/>
    <w:qFormat/>
    <w:uiPriority w:val="99"/>
    <w:pPr>
      <w:shd w:val="clear" w:color="auto" w:fill="FFFFFF"/>
      <w:spacing w:line="499" w:lineRule="exact"/>
      <w:jc w:val="center"/>
    </w:pPr>
    <w:rPr>
      <w:rFonts w:ascii="黑体" w:hAnsi="Times New Roman" w:eastAsia="黑体"/>
      <w:spacing w:val="-10"/>
      <w:sz w:val="19"/>
      <w:szCs w:val="19"/>
    </w:rPr>
  </w:style>
  <w:style w:type="character" w:customStyle="1" w:styleId="381">
    <w:name w:val="font51"/>
    <w:qFormat/>
    <w:uiPriority w:val="0"/>
    <w:rPr>
      <w:rFonts w:hint="default" w:ascii="Times New Roman" w:hAnsi="Times New Roman" w:cs="Times New Roman"/>
      <w:color w:val="000000"/>
      <w:sz w:val="22"/>
      <w:szCs w:val="22"/>
      <w:u w:val="none"/>
    </w:rPr>
  </w:style>
  <w:style w:type="character" w:customStyle="1" w:styleId="382">
    <w:name w:val="Char Char5"/>
    <w:qFormat/>
    <w:uiPriority w:val="0"/>
    <w:rPr>
      <w:rFonts w:hint="eastAsia" w:ascii="宋体" w:hAnsi="宋体" w:eastAsia="宋体"/>
      <w:kern w:val="2"/>
      <w:sz w:val="21"/>
      <w:szCs w:val="24"/>
      <w:lang w:val="en-US" w:eastAsia="zh-CN" w:bidi="ar-SA"/>
    </w:rPr>
  </w:style>
  <w:style w:type="character" w:customStyle="1" w:styleId="383">
    <w:name w:val="zw1"/>
    <w:qFormat/>
    <w:uiPriority w:val="0"/>
    <w:rPr>
      <w:rFonts w:hint="eastAsia" w:ascii="宋体" w:hAnsi="宋体" w:eastAsia="宋体"/>
      <w:sz w:val="22"/>
      <w:szCs w:val="22"/>
    </w:rPr>
  </w:style>
  <w:style w:type="character" w:customStyle="1" w:styleId="384">
    <w:name w:val="html_txt1"/>
    <w:qFormat/>
    <w:uiPriority w:val="0"/>
    <w:rPr>
      <w:color w:val="000000"/>
    </w:rPr>
  </w:style>
  <w:style w:type="character" w:customStyle="1" w:styleId="385">
    <w:name w:val="text_edit editable-title"/>
    <w:qFormat/>
    <w:uiPriority w:val="0"/>
  </w:style>
  <w:style w:type="character" w:customStyle="1" w:styleId="386">
    <w:name w:val="font11"/>
    <w:qFormat/>
    <w:uiPriority w:val="0"/>
    <w:rPr>
      <w:rFonts w:hint="eastAsia" w:ascii="宋体" w:hAnsi="宋体" w:eastAsia="宋体" w:cs="宋体"/>
      <w:color w:val="000000"/>
      <w:sz w:val="21"/>
      <w:szCs w:val="21"/>
      <w:u w:val="none"/>
      <w:vertAlign w:val="subscript"/>
    </w:rPr>
  </w:style>
  <w:style w:type="paragraph" w:customStyle="1" w:styleId="387">
    <w:name w:val="Char2 Char Char1 Char Char Char"/>
    <w:basedOn w:val="1"/>
    <w:qFormat/>
    <w:uiPriority w:val="0"/>
    <w:pPr>
      <w:spacing w:line="360" w:lineRule="auto"/>
      <w:ind w:firstLine="200" w:firstLineChars="200"/>
    </w:pPr>
    <w:rPr>
      <w:rFonts w:cs="宋体"/>
      <w:kern w:val="2"/>
      <w:sz w:val="24"/>
      <w:szCs w:val="24"/>
    </w:rPr>
  </w:style>
  <w:style w:type="paragraph" w:customStyle="1" w:styleId="388">
    <w:name w:val="无"/>
    <w:basedOn w:val="64"/>
    <w:qFormat/>
    <w:uiPriority w:val="0"/>
    <w:pPr>
      <w:spacing w:after="120" w:line="240" w:lineRule="auto"/>
      <w:ind w:left="420" w:firstLine="0"/>
    </w:pPr>
    <w:rPr>
      <w:rFonts w:ascii="Times New Roman" w:hAnsi="Times New Roman"/>
      <w:kern w:val="2"/>
      <w:sz w:val="16"/>
      <w:szCs w:val="16"/>
    </w:rPr>
  </w:style>
  <w:style w:type="paragraph" w:customStyle="1" w:styleId="389">
    <w:name w:val="Char21"/>
    <w:basedOn w:val="1"/>
    <w:qFormat/>
    <w:uiPriority w:val="0"/>
    <w:pPr>
      <w:spacing w:line="360" w:lineRule="auto"/>
      <w:ind w:firstLine="200" w:firstLineChars="200"/>
    </w:pPr>
    <w:rPr>
      <w:rFonts w:cs="宋体"/>
      <w:kern w:val="2"/>
      <w:sz w:val="24"/>
      <w:szCs w:val="24"/>
    </w:rPr>
  </w:style>
  <w:style w:type="paragraph" w:customStyle="1" w:styleId="390">
    <w:name w:val="pic-info"/>
    <w:basedOn w:val="1"/>
    <w:qFormat/>
    <w:uiPriority w:val="0"/>
    <w:pPr>
      <w:widowControl/>
      <w:spacing w:before="100" w:beforeAutospacing="1" w:after="100" w:afterAutospacing="1"/>
      <w:jc w:val="left"/>
    </w:pPr>
    <w:rPr>
      <w:rFonts w:cs="宋体"/>
      <w:sz w:val="24"/>
      <w:szCs w:val="24"/>
    </w:rPr>
  </w:style>
  <w:style w:type="paragraph" w:customStyle="1" w:styleId="391">
    <w:name w:val="Char2"/>
    <w:basedOn w:val="1"/>
    <w:qFormat/>
    <w:uiPriority w:val="0"/>
    <w:rPr>
      <w:rFonts w:ascii="Times New Roman" w:hAnsi="Times New Roman"/>
      <w:kern w:val="2"/>
      <w:szCs w:val="24"/>
    </w:rPr>
  </w:style>
  <w:style w:type="paragraph" w:customStyle="1" w:styleId="392">
    <w:name w:val="我的样式（正文）"/>
    <w:basedOn w:val="1"/>
    <w:qFormat/>
    <w:uiPriority w:val="0"/>
    <w:pPr>
      <w:spacing w:line="440" w:lineRule="exact"/>
    </w:pPr>
    <w:rPr>
      <w:rFonts w:hAnsi="Times New Roman"/>
      <w:sz w:val="28"/>
      <w:szCs w:val="20"/>
    </w:rPr>
  </w:style>
  <w:style w:type="paragraph" w:customStyle="1" w:styleId="393">
    <w:name w:val="基本"/>
    <w:basedOn w:val="1"/>
    <w:next w:val="1"/>
    <w:qFormat/>
    <w:uiPriority w:val="0"/>
    <w:pPr>
      <w:widowControl/>
      <w:spacing w:line="360" w:lineRule="auto"/>
      <w:ind w:firstLine="200" w:firstLineChars="200"/>
    </w:pPr>
    <w:rPr>
      <w:rFonts w:ascii="Times New Roman" w:hAnsi="Times New Roman" w:cs="Angsana New"/>
      <w:color w:val="000000"/>
      <w:kern w:val="2"/>
      <w:sz w:val="28"/>
      <w:szCs w:val="20"/>
      <w:lang w:bidi="th-TH"/>
    </w:rPr>
  </w:style>
  <w:style w:type="paragraph" w:customStyle="1" w:styleId="394">
    <w:name w:val="post_content_p"/>
    <w:basedOn w:val="1"/>
    <w:qFormat/>
    <w:uiPriority w:val="0"/>
    <w:pPr>
      <w:widowControl/>
      <w:wordWrap w:val="0"/>
      <w:spacing w:before="100" w:beforeAutospacing="1" w:after="100" w:afterAutospacing="1"/>
      <w:jc w:val="left"/>
    </w:pPr>
    <w:rPr>
      <w:rFonts w:cs="宋体"/>
      <w:sz w:val="24"/>
      <w:szCs w:val="24"/>
    </w:rPr>
  </w:style>
  <w:style w:type="paragraph" w:customStyle="1" w:styleId="395">
    <w:name w:val="105v"/>
    <w:basedOn w:val="1"/>
    <w:qFormat/>
    <w:uiPriority w:val="0"/>
    <w:pPr>
      <w:widowControl/>
      <w:spacing w:before="100" w:beforeAutospacing="1" w:after="100" w:afterAutospacing="1"/>
      <w:jc w:val="left"/>
    </w:pPr>
    <w:rPr>
      <w:rFonts w:cs="宋体"/>
      <w:sz w:val="24"/>
    </w:rPr>
  </w:style>
  <w:style w:type="paragraph" w:customStyle="1" w:styleId="396">
    <w:name w:val="表头说明文字"/>
    <w:basedOn w:val="1"/>
    <w:next w:val="1"/>
    <w:qFormat/>
    <w:uiPriority w:val="0"/>
    <w:pPr>
      <w:widowControl/>
      <w:jc w:val="center"/>
    </w:pPr>
    <w:rPr>
      <w:rFonts w:ascii="黑体" w:eastAsia="黑体"/>
      <w:snapToGrid w:val="0"/>
      <w:sz w:val="28"/>
      <w:szCs w:val="20"/>
    </w:rPr>
  </w:style>
  <w:style w:type="paragraph" w:customStyle="1" w:styleId="397">
    <w:name w:val="样式 标题 3节内标题1 + 行距: 固定值 23 磅"/>
    <w:basedOn w:val="4"/>
    <w:qFormat/>
    <w:uiPriority w:val="0"/>
    <w:pPr>
      <w:numPr>
        <w:ilvl w:val="0"/>
        <w:numId w:val="0"/>
      </w:numPr>
      <w:tabs>
        <w:tab w:val="left" w:pos="1740"/>
      </w:tabs>
      <w:spacing w:afterLines="50" w:line="480" w:lineRule="exact"/>
      <w:ind w:left="1740" w:hanging="420"/>
    </w:pPr>
    <w:rPr>
      <w:rFonts w:ascii="Times New Roman" w:hAnsi="Times New Roman" w:eastAsia="黑体" w:cs="宋体"/>
      <w:color w:val="000000"/>
      <w:sz w:val="28"/>
      <w:szCs w:val="20"/>
    </w:rPr>
  </w:style>
  <w:style w:type="paragraph" w:customStyle="1" w:styleId="398">
    <w:name w:val="Char Char Char Char Char Char Char Char Char Char1 Char Char Char Char Char Char Char Char Char Char Char Char Char Char Char Char Char Char Char Char Char Char Char Char Char"/>
    <w:basedOn w:val="1"/>
    <w:qFormat/>
    <w:uiPriority w:val="0"/>
    <w:rPr>
      <w:rFonts w:ascii="Times New Roman" w:hAnsi="Times New Roman"/>
      <w:kern w:val="2"/>
      <w:szCs w:val="24"/>
    </w:rPr>
  </w:style>
  <w:style w:type="paragraph" w:customStyle="1" w:styleId="399">
    <w:name w:val="样式5"/>
    <w:basedOn w:val="2"/>
    <w:qFormat/>
    <w:uiPriority w:val="0"/>
    <w:pPr>
      <w:tabs>
        <w:tab w:val="left" w:pos="432"/>
      </w:tabs>
      <w:spacing w:before="240" w:after="240" w:line="360" w:lineRule="atLeast"/>
      <w:ind w:left="432" w:hanging="432"/>
    </w:pPr>
    <w:rPr>
      <w:szCs w:val="30"/>
    </w:rPr>
  </w:style>
  <w:style w:type="paragraph" w:customStyle="1" w:styleId="400">
    <w:name w:val="样式 正文文字-1 + 首行缩进:  2.1 字符"/>
    <w:basedOn w:val="1"/>
    <w:qFormat/>
    <w:uiPriority w:val="0"/>
    <w:pPr>
      <w:spacing w:before="60" w:after="60" w:line="440" w:lineRule="exact"/>
      <w:ind w:firstLine="210" w:firstLineChars="210"/>
    </w:pPr>
    <w:rPr>
      <w:rFonts w:ascii="Times New Roman" w:hAnsi="Times New Roman" w:cs="宋体"/>
      <w:kern w:val="2"/>
      <w:sz w:val="24"/>
      <w:szCs w:val="20"/>
    </w:rPr>
  </w:style>
  <w:style w:type="paragraph" w:customStyle="1" w:styleId="401">
    <w:name w:val="Char1 Char Char Char Char Char"/>
    <w:basedOn w:val="1"/>
    <w:qFormat/>
    <w:uiPriority w:val="0"/>
    <w:pPr>
      <w:spacing w:line="360" w:lineRule="auto"/>
      <w:ind w:firstLine="200" w:firstLineChars="200"/>
    </w:pPr>
    <w:rPr>
      <w:rFonts w:ascii="Tahoma" w:hAnsi="Tahoma"/>
      <w:kern w:val="2"/>
      <w:sz w:val="24"/>
      <w:szCs w:val="20"/>
    </w:rPr>
  </w:style>
  <w:style w:type="paragraph" w:customStyle="1" w:styleId="402">
    <w:name w:val="普通(网站)1"/>
    <w:basedOn w:val="1"/>
    <w:qFormat/>
    <w:uiPriority w:val="0"/>
    <w:pPr>
      <w:widowControl/>
      <w:spacing w:before="100" w:beforeAutospacing="1" w:after="100" w:afterAutospacing="1"/>
      <w:jc w:val="left"/>
    </w:pPr>
    <w:rPr>
      <w:sz w:val="24"/>
      <w:szCs w:val="24"/>
    </w:rPr>
  </w:style>
  <w:style w:type="paragraph" w:customStyle="1" w:styleId="403">
    <w:name w:val="Char Char Char Char Char Char Char2"/>
    <w:basedOn w:val="1"/>
    <w:qFormat/>
    <w:uiPriority w:val="0"/>
    <w:pPr>
      <w:spacing w:line="360" w:lineRule="auto"/>
      <w:ind w:firstLine="200" w:firstLineChars="200"/>
    </w:pPr>
    <w:rPr>
      <w:rFonts w:cs="宋体"/>
      <w:kern w:val="2"/>
      <w:sz w:val="24"/>
      <w:szCs w:val="24"/>
    </w:rPr>
  </w:style>
  <w:style w:type="paragraph" w:customStyle="1" w:styleId="404">
    <w:name w:val="环正文"/>
    <w:basedOn w:val="1"/>
    <w:qFormat/>
    <w:uiPriority w:val="0"/>
    <w:pPr>
      <w:widowControl/>
      <w:tabs>
        <w:tab w:val="left" w:pos="5094"/>
      </w:tabs>
      <w:adjustRightInd w:val="0"/>
      <w:snapToGrid w:val="0"/>
      <w:spacing w:beforeLines="50" w:line="360" w:lineRule="auto"/>
      <w:ind w:firstLine="523" w:firstLineChars="218"/>
      <w:textAlignment w:val="baseline"/>
    </w:pPr>
    <w:rPr>
      <w:szCs w:val="20"/>
    </w:rPr>
  </w:style>
  <w:style w:type="paragraph" w:customStyle="1" w:styleId="405">
    <w:name w:val="Char Char Char Char Char Char Char Char Char Char Char Char Char Char Char Char1"/>
    <w:basedOn w:val="1"/>
    <w:qFormat/>
    <w:uiPriority w:val="0"/>
    <w:pPr>
      <w:spacing w:line="360" w:lineRule="auto"/>
      <w:ind w:firstLine="200" w:firstLineChars="200"/>
    </w:pPr>
    <w:rPr>
      <w:rFonts w:cs="宋体"/>
      <w:kern w:val="2"/>
      <w:sz w:val="24"/>
      <w:szCs w:val="24"/>
    </w:rPr>
  </w:style>
  <w:style w:type="paragraph" w:customStyle="1" w:styleId="406">
    <w:name w:val="样式 标题 3 + 首行缩进:  0.99 厘米 段前: 7.8 磅 段后: 7.8 磅"/>
    <w:basedOn w:val="4"/>
    <w:qFormat/>
    <w:uiPriority w:val="0"/>
    <w:pPr>
      <w:numPr>
        <w:ilvl w:val="0"/>
        <w:numId w:val="0"/>
      </w:numPr>
      <w:spacing w:beforeLines="100" w:afterLines="50" w:line="500" w:lineRule="exact"/>
    </w:pPr>
    <w:rPr>
      <w:rFonts w:ascii="Times New Roman" w:hAnsi="Times New Roman" w:cs="宋体"/>
      <w:b/>
      <w:bCs/>
      <w:kern w:val="2"/>
      <w:sz w:val="28"/>
      <w:szCs w:val="20"/>
    </w:rPr>
  </w:style>
  <w:style w:type="paragraph" w:customStyle="1" w:styleId="407">
    <w:name w:val="正文首行缩进1"/>
    <w:basedOn w:val="22"/>
    <w:qFormat/>
    <w:uiPriority w:val="0"/>
    <w:pPr>
      <w:ind w:firstLine="420" w:firstLineChars="100"/>
    </w:pPr>
    <w:rPr>
      <w:rFonts w:ascii="Calibri" w:hAnsi="Calibri"/>
      <w:kern w:val="2"/>
      <w:szCs w:val="24"/>
    </w:rPr>
  </w:style>
  <w:style w:type="paragraph" w:customStyle="1" w:styleId="408">
    <w:name w:val="样式1"/>
    <w:basedOn w:val="1"/>
    <w:next w:val="36"/>
    <w:qFormat/>
    <w:uiPriority w:val="0"/>
    <w:pPr>
      <w:ind w:left="-108" w:leftChars="-45"/>
      <w:jc w:val="center"/>
    </w:pPr>
    <w:rPr>
      <w:rFonts w:hAnsi="Times New Roman"/>
    </w:rPr>
  </w:style>
  <w:style w:type="paragraph" w:customStyle="1" w:styleId="409">
    <w:name w:val="Char Char Char Char Char Char Char Char Char Char1 Char Char Char Char Char Char Char Char Char Char Char Char Char Char Char Char Char Char Char Char Char Char Char Char Char1"/>
    <w:basedOn w:val="1"/>
    <w:qFormat/>
    <w:uiPriority w:val="0"/>
    <w:rPr>
      <w:rFonts w:ascii="Times New Roman" w:hAnsi="Times New Roman"/>
      <w:kern w:val="2"/>
      <w:szCs w:val="24"/>
    </w:rPr>
  </w:style>
  <w:style w:type="paragraph" w:customStyle="1" w:styleId="410">
    <w:name w:val="无间隔1"/>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411">
    <w:name w:val="次次正文段"/>
    <w:basedOn w:val="1"/>
    <w:qFormat/>
    <w:uiPriority w:val="0"/>
    <w:pPr>
      <w:ind w:firstLine="1499" w:firstLineChars="566"/>
    </w:pPr>
    <w:rPr>
      <w:rFonts w:cs="Courier New"/>
      <w:sz w:val="28"/>
      <w:szCs w:val="18"/>
    </w:rPr>
  </w:style>
  <w:style w:type="paragraph" w:customStyle="1" w:styleId="412">
    <w:name w:val="Char4"/>
    <w:basedOn w:val="1"/>
    <w:qFormat/>
    <w:uiPriority w:val="0"/>
    <w:pPr>
      <w:spacing w:line="360" w:lineRule="auto"/>
      <w:ind w:firstLine="200" w:firstLineChars="200"/>
    </w:pPr>
    <w:rPr>
      <w:rFonts w:cs="宋体"/>
      <w:kern w:val="2"/>
      <w:sz w:val="24"/>
      <w:szCs w:val="24"/>
    </w:rPr>
  </w:style>
  <w:style w:type="paragraph" w:customStyle="1" w:styleId="413">
    <w:name w:val="样式 Times New Roman 五号 居中1"/>
    <w:basedOn w:val="1"/>
    <w:qFormat/>
    <w:uiPriority w:val="0"/>
    <w:pPr>
      <w:jc w:val="center"/>
    </w:pPr>
    <w:rPr>
      <w:rFonts w:ascii="Times New Roman" w:hAnsi="Times New Roman" w:cs="宋体"/>
      <w:kern w:val="2"/>
      <w:szCs w:val="20"/>
    </w:rPr>
  </w:style>
  <w:style w:type="paragraph" w:customStyle="1" w:styleId="414">
    <w:name w:val="样式 标题 1章标题 1H11.1标题 111标题 1 + 行距: 固定值 30 磅"/>
    <w:basedOn w:val="2"/>
    <w:qFormat/>
    <w:uiPriority w:val="0"/>
    <w:pPr>
      <w:spacing w:after="120" w:line="600" w:lineRule="exact"/>
      <w:ind w:left="0"/>
    </w:pPr>
    <w:rPr>
      <w:rFonts w:ascii="黑体" w:cs="宋体"/>
      <w:sz w:val="44"/>
    </w:rPr>
  </w:style>
  <w:style w:type="paragraph" w:customStyle="1" w:styleId="415">
    <w:name w:val="居中正文"/>
    <w:basedOn w:val="21"/>
    <w:qFormat/>
    <w:uiPriority w:val="0"/>
    <w:pPr>
      <w:overflowPunct/>
      <w:adjustRightInd w:val="0"/>
      <w:snapToGrid/>
      <w:spacing w:before="120" w:after="0" w:line="360" w:lineRule="auto"/>
      <w:ind w:firstLine="0"/>
      <w:jc w:val="center"/>
      <w:textAlignment w:val="baseline"/>
    </w:pPr>
    <w:rPr>
      <w:rFonts w:ascii="宋体" w:hAnsi="Times New Roman" w:eastAsia="宋体"/>
      <w:kern w:val="28"/>
      <w:sz w:val="24"/>
    </w:rPr>
  </w:style>
  <w:style w:type="paragraph" w:customStyle="1" w:styleId="416">
    <w:name w:val="表格式"/>
    <w:basedOn w:val="60"/>
    <w:qFormat/>
    <w:uiPriority w:val="0"/>
    <w:pPr>
      <w:spacing w:line="400" w:lineRule="exact"/>
      <w:ind w:left="0" w:firstLine="0" w:firstLineChars="0"/>
      <w:jc w:val="center"/>
    </w:pPr>
    <w:rPr>
      <w:rFonts w:hAnsi="Times New Roman"/>
      <w:kern w:val="2"/>
      <w:szCs w:val="20"/>
    </w:rPr>
  </w:style>
  <w:style w:type="paragraph" w:customStyle="1" w:styleId="417">
    <w:name w:val="xl27"/>
    <w:basedOn w:val="1"/>
    <w:qFormat/>
    <w:uiPriority w:val="0"/>
    <w:pPr>
      <w:widowControl/>
      <w:pBdr>
        <w:bottom w:val="single" w:color="auto" w:sz="12" w:space="0"/>
      </w:pBdr>
      <w:spacing w:before="100" w:after="100"/>
      <w:jc w:val="center"/>
    </w:pPr>
    <w:rPr>
      <w:szCs w:val="20"/>
    </w:rPr>
  </w:style>
  <w:style w:type="paragraph" w:customStyle="1" w:styleId="418">
    <w:name w:val="表样式1"/>
    <w:basedOn w:val="1"/>
    <w:qFormat/>
    <w:uiPriority w:val="0"/>
    <w:pPr>
      <w:spacing w:line="360" w:lineRule="exact"/>
      <w:ind w:left="-77" w:leftChars="-32"/>
      <w:jc w:val="center"/>
    </w:pPr>
    <w:rPr>
      <w:color w:val="000000"/>
      <w:kern w:val="2"/>
      <w:szCs w:val="20"/>
    </w:rPr>
  </w:style>
  <w:style w:type="paragraph" w:customStyle="1" w:styleId="419">
    <w:name w:val="正文文字-1"/>
    <w:qFormat/>
    <w:uiPriority w:val="0"/>
    <w:pPr>
      <w:widowControl w:val="0"/>
      <w:spacing w:before="120" w:after="120" w:line="480" w:lineRule="exact"/>
      <w:ind w:firstLine="588" w:firstLineChars="210"/>
      <w:jc w:val="both"/>
    </w:pPr>
    <w:rPr>
      <w:rFonts w:ascii="Times New Roman" w:hAnsi="Times New Roman" w:eastAsia="宋体" w:cs="Times New Roman"/>
      <w:kern w:val="2"/>
      <w:sz w:val="24"/>
      <w:szCs w:val="24"/>
      <w:lang w:val="en-US" w:eastAsia="zh-CN" w:bidi="ar-SA"/>
    </w:rPr>
  </w:style>
  <w:style w:type="paragraph" w:customStyle="1" w:styleId="420">
    <w:name w:val="样式 四号 行距: 1.5 倍行距"/>
    <w:basedOn w:val="1"/>
    <w:qFormat/>
    <w:uiPriority w:val="0"/>
    <w:pPr>
      <w:spacing w:line="360" w:lineRule="auto"/>
      <w:ind w:firstLine="560" w:firstLineChars="200"/>
    </w:pPr>
    <w:rPr>
      <w:rFonts w:ascii="Times New Roman" w:hAnsi="Times New Roman" w:cs="宋体"/>
      <w:kern w:val="2"/>
      <w:sz w:val="24"/>
      <w:szCs w:val="20"/>
    </w:rPr>
  </w:style>
  <w:style w:type="paragraph" w:customStyle="1" w:styleId="421">
    <w:name w:val="zg1"/>
    <w:basedOn w:val="1"/>
    <w:qFormat/>
    <w:uiPriority w:val="0"/>
    <w:pPr>
      <w:suppressAutoHyphens/>
      <w:spacing w:line="500" w:lineRule="exact"/>
      <w:ind w:firstLine="200" w:firstLineChars="200"/>
    </w:pPr>
    <w:rPr>
      <w:rFonts w:ascii="Times New Roman" w:hAnsi="Times New Roman"/>
      <w:sz w:val="24"/>
      <w:szCs w:val="20"/>
    </w:rPr>
  </w:style>
  <w:style w:type="paragraph" w:customStyle="1" w:styleId="422">
    <w:name w:val="表序号"/>
    <w:basedOn w:val="6"/>
    <w:qFormat/>
    <w:uiPriority w:val="0"/>
    <w:pPr>
      <w:ind w:left="1134" w:hanging="1134"/>
      <w:jc w:val="center"/>
    </w:pPr>
    <w:rPr>
      <w:b/>
    </w:rPr>
  </w:style>
  <w:style w:type="paragraph" w:customStyle="1" w:styleId="423">
    <w:name w:val="Default"/>
    <w:next w:val="424"/>
    <w:qFormat/>
    <w:uiPriority w:val="0"/>
    <w:pPr>
      <w:widowControl w:val="0"/>
      <w:autoSpaceDE w:val="0"/>
      <w:autoSpaceDN w:val="0"/>
      <w:adjustRightInd w:val="0"/>
    </w:pPr>
    <w:rPr>
      <w:rFonts w:ascii="Arial" w:hAnsi="Arial" w:eastAsia="宋体" w:cs="Arial"/>
      <w:color w:val="000000"/>
      <w:sz w:val="24"/>
      <w:szCs w:val="24"/>
      <w:lang w:val="en-US" w:eastAsia="zh-CN" w:bidi="ar-SA"/>
    </w:rPr>
  </w:style>
  <w:style w:type="paragraph" w:customStyle="1" w:styleId="424">
    <w:name w:val="样式35"/>
    <w:basedOn w:val="1"/>
    <w:next w:val="425"/>
    <w:qFormat/>
    <w:uiPriority w:val="0"/>
    <w:pPr>
      <w:spacing w:line="312" w:lineRule="auto"/>
      <w:ind w:firstLine="567"/>
    </w:pPr>
    <w:rPr>
      <w:sz w:val="28"/>
    </w:rPr>
  </w:style>
  <w:style w:type="paragraph" w:customStyle="1" w:styleId="425">
    <w:name w:val="font6"/>
    <w:basedOn w:val="1"/>
    <w:next w:val="65"/>
    <w:qFormat/>
    <w:uiPriority w:val="0"/>
    <w:pPr>
      <w:widowControl/>
      <w:spacing w:before="100" w:beforeAutospacing="1" w:after="100" w:afterAutospacing="1"/>
      <w:jc w:val="left"/>
    </w:pPr>
    <w:rPr>
      <w:rFonts w:ascii="Times New Roman" w:hAnsi="Times New Roman" w:eastAsia="Arial Unicode MS"/>
      <w:sz w:val="18"/>
      <w:szCs w:val="18"/>
    </w:rPr>
  </w:style>
  <w:style w:type="paragraph" w:customStyle="1" w:styleId="426">
    <w:name w:val="样式 小四 行距: 1.5 倍行距"/>
    <w:basedOn w:val="1"/>
    <w:qFormat/>
    <w:uiPriority w:val="0"/>
    <w:pPr>
      <w:spacing w:line="500" w:lineRule="exact"/>
      <w:ind w:firstLine="200" w:firstLineChars="200"/>
    </w:pPr>
    <w:rPr>
      <w:rFonts w:ascii="Times New Roman" w:hAnsi="Times New Roman" w:cs="宋体"/>
      <w:kern w:val="2"/>
      <w:sz w:val="24"/>
      <w:szCs w:val="20"/>
    </w:rPr>
  </w:style>
  <w:style w:type="paragraph" w:customStyle="1" w:styleId="427">
    <w:name w:val="表格文字2"/>
    <w:basedOn w:val="1"/>
    <w:qFormat/>
    <w:uiPriority w:val="0"/>
    <w:pPr>
      <w:adjustRightInd w:val="0"/>
      <w:snapToGrid w:val="0"/>
      <w:spacing w:before="20"/>
      <w:jc w:val="center"/>
      <w:textAlignment w:val="baseline"/>
    </w:pPr>
    <w:rPr>
      <w:rFonts w:ascii="Arial" w:hAnsi="Arial"/>
      <w:kern w:val="2"/>
    </w:rPr>
  </w:style>
  <w:style w:type="paragraph" w:customStyle="1" w:styleId="428">
    <w:name w:val="默认段落字体 Para Char"/>
    <w:basedOn w:val="1"/>
    <w:next w:val="1"/>
    <w:qFormat/>
    <w:uiPriority w:val="0"/>
    <w:pPr>
      <w:spacing w:line="360" w:lineRule="auto"/>
      <w:ind w:firstLine="200" w:firstLineChars="200"/>
    </w:pPr>
    <w:rPr>
      <w:rFonts w:cs="宋体"/>
      <w:kern w:val="2"/>
      <w:sz w:val="24"/>
      <w:szCs w:val="24"/>
    </w:rPr>
  </w:style>
  <w:style w:type="paragraph" w:customStyle="1" w:styleId="429">
    <w:name w:val="样式 正文首行缩进 + 首行缩进:  2 字符1"/>
    <w:basedOn w:val="1"/>
    <w:next w:val="360"/>
    <w:qFormat/>
    <w:uiPriority w:val="0"/>
    <w:pPr>
      <w:spacing w:line="360" w:lineRule="auto"/>
      <w:ind w:firstLine="480" w:firstLineChars="200"/>
    </w:pPr>
    <w:rPr>
      <w:rFonts w:ascii="Times New Roman" w:hAnsi="Times New Roman"/>
      <w:kern w:val="2"/>
      <w:sz w:val="24"/>
      <w:szCs w:val="24"/>
    </w:rPr>
  </w:style>
  <w:style w:type="paragraph" w:customStyle="1" w:styleId="430">
    <w:name w:val="Char Char Char Char Char Char1 Char1"/>
    <w:basedOn w:val="1"/>
    <w:qFormat/>
    <w:uiPriority w:val="0"/>
    <w:rPr>
      <w:rFonts w:ascii="Times New Roman" w:hAnsi="Times New Roman"/>
      <w:kern w:val="2"/>
      <w:szCs w:val="24"/>
    </w:rPr>
  </w:style>
  <w:style w:type="paragraph" w:customStyle="1" w:styleId="431">
    <w:name w:val="样式"/>
    <w:basedOn w:val="1"/>
    <w:next w:val="32"/>
    <w:qFormat/>
    <w:uiPriority w:val="0"/>
    <w:pPr>
      <w:adjustRightInd w:val="0"/>
      <w:spacing w:line="360" w:lineRule="auto"/>
      <w:ind w:firstLine="564"/>
      <w:textAlignment w:val="baseline"/>
    </w:pPr>
    <w:rPr>
      <w:rFonts w:ascii="Times New Roman" w:hAnsi="Times New Roman" w:eastAsia="仿宋_GB2312"/>
      <w:sz w:val="28"/>
      <w:szCs w:val="20"/>
    </w:rPr>
  </w:style>
  <w:style w:type="paragraph" w:customStyle="1" w:styleId="432">
    <w:name w:val="样式 四号 行距: 1.5 倍行距3"/>
    <w:basedOn w:val="1"/>
    <w:qFormat/>
    <w:uiPriority w:val="0"/>
    <w:pPr>
      <w:spacing w:line="360" w:lineRule="auto"/>
      <w:ind w:firstLine="1260" w:firstLineChars="450"/>
    </w:pPr>
    <w:rPr>
      <w:rFonts w:ascii="Times New Roman" w:hAnsi="Times New Roman" w:cs="宋体"/>
      <w:kern w:val="2"/>
      <w:sz w:val="24"/>
      <w:szCs w:val="20"/>
    </w:rPr>
  </w:style>
  <w:style w:type="paragraph" w:customStyle="1" w:styleId="433">
    <w:name w:val="正文表标题"/>
    <w:next w:val="1"/>
    <w:qFormat/>
    <w:uiPriority w:val="0"/>
    <w:pPr>
      <w:ind w:left="3420"/>
      <w:jc w:val="center"/>
    </w:pPr>
    <w:rPr>
      <w:rFonts w:ascii="黑体" w:hAnsi="Times New Roman" w:eastAsia="黑体" w:cs="Times New Roman"/>
      <w:sz w:val="21"/>
      <w:lang w:val="en-US" w:eastAsia="zh-CN" w:bidi="ar-SA"/>
    </w:rPr>
  </w:style>
  <w:style w:type="paragraph" w:customStyle="1" w:styleId="434">
    <w:name w:val="Char Char Char2 Char1"/>
    <w:basedOn w:val="1"/>
    <w:qFormat/>
    <w:uiPriority w:val="0"/>
    <w:pPr>
      <w:spacing w:line="240" w:lineRule="exact"/>
      <w:ind w:firstLine="200" w:firstLineChars="200"/>
    </w:pPr>
    <w:rPr>
      <w:rFonts w:ascii="Times New Roman" w:hAnsi="Times New Roman"/>
      <w:kern w:val="2"/>
      <w:sz w:val="28"/>
      <w:szCs w:val="28"/>
    </w:rPr>
  </w:style>
  <w:style w:type="paragraph" w:customStyle="1" w:styleId="435">
    <w:name w:val="标题 41"/>
    <w:basedOn w:val="1"/>
    <w:qFormat/>
    <w:uiPriority w:val="0"/>
    <w:pPr>
      <w:ind w:left="142"/>
      <w:jc w:val="left"/>
      <w:outlineLvl w:val="4"/>
    </w:pPr>
    <w:rPr>
      <w:rFonts w:ascii="微软雅黑" w:hAnsi="微软雅黑" w:eastAsia="微软雅黑" w:cs="微软雅黑"/>
      <w:b/>
      <w:bCs/>
      <w:sz w:val="28"/>
      <w:szCs w:val="28"/>
      <w:lang w:eastAsia="en-US"/>
    </w:rPr>
  </w:style>
  <w:style w:type="paragraph" w:customStyle="1" w:styleId="436">
    <w:name w:val="Char3"/>
    <w:basedOn w:val="1"/>
    <w:qFormat/>
    <w:uiPriority w:val="0"/>
    <w:pPr>
      <w:widowControl/>
      <w:spacing w:after="160" w:line="240" w:lineRule="exact"/>
      <w:jc w:val="left"/>
    </w:pPr>
    <w:rPr>
      <w:rFonts w:ascii="Verdana" w:hAnsi="Verdana"/>
      <w:w w:val="90"/>
      <w:sz w:val="20"/>
      <w:szCs w:val="20"/>
      <w:lang w:eastAsia="en-US"/>
    </w:rPr>
  </w:style>
  <w:style w:type="paragraph" w:customStyle="1" w:styleId="437">
    <w:name w:val="样式 黑色 首行缩进:  2 字符"/>
    <w:basedOn w:val="1"/>
    <w:qFormat/>
    <w:uiPriority w:val="0"/>
    <w:rPr>
      <w:rFonts w:cs="宋体"/>
      <w:color w:val="000000"/>
    </w:rPr>
  </w:style>
  <w:style w:type="paragraph" w:customStyle="1" w:styleId="438">
    <w:name w:val="样式 正文（首行缩进两字） + 宋体 小四 加粗 行距: 固定值 24 磅"/>
    <w:basedOn w:val="19"/>
    <w:qFormat/>
    <w:uiPriority w:val="0"/>
    <w:pPr>
      <w:tabs>
        <w:tab w:val="left" w:pos="5940"/>
      </w:tabs>
      <w:adjustRightInd w:val="0"/>
      <w:spacing w:line="480" w:lineRule="exact"/>
      <w:ind w:firstLine="0"/>
      <w:jc w:val="center"/>
      <w:textAlignment w:val="baseline"/>
    </w:pPr>
    <w:rPr>
      <w:rFonts w:ascii="黑体" w:hAnsi="黑体" w:eastAsia="黑体"/>
      <w:kern w:val="2"/>
      <w:sz w:val="24"/>
      <w:szCs w:val="24"/>
    </w:rPr>
  </w:style>
  <w:style w:type="paragraph" w:customStyle="1" w:styleId="439">
    <w:name w:val="公式"/>
    <w:qFormat/>
    <w:uiPriority w:val="0"/>
    <w:pPr>
      <w:jc w:val="center"/>
    </w:pPr>
    <w:rPr>
      <w:rFonts w:ascii="Times New Roman" w:hAnsi="Times New Roman" w:eastAsia="宋体" w:cs="Times New Roman"/>
      <w:sz w:val="28"/>
      <w:lang w:val="en-US" w:eastAsia="zh-CN" w:bidi="ar-SA"/>
    </w:rPr>
  </w:style>
  <w:style w:type="paragraph" w:customStyle="1" w:styleId="440">
    <w:name w:val="char"/>
    <w:basedOn w:val="1"/>
    <w:qFormat/>
    <w:uiPriority w:val="0"/>
    <w:pPr>
      <w:widowControl/>
      <w:spacing w:after="160" w:line="240" w:lineRule="exact"/>
      <w:jc w:val="left"/>
    </w:pPr>
    <w:rPr>
      <w:rFonts w:ascii="Verdana" w:hAnsi="Verdana" w:eastAsia="仿宋_GB2312" w:cs="”“Times New Roman”“"/>
      <w:sz w:val="24"/>
      <w:szCs w:val="20"/>
      <w:lang w:eastAsia="en-US"/>
    </w:rPr>
  </w:style>
  <w:style w:type="paragraph" w:customStyle="1" w:styleId="441">
    <w:name w:val="图表目录1"/>
    <w:basedOn w:val="139"/>
    <w:next w:val="139"/>
    <w:qFormat/>
    <w:uiPriority w:val="0"/>
    <w:pPr>
      <w:tabs>
        <w:tab w:val="right" w:leader="dot" w:pos="8051"/>
      </w:tabs>
      <w:ind w:left="840" w:hanging="840"/>
    </w:pPr>
  </w:style>
  <w:style w:type="paragraph" w:customStyle="1" w:styleId="442">
    <w:name w:val="流程文字"/>
    <w:basedOn w:val="1"/>
    <w:qFormat/>
    <w:uiPriority w:val="0"/>
    <w:pPr>
      <w:tabs>
        <w:tab w:val="left" w:pos="6480"/>
      </w:tabs>
      <w:topLinePunct/>
      <w:adjustRightInd w:val="0"/>
      <w:snapToGrid w:val="0"/>
      <w:jc w:val="center"/>
    </w:pPr>
    <w:rPr>
      <w:rFonts w:ascii="Times New Roman" w:hAnsi="Times New Roman" w:eastAsia="仿宋_GB2312"/>
      <w:kern w:val="2"/>
      <w:szCs w:val="20"/>
    </w:rPr>
  </w:style>
  <w:style w:type="paragraph" w:customStyle="1" w:styleId="443">
    <w:name w:val="样式 样式 标题 2 + 首行缩进:  1.06 厘米 段前: 1 行 段后: 1 行 + 段前: 1 行 段后: 1 行"/>
    <w:basedOn w:val="1"/>
    <w:qFormat/>
    <w:uiPriority w:val="0"/>
    <w:pPr>
      <w:keepNext/>
      <w:keepLines/>
      <w:spacing w:beforeLines="100" w:afterLines="50" w:line="500" w:lineRule="exact"/>
      <w:jc w:val="left"/>
      <w:outlineLvl w:val="1"/>
    </w:pPr>
    <w:rPr>
      <w:rFonts w:ascii="Times New Roman" w:hAnsi="Times New Roman" w:eastAsia="黑体" w:cs="宋体"/>
      <w:b/>
      <w:bCs/>
      <w:kern w:val="2"/>
      <w:sz w:val="30"/>
      <w:szCs w:val="20"/>
    </w:rPr>
  </w:style>
  <w:style w:type="paragraph" w:customStyle="1" w:styleId="444">
    <w:name w:val="二级无标题条"/>
    <w:basedOn w:val="1"/>
    <w:qFormat/>
    <w:uiPriority w:val="0"/>
    <w:rPr>
      <w:rFonts w:ascii="Times New Roman" w:hAnsi="Times New Roman"/>
      <w:kern w:val="2"/>
      <w:szCs w:val="24"/>
    </w:rPr>
  </w:style>
  <w:style w:type="paragraph" w:customStyle="1" w:styleId="445">
    <w:name w:val="Char Char Char Char"/>
    <w:basedOn w:val="1"/>
    <w:qFormat/>
    <w:uiPriority w:val="0"/>
    <w:pPr>
      <w:snapToGrid w:val="0"/>
      <w:spacing w:line="360" w:lineRule="auto"/>
      <w:ind w:firstLine="200" w:firstLineChars="200"/>
    </w:pPr>
  </w:style>
  <w:style w:type="paragraph" w:customStyle="1" w:styleId="446">
    <w:name w:val="封面单位"/>
    <w:basedOn w:val="1"/>
    <w:qFormat/>
    <w:uiPriority w:val="0"/>
    <w:pPr>
      <w:tabs>
        <w:tab w:val="right" w:leader="middleDot" w:pos="8222"/>
      </w:tabs>
      <w:spacing w:line="360" w:lineRule="auto"/>
      <w:jc w:val="center"/>
    </w:pPr>
    <w:rPr>
      <w:rFonts w:ascii="楷体_GB2312" w:hAnsi="Times New Roman" w:eastAsia="楷体_GB2312"/>
      <w:b/>
      <w:sz w:val="36"/>
      <w:szCs w:val="20"/>
    </w:rPr>
  </w:style>
  <w:style w:type="paragraph" w:customStyle="1" w:styleId="447">
    <w:name w:val="表格样式"/>
    <w:basedOn w:val="1"/>
    <w:qFormat/>
    <w:uiPriority w:val="0"/>
    <w:pPr>
      <w:adjustRightInd w:val="0"/>
      <w:spacing w:line="320" w:lineRule="exact"/>
      <w:jc w:val="center"/>
    </w:pPr>
    <w:rPr>
      <w:rFonts w:ascii="Times New Roman" w:hAnsi="Times New Roman" w:cs="宋体"/>
      <w:kern w:val="2"/>
      <w:szCs w:val="20"/>
    </w:rPr>
  </w:style>
  <w:style w:type="paragraph" w:customStyle="1" w:styleId="448">
    <w:name w:val="正文楷体"/>
    <w:basedOn w:val="1"/>
    <w:qFormat/>
    <w:uiPriority w:val="0"/>
    <w:rPr>
      <w:rFonts w:ascii="Times New Roman" w:hAnsi="Times New Roman" w:eastAsia="楷体_GB2312"/>
      <w:kern w:val="2"/>
      <w:szCs w:val="24"/>
    </w:rPr>
  </w:style>
  <w:style w:type="paragraph" w:customStyle="1" w:styleId="449">
    <w:name w:val="表格内文字格式"/>
    <w:basedOn w:val="1"/>
    <w:next w:val="1"/>
    <w:qFormat/>
    <w:uiPriority w:val="0"/>
    <w:pPr>
      <w:widowControl/>
      <w:jc w:val="center"/>
    </w:pPr>
    <w:rPr>
      <w:snapToGrid w:val="0"/>
      <w:szCs w:val="20"/>
    </w:rPr>
  </w:style>
  <w:style w:type="paragraph" w:customStyle="1" w:styleId="450">
    <w:name w:val="样式 标题 1章节大标题 + 行距: 固定值 23 磅"/>
    <w:basedOn w:val="2"/>
    <w:qFormat/>
    <w:uiPriority w:val="0"/>
    <w:pPr>
      <w:ind w:left="23"/>
    </w:pPr>
    <w:rPr>
      <w:rFonts w:cs="宋体"/>
      <w:bCs w:val="0"/>
    </w:rPr>
  </w:style>
  <w:style w:type="paragraph" w:customStyle="1" w:styleId="451">
    <w:name w:val="Char"/>
    <w:basedOn w:val="1"/>
    <w:qFormat/>
    <w:uiPriority w:val="0"/>
    <w:pPr>
      <w:widowControl/>
      <w:spacing w:after="160" w:line="240" w:lineRule="exact"/>
      <w:jc w:val="left"/>
    </w:pPr>
    <w:rPr>
      <w:rFonts w:ascii="Verdana" w:hAnsi="Verdana"/>
      <w:sz w:val="20"/>
      <w:szCs w:val="20"/>
      <w:lang w:eastAsia="en-US"/>
    </w:rPr>
  </w:style>
  <w:style w:type="paragraph" w:customStyle="1" w:styleId="452">
    <w:name w:val="标题 31"/>
    <w:basedOn w:val="1"/>
    <w:qFormat/>
    <w:uiPriority w:val="1"/>
    <w:pPr>
      <w:ind w:left="100" w:right="102"/>
      <w:jc w:val="left"/>
      <w:outlineLvl w:val="3"/>
    </w:pPr>
    <w:rPr>
      <w:rFonts w:cs="宋体"/>
      <w:b/>
      <w:bCs/>
      <w:sz w:val="24"/>
      <w:szCs w:val="24"/>
      <w:lang w:eastAsia="en-US"/>
    </w:rPr>
  </w:style>
  <w:style w:type="paragraph" w:customStyle="1" w:styleId="453">
    <w:name w:val="大纲封面"/>
    <w:basedOn w:val="1"/>
    <w:qFormat/>
    <w:uiPriority w:val="0"/>
    <w:pPr>
      <w:spacing w:line="360" w:lineRule="auto"/>
      <w:jc w:val="center"/>
    </w:pPr>
    <w:rPr>
      <w:rFonts w:hAnsi="Times New Roman" w:eastAsia="楷体_GB2312"/>
      <w:b/>
      <w:spacing w:val="100"/>
      <w:sz w:val="72"/>
      <w:szCs w:val="20"/>
    </w:rPr>
  </w:style>
  <w:style w:type="paragraph" w:customStyle="1" w:styleId="454">
    <w:name w:val="样式 样式a + 左侧:  0.42 厘米 右侧:  0.42 厘米"/>
    <w:basedOn w:val="455"/>
    <w:qFormat/>
    <w:uiPriority w:val="0"/>
    <w:pPr>
      <w:adjustRightInd w:val="0"/>
      <w:snapToGrid w:val="0"/>
    </w:pPr>
  </w:style>
  <w:style w:type="paragraph" w:customStyle="1" w:styleId="455">
    <w:name w:val="样式a"/>
    <w:basedOn w:val="1"/>
    <w:qFormat/>
    <w:uiPriority w:val="0"/>
    <w:pPr>
      <w:jc w:val="center"/>
    </w:pPr>
    <w:rPr>
      <w:rFonts w:ascii="Times New Roman" w:hAnsi="Times New Roman" w:cs="宋体"/>
      <w:kern w:val="2"/>
      <w:szCs w:val="20"/>
    </w:rPr>
  </w:style>
  <w:style w:type="paragraph" w:customStyle="1" w:styleId="456">
    <w:name w:val="Char Char Char Char Char Char Char Char Char Char"/>
    <w:basedOn w:val="1"/>
    <w:qFormat/>
    <w:uiPriority w:val="0"/>
    <w:rPr>
      <w:rFonts w:ascii="Times New Roman" w:hAnsi="Times New Roman"/>
      <w:kern w:val="2"/>
      <w:szCs w:val="24"/>
    </w:rPr>
  </w:style>
  <w:style w:type="paragraph" w:customStyle="1" w:styleId="457">
    <w:name w:val="表格内容文字"/>
    <w:basedOn w:val="41"/>
    <w:qFormat/>
    <w:uiPriority w:val="0"/>
    <w:pPr>
      <w:jc w:val="left"/>
    </w:pPr>
    <w:rPr>
      <w:rFonts w:ascii="Times New Roman" w:hAnsi="Times New Roman" w:cs="Courier New"/>
      <w:kern w:val="2"/>
      <w:sz w:val="18"/>
      <w:szCs w:val="18"/>
    </w:rPr>
  </w:style>
  <w:style w:type="paragraph" w:customStyle="1" w:styleId="458">
    <w:name w:val="文本条款"/>
    <w:basedOn w:val="1"/>
    <w:next w:val="19"/>
    <w:qFormat/>
    <w:uiPriority w:val="0"/>
    <w:pPr>
      <w:ind w:firstLine="420"/>
    </w:pPr>
    <w:rPr>
      <w:rFonts w:ascii="仿宋_GB2312" w:hAnsi="Arial Black" w:eastAsia="仿宋_GB2312"/>
      <w:sz w:val="28"/>
      <w:szCs w:val="28"/>
    </w:rPr>
  </w:style>
  <w:style w:type="paragraph" w:customStyle="1" w:styleId="459">
    <w:name w:val="xl22"/>
    <w:basedOn w:val="1"/>
    <w:qFormat/>
    <w:uiPriority w:val="0"/>
    <w:pPr>
      <w:widowControl/>
      <w:pBdr>
        <w:bottom w:val="single" w:color="auto" w:sz="4" w:space="0"/>
        <w:right w:val="single" w:color="auto" w:sz="4" w:space="0"/>
      </w:pBdr>
      <w:spacing w:before="100" w:after="100"/>
      <w:jc w:val="center"/>
    </w:pPr>
    <w:rPr>
      <w:szCs w:val="20"/>
    </w:rPr>
  </w:style>
  <w:style w:type="paragraph" w:customStyle="1" w:styleId="460">
    <w:name w:val="样式 正文文字缩进 + 行距: 1.5 倍行距 首行缩进:  1.98 字符"/>
    <w:basedOn w:val="32"/>
    <w:qFormat/>
    <w:uiPriority w:val="0"/>
    <w:pPr>
      <w:autoSpaceDE/>
      <w:autoSpaceDN/>
      <w:spacing w:beforeLines="50" w:line="480" w:lineRule="exact"/>
      <w:ind w:firstLine="0"/>
      <w:jc w:val="both"/>
      <w:textAlignment w:val="auto"/>
    </w:pPr>
    <w:rPr>
      <w:rFonts w:ascii="Times New Roman"/>
      <w:kern w:val="2"/>
      <w:szCs w:val="20"/>
    </w:rPr>
  </w:style>
  <w:style w:type="paragraph" w:customStyle="1" w:styleId="461">
    <w:name w:val="样式 四号 黑色 首行缩进:  2 字符"/>
    <w:basedOn w:val="1"/>
    <w:qFormat/>
    <w:uiPriority w:val="0"/>
    <w:pPr>
      <w:spacing w:line="480" w:lineRule="atLeast"/>
      <w:ind w:firstLine="200" w:firstLineChars="200"/>
    </w:pPr>
    <w:rPr>
      <w:rFonts w:ascii="Times New Roman" w:hAnsi="Times New Roman"/>
      <w:color w:val="000000"/>
      <w:kern w:val="2"/>
      <w:sz w:val="24"/>
      <w:szCs w:val="24"/>
    </w:rPr>
  </w:style>
  <w:style w:type="paragraph" w:customStyle="1" w:styleId="462">
    <w:name w:val="表格内文字"/>
    <w:basedOn w:val="1"/>
    <w:qFormat/>
    <w:uiPriority w:val="0"/>
    <w:pPr>
      <w:spacing w:before="100" w:after="100" w:line="320" w:lineRule="exact"/>
      <w:jc w:val="center"/>
    </w:pPr>
    <w:rPr>
      <w:rFonts w:ascii="Times New Roman" w:hAnsi="Times New Roman"/>
      <w:spacing w:val="10"/>
      <w:szCs w:val="20"/>
    </w:rPr>
  </w:style>
  <w:style w:type="paragraph" w:customStyle="1" w:styleId="463">
    <w:name w:val="环评小于节的标题"/>
    <w:basedOn w:val="1"/>
    <w:qFormat/>
    <w:uiPriority w:val="0"/>
    <w:pPr>
      <w:tabs>
        <w:tab w:val="left" w:pos="567"/>
      </w:tabs>
      <w:spacing w:before="200" w:after="200" w:line="360" w:lineRule="auto"/>
    </w:pPr>
    <w:rPr>
      <w:rFonts w:ascii="Times New Roman" w:hAnsi="Times New Roman" w:eastAsia="黑体"/>
      <w:b/>
      <w:spacing w:val="20"/>
      <w:kern w:val="2"/>
      <w:sz w:val="28"/>
      <w:szCs w:val="20"/>
    </w:rPr>
  </w:style>
  <w:style w:type="paragraph" w:customStyle="1" w:styleId="464">
    <w:name w:val="项目编号"/>
    <w:basedOn w:val="1"/>
    <w:next w:val="465"/>
    <w:qFormat/>
    <w:uiPriority w:val="0"/>
    <w:pPr>
      <w:spacing w:before="120" w:after="120" w:line="360" w:lineRule="auto"/>
    </w:pPr>
    <w:rPr>
      <w:rFonts w:ascii="Times New Roman" w:hAnsi="Times New Roman"/>
      <w:szCs w:val="20"/>
    </w:rPr>
  </w:style>
  <w:style w:type="paragraph" w:customStyle="1" w:styleId="465">
    <w:name w:val="项目编号文字"/>
    <w:basedOn w:val="1"/>
    <w:next w:val="19"/>
    <w:qFormat/>
    <w:uiPriority w:val="0"/>
    <w:pPr>
      <w:spacing w:before="120" w:after="120" w:line="360" w:lineRule="auto"/>
      <w:ind w:left="1077"/>
    </w:pPr>
    <w:rPr>
      <w:rFonts w:ascii="Times New Roman" w:hAnsi="Times New Roman"/>
      <w:szCs w:val="20"/>
    </w:rPr>
  </w:style>
  <w:style w:type="paragraph" w:customStyle="1" w:styleId="466">
    <w:name w:val="表格正文"/>
    <w:next w:val="1"/>
    <w:qFormat/>
    <w:uiPriority w:val="0"/>
    <w:pPr>
      <w:widowControl w:val="0"/>
      <w:jc w:val="right"/>
    </w:pPr>
    <w:rPr>
      <w:rFonts w:ascii="仿宋_GB2312" w:hAnsi="Times New Roman" w:eastAsia="仿宋_GB2312" w:cs="Times New Roman"/>
      <w:kern w:val="2"/>
      <w:sz w:val="21"/>
      <w:szCs w:val="24"/>
      <w:lang w:val="en-US" w:eastAsia="zh-CN" w:bidi="ar-SA"/>
    </w:rPr>
  </w:style>
  <w:style w:type="paragraph" w:customStyle="1" w:styleId="467">
    <w:name w:val="_Style 79"/>
    <w:basedOn w:val="1"/>
    <w:next w:val="19"/>
    <w:qFormat/>
    <w:uiPriority w:val="0"/>
    <w:pPr>
      <w:ind w:firstLine="420"/>
    </w:pPr>
    <w:rPr>
      <w:rFonts w:ascii="仿宋_GB2312" w:hAnsi="Arial Black" w:eastAsia="仿宋_GB2312"/>
      <w:sz w:val="28"/>
      <w:szCs w:val="28"/>
    </w:rPr>
  </w:style>
  <w:style w:type="paragraph" w:customStyle="1" w:styleId="468">
    <w:name w:val="_Style 7"/>
    <w:basedOn w:val="1"/>
    <w:qFormat/>
    <w:uiPriority w:val="0"/>
    <w:pPr>
      <w:spacing w:line="360" w:lineRule="auto"/>
      <w:ind w:firstLine="200" w:firstLineChars="200"/>
    </w:pPr>
    <w:rPr>
      <w:rFonts w:ascii="Times New Roman" w:hAnsi="Times New Roman"/>
      <w:kern w:val="2"/>
      <w:szCs w:val="24"/>
    </w:rPr>
  </w:style>
  <w:style w:type="paragraph" w:customStyle="1" w:styleId="469">
    <w:name w:val="样式 表格内文字格式 + 四号 加粗 首行缩进:  2 字符"/>
    <w:basedOn w:val="1"/>
    <w:qFormat/>
    <w:uiPriority w:val="0"/>
    <w:pPr>
      <w:widowControl/>
      <w:spacing w:line="360" w:lineRule="auto"/>
      <w:ind w:right="-55" w:firstLine="517" w:firstLineChars="158"/>
      <w:jc w:val="left"/>
    </w:pPr>
    <w:rPr>
      <w:rFonts w:cs="宋体"/>
      <w:b/>
      <w:bCs/>
      <w:spacing w:val="80"/>
      <w:kern w:val="2"/>
      <w:sz w:val="28"/>
      <w:szCs w:val="20"/>
    </w:rPr>
  </w:style>
  <w:style w:type="paragraph" w:customStyle="1" w:styleId="470">
    <w:name w:val="5"/>
    <w:basedOn w:val="1"/>
    <w:next w:val="64"/>
    <w:qFormat/>
    <w:uiPriority w:val="0"/>
    <w:pPr>
      <w:spacing w:line="360" w:lineRule="auto"/>
      <w:ind w:left="300" w:leftChars="143" w:firstLine="300" w:firstLineChars="100"/>
    </w:pPr>
    <w:rPr>
      <w:rFonts w:ascii="仿宋_GB2312" w:eastAsia="仿宋_GB2312"/>
      <w:kern w:val="2"/>
      <w:sz w:val="30"/>
      <w:szCs w:val="20"/>
    </w:rPr>
  </w:style>
  <w:style w:type="paragraph" w:customStyle="1" w:styleId="471">
    <w:name w:val="xl28"/>
    <w:basedOn w:val="1"/>
    <w:qFormat/>
    <w:uiPriority w:val="0"/>
    <w:pPr>
      <w:widowControl/>
      <w:pBdr>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color w:val="000000"/>
    </w:rPr>
  </w:style>
  <w:style w:type="paragraph" w:customStyle="1" w:styleId="472">
    <w:name w:val="表格（报告书）"/>
    <w:next w:val="1"/>
    <w:qFormat/>
    <w:uiPriority w:val="0"/>
    <w:pPr>
      <w:widowControl w:val="0"/>
      <w:adjustRightInd w:val="0"/>
      <w:snapToGrid w:val="0"/>
      <w:spacing w:line="300" w:lineRule="exact"/>
      <w:ind w:left="17" w:leftChars="8"/>
      <w:jc w:val="center"/>
    </w:pPr>
    <w:rPr>
      <w:rFonts w:ascii="Times New Roman" w:hAnsi="Times New Roman" w:eastAsia="宋体" w:cs="Times New Roman"/>
      <w:spacing w:val="-8"/>
      <w:kern w:val="2"/>
      <w:sz w:val="21"/>
      <w:szCs w:val="21"/>
      <w:lang w:val="en-US" w:eastAsia="zh-CN" w:bidi="ar-SA"/>
    </w:rPr>
  </w:style>
  <w:style w:type="paragraph" w:customStyle="1" w:styleId="473">
    <w:name w:val="font5"/>
    <w:basedOn w:val="1"/>
    <w:qFormat/>
    <w:uiPriority w:val="0"/>
    <w:pPr>
      <w:widowControl/>
      <w:spacing w:before="100" w:beforeAutospacing="1" w:after="100" w:afterAutospacing="1"/>
      <w:jc w:val="left"/>
    </w:pPr>
    <w:rPr>
      <w:rFonts w:hint="eastAsia" w:cs="仿宋_GB2312"/>
      <w:sz w:val="18"/>
      <w:szCs w:val="18"/>
    </w:rPr>
  </w:style>
  <w:style w:type="paragraph" w:customStyle="1" w:styleId="474">
    <w:name w:val="Char Char Char Char Char Char Char Char Char Char Char Char"/>
    <w:basedOn w:val="1"/>
    <w:qFormat/>
    <w:uiPriority w:val="0"/>
    <w:pPr>
      <w:tabs>
        <w:tab w:val="left" w:pos="6083"/>
      </w:tabs>
      <w:snapToGrid w:val="0"/>
      <w:spacing w:line="360" w:lineRule="auto"/>
      <w:ind w:firstLine="200" w:firstLineChars="200"/>
    </w:pPr>
    <w:rPr>
      <w:rFonts w:ascii="仿宋_GB2312" w:hAnsi="Times New Roman" w:eastAsia="仿宋_GB2312"/>
      <w:sz w:val="28"/>
      <w:szCs w:val="28"/>
    </w:rPr>
  </w:style>
  <w:style w:type="paragraph" w:customStyle="1" w:styleId="475">
    <w:name w:val="xl24"/>
    <w:basedOn w:val="1"/>
    <w:qFormat/>
    <w:uiPriority w:val="0"/>
    <w:pPr>
      <w:widowControl/>
      <w:pBdr>
        <w:bottom w:val="single" w:color="auto" w:sz="4" w:space="0"/>
        <w:right w:val="single" w:color="auto" w:sz="4" w:space="0"/>
      </w:pBdr>
      <w:spacing w:before="100" w:beforeAutospacing="1" w:after="100" w:afterAutospacing="1"/>
      <w:jc w:val="center"/>
    </w:pPr>
    <w:rPr>
      <w:rFonts w:ascii="Times New Roman" w:hAnsi="Times New Roman"/>
    </w:rPr>
  </w:style>
  <w:style w:type="paragraph" w:customStyle="1" w:styleId="476">
    <w:name w:val="【表头】"/>
    <w:basedOn w:val="1"/>
    <w:qFormat/>
    <w:uiPriority w:val="0"/>
    <w:pPr>
      <w:spacing w:line="460" w:lineRule="exact"/>
      <w:jc w:val="center"/>
    </w:pPr>
    <w:rPr>
      <w:rFonts w:eastAsia="黑体"/>
      <w:sz w:val="24"/>
      <w:szCs w:val="20"/>
    </w:rPr>
  </w:style>
  <w:style w:type="paragraph" w:customStyle="1" w:styleId="477">
    <w:name w:val="样式 四号 行距: 1.5 倍行距2"/>
    <w:basedOn w:val="1"/>
    <w:qFormat/>
    <w:uiPriority w:val="0"/>
    <w:pPr>
      <w:spacing w:line="360" w:lineRule="auto"/>
      <w:ind w:firstLine="560" w:firstLineChars="200"/>
    </w:pPr>
    <w:rPr>
      <w:rFonts w:ascii="Times New Roman" w:hAnsi="Times New Roman" w:cs="宋体"/>
      <w:kern w:val="2"/>
      <w:sz w:val="24"/>
      <w:szCs w:val="20"/>
    </w:rPr>
  </w:style>
  <w:style w:type="paragraph" w:customStyle="1" w:styleId="478">
    <w:name w:val="样式 报告 Char + 加粗 居中"/>
    <w:basedOn w:val="1"/>
    <w:qFormat/>
    <w:uiPriority w:val="0"/>
    <w:pPr>
      <w:overflowPunct w:val="0"/>
      <w:autoSpaceDE w:val="0"/>
      <w:autoSpaceDN w:val="0"/>
      <w:adjustRightInd w:val="0"/>
      <w:spacing w:before="200" w:after="200" w:line="400" w:lineRule="atLeast"/>
      <w:jc w:val="center"/>
      <w:textAlignment w:val="baseline"/>
    </w:pPr>
    <w:rPr>
      <w:rFonts w:ascii="Times New Roman" w:hAnsi="Times New Roman" w:cs="宋体"/>
      <w:b/>
      <w:bCs/>
      <w:sz w:val="24"/>
      <w:szCs w:val="20"/>
    </w:rPr>
  </w:style>
  <w:style w:type="paragraph" w:customStyle="1" w:styleId="479">
    <w:name w:val="默认段落字体 Para Char Char Char Char"/>
    <w:basedOn w:val="1"/>
    <w:qFormat/>
    <w:uiPriority w:val="0"/>
    <w:rPr>
      <w:rFonts w:ascii="Times New Roman" w:hAnsi="Times New Roman"/>
      <w:kern w:val="2"/>
      <w:szCs w:val="24"/>
    </w:rPr>
  </w:style>
  <w:style w:type="paragraph" w:customStyle="1" w:styleId="480">
    <w:name w:val="正文（首行缩进两字）"/>
    <w:basedOn w:val="1"/>
    <w:qFormat/>
    <w:uiPriority w:val="0"/>
    <w:pPr>
      <w:widowControl/>
      <w:spacing w:line="360" w:lineRule="auto"/>
      <w:ind w:firstLine="200" w:firstLineChars="200"/>
    </w:pPr>
    <w:rPr>
      <w:rFonts w:ascii="Times New Roman" w:hAnsi="Times New Roman" w:cs="Angsana New"/>
      <w:color w:val="000000"/>
      <w:kern w:val="2"/>
      <w:sz w:val="28"/>
      <w:szCs w:val="20"/>
      <w:lang w:bidi="th-TH"/>
    </w:rPr>
  </w:style>
  <w:style w:type="paragraph" w:customStyle="1" w:styleId="481">
    <w:name w:val="2"/>
    <w:basedOn w:val="1"/>
    <w:next w:val="22"/>
    <w:qFormat/>
    <w:uiPriority w:val="0"/>
    <w:pPr>
      <w:spacing w:after="120" w:line="480" w:lineRule="exact"/>
    </w:pPr>
    <w:rPr>
      <w:rFonts w:ascii="Times New Roman" w:hAnsi="Times New Roman"/>
      <w:kern w:val="2"/>
      <w:sz w:val="28"/>
      <w:szCs w:val="28"/>
    </w:rPr>
  </w:style>
  <w:style w:type="paragraph" w:customStyle="1" w:styleId="482">
    <w:name w:val="正文文本 21"/>
    <w:basedOn w:val="1"/>
    <w:qFormat/>
    <w:uiPriority w:val="0"/>
    <w:pPr>
      <w:autoSpaceDE w:val="0"/>
      <w:autoSpaceDN w:val="0"/>
      <w:adjustRightInd w:val="0"/>
      <w:spacing w:line="360" w:lineRule="atLeast"/>
      <w:ind w:firstLine="425"/>
      <w:textAlignment w:val="baseline"/>
    </w:pPr>
    <w:rPr>
      <w:rFonts w:hAnsi="Tms Rmn"/>
      <w:sz w:val="28"/>
      <w:szCs w:val="20"/>
    </w:rPr>
  </w:style>
  <w:style w:type="paragraph" w:customStyle="1" w:styleId="483">
    <w:name w:val="..正文"/>
    <w:basedOn w:val="1"/>
    <w:qFormat/>
    <w:uiPriority w:val="0"/>
    <w:pPr>
      <w:spacing w:line="500" w:lineRule="exact"/>
      <w:ind w:firstLine="480" w:firstLineChars="200"/>
      <w:jc w:val="left"/>
    </w:pPr>
    <w:rPr>
      <w:rFonts w:ascii="Times New Roman" w:hAnsi="Times New Roman"/>
      <w:sz w:val="24"/>
    </w:rPr>
  </w:style>
  <w:style w:type="paragraph" w:customStyle="1" w:styleId="484">
    <w:name w:val="_Style 483"/>
    <w:basedOn w:val="2"/>
    <w:next w:val="1"/>
    <w:qFormat/>
    <w:uiPriority w:val="0"/>
    <w:pPr>
      <w:widowControl/>
      <w:spacing w:before="480" w:line="276" w:lineRule="auto"/>
      <w:ind w:left="0"/>
      <w:jc w:val="left"/>
      <w:outlineLvl w:val="9"/>
    </w:pPr>
    <w:rPr>
      <w:rFonts w:ascii="Cambria" w:hAnsi="Cambria"/>
      <w:color w:val="365F91"/>
      <w:kern w:val="0"/>
      <w:sz w:val="28"/>
      <w:szCs w:val="28"/>
    </w:rPr>
  </w:style>
  <w:style w:type="paragraph" w:customStyle="1" w:styleId="485">
    <w:name w:val="7"/>
    <w:basedOn w:val="1"/>
    <w:next w:val="19"/>
    <w:qFormat/>
    <w:uiPriority w:val="0"/>
    <w:pPr>
      <w:ind w:firstLine="420"/>
    </w:pPr>
    <w:rPr>
      <w:rFonts w:ascii="仿宋_GB2312" w:hAnsi="Arial Black" w:eastAsia="仿宋_GB2312"/>
      <w:sz w:val="28"/>
      <w:szCs w:val="28"/>
    </w:rPr>
  </w:style>
  <w:style w:type="paragraph" w:customStyle="1" w:styleId="486">
    <w:name w:val="样式 标题 3ReHead 3 WSAh3标题 3 Char标题 32标题 311Re11Head 3 WSA1..."/>
    <w:basedOn w:val="4"/>
    <w:qFormat/>
    <w:uiPriority w:val="0"/>
    <w:pPr>
      <w:keepNext w:val="0"/>
      <w:keepLines w:val="0"/>
      <w:widowControl/>
      <w:numPr>
        <w:ilvl w:val="0"/>
        <w:numId w:val="0"/>
      </w:numPr>
      <w:spacing w:beforeLines="50" w:line="480" w:lineRule="exact"/>
      <w:ind w:left="1080"/>
      <w:jc w:val="left"/>
    </w:pPr>
    <w:rPr>
      <w:rFonts w:hAnsi="宋体" w:cs="宋体"/>
      <w:b/>
      <w:bCs/>
      <w:color w:val="000000"/>
      <w:szCs w:val="20"/>
    </w:rPr>
  </w:style>
  <w:style w:type="paragraph" w:customStyle="1" w:styleId="487">
    <w:name w:val="Char Char Char Char Char Char1 Char Char Char Char"/>
    <w:basedOn w:val="1"/>
    <w:qFormat/>
    <w:uiPriority w:val="0"/>
    <w:pPr>
      <w:widowControl/>
      <w:spacing w:after="160" w:line="240" w:lineRule="exact"/>
      <w:jc w:val="left"/>
    </w:pPr>
    <w:rPr>
      <w:rFonts w:ascii="Arial" w:hAnsi="Arial" w:eastAsia="Times New Roman" w:cs="Verdana"/>
      <w:b/>
      <w:sz w:val="24"/>
      <w:szCs w:val="24"/>
      <w:lang w:eastAsia="en-US"/>
    </w:rPr>
  </w:style>
  <w:style w:type="paragraph" w:customStyle="1" w:styleId="488">
    <w:name w:val="Table Paragraph"/>
    <w:basedOn w:val="1"/>
    <w:qFormat/>
    <w:uiPriority w:val="1"/>
    <w:pPr>
      <w:jc w:val="center"/>
    </w:pPr>
    <w:rPr>
      <w:rFonts w:cs="宋体"/>
      <w:sz w:val="22"/>
      <w:szCs w:val="22"/>
      <w:lang w:eastAsia="en-US"/>
    </w:rPr>
  </w:style>
  <w:style w:type="paragraph" w:customStyle="1" w:styleId="489">
    <w:name w:val="Body Text 21"/>
    <w:basedOn w:val="1"/>
    <w:qFormat/>
    <w:uiPriority w:val="0"/>
    <w:pPr>
      <w:autoSpaceDE w:val="0"/>
      <w:autoSpaceDN w:val="0"/>
      <w:adjustRightInd w:val="0"/>
      <w:spacing w:line="480" w:lineRule="exact"/>
      <w:ind w:firstLine="540"/>
      <w:textAlignment w:val="baseline"/>
    </w:pPr>
    <w:rPr>
      <w:rFonts w:hAnsi="Tms Rmn"/>
      <w:szCs w:val="20"/>
    </w:rPr>
  </w:style>
  <w:style w:type="paragraph" w:customStyle="1" w:styleId="490">
    <w:name w:val="框图"/>
    <w:basedOn w:val="1"/>
    <w:qFormat/>
    <w:uiPriority w:val="0"/>
    <w:pPr>
      <w:adjustRightInd w:val="0"/>
      <w:snapToGrid w:val="0"/>
      <w:ind w:left="2" w:leftChars="-38" w:right="-106" w:rightChars="-38" w:hanging="108" w:hangingChars="54"/>
      <w:jc w:val="center"/>
    </w:pPr>
    <w:rPr>
      <w:rFonts w:hAnsi="Times New Roman"/>
      <w:sz w:val="20"/>
      <w:szCs w:val="20"/>
    </w:rPr>
  </w:style>
  <w:style w:type="paragraph" w:customStyle="1" w:styleId="491">
    <w:name w:val="图表文字"/>
    <w:qFormat/>
    <w:uiPriority w:val="0"/>
    <w:pPr>
      <w:spacing w:line="480" w:lineRule="exact"/>
      <w:jc w:val="center"/>
    </w:pPr>
    <w:rPr>
      <w:rFonts w:ascii="Times New Roman" w:hAnsi="宋体" w:eastAsia="宋体" w:cs="Times New Roman"/>
      <w:b/>
      <w:bCs/>
      <w:color w:val="000000"/>
      <w:kern w:val="44"/>
      <w:sz w:val="24"/>
      <w:szCs w:val="24"/>
      <w:lang w:val="en-US" w:eastAsia="zh-CN" w:bidi="ar-SA"/>
    </w:rPr>
  </w:style>
  <w:style w:type="paragraph" w:customStyle="1" w:styleId="492">
    <w:name w:val="样式 默认段落字体 Para Char Char Char Char +"/>
    <w:basedOn w:val="479"/>
    <w:qFormat/>
    <w:uiPriority w:val="0"/>
    <w:pPr>
      <w:spacing w:beforeLines="50" w:afterLines="50" w:line="360" w:lineRule="auto"/>
      <w:jc w:val="left"/>
    </w:pPr>
    <w:rPr>
      <w:rFonts w:eastAsia="黑体"/>
      <w:kern w:val="0"/>
      <w:sz w:val="28"/>
    </w:rPr>
  </w:style>
  <w:style w:type="paragraph" w:customStyle="1" w:styleId="493">
    <w:name w:val="表内式样"/>
    <w:qFormat/>
    <w:uiPriority w:val="0"/>
    <w:pPr>
      <w:widowControl w:val="0"/>
      <w:adjustRightInd w:val="0"/>
      <w:snapToGrid w:val="0"/>
      <w:spacing w:line="360" w:lineRule="exact"/>
      <w:jc w:val="center"/>
    </w:pPr>
    <w:rPr>
      <w:rFonts w:ascii="Times New Roman" w:hAnsi="Times New Roman" w:eastAsia="宋体" w:cs="Times New Roman"/>
      <w:kern w:val="2"/>
      <w:sz w:val="24"/>
      <w:szCs w:val="24"/>
      <w:lang w:val="en-US" w:eastAsia="zh-CN" w:bidi="ar-SA"/>
    </w:rPr>
  </w:style>
  <w:style w:type="paragraph" w:customStyle="1" w:styleId="494">
    <w:name w:val="正文缩进2"/>
    <w:basedOn w:val="139"/>
    <w:qFormat/>
    <w:uiPriority w:val="0"/>
    <w:pPr>
      <w:spacing w:line="315" w:lineRule="atLeast"/>
      <w:ind w:firstLine="420"/>
    </w:pPr>
    <w:rPr>
      <w:rFonts w:hAnsi="Calibri"/>
      <w:sz w:val="21"/>
    </w:rPr>
  </w:style>
  <w:style w:type="paragraph" w:customStyle="1" w:styleId="495">
    <w:name w:val="Char Char Char Char1"/>
    <w:basedOn w:val="1"/>
    <w:qFormat/>
    <w:uiPriority w:val="0"/>
    <w:pPr>
      <w:spacing w:before="120" w:after="120" w:line="360" w:lineRule="auto"/>
      <w:ind w:firstLine="420"/>
    </w:pPr>
    <w:rPr>
      <w:rFonts w:ascii="Times New Roman" w:hAnsi="Times New Roman"/>
      <w:kern w:val="2"/>
      <w:sz w:val="24"/>
      <w:szCs w:val="24"/>
    </w:rPr>
  </w:style>
  <w:style w:type="paragraph" w:customStyle="1" w:styleId="496">
    <w:name w:val="样式 列表 2 + 华文仿宋 居中"/>
    <w:basedOn w:val="34"/>
    <w:qFormat/>
    <w:uiPriority w:val="0"/>
    <w:pPr>
      <w:adjustRightInd w:val="0"/>
      <w:snapToGrid w:val="0"/>
      <w:spacing w:line="280" w:lineRule="exact"/>
      <w:ind w:left="0" w:leftChars="0" w:firstLine="0" w:firstLineChars="0"/>
      <w:jc w:val="center"/>
    </w:pPr>
    <w:rPr>
      <w:rFonts w:ascii="Times New Roman"/>
      <w:snapToGrid w:val="0"/>
      <w:color w:val="000000"/>
      <w:kern w:val="2"/>
    </w:rPr>
  </w:style>
  <w:style w:type="paragraph" w:customStyle="1" w:styleId="497">
    <w:name w:val="正文文本缩进 31"/>
    <w:basedOn w:val="1"/>
    <w:qFormat/>
    <w:uiPriority w:val="0"/>
    <w:pPr>
      <w:spacing w:after="120"/>
      <w:ind w:left="420" w:leftChars="200"/>
    </w:pPr>
    <w:rPr>
      <w:rFonts w:ascii="Times New Roman" w:hAnsi="Times New Roman"/>
      <w:kern w:val="2"/>
      <w:sz w:val="16"/>
      <w:szCs w:val="16"/>
    </w:rPr>
  </w:style>
  <w:style w:type="paragraph" w:customStyle="1" w:styleId="498">
    <w:name w:val="新正文样式"/>
    <w:basedOn w:val="1"/>
    <w:qFormat/>
    <w:uiPriority w:val="0"/>
    <w:pPr>
      <w:tabs>
        <w:tab w:val="left" w:pos="567"/>
      </w:tabs>
      <w:spacing w:line="360" w:lineRule="auto"/>
      <w:ind w:firstLine="567"/>
    </w:pPr>
    <w:rPr>
      <w:rFonts w:ascii="Times New Roman" w:hAnsi="Times New Roman"/>
      <w:spacing w:val="20"/>
      <w:kern w:val="2"/>
      <w:sz w:val="24"/>
      <w:szCs w:val="20"/>
    </w:rPr>
  </w:style>
  <w:style w:type="paragraph" w:customStyle="1" w:styleId="499">
    <w:name w:val="环保篇"/>
    <w:basedOn w:val="1"/>
    <w:qFormat/>
    <w:uiPriority w:val="0"/>
    <w:pPr>
      <w:tabs>
        <w:tab w:val="left" w:pos="360"/>
      </w:tabs>
      <w:adjustRightInd w:val="0"/>
      <w:spacing w:line="360" w:lineRule="auto"/>
      <w:textAlignment w:val="baseline"/>
    </w:pPr>
    <w:rPr>
      <w:rFonts w:ascii="Times New Roman" w:hAnsi="Times New Roman"/>
      <w:kern w:val="2"/>
      <w:sz w:val="28"/>
      <w:szCs w:val="20"/>
    </w:rPr>
  </w:style>
  <w:style w:type="paragraph" w:customStyle="1" w:styleId="500">
    <w:name w:val="Char1"/>
    <w:basedOn w:val="1"/>
    <w:qFormat/>
    <w:uiPriority w:val="0"/>
    <w:pPr>
      <w:widowControl/>
      <w:spacing w:after="160" w:line="240" w:lineRule="exact"/>
      <w:jc w:val="left"/>
    </w:pPr>
    <w:rPr>
      <w:rFonts w:ascii="Verdana" w:hAnsi="Verdana"/>
      <w:w w:val="90"/>
      <w:sz w:val="20"/>
      <w:szCs w:val="20"/>
      <w:lang w:eastAsia="en-US"/>
    </w:rPr>
  </w:style>
  <w:style w:type="paragraph" w:customStyle="1" w:styleId="501">
    <w:name w:val="样式 标题 2章内标题1 + 行距: 固定值 23 磅"/>
    <w:basedOn w:val="3"/>
    <w:qFormat/>
    <w:uiPriority w:val="0"/>
    <w:pPr>
      <w:tabs>
        <w:tab w:val="left" w:pos="1320"/>
      </w:tabs>
      <w:spacing w:beforeLines="50" w:afterLines="50" w:line="460" w:lineRule="exact"/>
      <w:ind w:left="1320" w:hanging="420"/>
    </w:pPr>
    <w:rPr>
      <w:rFonts w:ascii="Times New Roman" w:hAnsi="Times New Roman" w:eastAsia="黑体" w:cs="宋体"/>
      <w:b/>
      <w:bCs/>
      <w:sz w:val="30"/>
    </w:rPr>
  </w:style>
  <w:style w:type="paragraph" w:customStyle="1" w:styleId="502">
    <w:name w:val="Char2 Char Char Char1"/>
    <w:basedOn w:val="1"/>
    <w:qFormat/>
    <w:uiPriority w:val="0"/>
    <w:pPr>
      <w:spacing w:line="360" w:lineRule="auto"/>
      <w:ind w:firstLine="200" w:firstLineChars="200"/>
    </w:pPr>
    <w:rPr>
      <w:rFonts w:cs="宋体"/>
      <w:kern w:val="2"/>
      <w:sz w:val="24"/>
      <w:szCs w:val="24"/>
    </w:rPr>
  </w:style>
  <w:style w:type="paragraph" w:customStyle="1" w:styleId="503">
    <w:name w:val="Char2 Char Char Char"/>
    <w:basedOn w:val="1"/>
    <w:qFormat/>
    <w:uiPriority w:val="0"/>
    <w:pPr>
      <w:spacing w:line="360" w:lineRule="auto"/>
      <w:ind w:firstLine="200" w:firstLineChars="200"/>
    </w:pPr>
    <w:rPr>
      <w:rFonts w:cs="宋体"/>
      <w:kern w:val="2"/>
      <w:sz w:val="24"/>
      <w:szCs w:val="24"/>
    </w:rPr>
  </w:style>
  <w:style w:type="paragraph" w:customStyle="1" w:styleId="504">
    <w:name w:val="小四表文左齐"/>
    <w:basedOn w:val="1"/>
    <w:qFormat/>
    <w:uiPriority w:val="0"/>
    <w:pPr>
      <w:jc w:val="center"/>
    </w:pPr>
    <w:rPr>
      <w:rFonts w:hAnsi="Times New Roman"/>
      <w:spacing w:val="-20"/>
      <w:szCs w:val="20"/>
    </w:rPr>
  </w:style>
  <w:style w:type="paragraph" w:customStyle="1" w:styleId="505">
    <w:name w:val="图文框"/>
    <w:basedOn w:val="1"/>
    <w:qFormat/>
    <w:uiPriority w:val="0"/>
    <w:pPr>
      <w:autoSpaceDE w:val="0"/>
      <w:autoSpaceDN w:val="0"/>
      <w:adjustRightInd w:val="0"/>
      <w:snapToGrid w:val="0"/>
      <w:spacing w:line="400" w:lineRule="atLeast"/>
      <w:jc w:val="center"/>
      <w:textAlignment w:val="baseline"/>
    </w:pPr>
    <w:rPr>
      <w:rFonts w:ascii="Times New Roman" w:hAnsi="Times New Roman"/>
      <w:szCs w:val="20"/>
    </w:rPr>
  </w:style>
  <w:style w:type="paragraph" w:customStyle="1" w:styleId="506">
    <w:name w:val="Char Char Char Char Char Char Char Char Char Char Char Char Char Char Char Char Char Char Char"/>
    <w:basedOn w:val="1"/>
    <w:qFormat/>
    <w:uiPriority w:val="0"/>
    <w:rPr>
      <w:rFonts w:ascii="Times New Roman" w:hAnsi="Times New Roman"/>
      <w:kern w:val="2"/>
      <w:szCs w:val="24"/>
    </w:rPr>
  </w:style>
  <w:style w:type="paragraph" w:customStyle="1" w:styleId="507">
    <w:name w:val="样式 黑体 居中 行距: 1.5 倍行距"/>
    <w:basedOn w:val="1"/>
    <w:qFormat/>
    <w:uiPriority w:val="0"/>
    <w:pPr>
      <w:spacing w:line="360" w:lineRule="auto"/>
      <w:jc w:val="center"/>
    </w:pPr>
    <w:rPr>
      <w:rFonts w:ascii="黑体" w:hAnsi="黑体" w:eastAsia="黑体"/>
      <w:sz w:val="24"/>
      <w:szCs w:val="20"/>
    </w:rPr>
  </w:style>
  <w:style w:type="paragraph" w:styleId="508">
    <w:name w:val="No Spacing"/>
    <w:qFormat/>
    <w:uiPriority w:val="1"/>
    <w:pPr>
      <w:widowControl w:val="0"/>
      <w:jc w:val="both"/>
    </w:pPr>
    <w:rPr>
      <w:rFonts w:ascii="Times New Roman" w:hAnsi="Times New Roman" w:eastAsia="宋体" w:cs="Times New Roman"/>
      <w:kern w:val="2"/>
      <w:sz w:val="21"/>
      <w:szCs w:val="22"/>
      <w:lang w:val="en-US" w:eastAsia="zh-CN" w:bidi="ar-SA"/>
    </w:rPr>
  </w:style>
  <w:style w:type="paragraph" w:customStyle="1" w:styleId="509">
    <w:name w:val="标准文本 首行缩进:2 字符 行距1倍"/>
    <w:basedOn w:val="1"/>
    <w:qFormat/>
    <w:uiPriority w:val="0"/>
    <w:pPr>
      <w:adjustRightInd w:val="0"/>
      <w:snapToGrid w:val="0"/>
      <w:spacing w:line="480" w:lineRule="exact"/>
      <w:ind w:firstLine="480" w:firstLineChars="200"/>
      <w:textAlignment w:val="center"/>
    </w:pPr>
    <w:rPr>
      <w:rFonts w:ascii="Times New Roman" w:hAnsi="Times New Roman"/>
      <w:kern w:val="2"/>
      <w:sz w:val="24"/>
      <w:szCs w:val="20"/>
    </w:rPr>
  </w:style>
  <w:style w:type="paragraph" w:customStyle="1" w:styleId="510">
    <w:name w:val="Char Char Char Char Char Char Char1"/>
    <w:basedOn w:val="1"/>
    <w:qFormat/>
    <w:uiPriority w:val="0"/>
    <w:pPr>
      <w:spacing w:line="360" w:lineRule="auto"/>
      <w:ind w:firstLine="200" w:firstLineChars="200"/>
    </w:pPr>
    <w:rPr>
      <w:rFonts w:cs="宋体"/>
      <w:kern w:val="2"/>
      <w:sz w:val="24"/>
      <w:szCs w:val="24"/>
    </w:rPr>
  </w:style>
  <w:style w:type="paragraph" w:customStyle="1" w:styleId="511">
    <w:name w:val="标题4"/>
    <w:basedOn w:val="5"/>
    <w:qFormat/>
    <w:uiPriority w:val="0"/>
    <w:pPr>
      <w:spacing w:before="120" w:after="120" w:line="240" w:lineRule="auto"/>
      <w:ind w:left="0"/>
      <w:jc w:val="left"/>
    </w:pPr>
    <w:rPr>
      <w:rFonts w:ascii="Times New Roman" w:hAnsi="Times New Roman"/>
      <w:bCs/>
      <w:kern w:val="2"/>
      <w:sz w:val="28"/>
      <w:szCs w:val="28"/>
    </w:rPr>
  </w:style>
  <w:style w:type="paragraph" w:customStyle="1" w:styleId="512">
    <w:name w:val="样式 表内文字 + 宋体"/>
    <w:basedOn w:val="1"/>
    <w:qFormat/>
    <w:uiPriority w:val="0"/>
    <w:pPr>
      <w:adjustRightInd w:val="0"/>
      <w:snapToGrid w:val="0"/>
      <w:jc w:val="center"/>
    </w:pPr>
    <w:rPr>
      <w:rFonts w:cs="宋体"/>
      <w:kern w:val="2"/>
      <w:szCs w:val="20"/>
    </w:rPr>
  </w:style>
  <w:style w:type="paragraph" w:customStyle="1" w:styleId="513">
    <w:name w:val="Char Char Char Char Char Char Char4"/>
    <w:basedOn w:val="1"/>
    <w:qFormat/>
    <w:uiPriority w:val="0"/>
    <w:pPr>
      <w:spacing w:line="360" w:lineRule="auto"/>
      <w:ind w:firstLine="200" w:firstLineChars="200"/>
    </w:pPr>
    <w:rPr>
      <w:rFonts w:cs="宋体"/>
      <w:kern w:val="2"/>
      <w:sz w:val="24"/>
      <w:szCs w:val="24"/>
    </w:rPr>
  </w:style>
  <w:style w:type="paragraph" w:customStyle="1" w:styleId="514">
    <w:name w:val="Char Char11 Char Char"/>
    <w:basedOn w:val="1"/>
    <w:next w:val="1"/>
    <w:qFormat/>
    <w:uiPriority w:val="0"/>
    <w:pPr>
      <w:spacing w:line="360" w:lineRule="auto"/>
      <w:ind w:firstLine="200" w:firstLineChars="200"/>
    </w:pPr>
    <w:rPr>
      <w:rFonts w:cs="宋体"/>
      <w:kern w:val="2"/>
      <w:szCs w:val="24"/>
    </w:rPr>
  </w:style>
  <w:style w:type="paragraph" w:customStyle="1" w:styleId="515">
    <w:name w:val="Char Char Char Char Char Char1 Char"/>
    <w:basedOn w:val="1"/>
    <w:next w:val="1"/>
    <w:qFormat/>
    <w:uiPriority w:val="0"/>
    <w:pPr>
      <w:spacing w:line="480" w:lineRule="exact"/>
    </w:pPr>
    <w:rPr>
      <w:rFonts w:eastAsia="黑体"/>
      <w:sz w:val="24"/>
    </w:rPr>
  </w:style>
  <w:style w:type="paragraph" w:customStyle="1" w:styleId="516">
    <w:name w:val="样式 标题 2章内标题1 +"/>
    <w:basedOn w:val="3"/>
    <w:qFormat/>
    <w:uiPriority w:val="0"/>
    <w:pPr>
      <w:tabs>
        <w:tab w:val="left" w:pos="1320"/>
      </w:tabs>
      <w:spacing w:beforeLines="50" w:afterLines="50" w:line="480" w:lineRule="exact"/>
      <w:ind w:left="1320" w:hanging="420"/>
    </w:pPr>
    <w:rPr>
      <w:rFonts w:ascii="Times New Roman" w:hAnsi="Times New Roman" w:eastAsia="黑体"/>
      <w:sz w:val="30"/>
      <w:szCs w:val="30"/>
    </w:rPr>
  </w:style>
  <w:style w:type="paragraph" w:customStyle="1" w:styleId="517">
    <w:name w:val="论文正文"/>
    <w:basedOn w:val="19"/>
    <w:qFormat/>
    <w:uiPriority w:val="0"/>
    <w:pPr>
      <w:ind w:firstLine="480" w:firstLineChars="200"/>
    </w:pPr>
    <w:rPr>
      <w:rFonts w:hAnsi="宋体"/>
      <w:kern w:val="2"/>
      <w:sz w:val="28"/>
      <w:szCs w:val="24"/>
    </w:rPr>
  </w:style>
  <w:style w:type="paragraph" w:customStyle="1" w:styleId="518">
    <w:name w:val="样式 标题 3 + 首行缩进:  2 字符"/>
    <w:basedOn w:val="4"/>
    <w:qFormat/>
    <w:uiPriority w:val="0"/>
    <w:pPr>
      <w:numPr>
        <w:ilvl w:val="0"/>
        <w:numId w:val="0"/>
      </w:numPr>
      <w:spacing w:before="30" w:after="30" w:line="500" w:lineRule="exact"/>
    </w:pPr>
    <w:rPr>
      <w:rFonts w:ascii="Times New Roman" w:hAnsi="Times New Roman"/>
      <w:b/>
      <w:bCs/>
      <w:kern w:val="2"/>
      <w:sz w:val="30"/>
    </w:rPr>
  </w:style>
  <w:style w:type="paragraph" w:customStyle="1" w:styleId="519">
    <w:name w:val="样式2"/>
    <w:basedOn w:val="408"/>
    <w:qFormat/>
    <w:uiPriority w:val="0"/>
    <w:pPr>
      <w:snapToGrid w:val="0"/>
      <w:spacing w:before="60" w:after="60"/>
      <w:ind w:left="0" w:leftChars="0"/>
    </w:pPr>
    <w:rPr>
      <w:b/>
      <w:szCs w:val="20"/>
    </w:rPr>
  </w:style>
  <w:style w:type="paragraph" w:customStyle="1" w:styleId="520">
    <w:name w:val="Char Char Char Char Char Char Char Char Char Char Char Char Char Char Char Char"/>
    <w:basedOn w:val="1"/>
    <w:qFormat/>
    <w:uiPriority w:val="0"/>
    <w:pPr>
      <w:spacing w:line="360" w:lineRule="auto"/>
      <w:ind w:firstLine="200" w:firstLineChars="200"/>
    </w:pPr>
    <w:rPr>
      <w:rFonts w:cs="宋体"/>
      <w:kern w:val="2"/>
      <w:sz w:val="24"/>
      <w:szCs w:val="24"/>
    </w:rPr>
  </w:style>
  <w:style w:type="paragraph" w:customStyle="1" w:styleId="521">
    <w:name w:val="Char Char Char Char Char Char Char Char Char Char Char Char1"/>
    <w:basedOn w:val="1"/>
    <w:qFormat/>
    <w:uiPriority w:val="0"/>
    <w:pPr>
      <w:tabs>
        <w:tab w:val="left" w:pos="6083"/>
      </w:tabs>
      <w:snapToGrid w:val="0"/>
      <w:spacing w:line="360" w:lineRule="auto"/>
      <w:ind w:firstLine="200" w:firstLineChars="200"/>
    </w:pPr>
    <w:rPr>
      <w:rFonts w:ascii="仿宋_GB2312" w:hAnsi="Times New Roman" w:eastAsia="仿宋_GB2312"/>
      <w:sz w:val="28"/>
      <w:szCs w:val="28"/>
    </w:rPr>
  </w:style>
  <w:style w:type="paragraph" w:customStyle="1" w:styleId="522">
    <w:name w:val="Char Char Char2 Char"/>
    <w:basedOn w:val="1"/>
    <w:qFormat/>
    <w:uiPriority w:val="0"/>
    <w:pPr>
      <w:spacing w:line="240" w:lineRule="exact"/>
      <w:ind w:firstLine="200" w:firstLineChars="200"/>
    </w:pPr>
    <w:rPr>
      <w:rFonts w:ascii="Times New Roman" w:hAnsi="Times New Roman"/>
      <w:kern w:val="2"/>
      <w:sz w:val="28"/>
      <w:szCs w:val="28"/>
    </w:rPr>
  </w:style>
  <w:style w:type="paragraph" w:customStyle="1" w:styleId="523">
    <w:name w:val="样式 标题 1 + 首行缩进:  2 字符"/>
    <w:basedOn w:val="22"/>
    <w:next w:val="1"/>
    <w:qFormat/>
    <w:uiPriority w:val="0"/>
    <w:pPr>
      <w:spacing w:before="80" w:after="80" w:line="560" w:lineRule="exact"/>
    </w:pPr>
    <w:rPr>
      <w:rFonts w:ascii="Times New Roman" w:hAnsi="Times New Roman" w:cs="宋体"/>
      <w:sz w:val="36"/>
    </w:rPr>
  </w:style>
  <w:style w:type="paragraph" w:customStyle="1" w:styleId="524">
    <w:name w:val="正文 New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525">
    <w:name w:val="Char Char4 Char Char Char Char"/>
    <w:basedOn w:val="1"/>
    <w:next w:val="1"/>
    <w:qFormat/>
    <w:uiPriority w:val="0"/>
    <w:pPr>
      <w:spacing w:line="360" w:lineRule="auto"/>
      <w:ind w:firstLine="200" w:firstLineChars="200"/>
    </w:pPr>
    <w:rPr>
      <w:rFonts w:cs="宋体"/>
      <w:kern w:val="2"/>
      <w:szCs w:val="24"/>
    </w:rPr>
  </w:style>
  <w:style w:type="paragraph" w:customStyle="1" w:styleId="526">
    <w:name w:val="环表头"/>
    <w:basedOn w:val="404"/>
    <w:next w:val="1"/>
    <w:qFormat/>
    <w:uiPriority w:val="0"/>
    <w:pPr>
      <w:tabs>
        <w:tab w:val="left" w:pos="283"/>
        <w:tab w:val="clear" w:pos="5094"/>
      </w:tabs>
      <w:spacing w:beforeLines="20" w:afterLines="10"/>
      <w:ind w:firstLine="420" w:firstLineChars="175"/>
    </w:pPr>
  </w:style>
  <w:style w:type="paragraph" w:customStyle="1" w:styleId="527">
    <w:name w:val="正文文本 (2)1"/>
    <w:basedOn w:val="1"/>
    <w:qFormat/>
    <w:uiPriority w:val="99"/>
    <w:pPr>
      <w:shd w:val="clear" w:color="auto" w:fill="FFFFFF"/>
      <w:spacing w:before="780" w:after="7080" w:line="240" w:lineRule="atLeast"/>
      <w:jc w:val="center"/>
    </w:pPr>
    <w:rPr>
      <w:rFonts w:ascii="黑体" w:hAnsi="Microsoft JhengHei Light" w:eastAsia="黑体" w:cs="黑体"/>
      <w:sz w:val="26"/>
      <w:szCs w:val="26"/>
    </w:rPr>
  </w:style>
  <w:style w:type="paragraph" w:customStyle="1" w:styleId="528">
    <w:name w:val="样式 正文文字-1 + 首行缩进:  2.1 字符1"/>
    <w:basedOn w:val="1"/>
    <w:qFormat/>
    <w:uiPriority w:val="0"/>
    <w:pPr>
      <w:spacing w:before="120" w:after="120" w:line="440" w:lineRule="exact"/>
      <w:ind w:firstLine="210" w:firstLineChars="210"/>
    </w:pPr>
    <w:rPr>
      <w:rFonts w:ascii="Times New Roman" w:hAnsi="Times New Roman" w:cs="宋体"/>
      <w:kern w:val="2"/>
      <w:sz w:val="24"/>
      <w:szCs w:val="20"/>
    </w:rPr>
  </w:style>
  <w:style w:type="paragraph" w:customStyle="1" w:styleId="529">
    <w:name w:val="表格段落1"/>
    <w:basedOn w:val="1"/>
    <w:qFormat/>
    <w:uiPriority w:val="0"/>
    <w:pPr>
      <w:adjustRightInd w:val="0"/>
      <w:spacing w:line="320" w:lineRule="exact"/>
      <w:jc w:val="center"/>
    </w:pPr>
    <w:rPr>
      <w:rFonts w:ascii="Times New Roman" w:hAnsi="Times New Roman"/>
      <w:color w:val="000000"/>
    </w:rPr>
  </w:style>
  <w:style w:type="paragraph" w:customStyle="1" w:styleId="530">
    <w:name w:val="表文字"/>
    <w:basedOn w:val="1"/>
    <w:qFormat/>
    <w:uiPriority w:val="0"/>
    <w:pPr>
      <w:jc w:val="center"/>
    </w:pPr>
    <w:rPr>
      <w:rFonts w:hAnsi="Times New Roman" w:eastAsia="楷体_GB2312"/>
      <w:kern w:val="2"/>
      <w:sz w:val="24"/>
      <w:szCs w:val="32"/>
    </w:rPr>
  </w:style>
  <w:style w:type="paragraph" w:customStyle="1" w:styleId="531">
    <w:name w:val="表格表头文字"/>
    <w:basedOn w:val="41"/>
    <w:qFormat/>
    <w:uiPriority w:val="0"/>
    <w:rPr>
      <w:rFonts w:eastAsia="黑体" w:cs="Courier New"/>
      <w:kern w:val="2"/>
      <w:sz w:val="18"/>
    </w:rPr>
  </w:style>
  <w:style w:type="paragraph" w:customStyle="1" w:styleId="532">
    <w:name w:val="_Style 80"/>
    <w:basedOn w:val="1"/>
    <w:next w:val="19"/>
    <w:qFormat/>
    <w:uiPriority w:val="0"/>
    <w:pPr>
      <w:ind w:firstLine="420"/>
    </w:pPr>
    <w:rPr>
      <w:rFonts w:ascii="仿宋_GB2312" w:hAnsi="Arial Black" w:eastAsia="仿宋_GB2312"/>
      <w:kern w:val="2"/>
      <w:sz w:val="28"/>
      <w:szCs w:val="28"/>
    </w:rPr>
  </w:style>
  <w:style w:type="paragraph" w:customStyle="1" w:styleId="533">
    <w:name w:val="报告正文文字"/>
    <w:basedOn w:val="165"/>
    <w:qFormat/>
    <w:uiPriority w:val="0"/>
    <w:pPr>
      <w:widowControl/>
      <w:autoSpaceDE w:val="0"/>
      <w:autoSpaceDN w:val="0"/>
      <w:spacing w:line="360" w:lineRule="auto"/>
      <w:ind w:firstLine="496"/>
      <w:jc w:val="both"/>
    </w:pPr>
    <w:rPr>
      <w:rFonts w:ascii="黑体" w:hAnsi="宋体" w:cs="Arial"/>
      <w:color w:val="000000"/>
      <w:spacing w:val="4"/>
      <w:kern w:val="0"/>
    </w:rPr>
  </w:style>
  <w:style w:type="paragraph" w:customStyle="1" w:styleId="534">
    <w:name w:val="lily 正文"/>
    <w:basedOn w:val="1"/>
    <w:qFormat/>
    <w:uiPriority w:val="0"/>
    <w:pPr>
      <w:spacing w:line="440" w:lineRule="atLeast"/>
      <w:ind w:firstLine="480" w:firstLineChars="200"/>
    </w:pPr>
    <w:rPr>
      <w:rFonts w:ascii="Times New Roman" w:hAnsi="Times New Roman"/>
      <w:kern w:val="2"/>
      <w:sz w:val="24"/>
      <w:szCs w:val="24"/>
    </w:rPr>
  </w:style>
  <w:style w:type="paragraph" w:customStyle="1" w:styleId="535">
    <w:name w:val="我的样式（正文） Char"/>
    <w:basedOn w:val="1"/>
    <w:qFormat/>
    <w:uiPriority w:val="0"/>
    <w:pPr>
      <w:spacing w:line="440" w:lineRule="exact"/>
    </w:pPr>
    <w:rPr>
      <w:rFonts w:hAnsi="华文楷体"/>
      <w:sz w:val="28"/>
      <w:szCs w:val="20"/>
    </w:rPr>
  </w:style>
  <w:style w:type="paragraph" w:customStyle="1" w:styleId="536">
    <w:name w:val="Char2 Char Char1 Char Char Char1"/>
    <w:basedOn w:val="1"/>
    <w:qFormat/>
    <w:uiPriority w:val="0"/>
    <w:pPr>
      <w:spacing w:line="360" w:lineRule="auto"/>
      <w:ind w:firstLine="200" w:firstLineChars="200"/>
    </w:pPr>
    <w:rPr>
      <w:rFonts w:cs="宋体"/>
      <w:kern w:val="2"/>
      <w:sz w:val="24"/>
      <w:szCs w:val="24"/>
    </w:rPr>
  </w:style>
  <w:style w:type="paragraph" w:customStyle="1" w:styleId="537">
    <w:name w:val="字元1"/>
    <w:basedOn w:val="1"/>
    <w:qFormat/>
    <w:uiPriority w:val="0"/>
    <w:rPr>
      <w:rFonts w:ascii="Times New Roman" w:hAnsi="Times New Roman"/>
      <w:kern w:val="2"/>
      <w:sz w:val="24"/>
      <w:szCs w:val="24"/>
    </w:rPr>
  </w:style>
  <w:style w:type="paragraph" w:styleId="538">
    <w:name w:val="List Paragraph"/>
    <w:basedOn w:val="1"/>
    <w:qFormat/>
    <w:uiPriority w:val="0"/>
    <w:pPr>
      <w:ind w:firstLine="420" w:firstLineChars="200"/>
    </w:pPr>
  </w:style>
  <w:style w:type="paragraph" w:customStyle="1" w:styleId="539">
    <w:name w:val="Char Char Char Char Char Char Char Char Char Char Char Char Char"/>
    <w:basedOn w:val="1"/>
    <w:qFormat/>
    <w:uiPriority w:val="0"/>
    <w:pPr>
      <w:widowControl/>
      <w:spacing w:after="160" w:line="240" w:lineRule="exact"/>
      <w:jc w:val="left"/>
    </w:pPr>
    <w:rPr>
      <w:rFonts w:ascii="Times New Roman" w:hAnsi="Times New Roman"/>
      <w:kern w:val="2"/>
      <w:szCs w:val="20"/>
    </w:rPr>
  </w:style>
  <w:style w:type="paragraph" w:customStyle="1" w:styleId="540">
    <w:name w:val="图目"/>
    <w:basedOn w:val="1"/>
    <w:qFormat/>
    <w:uiPriority w:val="0"/>
    <w:pPr>
      <w:jc w:val="center"/>
    </w:pPr>
    <w:rPr>
      <w:rFonts w:ascii="Times New Roman"/>
      <w:kern w:val="2"/>
      <w:sz w:val="24"/>
      <w:szCs w:val="20"/>
    </w:rPr>
  </w:style>
  <w:style w:type="paragraph" w:customStyle="1" w:styleId="541">
    <w:name w:val="Char Char Char Char Char Char Char3"/>
    <w:basedOn w:val="1"/>
    <w:qFormat/>
    <w:uiPriority w:val="0"/>
    <w:pPr>
      <w:spacing w:line="360" w:lineRule="auto"/>
      <w:ind w:firstLine="200" w:firstLineChars="200"/>
    </w:pPr>
    <w:rPr>
      <w:rFonts w:cs="宋体"/>
      <w:kern w:val="2"/>
      <w:sz w:val="24"/>
      <w:szCs w:val="24"/>
    </w:rPr>
  </w:style>
  <w:style w:type="paragraph" w:customStyle="1" w:styleId="542">
    <w:name w:val="xl40"/>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Times New Roman" w:hAnsi="Times New Roman"/>
      <w:sz w:val="24"/>
      <w:szCs w:val="24"/>
    </w:rPr>
  </w:style>
  <w:style w:type="paragraph" w:customStyle="1" w:styleId="543">
    <w:name w:val="正文168"/>
    <w:basedOn w:val="1"/>
    <w:qFormat/>
    <w:uiPriority w:val="0"/>
    <w:pPr>
      <w:adjustRightInd w:val="0"/>
      <w:snapToGrid w:val="0"/>
      <w:spacing w:line="360" w:lineRule="auto"/>
      <w:ind w:firstLine="464" w:firstLineChars="200"/>
    </w:pPr>
    <w:rPr>
      <w:rFonts w:ascii="Times New Roman" w:hAnsi="Times New Roman"/>
      <w:color w:val="000000"/>
      <w:spacing w:val="-4"/>
      <w:kern w:val="2"/>
      <w:sz w:val="24"/>
      <w:szCs w:val="24"/>
    </w:rPr>
  </w:style>
  <w:style w:type="paragraph" w:customStyle="1" w:styleId="544">
    <w:name w:val="样式 样式 表内文字 + 宋体 + 首行缩进:  2 字符"/>
    <w:basedOn w:val="512"/>
    <w:qFormat/>
    <w:uiPriority w:val="0"/>
  </w:style>
  <w:style w:type="paragraph" w:customStyle="1" w:styleId="545">
    <w:name w:val="Char Char Char Char Char Char Char Char Char Char Char"/>
    <w:basedOn w:val="1"/>
    <w:qFormat/>
    <w:uiPriority w:val="0"/>
    <w:rPr>
      <w:rFonts w:ascii="Times New Roman" w:hAnsi="Times New Roman"/>
      <w:kern w:val="2"/>
      <w:szCs w:val="24"/>
    </w:rPr>
  </w:style>
  <w:style w:type="paragraph" w:customStyle="1" w:styleId="546">
    <w:name w:val="表格编号"/>
    <w:basedOn w:val="1"/>
    <w:next w:val="1"/>
    <w:qFormat/>
    <w:uiPriority w:val="0"/>
    <w:pPr>
      <w:tabs>
        <w:tab w:val="left" w:pos="720"/>
      </w:tabs>
      <w:spacing w:before="300" w:after="200"/>
      <w:jc w:val="center"/>
    </w:pPr>
    <w:rPr>
      <w:rFonts w:ascii="Times New Roman" w:hAnsi="Times New Roman"/>
      <w:szCs w:val="20"/>
    </w:rPr>
  </w:style>
  <w:style w:type="paragraph" w:customStyle="1" w:styleId="547">
    <w:name w:val="表头图名说明文字 Char"/>
    <w:basedOn w:val="1"/>
    <w:next w:val="1"/>
    <w:qFormat/>
    <w:uiPriority w:val="0"/>
    <w:pPr>
      <w:widowControl/>
      <w:adjustRightInd w:val="0"/>
      <w:snapToGrid w:val="0"/>
      <w:spacing w:beforeLines="50" w:afterLines="20"/>
      <w:ind w:right="200" w:rightChars="200"/>
      <w:jc w:val="right"/>
    </w:pPr>
    <w:rPr>
      <w:rFonts w:ascii="黑体" w:eastAsia="黑体"/>
      <w:b/>
      <w:snapToGrid w:val="0"/>
    </w:rPr>
  </w:style>
  <w:style w:type="paragraph" w:customStyle="1" w:styleId="548">
    <w:name w:val="_Style 81"/>
    <w:basedOn w:val="1"/>
    <w:next w:val="64"/>
    <w:qFormat/>
    <w:uiPriority w:val="0"/>
    <w:pPr>
      <w:spacing w:line="360" w:lineRule="auto"/>
      <w:ind w:left="300" w:leftChars="143" w:firstLine="300" w:firstLineChars="100"/>
    </w:pPr>
    <w:rPr>
      <w:rFonts w:ascii="仿宋_GB2312" w:eastAsia="仿宋_GB2312"/>
      <w:kern w:val="2"/>
      <w:sz w:val="30"/>
      <w:szCs w:val="20"/>
    </w:rPr>
  </w:style>
  <w:style w:type="paragraph" w:customStyle="1" w:styleId="549">
    <w:name w:val="正文表格"/>
    <w:basedOn w:val="1"/>
    <w:qFormat/>
    <w:uiPriority w:val="0"/>
    <w:pPr>
      <w:keepNext/>
      <w:keepLines/>
      <w:overflowPunct w:val="0"/>
      <w:adjustRightInd w:val="0"/>
      <w:spacing w:before="80"/>
      <w:jc w:val="center"/>
      <w:textAlignment w:val="bottom"/>
    </w:pPr>
    <w:rPr>
      <w:rFonts w:ascii="Times New Roman" w:hAnsi="Times New Roman"/>
      <w:sz w:val="28"/>
      <w:szCs w:val="20"/>
    </w:rPr>
  </w:style>
  <w:style w:type="paragraph" w:customStyle="1" w:styleId="550">
    <w:name w:val="Char Char Char11 Char"/>
    <w:basedOn w:val="1"/>
    <w:qFormat/>
    <w:uiPriority w:val="0"/>
    <w:rPr>
      <w:rFonts w:ascii="Tahoma" w:hAnsi="Tahoma"/>
      <w:kern w:val="2"/>
      <w:sz w:val="24"/>
      <w:szCs w:val="20"/>
    </w:rPr>
  </w:style>
  <w:style w:type="paragraph" w:customStyle="1" w:styleId="551">
    <w:name w:val="Char Char Char Char Char Char"/>
    <w:basedOn w:val="1"/>
    <w:qFormat/>
    <w:uiPriority w:val="0"/>
    <w:pPr>
      <w:adjustRightInd w:val="0"/>
      <w:snapToGrid w:val="0"/>
    </w:pPr>
    <w:rPr>
      <w:rFonts w:ascii="Times New Roman" w:hAnsi="Times New Roman"/>
      <w:kern w:val="2"/>
      <w:sz w:val="24"/>
    </w:rPr>
  </w:style>
  <w:style w:type="paragraph" w:customStyle="1" w:styleId="552">
    <w:name w:val="p0"/>
    <w:basedOn w:val="1"/>
    <w:qFormat/>
    <w:uiPriority w:val="0"/>
    <w:pPr>
      <w:widowControl/>
      <w:spacing w:before="100" w:beforeAutospacing="1" w:after="100" w:afterAutospacing="1"/>
      <w:jc w:val="left"/>
    </w:pPr>
    <w:rPr>
      <w:rFonts w:cs="宋体"/>
      <w:sz w:val="24"/>
      <w:szCs w:val="24"/>
    </w:rPr>
  </w:style>
  <w:style w:type="paragraph" w:customStyle="1" w:styleId="553">
    <w:name w:val="表中文字1"/>
    <w:qFormat/>
    <w:uiPriority w:val="0"/>
    <w:pPr>
      <w:widowControl w:val="0"/>
      <w:adjustRightInd w:val="0"/>
      <w:snapToGrid w:val="0"/>
      <w:jc w:val="center"/>
    </w:pPr>
    <w:rPr>
      <w:rFonts w:ascii="仿宋_GB2312" w:hAnsi="华文仿宋" w:eastAsia="仿宋_GB2312" w:cs="Times New Roman"/>
      <w:b/>
      <w:kern w:val="2"/>
      <w:sz w:val="21"/>
      <w:szCs w:val="21"/>
      <w:lang w:val="en-US" w:eastAsia="zh-CN" w:bidi="ar-SA"/>
    </w:rPr>
  </w:style>
  <w:style w:type="paragraph" w:customStyle="1" w:styleId="554">
    <w:name w:val="尾注文本1"/>
    <w:basedOn w:val="1"/>
    <w:qFormat/>
    <w:uiPriority w:val="0"/>
    <w:pPr>
      <w:adjustRightInd w:val="0"/>
      <w:spacing w:line="360" w:lineRule="atLeast"/>
      <w:jc w:val="left"/>
      <w:textAlignment w:val="baseline"/>
    </w:pPr>
    <w:rPr>
      <w:rFonts w:hAnsi="Times New Roman"/>
      <w:szCs w:val="20"/>
    </w:rPr>
  </w:style>
  <w:style w:type="paragraph" w:customStyle="1" w:styleId="555">
    <w:name w:val="样式 标题 2 + 首行缩进:  2 字符"/>
    <w:basedOn w:val="3"/>
    <w:qFormat/>
    <w:uiPriority w:val="0"/>
    <w:pPr>
      <w:numPr>
        <w:ilvl w:val="0"/>
        <w:numId w:val="0"/>
      </w:numPr>
      <w:spacing w:before="40" w:after="40" w:line="520" w:lineRule="exact"/>
    </w:pPr>
    <w:rPr>
      <w:rFonts w:ascii="Arial" w:hAnsi="Arial" w:eastAsia="黑体" w:cs="宋体"/>
      <w:b/>
      <w:bCs/>
      <w:kern w:val="2"/>
      <w:sz w:val="32"/>
    </w:rPr>
  </w:style>
  <w:style w:type="paragraph" w:customStyle="1" w:styleId="556">
    <w:name w:val="表格内文字 Char"/>
    <w:basedOn w:val="1"/>
    <w:qFormat/>
    <w:uiPriority w:val="0"/>
    <w:pPr>
      <w:adjustRightInd w:val="0"/>
      <w:snapToGrid w:val="0"/>
      <w:jc w:val="center"/>
    </w:pPr>
    <w:rPr>
      <w:rFonts w:cs="宋体"/>
      <w:kern w:val="2"/>
    </w:rPr>
  </w:style>
  <w:style w:type="paragraph" w:customStyle="1" w:styleId="557">
    <w:name w:val="xl25"/>
    <w:basedOn w:val="1"/>
    <w:qFormat/>
    <w:uiPriority w:val="0"/>
    <w:pPr>
      <w:widowControl/>
      <w:pBdr>
        <w:left w:val="single" w:color="auto" w:sz="4" w:space="0"/>
        <w:right w:val="single" w:color="auto" w:sz="4" w:space="0"/>
      </w:pBdr>
      <w:spacing w:before="100" w:after="100"/>
      <w:jc w:val="center"/>
    </w:pPr>
    <w:rPr>
      <w:rFonts w:ascii="Times New Roman" w:hAnsi="Times New Roman"/>
      <w:sz w:val="24"/>
      <w:szCs w:val="20"/>
    </w:rPr>
  </w:style>
  <w:style w:type="paragraph" w:customStyle="1" w:styleId="558">
    <w:name w:val="表格填充1"/>
    <w:basedOn w:val="1"/>
    <w:qFormat/>
    <w:uiPriority w:val="0"/>
    <w:pPr>
      <w:snapToGrid w:val="0"/>
      <w:jc w:val="center"/>
    </w:pPr>
    <w:rPr>
      <w:rFonts w:ascii="Times New Roman" w:hAnsi="Times New Roman"/>
      <w:snapToGrid w:val="0"/>
      <w:kern w:val="2"/>
      <w:sz w:val="30"/>
      <w:szCs w:val="20"/>
    </w:rPr>
  </w:style>
  <w:style w:type="paragraph" w:customStyle="1" w:styleId="559">
    <w:name w:val="_Style 83"/>
    <w:basedOn w:val="1"/>
    <w:next w:val="19"/>
    <w:qFormat/>
    <w:uiPriority w:val="0"/>
    <w:pPr>
      <w:ind w:firstLine="420"/>
    </w:pPr>
    <w:rPr>
      <w:rFonts w:ascii="仿宋_GB2312" w:hAnsi="Arial Black" w:eastAsia="仿宋_GB2312"/>
      <w:kern w:val="2"/>
      <w:sz w:val="28"/>
      <w:szCs w:val="28"/>
    </w:rPr>
  </w:style>
  <w:style w:type="paragraph" w:customStyle="1" w:styleId="560">
    <w:name w:val="样式 (符号) 宋体 小三 行距: 1.5 倍行距"/>
    <w:basedOn w:val="1"/>
    <w:qFormat/>
    <w:uiPriority w:val="0"/>
    <w:pPr>
      <w:spacing w:line="360" w:lineRule="auto"/>
      <w:ind w:firstLine="600" w:firstLineChars="200"/>
    </w:pPr>
    <w:rPr>
      <w:rFonts w:cs="宋体"/>
      <w:kern w:val="2"/>
      <w:sz w:val="28"/>
      <w:szCs w:val="20"/>
    </w:rPr>
  </w:style>
  <w:style w:type="paragraph" w:customStyle="1" w:styleId="561">
    <w:name w:val="图编号"/>
    <w:basedOn w:val="202"/>
    <w:qFormat/>
    <w:uiPriority w:val="0"/>
    <w:pPr>
      <w:tabs>
        <w:tab w:val="left" w:pos="720"/>
      </w:tabs>
      <w:spacing w:before="300" w:after="300" w:line="360" w:lineRule="auto"/>
      <w:ind w:left="425" w:hanging="425"/>
      <w:jc w:val="center"/>
    </w:pPr>
  </w:style>
  <w:style w:type="paragraph" w:customStyle="1" w:styleId="562">
    <w:name w:val="Char Char Char Char Char Char1"/>
    <w:basedOn w:val="1"/>
    <w:qFormat/>
    <w:uiPriority w:val="0"/>
    <w:pPr>
      <w:adjustRightInd w:val="0"/>
      <w:snapToGrid w:val="0"/>
    </w:pPr>
    <w:rPr>
      <w:rFonts w:ascii="Times New Roman" w:hAnsi="Times New Roman"/>
      <w:kern w:val="2"/>
      <w:sz w:val="24"/>
    </w:rPr>
  </w:style>
  <w:style w:type="paragraph" w:customStyle="1" w:styleId="563">
    <w:name w:val="6"/>
    <w:basedOn w:val="1"/>
    <w:next w:val="19"/>
    <w:qFormat/>
    <w:uiPriority w:val="0"/>
    <w:pPr>
      <w:ind w:firstLine="420"/>
    </w:pPr>
    <w:rPr>
      <w:rFonts w:ascii="仿宋_GB2312" w:hAnsi="Arial Black" w:eastAsia="仿宋_GB2312"/>
      <w:kern w:val="2"/>
      <w:sz w:val="28"/>
      <w:szCs w:val="28"/>
    </w:rPr>
  </w:style>
  <w:style w:type="paragraph" w:customStyle="1" w:styleId="564">
    <w:name w:val="纯文本1"/>
    <w:basedOn w:val="1"/>
    <w:qFormat/>
    <w:uiPriority w:val="0"/>
    <w:pPr>
      <w:snapToGrid w:val="0"/>
      <w:ind w:firstLine="523" w:firstLineChars="218"/>
      <w:jc w:val="center"/>
      <w:outlineLvl w:val="0"/>
    </w:pPr>
    <w:rPr>
      <w:color w:val="000000"/>
      <w:szCs w:val="20"/>
    </w:rPr>
  </w:style>
  <w:style w:type="paragraph" w:customStyle="1" w:styleId="565">
    <w:name w:val="字元"/>
    <w:basedOn w:val="1"/>
    <w:qFormat/>
    <w:uiPriority w:val="0"/>
    <w:rPr>
      <w:rFonts w:ascii="Times New Roman" w:hAnsi="Times New Roman"/>
      <w:kern w:val="2"/>
      <w:sz w:val="24"/>
      <w:szCs w:val="24"/>
    </w:rPr>
  </w:style>
  <w:style w:type="paragraph" w:customStyle="1" w:styleId="566">
    <w:name w:val="4"/>
    <w:basedOn w:val="1"/>
    <w:next w:val="19"/>
    <w:qFormat/>
    <w:uiPriority w:val="0"/>
    <w:pPr>
      <w:ind w:firstLine="420"/>
    </w:pPr>
    <w:rPr>
      <w:rFonts w:ascii="仿宋_GB2312" w:hAnsi="Arial Black" w:eastAsia="仿宋_GB2312"/>
      <w:kern w:val="2"/>
      <w:sz w:val="28"/>
      <w:szCs w:val="28"/>
    </w:rPr>
  </w:style>
  <w:style w:type="paragraph" w:customStyle="1" w:styleId="567">
    <w:name w:val="样式 样式 正文文字-1 + 首行缩进:  2.1 字符1 + 首行缩进:  2.1 字符"/>
    <w:basedOn w:val="1"/>
    <w:qFormat/>
    <w:uiPriority w:val="0"/>
    <w:pPr>
      <w:spacing w:before="120" w:after="120" w:line="400" w:lineRule="exact"/>
      <w:ind w:firstLine="210" w:firstLineChars="210"/>
    </w:pPr>
    <w:rPr>
      <w:rFonts w:ascii="Times New Roman" w:hAnsi="Times New Roman" w:cs="宋体"/>
      <w:kern w:val="2"/>
      <w:sz w:val="24"/>
      <w:szCs w:val="20"/>
    </w:rPr>
  </w:style>
  <w:style w:type="paragraph" w:customStyle="1" w:styleId="568">
    <w:name w:val="Char Char Char Char Char Char Char Char Char Char1 Char Char Char Char Char Char Char Char Char Char Char Char Char Char Char Char Char Char Char Char Char Char Char Char Char2"/>
    <w:basedOn w:val="1"/>
    <w:qFormat/>
    <w:uiPriority w:val="0"/>
    <w:rPr>
      <w:rFonts w:ascii="Times New Roman" w:hAnsi="Times New Roman"/>
      <w:kern w:val="2"/>
      <w:szCs w:val="24"/>
    </w:rPr>
  </w:style>
  <w:style w:type="paragraph" w:customStyle="1" w:styleId="569">
    <w:name w:val="样式3"/>
    <w:basedOn w:val="4"/>
    <w:qFormat/>
    <w:uiPriority w:val="0"/>
    <w:pPr>
      <w:numPr>
        <w:ilvl w:val="0"/>
        <w:numId w:val="0"/>
      </w:numPr>
      <w:adjustRightInd w:val="0"/>
      <w:ind w:firstLine="425"/>
    </w:pPr>
    <w:rPr>
      <w:rFonts w:hAnsi="Times New Roman"/>
      <w:b/>
      <w:kern w:val="2"/>
      <w:szCs w:val="20"/>
    </w:rPr>
  </w:style>
  <w:style w:type="paragraph" w:customStyle="1" w:styleId="570">
    <w:name w:val="环评正文"/>
    <w:basedOn w:val="2"/>
    <w:qFormat/>
    <w:uiPriority w:val="0"/>
    <w:pPr>
      <w:spacing w:before="60" w:after="60" w:line="400" w:lineRule="exact"/>
      <w:ind w:left="2552"/>
      <w:outlineLvl w:val="9"/>
    </w:pPr>
    <w:rPr>
      <w:rFonts w:eastAsia="仿宋_GB2312"/>
      <w:bCs w:val="0"/>
      <w:sz w:val="24"/>
    </w:rPr>
  </w:style>
  <w:style w:type="table" w:customStyle="1" w:styleId="571">
    <w:name w:val="Table Normal"/>
    <w:unhideWhenUsed/>
    <w:qFormat/>
    <w:uiPriority w:val="0"/>
    <w:pPr>
      <w:widowControl w:val="0"/>
    </w:pPr>
    <w:rPr>
      <w:sz w:val="22"/>
      <w:szCs w:val="22"/>
      <w:lang w:eastAsia="en-US"/>
    </w:rPr>
    <w:tblPr>
      <w:tblCellMar>
        <w:top w:w="0" w:type="dxa"/>
        <w:left w:w="0" w:type="dxa"/>
        <w:bottom w:w="0" w:type="dxa"/>
        <w:right w:w="0" w:type="dxa"/>
      </w:tblCellMar>
    </w:tblPr>
  </w:style>
  <w:style w:type="table" w:customStyle="1" w:styleId="572">
    <w:name w:val="网格型1"/>
    <w:basedOn w:val="77"/>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73">
    <w:name w:val="刘表格样式"/>
    <w:basedOn w:val="79"/>
    <w:qFormat/>
    <w:uiPriority w:val="0"/>
    <w:pPr>
      <w:spacing w:line="240" w:lineRule="atLeast"/>
      <w:jc w:val="left"/>
    </w:pPr>
    <w:rPr>
      <w:sz w:val="21"/>
    </w:rPr>
    <w:tblPr>
      <w:jc w:val="center"/>
      <w:tblBorders>
        <w:top w:val="single" w:color="auto" w:sz="12" w:space="0"/>
        <w:bottom w:val="single" w:color="auto" w:sz="12" w:space="0"/>
        <w:insideH w:val="single" w:color="auto" w:sz="6" w:space="0"/>
        <w:insideV w:val="single" w:color="auto" w:sz="6" w:space="0"/>
      </w:tblBorders>
    </w:tblPr>
    <w:trPr>
      <w:jc w:val="center"/>
    </w:trPr>
    <w:tcPr>
      <w:vAlign w:val="center"/>
    </w:tcPr>
  </w:style>
  <w:style w:type="paragraph" w:customStyle="1" w:styleId="574">
    <w:name w:val="_Style 37"/>
    <w:basedOn w:val="1"/>
    <w:qFormat/>
    <w:uiPriority w:val="0"/>
    <w:pPr>
      <w:ind w:firstLine="420" w:firstLineChars="200"/>
    </w:pPr>
    <w:rPr>
      <w:rFonts w:ascii="Calibri" w:hAnsi="Calibri"/>
    </w:rPr>
  </w:style>
  <w:style w:type="character" w:customStyle="1" w:styleId="575">
    <w:name w:val="表文 Char Char"/>
    <w:qFormat/>
    <w:uiPriority w:val="0"/>
    <w:rPr>
      <w:rFonts w:eastAsia="仿宋"/>
      <w:szCs w:val="21"/>
    </w:rPr>
  </w:style>
  <w:style w:type="table" w:customStyle="1" w:styleId="576">
    <w:name w:val="Table Normal1"/>
    <w:unhideWhenUsed/>
    <w:qFormat/>
    <w:uiPriority w:val="0"/>
    <w:rPr>
      <w:rFonts w:ascii="Arial" w:hAnsi="Arial" w:eastAsia="等线" w:cs="Arial"/>
      <w:snapToGrid w:val="0"/>
      <w:color w:val="000000"/>
      <w:sz w:val="21"/>
      <w:szCs w:val="21"/>
    </w:rPr>
    <w:tblPr>
      <w:tblCellMar>
        <w:top w:w="0" w:type="dxa"/>
        <w:left w:w="0" w:type="dxa"/>
        <w:bottom w:w="0" w:type="dxa"/>
        <w:right w:w="0" w:type="dxa"/>
      </w:tblCellMar>
    </w:tblPr>
  </w:style>
  <w:style w:type="table" w:customStyle="1" w:styleId="577">
    <w:name w:val="Table Normal2"/>
    <w:unhideWhenUsed/>
    <w:qFormat/>
    <w:uiPriority w:val="0"/>
    <w:rPr>
      <w:rFonts w:ascii="Arial" w:hAnsi="Arial" w:eastAsia="等线" w:cs="Arial"/>
      <w:snapToGrid w:val="0"/>
      <w:color w:val="000000"/>
      <w:sz w:val="21"/>
      <w:szCs w:val="21"/>
    </w:rPr>
    <w:tblPr>
      <w:tblCellMar>
        <w:top w:w="0" w:type="dxa"/>
        <w:left w:w="0" w:type="dxa"/>
        <w:bottom w:w="0" w:type="dxa"/>
        <w:right w:w="0" w:type="dxa"/>
      </w:tblCellMar>
    </w:tblPr>
  </w:style>
  <w:style w:type="paragraph" w:customStyle="1" w:styleId="578">
    <w:name w:val="列出段落1"/>
    <w:basedOn w:val="1"/>
    <w:next w:val="1"/>
    <w:qFormat/>
    <w:uiPriority w:val="99"/>
    <w:pPr>
      <w:ind w:firstLine="420" w:firstLineChars="200"/>
    </w:pPr>
    <w:rPr>
      <w:rFonts w:ascii="Calibri" w:hAnsi="Calibri" w:cs="Calibri"/>
      <w:kern w:val="2"/>
    </w:rPr>
  </w:style>
  <w:style w:type="character" w:customStyle="1" w:styleId="579">
    <w:name w:val="未处理的提及1"/>
    <w:basedOn w:val="80"/>
    <w:semiHidden/>
    <w:unhideWhenUsed/>
    <w:qFormat/>
    <w:uiPriority w:val="99"/>
    <w:rPr>
      <w:color w:val="605E5C"/>
      <w:shd w:val="clear" w:color="auto" w:fill="E1DFDD"/>
    </w:rPr>
  </w:style>
  <w:style w:type="paragraph" w:customStyle="1" w:styleId="580">
    <w:name w:val="正文3"/>
    <w:qFormat/>
    <w:uiPriority w:val="0"/>
    <w:pPr>
      <w:jc w:val="both"/>
    </w:pPr>
    <w:rPr>
      <w:rFonts w:ascii="等线" w:hAnsi="等线" w:eastAsia="宋体" w:cs="宋体"/>
      <w:kern w:val="2"/>
      <w:sz w:val="21"/>
      <w:szCs w:val="21"/>
      <w:lang w:val="en-US" w:eastAsia="zh-CN" w:bidi="ar-SA"/>
    </w:rPr>
  </w:style>
  <w:style w:type="character" w:customStyle="1" w:styleId="581">
    <w:name w:val="未处理的提及2"/>
    <w:basedOn w:val="80"/>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header" Target="header4.xml"/><Relationship Id="rId75" Type="http://schemas.openxmlformats.org/officeDocument/2006/relationships/fontTable" Target="fontTable.xml"/><Relationship Id="rId74" Type="http://schemas.openxmlformats.org/officeDocument/2006/relationships/customXml" Target="../customXml/item2.xml"/><Relationship Id="rId73" Type="http://schemas.openxmlformats.org/officeDocument/2006/relationships/numbering" Target="numbering.xml"/><Relationship Id="rId72" Type="http://schemas.openxmlformats.org/officeDocument/2006/relationships/customXml" Target="../customXml/item1.xml"/><Relationship Id="rId71" Type="http://schemas.openxmlformats.org/officeDocument/2006/relationships/image" Target="media/image54.png"/><Relationship Id="rId70" Type="http://schemas.openxmlformats.org/officeDocument/2006/relationships/image" Target="media/image53.jpeg"/><Relationship Id="rId7" Type="http://schemas.openxmlformats.org/officeDocument/2006/relationships/header" Target="header3.xml"/><Relationship Id="rId69" Type="http://schemas.openxmlformats.org/officeDocument/2006/relationships/image" Target="media/image52.png"/><Relationship Id="rId68" Type="http://schemas.openxmlformats.org/officeDocument/2006/relationships/image" Target="media/image51.png"/><Relationship Id="rId67" Type="http://schemas.openxmlformats.org/officeDocument/2006/relationships/image" Target="media/image50.png"/><Relationship Id="rId66" Type="http://schemas.openxmlformats.org/officeDocument/2006/relationships/image" Target="media/image49.png"/><Relationship Id="rId65" Type="http://schemas.openxmlformats.org/officeDocument/2006/relationships/image" Target="media/image48.png"/><Relationship Id="rId64" Type="http://schemas.openxmlformats.org/officeDocument/2006/relationships/image" Target="media/image47.png"/><Relationship Id="rId63" Type="http://schemas.openxmlformats.org/officeDocument/2006/relationships/image" Target="media/image46.png"/><Relationship Id="rId62" Type="http://schemas.openxmlformats.org/officeDocument/2006/relationships/image" Target="media/image45.png"/><Relationship Id="rId61" Type="http://schemas.openxmlformats.org/officeDocument/2006/relationships/image" Target="media/image44.png"/><Relationship Id="rId60" Type="http://schemas.openxmlformats.org/officeDocument/2006/relationships/image" Target="media/image43.png"/><Relationship Id="rId6" Type="http://schemas.openxmlformats.org/officeDocument/2006/relationships/footer" Target="footer2.xml"/><Relationship Id="rId59" Type="http://schemas.openxmlformats.org/officeDocument/2006/relationships/image" Target="media/image42.png"/><Relationship Id="rId58" Type="http://schemas.openxmlformats.org/officeDocument/2006/relationships/image" Target="media/image41.jpeg"/><Relationship Id="rId57" Type="http://schemas.openxmlformats.org/officeDocument/2006/relationships/image" Target="media/image40.png"/><Relationship Id="rId56" Type="http://schemas.openxmlformats.org/officeDocument/2006/relationships/image" Target="media/image39.png"/><Relationship Id="rId55" Type="http://schemas.openxmlformats.org/officeDocument/2006/relationships/image" Target="media/image38.png"/><Relationship Id="rId54" Type="http://schemas.openxmlformats.org/officeDocument/2006/relationships/image" Target="media/image37.png"/><Relationship Id="rId53" Type="http://schemas.openxmlformats.org/officeDocument/2006/relationships/image" Target="media/image36.png"/><Relationship Id="rId52" Type="http://schemas.openxmlformats.org/officeDocument/2006/relationships/image" Target="media/image35.png"/><Relationship Id="rId51" Type="http://schemas.openxmlformats.org/officeDocument/2006/relationships/image" Target="media/image34.png"/><Relationship Id="rId50" Type="http://schemas.openxmlformats.org/officeDocument/2006/relationships/image" Target="media/image33.jpeg"/><Relationship Id="rId5" Type="http://schemas.openxmlformats.org/officeDocument/2006/relationships/footer" Target="footer1.xml"/><Relationship Id="rId49" Type="http://schemas.openxmlformats.org/officeDocument/2006/relationships/image" Target="media/image32.png"/><Relationship Id="rId48" Type="http://schemas.openxmlformats.org/officeDocument/2006/relationships/image" Target="media/image31.jpeg"/><Relationship Id="rId47" Type="http://schemas.openxmlformats.org/officeDocument/2006/relationships/image" Target="media/image30.jpeg"/><Relationship Id="rId46" Type="http://schemas.openxmlformats.org/officeDocument/2006/relationships/image" Target="media/image29.png"/><Relationship Id="rId45" Type="http://schemas.openxmlformats.org/officeDocument/2006/relationships/image" Target="media/image28.png"/><Relationship Id="rId44" Type="http://schemas.openxmlformats.org/officeDocument/2006/relationships/image" Target="media/image27.png"/><Relationship Id="rId43" Type="http://schemas.openxmlformats.org/officeDocument/2006/relationships/image" Target="media/image26.png"/><Relationship Id="rId42" Type="http://schemas.openxmlformats.org/officeDocument/2006/relationships/image" Target="media/image25.png"/><Relationship Id="rId41" Type="http://schemas.openxmlformats.org/officeDocument/2006/relationships/image" Target="media/image24.png"/><Relationship Id="rId40" Type="http://schemas.openxmlformats.org/officeDocument/2006/relationships/image" Target="media/image23.png"/><Relationship Id="rId4" Type="http://schemas.openxmlformats.org/officeDocument/2006/relationships/header" Target="header2.xml"/><Relationship Id="rId39" Type="http://schemas.openxmlformats.org/officeDocument/2006/relationships/image" Target="media/image22.png"/><Relationship Id="rId38" Type="http://schemas.openxmlformats.org/officeDocument/2006/relationships/image" Target="media/image21.png"/><Relationship Id="rId37" Type="http://schemas.openxmlformats.org/officeDocument/2006/relationships/image" Target="media/image20.png"/><Relationship Id="rId36" Type="http://schemas.openxmlformats.org/officeDocument/2006/relationships/image" Target="media/image19.png"/><Relationship Id="rId35" Type="http://schemas.openxmlformats.org/officeDocument/2006/relationships/image" Target="media/image18.png"/><Relationship Id="rId34" Type="http://schemas.openxmlformats.org/officeDocument/2006/relationships/image" Target="media/image17.png"/><Relationship Id="rId33" Type="http://schemas.openxmlformats.org/officeDocument/2006/relationships/image" Target="media/image16.png"/><Relationship Id="rId32" Type="http://schemas.openxmlformats.org/officeDocument/2006/relationships/image" Target="media/image15.jpeg"/><Relationship Id="rId31" Type="http://schemas.openxmlformats.org/officeDocument/2006/relationships/image" Target="media/image14.png"/><Relationship Id="rId30" Type="http://schemas.openxmlformats.org/officeDocument/2006/relationships/image" Target="media/image13.png"/><Relationship Id="rId3" Type="http://schemas.openxmlformats.org/officeDocument/2006/relationships/header" Target="header1.xml"/><Relationship Id="rId29" Type="http://schemas.openxmlformats.org/officeDocument/2006/relationships/image" Target="media/image12.png"/><Relationship Id="rId28" Type="http://schemas.openxmlformats.org/officeDocument/2006/relationships/image" Target="media/image11.png"/><Relationship Id="rId27" Type="http://schemas.openxmlformats.org/officeDocument/2006/relationships/image" Target="media/image10.png"/><Relationship Id="rId26" Type="http://schemas.openxmlformats.org/officeDocument/2006/relationships/image" Target="media/image9.png"/><Relationship Id="rId25" Type="http://schemas.openxmlformats.org/officeDocument/2006/relationships/image" Target="media/image8.png"/><Relationship Id="rId24" Type="http://schemas.openxmlformats.org/officeDocument/2006/relationships/image" Target="media/image7.png"/><Relationship Id="rId23" Type="http://schemas.openxmlformats.org/officeDocument/2006/relationships/image" Target="media/image6.png"/><Relationship Id="rId22" Type="http://schemas.openxmlformats.org/officeDocument/2006/relationships/image" Target="media/image5.png"/><Relationship Id="rId21" Type="http://schemas.openxmlformats.org/officeDocument/2006/relationships/image" Target="media/image4.png"/><Relationship Id="rId20" Type="http://schemas.openxmlformats.org/officeDocument/2006/relationships/image" Target="media/image3.png"/><Relationship Id="rId2" Type="http://schemas.openxmlformats.org/officeDocument/2006/relationships/settings" Target="settings.xml"/><Relationship Id="rId19" Type="http://schemas.openxmlformats.org/officeDocument/2006/relationships/image" Target="media/image2.png"/><Relationship Id="rId18" Type="http://schemas.openxmlformats.org/officeDocument/2006/relationships/image" Target="media/image1.png"/><Relationship Id="rId17" Type="http://schemas.openxmlformats.org/officeDocument/2006/relationships/theme" Target="theme/theme1.xml"/><Relationship Id="rId16" Type="http://schemas.openxmlformats.org/officeDocument/2006/relationships/footer" Target="footer8.xml"/><Relationship Id="rId15" Type="http://schemas.openxmlformats.org/officeDocument/2006/relationships/header" Target="header6.xml"/><Relationship Id="rId14" Type="http://schemas.openxmlformats.org/officeDocument/2006/relationships/footer" Target="footer7.xml"/><Relationship Id="rId13" Type="http://schemas.openxmlformats.org/officeDocument/2006/relationships/header" Target="header5.xml"/><Relationship Id="rId12" Type="http://schemas.openxmlformats.org/officeDocument/2006/relationships/footer" Target="footer6.xml"/><Relationship Id="rId11" Type="http://schemas.openxmlformats.org/officeDocument/2006/relationships/footer" Target="footer5.xml"/><Relationship Id="rId10" Type="http://schemas.openxmlformats.org/officeDocument/2006/relationships/footer" Target="footer4.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F:\&#36827;&#34892;\&#32905;&#29275;&#20859;&#27542;\&#36827;&#34892;\3.6&#32905;&#29275;&#20859;&#27542;%20(&#20462;&#22797;&#30340;).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F85A409-DBC6-4E49-9DB5-61EE36148D8A}">
  <ds:schemaRefs/>
</ds:datastoreItem>
</file>

<file path=docProps/app.xml><?xml version="1.0" encoding="utf-8"?>
<Properties xmlns="http://schemas.openxmlformats.org/officeDocument/2006/extended-properties" xmlns:vt="http://schemas.openxmlformats.org/officeDocument/2006/docPropsVTypes">
  <Template>3.6肉牛养殖 (修复的)</Template>
  <Company>英杰科技</Company>
  <Pages>247</Pages>
  <Words>130634</Words>
  <Characters>156372</Characters>
  <Lines>1244</Lines>
  <Paragraphs>350</Paragraphs>
  <TotalTime>5</TotalTime>
  <ScaleCrop>false</ScaleCrop>
  <LinksUpToDate>false</LinksUpToDate>
  <CharactersWithSpaces>157600</CharactersWithSpaces>
  <Application>WPS Office_11.1.0.12763_F1E327BC-269C-435d-A152-05C5408002CA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2022-10-11T03:19:00Z</dcterms:created>
  <dc:creator>ad</dc:creator>
  <cp:lastModifiedBy>CDF</cp:lastModifiedBy>
  <cp:lastPrinted>2020-12-14T02:56:00Z</cp:lastPrinted>
  <dcterms:modified xsi:type="dcterms:W3CDTF">2022-12-06T00:41:44Z</dcterms:modified>
  <dc:subject>送审版</dc:subject>
  <dc:title>常发农具</dc:title>
  <cp:revision>37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2052-11.1.0.12763</vt:lpwstr>
  </property>
  <property fmtid="{D5CDD505-2E9C-101B-9397-08002B2CF9AE}" pid="3" name="ICV">
    <vt:lpwstr>6E9D1FBDFD0A47BAAF2448F50C9B534D</vt:lpwstr>
  </property>
  <property fmtid="{D5CDD505-2E9C-101B-9397-08002B2CF9AE}" pid="4" name="_DocHome">
    <vt:i4>-806685610</vt:i4>
  </property>
</Properties>
</file>